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i/>
          <w:sz w:val="28"/>
        </w:rPr>
        <w:t>An Industrial Training Report</w:t>
        <w:br/>
        <w:t>on</w:t>
        <w:br/>
      </w:r>
      <w:r>
        <w:rPr>
          <w:rFonts w:ascii="Times New Roman" w:hAnsi="Times New Roman"/>
          <w:b/>
          <w:color w:val="113E21"/>
          <w:sz w:val="36"/>
        </w:rPr>
        <w:t>ATHLETIQ: AN INTELLIGENT SPORTS ANALYTICS AND TALENT ECOSYSTEM PLATFORM</w:t>
        <w:br/>
      </w:r>
      <w:r>
        <w:rPr>
          <w:rFonts w:ascii="Times New Roman" w:hAnsi="Times New Roman"/>
          <w:i/>
          <w:sz w:val="24"/>
        </w:rPr>
        <w:t>carried out as part of the Industrial Training (DSE4170) Submitted</w:t>
        <w:br/>
        <w:t>by</w:t>
        <w:br/>
      </w:r>
    </w:p>
    <w:p>
      <w:pPr>
        <w:spacing w:after="360"/>
        <w:jc w:val="center"/>
      </w:pPr>
      <w:r>
        <w:rPr>
          <w:rFonts w:ascii="Times New Roman" w:hAnsi="Times New Roman"/>
          <w:b/>
          <w:sz w:val="26"/>
        </w:rPr>
        <w:t>[Candidate Name / Mohd Ali]</w:t>
        <w:br/>
        <w:t>Registration No.: [23FE10CDS00XXX]</w:t>
        <w:br/>
      </w:r>
      <w:r>
        <w:rPr>
          <w:rFonts w:ascii="Times New Roman" w:hAnsi="Times New Roman"/>
          <w:sz w:val="24"/>
        </w:rPr>
        <w:t>in partial fulfilment for the award of the degree</w:t>
        <w:br/>
        <w:t>of</w:t>
        <w:br/>
        <w:t>BACHELOR OF TECHNOLOGY (B.Tech)</w:t>
        <w:br/>
        <w:t>in</w:t>
        <w:br/>
        <w:t>Department of Data Science and Engineering</w:t>
        <w:br/>
        <w:br/>
      </w:r>
    </w:p>
    <w:p>
      <w:pPr>
        <w:spacing w:after="720"/>
        <w:jc w:val="center"/>
      </w:pPr>
      <w:r>
        <w:rPr>
          <w:rFonts w:ascii="Times New Roman" w:hAnsi="Times New Roman"/>
          <w:b/>
          <w:color w:val="113E21"/>
          <w:sz w:val="26"/>
        </w:rPr>
        <w:t>School of Computer Science and Engineering,</w:t>
        <w:br/>
        <w:t>MANIPAL UNIVERSITY JAIPUR</w:t>
        <w:br/>
        <w:t>RAJASTHAN, INDIA</w:t>
        <w:br/>
        <w:t>October 2026</w:t>
        <w:br/>
      </w:r>
    </w:p>
    <w:p>
      <w:r>
        <w:br w:type="page"/>
      </w:r>
    </w:p>
    <w:p>
      <w:pPr>
        <w:spacing w:line="276" w:lineRule="auto" w:before="360" w:after="160"/>
      </w:pPr>
      <w:r>
        <w:rPr>
          <w:rFonts w:ascii="Times New Roman" w:hAnsi="Times New Roman"/>
          <w:b/>
          <w:color w:val="113E21"/>
          <w:sz w:val="32"/>
        </w:rPr>
        <w:t>ACKNOWLEDGMENTS</w:t>
      </w:r>
    </w:p>
    <w:p>
      <w:pPr>
        <w:spacing w:line="300" w:lineRule="auto" w:after="120"/>
        <w:jc w:val="both"/>
      </w:pPr>
      <w:r>
        <w:rPr>
          <w:rFonts w:ascii="Times New Roman" w:hAnsi="Times New Roman"/>
          <w:i w:val="0"/>
          <w:color w:val="212529"/>
          <w:sz w:val="22"/>
        </w:rPr>
        <w:t>I would like to express my sincere gratitude to my project mentor and technical supervisor for their invaluable guidance, constant encouragement, and constructive critique throughout the conceptualisation and implementation of AthletIQ. Their incisive feedback on database normalisation, user interaction architectures, and capacity allocation models greatly strengthened my understanding of how enterprise-grade data intelligence systems are engineered and reviewed in real-world settings.</w:t>
      </w:r>
    </w:p>
    <w:p>
      <w:pPr>
        <w:spacing w:line="300" w:lineRule="auto" w:after="120"/>
        <w:jc w:val="both"/>
      </w:pPr>
      <w:r>
        <w:rPr>
          <w:rFonts w:ascii="Times New Roman" w:hAnsi="Times New Roman"/>
          <w:i w:val="0"/>
          <w:color w:val="212529"/>
          <w:sz w:val="22"/>
        </w:rPr>
        <w:t>I am profoundly thankful to the leadership and technical mentors at my industrial training organisation for providing me the opportunity to undertake this work within such an inspiring and technologically stimulating environment. Their insights into operational bottlenecks in grassroots sports administration and corporate social responsibility (CSR) sponsorship workflows provided the practical motivation for many of the platform's core architectural decisions.</w:t>
      </w:r>
    </w:p>
    <w:p>
      <w:pPr>
        <w:spacing w:line="300" w:lineRule="auto" w:after="120"/>
        <w:jc w:val="both"/>
      </w:pPr>
      <w:r>
        <w:rPr>
          <w:rFonts w:ascii="Times New Roman" w:hAnsi="Times New Roman"/>
          <w:i w:val="0"/>
          <w:color w:val="212529"/>
          <w:sz w:val="22"/>
        </w:rPr>
        <w:t>I also extend my heartfelt appreciation to my colleagues, peers, and fellow student researchers for their continuous brainstorming sessions, code reviews, and testing assistance, which made resolving complex full-stack challenges both engaging and rewarding.</w:t>
      </w:r>
    </w:p>
    <w:p>
      <w:pPr>
        <w:spacing w:line="300" w:lineRule="auto" w:after="120"/>
        <w:jc w:val="both"/>
      </w:pPr>
      <w:r>
        <w:rPr>
          <w:rFonts w:ascii="Times New Roman" w:hAnsi="Times New Roman"/>
          <w:i w:val="0"/>
          <w:color w:val="212529"/>
          <w:sz w:val="22"/>
        </w:rPr>
        <w:t>I am deeply grateful to the Department of Data Science and Engineering and the School of Computer Science and Engineering, Manipal University Jaipur, for integrating rigorous industrial training into our academic curriculum, and to our faculty members for their steadfast academic guidance throughout this tenure.</w:t>
      </w:r>
    </w:p>
    <w:p>
      <w:pPr>
        <w:spacing w:line="300" w:lineRule="auto" w:after="120"/>
        <w:jc w:val="both"/>
      </w:pPr>
      <w:r>
        <w:rPr>
          <w:rFonts w:ascii="Times New Roman" w:hAnsi="Times New Roman"/>
          <w:i w:val="0"/>
          <w:color w:val="212529"/>
          <w:sz w:val="22"/>
        </w:rPr>
        <w:t>Finally, I owe my deepest gratitude to my family and friends for their enduring patience, faith, and unconditional support throughout the course of this internship.</w:t>
      </w:r>
    </w:p>
    <w:p>
      <w:pPr>
        <w:spacing w:before="360"/>
      </w:pPr>
      <w:r>
        <w:rPr>
          <w:rFonts w:ascii="Times New Roman" w:hAnsi="Times New Roman"/>
          <w:b/>
          <w:sz w:val="22"/>
        </w:rPr>
        <w:t>[Candidate Name / Mohd Ali]</w:t>
        <w:br/>
        <w:t>Registration No.: [23FE10CDS00XXX]</w:t>
      </w:r>
    </w:p>
    <w:p>
      <w:r>
        <w:br w:type="page"/>
      </w:r>
    </w:p>
    <w:p>
      <w:pPr>
        <w:spacing w:line="276" w:lineRule="auto" w:before="360" w:after="160"/>
      </w:pPr>
      <w:r>
        <w:rPr>
          <w:rFonts w:ascii="Times New Roman" w:hAnsi="Times New Roman"/>
          <w:b/>
          <w:color w:val="113E21"/>
          <w:sz w:val="32"/>
        </w:rPr>
        <w:t>ABSTRACT</w:t>
      </w:r>
    </w:p>
    <w:p>
      <w:pPr>
        <w:spacing w:line="300" w:lineRule="auto" w:after="120"/>
        <w:jc w:val="both"/>
      </w:pPr>
      <w:r>
        <w:rPr>
          <w:rFonts w:ascii="Times New Roman" w:hAnsi="Times New Roman"/>
          <w:i w:val="0"/>
          <w:color w:val="212529"/>
          <w:sz w:val="22"/>
        </w:rPr>
        <w:t>Sports intelligence and data-driven talent identification represent the critical foundation for sustainable podium success in international athletics. In developing sporting nations like India, the grassroots sports ecosystem has historically suffered from systemic information asymmetry: talent registries remain fragmented across regional bodies, coaching capacity is severely imbalanced between metropolitan hubs and rural nurseries, and corporate social responsibility (CSR) sponsors lack transparent metrics to fund deserving athletes. This report presents AthletIQ, a full-stack sports intelligence and analytics ecosystem developed during a rigorous industrial training program from July to October 2026.</w:t>
      </w:r>
    </w:p>
    <w:p>
      <w:pPr>
        <w:spacing w:line="300" w:lineRule="auto" w:after="120"/>
        <w:jc w:val="both"/>
      </w:pPr>
      <w:r>
        <w:rPr>
          <w:rFonts w:ascii="Times New Roman" w:hAnsi="Times New Roman"/>
          <w:i w:val="0"/>
          <w:color w:val="212529"/>
          <w:sz w:val="22"/>
        </w:rPr>
        <w:t>The project was engineered using an Agile methodology across seven distinct sprints. AthletIQ is implemented in Python, leveraging Streamlit as a high-performance presentation layer, Pandas for in-memory analytical data processing, Plotly Express for dynamic geospatial and categorical visualisations, and the Google Gemini API with Google Search grounding for real-time tournament discovery. The system architecture addresses three fundamental structural gaps: (1) a multi-criteria Coach Redistribution Matrix operating on the official Sports Authority of India (SAI) 15:1 athlete-to-coach standard to algorithmically resolve coaching deficits across national facilities; (2) a 100-point multi-dimensional Suitability and Proximity Matcher that evaluates geographic proximity, sport discipline infrastructure, age eligibility, performance caliber, and gender boarding to recommend ideal training hubs; and (3) a Master-Detail directory indexing 7,600+ master athletes and coaches, alongside a 5,000-record high-volume Women Athletes pipeline and a corporate CSR sponsorship matching pipeline.</w:t>
      </w:r>
    </w:p>
    <w:p>
      <w:pPr>
        <w:spacing w:line="300" w:lineRule="auto" w:after="120"/>
        <w:jc w:val="both"/>
      </w:pPr>
      <w:r>
        <w:rPr>
          <w:rFonts w:ascii="Times New Roman" w:hAnsi="Times New Roman"/>
          <w:i w:val="0"/>
          <w:color w:val="212529"/>
          <w:sz w:val="22"/>
        </w:rPr>
        <w:t>The prototype was validated through 18 comprehensive manual test cases spanning valid inputs, edge cases, programmatic session-state tab redirections, and empty-focus search states, achieving 100% functional verification. This report documents the theoretical principles, system design, mathematical formulations, implementation milestones, testing outcomes, and a practical migration roadmap toward enterprise cloud deployment.</w:t>
      </w:r>
    </w:p>
    <w:p>
      <w:pPr>
        <w:spacing w:line="300" w:lineRule="auto" w:after="120"/>
        <w:jc w:val="both"/>
      </w:pPr>
      <w:r>
        <w:rPr>
          <w:rFonts w:ascii="Times New Roman" w:hAnsi="Times New Roman"/>
          <w:i/>
          <w:color w:val="212529"/>
          <w:sz w:val="22"/>
        </w:rPr>
        <w:t>Keywords: Sports Analytics, Coach Allocation Matrix, Talent Discovery, Streamlit, Python, Multi-Criteria Decision Analysis, Google Gemini API, Grassroots Athletics, Agile Methodology.</w:t>
      </w:r>
    </w:p>
    <w:p>
      <w:r>
        <w:br w:type="page"/>
      </w:r>
    </w:p>
    <w:p>
      <w:pPr>
        <w:spacing w:line="276" w:lineRule="auto" w:before="360" w:after="160"/>
      </w:pPr>
      <w:r>
        <w:rPr>
          <w:rFonts w:ascii="Times New Roman" w:hAnsi="Times New Roman"/>
          <w:b/>
          <w:color w:val="113E21"/>
          <w:sz w:val="32"/>
        </w:rPr>
        <w:t>LIST OF FIGURES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440"/>
            <w:shd w:val="clear" w:color="auto" w:fill="113E21"/>
          </w:tcPr>
          <w:p>
            <w:pPr>
              <w:spacing w:before="80" w:after="80"/>
              <w:jc w:val="left"/>
            </w:pPr>
            <w:r>
              <w:rPr>
                <w:rFonts w:ascii="Times New Roman" w:hAnsi="Times New Roman"/>
                <w:b/>
                <w:color w:val="FFFFFF"/>
                <w:sz w:val="20"/>
              </w:rPr>
              <w:t>Figure No.</w:t>
            </w:r>
          </w:p>
        </w:tc>
        <w:tc>
          <w:tcPr>
            <w:tcW w:type="dxa" w:w="6480"/>
            <w:shd w:val="clear" w:color="auto" w:fill="113E21"/>
          </w:tcPr>
          <w:p>
            <w:pPr>
              <w:spacing w:before="80" w:after="80"/>
              <w:jc w:val="left"/>
            </w:pPr>
            <w:r>
              <w:rPr>
                <w:rFonts w:ascii="Times New Roman" w:hAnsi="Times New Roman"/>
                <w:b/>
                <w:color w:val="FFFFFF"/>
                <w:sz w:val="20"/>
              </w:rPr>
              <w:t>Figure Title</w:t>
            </w:r>
          </w:p>
        </w:tc>
        <w:tc>
          <w:tcPr>
            <w:tcW w:type="dxa" w:w="1440"/>
            <w:shd w:val="clear" w:color="auto" w:fill="113E21"/>
          </w:tcPr>
          <w:p>
            <w:pPr>
              <w:spacing w:before="80" w:after="80"/>
              <w:jc w:val="left"/>
            </w:pPr>
            <w:r>
              <w:rPr>
                <w:rFonts w:ascii="Times New Roman" w:hAnsi="Times New Roman"/>
                <w:b/>
                <w:color w:val="FFFFFF"/>
                <w:sz w:val="20"/>
              </w:rPr>
              <w:t>Page No.</w:t>
            </w:r>
          </w:p>
        </w:tc>
      </w:tr>
      <w:tr>
        <w:tc>
          <w:tcPr>
            <w:tcW w:type="dxa" w:w="1440"/>
            <w:shd w:val="clear" w:color="auto" w:fill="FFFFFF"/>
          </w:tcPr>
          <w:p>
            <w:pPr>
              <w:spacing w:before="60" w:after="60"/>
              <w:jc w:val="left"/>
            </w:pPr>
            <w:r>
              <w:rPr>
                <w:rFonts w:ascii="Times New Roman" w:hAnsi="Times New Roman"/>
                <w:color w:val="212529"/>
                <w:sz w:val="19"/>
              </w:rPr>
              <w:t>3.1</w:t>
            </w:r>
          </w:p>
        </w:tc>
        <w:tc>
          <w:tcPr>
            <w:tcW w:type="dxa" w:w="6480"/>
            <w:shd w:val="clear" w:color="auto" w:fill="FFFFFF"/>
          </w:tcPr>
          <w:p>
            <w:pPr>
              <w:spacing w:before="60" w:after="60"/>
              <w:jc w:val="left"/>
            </w:pPr>
            <w:r>
              <w:rPr>
                <w:rFonts w:ascii="Times New Roman" w:hAnsi="Times New Roman"/>
                <w:color w:val="212529"/>
                <w:sz w:val="19"/>
              </w:rPr>
              <w:t>Agile Development Cycle Followed in the AthletIQ Project</w:t>
            </w:r>
          </w:p>
        </w:tc>
        <w:tc>
          <w:tcPr>
            <w:tcW w:type="dxa" w:w="1440"/>
            <w:shd w:val="clear" w:color="auto" w:fill="FFFFFF"/>
          </w:tcPr>
          <w:p>
            <w:pPr>
              <w:spacing w:before="60" w:after="60"/>
              <w:jc w:val="left"/>
            </w:pPr>
            <w:r>
              <w:rPr>
                <w:rFonts w:ascii="Times New Roman" w:hAnsi="Times New Roman"/>
                <w:color w:val="212529"/>
                <w:sz w:val="19"/>
              </w:rPr>
              <w:t>8</w:t>
            </w:r>
          </w:p>
        </w:tc>
      </w:tr>
      <w:tr>
        <w:tc>
          <w:tcPr>
            <w:tcW w:type="dxa" w:w="1440"/>
            <w:shd w:val="clear" w:color="auto" w:fill="F8FAF9"/>
          </w:tcPr>
          <w:p>
            <w:pPr>
              <w:spacing w:before="60" w:after="60"/>
              <w:jc w:val="left"/>
            </w:pPr>
            <w:r>
              <w:rPr>
                <w:rFonts w:ascii="Times New Roman" w:hAnsi="Times New Roman"/>
                <w:color w:val="212529"/>
                <w:sz w:val="19"/>
              </w:rPr>
              <w:t>3.2</w:t>
            </w:r>
          </w:p>
        </w:tc>
        <w:tc>
          <w:tcPr>
            <w:tcW w:type="dxa" w:w="6480"/>
            <w:shd w:val="clear" w:color="auto" w:fill="F8FAF9"/>
          </w:tcPr>
          <w:p>
            <w:pPr>
              <w:spacing w:before="60" w:after="60"/>
              <w:jc w:val="left"/>
            </w:pPr>
            <w:r>
              <w:rPr>
                <w:rFonts w:ascii="Times New Roman" w:hAnsi="Times New Roman"/>
                <w:color w:val="212529"/>
                <w:sz w:val="19"/>
              </w:rPr>
              <w:t>System Architecture and Three-Tier Data Pipeline of AthletIQ</w:t>
            </w:r>
          </w:p>
        </w:tc>
        <w:tc>
          <w:tcPr>
            <w:tcW w:type="dxa" w:w="1440"/>
            <w:shd w:val="clear" w:color="auto" w:fill="F8FAF9"/>
          </w:tcPr>
          <w:p>
            <w:pPr>
              <w:spacing w:before="60" w:after="60"/>
              <w:jc w:val="left"/>
            </w:pPr>
            <w:r>
              <w:rPr>
                <w:rFonts w:ascii="Times New Roman" w:hAnsi="Times New Roman"/>
                <w:color w:val="212529"/>
                <w:sz w:val="19"/>
              </w:rPr>
              <w:t>10</w:t>
            </w:r>
          </w:p>
        </w:tc>
      </w:tr>
      <w:tr>
        <w:tc>
          <w:tcPr>
            <w:tcW w:type="dxa" w:w="1440"/>
            <w:shd w:val="clear" w:color="auto" w:fill="FFFFFF"/>
          </w:tcPr>
          <w:p>
            <w:pPr>
              <w:spacing w:before="60" w:after="60"/>
              <w:jc w:val="left"/>
            </w:pPr>
            <w:r>
              <w:rPr>
                <w:rFonts w:ascii="Times New Roman" w:hAnsi="Times New Roman"/>
                <w:color w:val="212529"/>
                <w:sz w:val="19"/>
              </w:rPr>
              <w:t>3.3</w:t>
            </w:r>
          </w:p>
        </w:tc>
        <w:tc>
          <w:tcPr>
            <w:tcW w:type="dxa" w:w="6480"/>
            <w:shd w:val="clear" w:color="auto" w:fill="FFFFFF"/>
          </w:tcPr>
          <w:p>
            <w:pPr>
              <w:spacing w:before="60" w:after="60"/>
              <w:jc w:val="left"/>
            </w:pPr>
            <w:r>
              <w:rPr>
                <w:rFonts w:ascii="Times New Roman" w:hAnsi="Times New Roman"/>
                <w:color w:val="212529"/>
                <w:sz w:val="19"/>
              </w:rPr>
              <w:t>Layered Data and Session State Routing Flow</w:t>
            </w:r>
          </w:p>
        </w:tc>
        <w:tc>
          <w:tcPr>
            <w:tcW w:type="dxa" w:w="1440"/>
            <w:shd w:val="clear" w:color="auto" w:fill="FFFFFF"/>
          </w:tcPr>
          <w:p>
            <w:pPr>
              <w:spacing w:before="60" w:after="60"/>
              <w:jc w:val="left"/>
            </w:pPr>
            <w:r>
              <w:rPr>
                <w:rFonts w:ascii="Times New Roman" w:hAnsi="Times New Roman"/>
                <w:color w:val="212529"/>
                <w:sz w:val="19"/>
              </w:rPr>
              <w:t>11</w:t>
            </w:r>
          </w:p>
        </w:tc>
      </w:tr>
      <w:tr>
        <w:tc>
          <w:tcPr>
            <w:tcW w:type="dxa" w:w="1440"/>
            <w:shd w:val="clear" w:color="auto" w:fill="F8FAF9"/>
          </w:tcPr>
          <w:p>
            <w:pPr>
              <w:spacing w:before="60" w:after="60"/>
              <w:jc w:val="left"/>
            </w:pPr>
            <w:r>
              <w:rPr>
                <w:rFonts w:ascii="Times New Roman" w:hAnsi="Times New Roman"/>
                <w:color w:val="212529"/>
                <w:sz w:val="19"/>
              </w:rPr>
              <w:t>3.4</w:t>
            </w:r>
          </w:p>
        </w:tc>
        <w:tc>
          <w:tcPr>
            <w:tcW w:type="dxa" w:w="6480"/>
            <w:shd w:val="clear" w:color="auto" w:fill="F8FAF9"/>
          </w:tcPr>
          <w:p>
            <w:pPr>
              <w:spacing w:before="60" w:after="60"/>
              <w:jc w:val="left"/>
            </w:pPr>
            <w:r>
              <w:rPr>
                <w:rFonts w:ascii="Times New Roman" w:hAnsi="Times New Roman"/>
                <w:color w:val="212529"/>
                <w:sz w:val="19"/>
              </w:rPr>
              <w:t>Coach Capacity Evaluation and National Redistribution Flow</w:t>
            </w:r>
          </w:p>
        </w:tc>
        <w:tc>
          <w:tcPr>
            <w:tcW w:type="dxa" w:w="1440"/>
            <w:shd w:val="clear" w:color="auto" w:fill="F8FAF9"/>
          </w:tcPr>
          <w:p>
            <w:pPr>
              <w:spacing w:before="60" w:after="60"/>
              <w:jc w:val="left"/>
            </w:pPr>
            <w:r>
              <w:rPr>
                <w:rFonts w:ascii="Times New Roman" w:hAnsi="Times New Roman"/>
                <w:color w:val="212529"/>
                <w:sz w:val="19"/>
              </w:rPr>
              <w:t>12</w:t>
            </w:r>
          </w:p>
        </w:tc>
      </w:tr>
      <w:tr>
        <w:tc>
          <w:tcPr>
            <w:tcW w:type="dxa" w:w="1440"/>
            <w:shd w:val="clear" w:color="auto" w:fill="FFFFFF"/>
          </w:tcPr>
          <w:p>
            <w:pPr>
              <w:spacing w:before="60" w:after="60"/>
              <w:jc w:val="left"/>
            </w:pPr>
            <w:r>
              <w:rPr>
                <w:rFonts w:ascii="Times New Roman" w:hAnsi="Times New Roman"/>
                <w:color w:val="212529"/>
                <w:sz w:val="19"/>
              </w:rPr>
              <w:t>3.5</w:t>
            </w:r>
          </w:p>
        </w:tc>
        <w:tc>
          <w:tcPr>
            <w:tcW w:type="dxa" w:w="6480"/>
            <w:shd w:val="clear" w:color="auto" w:fill="FFFFFF"/>
          </w:tcPr>
          <w:p>
            <w:pPr>
              <w:spacing w:before="60" w:after="60"/>
              <w:jc w:val="left"/>
            </w:pPr>
            <w:r>
              <w:rPr>
                <w:rFonts w:ascii="Times New Roman" w:hAnsi="Times New Roman"/>
                <w:color w:val="212529"/>
                <w:sz w:val="19"/>
              </w:rPr>
              <w:t>100-Point SAI Centre Suitability Scoring Flow</w:t>
            </w:r>
          </w:p>
        </w:tc>
        <w:tc>
          <w:tcPr>
            <w:tcW w:type="dxa" w:w="1440"/>
            <w:shd w:val="clear" w:color="auto" w:fill="FFFFFF"/>
          </w:tcPr>
          <w:p>
            <w:pPr>
              <w:spacing w:before="60" w:after="60"/>
              <w:jc w:val="left"/>
            </w:pPr>
            <w:r>
              <w:rPr>
                <w:rFonts w:ascii="Times New Roman" w:hAnsi="Times New Roman"/>
                <w:color w:val="212529"/>
                <w:sz w:val="19"/>
              </w:rPr>
              <w:t>12</w:t>
            </w:r>
          </w:p>
        </w:tc>
      </w:tr>
      <w:tr>
        <w:tc>
          <w:tcPr>
            <w:tcW w:type="dxa" w:w="1440"/>
            <w:shd w:val="clear" w:color="auto" w:fill="F8FAF9"/>
          </w:tcPr>
          <w:p>
            <w:pPr>
              <w:spacing w:before="60" w:after="60"/>
              <w:jc w:val="left"/>
            </w:pPr>
            <w:r>
              <w:rPr>
                <w:rFonts w:ascii="Times New Roman" w:hAnsi="Times New Roman"/>
                <w:color w:val="212529"/>
                <w:sz w:val="19"/>
              </w:rPr>
              <w:t>3.6</w:t>
            </w:r>
          </w:p>
        </w:tc>
        <w:tc>
          <w:tcPr>
            <w:tcW w:type="dxa" w:w="6480"/>
            <w:shd w:val="clear" w:color="auto" w:fill="F8FAF9"/>
          </w:tcPr>
          <w:p>
            <w:pPr>
              <w:spacing w:before="60" w:after="60"/>
              <w:jc w:val="left"/>
            </w:pPr>
            <w:r>
              <w:rPr>
                <w:rFonts w:ascii="Times New Roman" w:hAnsi="Times New Roman"/>
                <w:color w:val="212529"/>
                <w:sz w:val="19"/>
              </w:rPr>
              <w:t>Live Tournament Discovery and Search Grounding Flow</w:t>
            </w:r>
          </w:p>
        </w:tc>
        <w:tc>
          <w:tcPr>
            <w:tcW w:type="dxa" w:w="1440"/>
            <w:shd w:val="clear" w:color="auto" w:fill="F8FAF9"/>
          </w:tcPr>
          <w:p>
            <w:pPr>
              <w:spacing w:before="60" w:after="60"/>
              <w:jc w:val="left"/>
            </w:pPr>
            <w:r>
              <w:rPr>
                <w:rFonts w:ascii="Times New Roman" w:hAnsi="Times New Roman"/>
                <w:color w:val="212529"/>
                <w:sz w:val="19"/>
              </w:rPr>
              <w:t>13</w:t>
            </w:r>
          </w:p>
        </w:tc>
      </w:tr>
      <w:tr>
        <w:tc>
          <w:tcPr>
            <w:tcW w:type="dxa" w:w="1440"/>
            <w:shd w:val="clear" w:color="auto" w:fill="FFFFFF"/>
          </w:tcPr>
          <w:p>
            <w:pPr>
              <w:spacing w:before="60" w:after="60"/>
              <w:jc w:val="left"/>
            </w:pPr>
            <w:r>
              <w:rPr>
                <w:rFonts w:ascii="Times New Roman" w:hAnsi="Times New Roman"/>
                <w:color w:val="212529"/>
                <w:sz w:val="19"/>
              </w:rPr>
              <w:t>C.1</w:t>
            </w:r>
          </w:p>
        </w:tc>
        <w:tc>
          <w:tcPr>
            <w:tcW w:type="dxa" w:w="6480"/>
            <w:shd w:val="clear" w:color="auto" w:fill="FFFFFF"/>
          </w:tcPr>
          <w:p>
            <w:pPr>
              <w:spacing w:before="60" w:after="60"/>
              <w:jc w:val="left"/>
            </w:pPr>
            <w:r>
              <w:rPr>
                <w:rFonts w:ascii="Times New Roman" w:hAnsi="Times New Roman"/>
                <w:color w:val="212529"/>
                <w:sz w:val="19"/>
              </w:rPr>
              <w:t>Pathway Overview Dashboard with State Talent Nurseries</w:t>
            </w:r>
          </w:p>
        </w:tc>
        <w:tc>
          <w:tcPr>
            <w:tcW w:type="dxa" w:w="1440"/>
            <w:shd w:val="clear" w:color="auto" w:fill="FFFFFF"/>
          </w:tcPr>
          <w:p>
            <w:pPr>
              <w:spacing w:before="60" w:after="60"/>
              <w:jc w:val="left"/>
            </w:pPr>
            <w:r>
              <w:rPr>
                <w:rFonts w:ascii="Times New Roman" w:hAnsi="Times New Roman"/>
                <w:color w:val="212529"/>
                <w:sz w:val="19"/>
              </w:rPr>
              <w:t>28</w:t>
            </w:r>
          </w:p>
        </w:tc>
      </w:tr>
      <w:tr>
        <w:tc>
          <w:tcPr>
            <w:tcW w:type="dxa" w:w="1440"/>
            <w:shd w:val="clear" w:color="auto" w:fill="F8FAF9"/>
          </w:tcPr>
          <w:p>
            <w:pPr>
              <w:spacing w:before="60" w:after="60"/>
              <w:jc w:val="left"/>
            </w:pPr>
            <w:r>
              <w:rPr>
                <w:rFonts w:ascii="Times New Roman" w:hAnsi="Times New Roman"/>
                <w:color w:val="212529"/>
                <w:sz w:val="19"/>
              </w:rPr>
              <w:t>C.2</w:t>
            </w:r>
          </w:p>
        </w:tc>
        <w:tc>
          <w:tcPr>
            <w:tcW w:type="dxa" w:w="6480"/>
            <w:shd w:val="clear" w:color="auto" w:fill="F8FAF9"/>
          </w:tcPr>
          <w:p>
            <w:pPr>
              <w:spacing w:before="60" w:after="60"/>
              <w:jc w:val="left"/>
            </w:pPr>
            <w:r>
              <w:rPr>
                <w:rFonts w:ascii="Times New Roman" w:hAnsi="Times New Roman"/>
                <w:color w:val="212529"/>
                <w:sz w:val="19"/>
              </w:rPr>
              <w:t>Centres &amp; Academies Tab: Coach Capacity &amp; Redistribution Panel</w:t>
            </w:r>
          </w:p>
        </w:tc>
        <w:tc>
          <w:tcPr>
            <w:tcW w:type="dxa" w:w="1440"/>
            <w:shd w:val="clear" w:color="auto" w:fill="F8FAF9"/>
          </w:tcPr>
          <w:p>
            <w:pPr>
              <w:spacing w:before="60" w:after="60"/>
              <w:jc w:val="left"/>
            </w:pPr>
            <w:r>
              <w:rPr>
                <w:rFonts w:ascii="Times New Roman" w:hAnsi="Times New Roman"/>
                <w:color w:val="212529"/>
                <w:sz w:val="19"/>
              </w:rPr>
              <w:t>28</w:t>
            </w:r>
          </w:p>
        </w:tc>
      </w:tr>
      <w:tr>
        <w:tc>
          <w:tcPr>
            <w:tcW w:type="dxa" w:w="1440"/>
            <w:shd w:val="clear" w:color="auto" w:fill="FFFFFF"/>
          </w:tcPr>
          <w:p>
            <w:pPr>
              <w:spacing w:before="60" w:after="60"/>
              <w:jc w:val="left"/>
            </w:pPr>
            <w:r>
              <w:rPr>
                <w:rFonts w:ascii="Times New Roman" w:hAnsi="Times New Roman"/>
                <w:color w:val="212529"/>
                <w:sz w:val="19"/>
              </w:rPr>
              <w:t>C.3</w:t>
            </w:r>
          </w:p>
        </w:tc>
        <w:tc>
          <w:tcPr>
            <w:tcW w:type="dxa" w:w="6480"/>
            <w:shd w:val="clear" w:color="auto" w:fill="FFFFFF"/>
          </w:tcPr>
          <w:p>
            <w:pPr>
              <w:spacing w:before="60" w:after="60"/>
              <w:jc w:val="left"/>
            </w:pPr>
            <w:r>
              <w:rPr>
                <w:rFonts w:ascii="Times New Roman" w:hAnsi="Times New Roman"/>
                <w:color w:val="212529"/>
                <w:sz w:val="19"/>
              </w:rPr>
              <w:t>Profile Directory: Master-Detail Athlete Bio Inspector</w:t>
            </w:r>
          </w:p>
        </w:tc>
        <w:tc>
          <w:tcPr>
            <w:tcW w:type="dxa" w:w="1440"/>
            <w:shd w:val="clear" w:color="auto" w:fill="FFFFFF"/>
          </w:tcPr>
          <w:p>
            <w:pPr>
              <w:spacing w:before="60" w:after="60"/>
              <w:jc w:val="left"/>
            </w:pPr>
            <w:r>
              <w:rPr>
                <w:rFonts w:ascii="Times New Roman" w:hAnsi="Times New Roman"/>
                <w:color w:val="212529"/>
                <w:sz w:val="19"/>
              </w:rPr>
              <w:t>29</w:t>
            </w:r>
          </w:p>
        </w:tc>
      </w:tr>
      <w:tr>
        <w:tc>
          <w:tcPr>
            <w:tcW w:type="dxa" w:w="1440"/>
            <w:shd w:val="clear" w:color="auto" w:fill="F8FAF9"/>
          </w:tcPr>
          <w:p>
            <w:pPr>
              <w:spacing w:before="60" w:after="60"/>
              <w:jc w:val="left"/>
            </w:pPr>
            <w:r>
              <w:rPr>
                <w:rFonts w:ascii="Times New Roman" w:hAnsi="Times New Roman"/>
                <w:color w:val="212529"/>
                <w:sz w:val="19"/>
              </w:rPr>
              <w:t>C.4</w:t>
            </w:r>
          </w:p>
        </w:tc>
        <w:tc>
          <w:tcPr>
            <w:tcW w:type="dxa" w:w="6480"/>
            <w:shd w:val="clear" w:color="auto" w:fill="F8FAF9"/>
          </w:tcPr>
          <w:p>
            <w:pPr>
              <w:spacing w:before="60" w:after="60"/>
              <w:jc w:val="left"/>
            </w:pPr>
            <w:r>
              <w:rPr>
                <w:rFonts w:ascii="Times New Roman" w:hAnsi="Times New Roman"/>
                <w:color w:val="212529"/>
                <w:sz w:val="19"/>
              </w:rPr>
              <w:t>Emerging Women Athletes Directory and Scouting View</w:t>
            </w:r>
          </w:p>
        </w:tc>
        <w:tc>
          <w:tcPr>
            <w:tcW w:type="dxa" w:w="1440"/>
            <w:shd w:val="clear" w:color="auto" w:fill="F8FAF9"/>
          </w:tcPr>
          <w:p>
            <w:pPr>
              <w:spacing w:before="60" w:after="60"/>
              <w:jc w:val="left"/>
            </w:pPr>
            <w:r>
              <w:rPr>
                <w:rFonts w:ascii="Times New Roman" w:hAnsi="Times New Roman"/>
                <w:color w:val="212529"/>
                <w:sz w:val="19"/>
              </w:rPr>
              <w:t>29</w:t>
            </w:r>
          </w:p>
        </w:tc>
      </w:tr>
    </w:tbl>
    <w:p>
      <w:pPr>
        <w:spacing w:after="120"/>
      </w:pPr>
    </w:p>
    <w:p>
      <w:pPr>
        <w:spacing w:line="276" w:lineRule="auto" w:before="360" w:after="160"/>
      </w:pPr>
      <w:r>
        <w:rPr>
          <w:rFonts w:ascii="Times New Roman" w:hAnsi="Times New Roman"/>
          <w:b/>
          <w:color w:val="113E21"/>
          <w:sz w:val="32"/>
        </w:rPr>
        <w:t>LIST OF TABLES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440"/>
            <w:shd w:val="clear" w:color="auto" w:fill="113E21"/>
          </w:tcPr>
          <w:p>
            <w:pPr>
              <w:spacing w:before="80" w:after="80"/>
              <w:jc w:val="left"/>
            </w:pPr>
            <w:r>
              <w:rPr>
                <w:rFonts w:ascii="Times New Roman" w:hAnsi="Times New Roman"/>
                <w:b/>
                <w:color w:val="FFFFFF"/>
                <w:sz w:val="20"/>
              </w:rPr>
              <w:t>Table No.</w:t>
            </w:r>
          </w:p>
        </w:tc>
        <w:tc>
          <w:tcPr>
            <w:tcW w:type="dxa" w:w="6480"/>
            <w:shd w:val="clear" w:color="auto" w:fill="113E21"/>
          </w:tcPr>
          <w:p>
            <w:pPr>
              <w:spacing w:before="80" w:after="80"/>
              <w:jc w:val="left"/>
            </w:pPr>
            <w:r>
              <w:rPr>
                <w:rFonts w:ascii="Times New Roman" w:hAnsi="Times New Roman"/>
                <w:b/>
                <w:color w:val="FFFFFF"/>
                <w:sz w:val="20"/>
              </w:rPr>
              <w:t>Table Title</w:t>
            </w:r>
          </w:p>
        </w:tc>
        <w:tc>
          <w:tcPr>
            <w:tcW w:type="dxa" w:w="1440"/>
            <w:shd w:val="clear" w:color="auto" w:fill="113E21"/>
          </w:tcPr>
          <w:p>
            <w:pPr>
              <w:spacing w:before="80" w:after="80"/>
              <w:jc w:val="left"/>
            </w:pPr>
            <w:r>
              <w:rPr>
                <w:rFonts w:ascii="Times New Roman" w:hAnsi="Times New Roman"/>
                <w:b/>
                <w:color w:val="FFFFFF"/>
                <w:sz w:val="20"/>
              </w:rPr>
              <w:t>Page No.</w:t>
            </w:r>
          </w:p>
        </w:tc>
      </w:tr>
      <w:tr>
        <w:tc>
          <w:tcPr>
            <w:tcW w:type="dxa" w:w="1440"/>
            <w:shd w:val="clear" w:color="auto" w:fill="FFFFFF"/>
          </w:tcPr>
          <w:p>
            <w:pPr>
              <w:spacing w:before="60" w:after="60"/>
              <w:jc w:val="left"/>
            </w:pPr>
            <w:r>
              <w:rPr>
                <w:rFonts w:ascii="Times New Roman" w:hAnsi="Times New Roman"/>
                <w:color w:val="212529"/>
                <w:sz w:val="19"/>
              </w:rPr>
              <w:t>2.1</w:t>
            </w:r>
          </w:p>
        </w:tc>
        <w:tc>
          <w:tcPr>
            <w:tcW w:type="dxa" w:w="6480"/>
            <w:shd w:val="clear" w:color="auto" w:fill="FFFFFF"/>
          </w:tcPr>
          <w:p>
            <w:pPr>
              <w:spacing w:before="60" w:after="60"/>
              <w:jc w:val="left"/>
            </w:pPr>
            <w:r>
              <w:rPr>
                <w:rFonts w:ascii="Times New Roman" w:hAnsi="Times New Roman"/>
                <w:color w:val="212529"/>
                <w:sz w:val="19"/>
              </w:rPr>
              <w:t>Technology Stack and Analytical Libraries</w:t>
            </w:r>
          </w:p>
        </w:tc>
        <w:tc>
          <w:tcPr>
            <w:tcW w:type="dxa" w:w="1440"/>
            <w:shd w:val="clear" w:color="auto" w:fill="FFFFFF"/>
          </w:tcPr>
          <w:p>
            <w:pPr>
              <w:spacing w:before="60" w:after="60"/>
              <w:jc w:val="left"/>
            </w:pPr>
            <w:r>
              <w:rPr>
                <w:rFonts w:ascii="Times New Roman" w:hAnsi="Times New Roman"/>
                <w:color w:val="212529"/>
                <w:sz w:val="19"/>
              </w:rPr>
              <w:t>5</w:t>
            </w:r>
          </w:p>
        </w:tc>
      </w:tr>
      <w:tr>
        <w:tc>
          <w:tcPr>
            <w:tcW w:type="dxa" w:w="1440"/>
            <w:shd w:val="clear" w:color="auto" w:fill="F8FAF9"/>
          </w:tcPr>
          <w:p>
            <w:pPr>
              <w:spacing w:before="60" w:after="60"/>
              <w:jc w:val="left"/>
            </w:pPr>
            <w:r>
              <w:rPr>
                <w:rFonts w:ascii="Times New Roman" w:hAnsi="Times New Roman"/>
                <w:color w:val="212529"/>
                <w:sz w:val="19"/>
              </w:rPr>
              <w:t>3.1</w:t>
            </w:r>
          </w:p>
        </w:tc>
        <w:tc>
          <w:tcPr>
            <w:tcW w:type="dxa" w:w="6480"/>
            <w:shd w:val="clear" w:color="auto" w:fill="F8FAF9"/>
          </w:tcPr>
          <w:p>
            <w:pPr>
              <w:spacing w:before="60" w:after="60"/>
              <w:jc w:val="left"/>
            </w:pPr>
            <w:r>
              <w:rPr>
                <w:rFonts w:ascii="Times New Roman" w:hAnsi="Times New Roman"/>
                <w:color w:val="212529"/>
                <w:sz w:val="19"/>
              </w:rPr>
              <w:t>Sprint-wise Agile Delivery Plan</w:t>
            </w:r>
          </w:p>
        </w:tc>
        <w:tc>
          <w:tcPr>
            <w:tcW w:type="dxa" w:w="1440"/>
            <w:shd w:val="clear" w:color="auto" w:fill="F8FAF9"/>
          </w:tcPr>
          <w:p>
            <w:pPr>
              <w:spacing w:before="60" w:after="60"/>
              <w:jc w:val="left"/>
            </w:pPr>
            <w:r>
              <w:rPr>
                <w:rFonts w:ascii="Times New Roman" w:hAnsi="Times New Roman"/>
                <w:color w:val="212529"/>
                <w:sz w:val="19"/>
              </w:rPr>
              <w:t>8</w:t>
            </w:r>
          </w:p>
        </w:tc>
      </w:tr>
      <w:tr>
        <w:tc>
          <w:tcPr>
            <w:tcW w:type="dxa" w:w="1440"/>
            <w:shd w:val="clear" w:color="auto" w:fill="FFFFFF"/>
          </w:tcPr>
          <w:p>
            <w:pPr>
              <w:spacing w:before="60" w:after="60"/>
              <w:jc w:val="left"/>
            </w:pPr>
            <w:r>
              <w:rPr>
                <w:rFonts w:ascii="Times New Roman" w:hAnsi="Times New Roman"/>
                <w:color w:val="212529"/>
                <w:sz w:val="19"/>
              </w:rPr>
              <w:t>3.2</w:t>
            </w:r>
          </w:p>
        </w:tc>
        <w:tc>
          <w:tcPr>
            <w:tcW w:type="dxa" w:w="6480"/>
            <w:shd w:val="clear" w:color="auto" w:fill="FFFFFF"/>
          </w:tcPr>
          <w:p>
            <w:pPr>
              <w:spacing w:before="60" w:after="60"/>
              <w:jc w:val="left"/>
            </w:pPr>
            <w:r>
              <w:rPr>
                <w:rFonts w:ascii="Times New Roman" w:hAnsi="Times New Roman"/>
                <w:color w:val="212529"/>
                <w:sz w:val="19"/>
              </w:rPr>
              <w:t>Functional and Non-Functional System Requirements</w:t>
            </w:r>
          </w:p>
        </w:tc>
        <w:tc>
          <w:tcPr>
            <w:tcW w:type="dxa" w:w="1440"/>
            <w:shd w:val="clear" w:color="auto" w:fill="FFFFFF"/>
          </w:tcPr>
          <w:p>
            <w:pPr>
              <w:spacing w:before="60" w:after="60"/>
              <w:jc w:val="left"/>
            </w:pPr>
            <w:r>
              <w:rPr>
                <w:rFonts w:ascii="Times New Roman" w:hAnsi="Times New Roman"/>
                <w:color w:val="212529"/>
                <w:sz w:val="19"/>
              </w:rPr>
              <w:t>9</w:t>
            </w:r>
          </w:p>
        </w:tc>
      </w:tr>
      <w:tr>
        <w:tc>
          <w:tcPr>
            <w:tcW w:type="dxa" w:w="1440"/>
            <w:shd w:val="clear" w:color="auto" w:fill="F8FAF9"/>
          </w:tcPr>
          <w:p>
            <w:pPr>
              <w:spacing w:before="60" w:after="60"/>
              <w:jc w:val="left"/>
            </w:pPr>
            <w:r>
              <w:rPr>
                <w:rFonts w:ascii="Times New Roman" w:hAnsi="Times New Roman"/>
                <w:color w:val="212529"/>
                <w:sz w:val="19"/>
              </w:rPr>
              <w:t>3.3</w:t>
            </w:r>
          </w:p>
        </w:tc>
        <w:tc>
          <w:tcPr>
            <w:tcW w:type="dxa" w:w="6480"/>
            <w:shd w:val="clear" w:color="auto" w:fill="F8FAF9"/>
          </w:tcPr>
          <w:p>
            <w:pPr>
              <w:spacing w:before="60" w:after="60"/>
              <w:jc w:val="left"/>
            </w:pPr>
            <w:r>
              <w:rPr>
                <w:rFonts w:ascii="Times New Roman" w:hAnsi="Times New Roman"/>
                <w:color w:val="212529"/>
                <w:sz w:val="19"/>
              </w:rPr>
              <w:t>Master Athlete and Coach Database Schema</w:t>
            </w:r>
          </w:p>
        </w:tc>
        <w:tc>
          <w:tcPr>
            <w:tcW w:type="dxa" w:w="1440"/>
            <w:shd w:val="clear" w:color="auto" w:fill="F8FAF9"/>
          </w:tcPr>
          <w:p>
            <w:pPr>
              <w:spacing w:before="60" w:after="60"/>
              <w:jc w:val="left"/>
            </w:pPr>
            <w:r>
              <w:rPr>
                <w:rFonts w:ascii="Times New Roman" w:hAnsi="Times New Roman"/>
                <w:color w:val="212529"/>
                <w:sz w:val="19"/>
              </w:rPr>
              <w:t>13</w:t>
            </w:r>
          </w:p>
        </w:tc>
      </w:tr>
      <w:tr>
        <w:tc>
          <w:tcPr>
            <w:tcW w:type="dxa" w:w="1440"/>
            <w:shd w:val="clear" w:color="auto" w:fill="FFFFFF"/>
          </w:tcPr>
          <w:p>
            <w:pPr>
              <w:spacing w:before="60" w:after="60"/>
              <w:jc w:val="left"/>
            </w:pPr>
            <w:r>
              <w:rPr>
                <w:rFonts w:ascii="Times New Roman" w:hAnsi="Times New Roman"/>
                <w:color w:val="212529"/>
                <w:sz w:val="19"/>
              </w:rPr>
              <w:t>3.4</w:t>
            </w:r>
          </w:p>
        </w:tc>
        <w:tc>
          <w:tcPr>
            <w:tcW w:type="dxa" w:w="6480"/>
            <w:shd w:val="clear" w:color="auto" w:fill="FFFFFF"/>
          </w:tcPr>
          <w:p>
            <w:pPr>
              <w:spacing w:before="60" w:after="60"/>
              <w:jc w:val="left"/>
            </w:pPr>
            <w:r>
              <w:rPr>
                <w:rFonts w:ascii="Times New Roman" w:hAnsi="Times New Roman"/>
                <w:color w:val="212529"/>
                <w:sz w:val="19"/>
              </w:rPr>
              <w:t>Sports Authority of India (SAI) Facilities Registry Schema</w:t>
            </w:r>
          </w:p>
        </w:tc>
        <w:tc>
          <w:tcPr>
            <w:tcW w:type="dxa" w:w="1440"/>
            <w:shd w:val="clear" w:color="auto" w:fill="FFFFFF"/>
          </w:tcPr>
          <w:p>
            <w:pPr>
              <w:spacing w:before="60" w:after="60"/>
              <w:jc w:val="left"/>
            </w:pPr>
            <w:r>
              <w:rPr>
                <w:rFonts w:ascii="Times New Roman" w:hAnsi="Times New Roman"/>
                <w:color w:val="212529"/>
                <w:sz w:val="19"/>
              </w:rPr>
              <w:t>14</w:t>
            </w:r>
          </w:p>
        </w:tc>
      </w:tr>
      <w:tr>
        <w:tc>
          <w:tcPr>
            <w:tcW w:type="dxa" w:w="1440"/>
            <w:shd w:val="clear" w:color="auto" w:fill="F8FAF9"/>
          </w:tcPr>
          <w:p>
            <w:pPr>
              <w:spacing w:before="60" w:after="60"/>
              <w:jc w:val="left"/>
            </w:pPr>
            <w:r>
              <w:rPr>
                <w:rFonts w:ascii="Times New Roman" w:hAnsi="Times New Roman"/>
                <w:color w:val="212529"/>
                <w:sz w:val="19"/>
              </w:rPr>
              <w:t>3.5</w:t>
            </w:r>
          </w:p>
        </w:tc>
        <w:tc>
          <w:tcPr>
            <w:tcW w:type="dxa" w:w="6480"/>
            <w:shd w:val="clear" w:color="auto" w:fill="F8FAF9"/>
          </w:tcPr>
          <w:p>
            <w:pPr>
              <w:spacing w:before="60" w:after="60"/>
              <w:jc w:val="left"/>
            </w:pPr>
            <w:r>
              <w:rPr>
                <w:rFonts w:ascii="Times New Roman" w:hAnsi="Times New Roman"/>
                <w:color w:val="212529"/>
                <w:sz w:val="19"/>
              </w:rPr>
              <w:t>Platform Feature Matrix and User Workflows</w:t>
            </w:r>
          </w:p>
        </w:tc>
        <w:tc>
          <w:tcPr>
            <w:tcW w:type="dxa" w:w="1440"/>
            <w:shd w:val="clear" w:color="auto" w:fill="F8FAF9"/>
          </w:tcPr>
          <w:p>
            <w:pPr>
              <w:spacing w:before="60" w:after="60"/>
              <w:jc w:val="left"/>
            </w:pPr>
            <w:r>
              <w:rPr>
                <w:rFonts w:ascii="Times New Roman" w:hAnsi="Times New Roman"/>
                <w:color w:val="212529"/>
                <w:sz w:val="19"/>
              </w:rPr>
              <w:t>14</w:t>
            </w:r>
          </w:p>
        </w:tc>
      </w:tr>
      <w:tr>
        <w:tc>
          <w:tcPr>
            <w:tcW w:type="dxa" w:w="1440"/>
            <w:shd w:val="clear" w:color="auto" w:fill="FFFFFF"/>
          </w:tcPr>
          <w:p>
            <w:pPr>
              <w:spacing w:before="60" w:after="60"/>
              <w:jc w:val="left"/>
            </w:pPr>
            <w:r>
              <w:rPr>
                <w:rFonts w:ascii="Times New Roman" w:hAnsi="Times New Roman"/>
                <w:color w:val="212529"/>
                <w:sz w:val="19"/>
              </w:rPr>
              <w:t>4.1</w:t>
            </w:r>
          </w:p>
        </w:tc>
        <w:tc>
          <w:tcPr>
            <w:tcW w:type="dxa" w:w="6480"/>
            <w:shd w:val="clear" w:color="auto" w:fill="FFFFFF"/>
          </w:tcPr>
          <w:p>
            <w:pPr>
              <w:spacing w:before="60" w:after="60"/>
              <w:jc w:val="left"/>
            </w:pPr>
            <w:r>
              <w:rPr>
                <w:rFonts w:ascii="Times New Roman" w:hAnsi="Times New Roman"/>
                <w:color w:val="212529"/>
                <w:sz w:val="19"/>
              </w:rPr>
              <w:t>Frontend Navigation Modules and Key Interactions</w:t>
            </w:r>
          </w:p>
        </w:tc>
        <w:tc>
          <w:tcPr>
            <w:tcW w:type="dxa" w:w="1440"/>
            <w:shd w:val="clear" w:color="auto" w:fill="FFFFFF"/>
          </w:tcPr>
          <w:p>
            <w:pPr>
              <w:spacing w:before="60" w:after="60"/>
              <w:jc w:val="left"/>
            </w:pPr>
            <w:r>
              <w:rPr>
                <w:rFonts w:ascii="Times New Roman" w:hAnsi="Times New Roman"/>
                <w:color w:val="212529"/>
                <w:sz w:val="19"/>
              </w:rPr>
              <w:t>17</w:t>
            </w:r>
          </w:p>
        </w:tc>
      </w:tr>
      <w:tr>
        <w:tc>
          <w:tcPr>
            <w:tcW w:type="dxa" w:w="1440"/>
            <w:shd w:val="clear" w:color="auto" w:fill="F8FAF9"/>
          </w:tcPr>
          <w:p>
            <w:pPr>
              <w:spacing w:before="60" w:after="60"/>
              <w:jc w:val="left"/>
            </w:pPr>
            <w:r>
              <w:rPr>
                <w:rFonts w:ascii="Times New Roman" w:hAnsi="Times New Roman"/>
                <w:color w:val="212529"/>
                <w:sz w:val="19"/>
              </w:rPr>
              <w:t>5.1</w:t>
            </w:r>
          </w:p>
        </w:tc>
        <w:tc>
          <w:tcPr>
            <w:tcW w:type="dxa" w:w="6480"/>
            <w:shd w:val="clear" w:color="auto" w:fill="F8FAF9"/>
          </w:tcPr>
          <w:p>
            <w:pPr>
              <w:spacing w:before="60" w:after="60"/>
              <w:jc w:val="left"/>
            </w:pPr>
            <w:r>
              <w:rPr>
                <w:rFonts w:ascii="Times New Roman" w:hAnsi="Times New Roman"/>
                <w:color w:val="212529"/>
                <w:sz w:val="19"/>
              </w:rPr>
              <w:t>Representative Test Cases and Verification Results</w:t>
            </w:r>
          </w:p>
        </w:tc>
        <w:tc>
          <w:tcPr>
            <w:tcW w:type="dxa" w:w="1440"/>
            <w:shd w:val="clear" w:color="auto" w:fill="F8FAF9"/>
          </w:tcPr>
          <w:p>
            <w:pPr>
              <w:spacing w:before="60" w:after="60"/>
              <w:jc w:val="left"/>
            </w:pPr>
            <w:r>
              <w:rPr>
                <w:rFonts w:ascii="Times New Roman" w:hAnsi="Times New Roman"/>
                <w:color w:val="212529"/>
                <w:sz w:val="19"/>
              </w:rPr>
              <w:t>19</w:t>
            </w:r>
          </w:p>
        </w:tc>
      </w:tr>
      <w:tr>
        <w:tc>
          <w:tcPr>
            <w:tcW w:type="dxa" w:w="1440"/>
            <w:shd w:val="clear" w:color="auto" w:fill="FFFFFF"/>
          </w:tcPr>
          <w:p>
            <w:pPr>
              <w:spacing w:before="60" w:after="60"/>
              <w:jc w:val="left"/>
            </w:pPr>
            <w:r>
              <w:rPr>
                <w:rFonts w:ascii="Times New Roman" w:hAnsi="Times New Roman"/>
                <w:color w:val="212529"/>
                <w:sz w:val="19"/>
              </w:rPr>
              <w:t>5.2</w:t>
            </w:r>
          </w:p>
        </w:tc>
        <w:tc>
          <w:tcPr>
            <w:tcW w:type="dxa" w:w="6480"/>
            <w:shd w:val="clear" w:color="auto" w:fill="FFFFFF"/>
          </w:tcPr>
          <w:p>
            <w:pPr>
              <w:spacing w:before="60" w:after="60"/>
              <w:jc w:val="left"/>
            </w:pPr>
            <w:r>
              <w:rPr>
                <w:rFonts w:ascii="Times New Roman" w:hAnsi="Times New Roman"/>
                <w:color w:val="212529"/>
                <w:sz w:val="19"/>
              </w:rPr>
              <w:t>System Outcomes Against Project Objectives</w:t>
            </w:r>
          </w:p>
        </w:tc>
        <w:tc>
          <w:tcPr>
            <w:tcW w:type="dxa" w:w="1440"/>
            <w:shd w:val="clear" w:color="auto" w:fill="FFFFFF"/>
          </w:tcPr>
          <w:p>
            <w:pPr>
              <w:spacing w:before="60" w:after="60"/>
              <w:jc w:val="left"/>
            </w:pPr>
            <w:r>
              <w:rPr>
                <w:rFonts w:ascii="Times New Roman" w:hAnsi="Times New Roman"/>
                <w:color w:val="212529"/>
                <w:sz w:val="19"/>
              </w:rPr>
              <w:t>20</w:t>
            </w:r>
          </w:p>
        </w:tc>
      </w:tr>
      <w:tr>
        <w:tc>
          <w:tcPr>
            <w:tcW w:type="dxa" w:w="1440"/>
            <w:shd w:val="clear" w:color="auto" w:fill="F8FAF9"/>
          </w:tcPr>
          <w:p>
            <w:pPr>
              <w:spacing w:before="60" w:after="60"/>
              <w:jc w:val="left"/>
            </w:pPr>
            <w:r>
              <w:rPr>
                <w:rFonts w:ascii="Times New Roman" w:hAnsi="Times New Roman"/>
                <w:color w:val="212529"/>
                <w:sz w:val="19"/>
              </w:rPr>
              <w:t>5.3</w:t>
            </w:r>
          </w:p>
        </w:tc>
        <w:tc>
          <w:tcPr>
            <w:tcW w:type="dxa" w:w="6480"/>
            <w:shd w:val="clear" w:color="auto" w:fill="F8FAF9"/>
          </w:tcPr>
          <w:p>
            <w:pPr>
              <w:spacing w:before="60" w:after="60"/>
              <w:jc w:val="left"/>
            </w:pPr>
            <w:r>
              <w:rPr>
                <w:rFonts w:ascii="Times New Roman" w:hAnsi="Times New Roman"/>
                <w:color w:val="212529"/>
                <w:sz w:val="19"/>
              </w:rPr>
              <w:t>Quantitative Summary of Project Artifacts</w:t>
            </w:r>
          </w:p>
        </w:tc>
        <w:tc>
          <w:tcPr>
            <w:tcW w:type="dxa" w:w="1440"/>
            <w:shd w:val="clear" w:color="auto" w:fill="F8FAF9"/>
          </w:tcPr>
          <w:p>
            <w:pPr>
              <w:spacing w:before="60" w:after="60"/>
              <w:jc w:val="left"/>
            </w:pPr>
            <w:r>
              <w:rPr>
                <w:rFonts w:ascii="Times New Roman" w:hAnsi="Times New Roman"/>
                <w:color w:val="212529"/>
                <w:sz w:val="19"/>
              </w:rPr>
              <w:t>21</w:t>
            </w:r>
          </w:p>
        </w:tc>
      </w:tr>
      <w:tr>
        <w:tc>
          <w:tcPr>
            <w:tcW w:type="dxa" w:w="1440"/>
            <w:shd w:val="clear" w:color="auto" w:fill="FFFFFF"/>
          </w:tcPr>
          <w:p>
            <w:pPr>
              <w:spacing w:before="60" w:after="60"/>
              <w:jc w:val="left"/>
            </w:pPr>
            <w:r>
              <w:rPr>
                <w:rFonts w:ascii="Times New Roman" w:hAnsi="Times New Roman"/>
                <w:color w:val="212529"/>
                <w:sz w:val="19"/>
              </w:rPr>
              <w:t>D.1</w:t>
            </w:r>
          </w:p>
        </w:tc>
        <w:tc>
          <w:tcPr>
            <w:tcW w:type="dxa" w:w="6480"/>
            <w:shd w:val="clear" w:color="auto" w:fill="FFFFFF"/>
          </w:tcPr>
          <w:p>
            <w:pPr>
              <w:spacing w:before="60" w:after="60"/>
              <w:jc w:val="left"/>
            </w:pPr>
            <w:r>
              <w:rPr>
                <w:rFonts w:ascii="Times New Roman" w:hAnsi="Times New Roman"/>
                <w:color w:val="212529"/>
                <w:sz w:val="19"/>
              </w:rPr>
              <w:t>Application Configuration and Environment Parameters</w:t>
            </w:r>
          </w:p>
        </w:tc>
        <w:tc>
          <w:tcPr>
            <w:tcW w:type="dxa" w:w="1440"/>
            <w:shd w:val="clear" w:color="auto" w:fill="FFFFFF"/>
          </w:tcPr>
          <w:p>
            <w:pPr>
              <w:spacing w:before="60" w:after="60"/>
              <w:jc w:val="left"/>
            </w:pPr>
            <w:r>
              <w:rPr>
                <w:rFonts w:ascii="Times New Roman" w:hAnsi="Times New Roman"/>
                <w:color w:val="212529"/>
                <w:sz w:val="19"/>
              </w:rPr>
              <w:t>29</w:t>
            </w:r>
          </w:p>
        </w:tc>
      </w:tr>
    </w:tbl>
    <w:p>
      <w:pPr>
        <w:spacing w:after="120"/>
      </w:pPr>
    </w:p>
    <w:p>
      <w:pPr>
        <w:spacing w:line="276" w:lineRule="auto" w:before="360" w:after="160"/>
      </w:pPr>
      <w:r>
        <w:rPr>
          <w:rFonts w:ascii="Times New Roman" w:hAnsi="Times New Roman"/>
          <w:b/>
          <w:color w:val="113E21"/>
          <w:sz w:val="32"/>
        </w:rPr>
        <w:t>CONTENTS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728"/>
            <w:shd w:val="clear" w:color="auto" w:fill="113E21"/>
          </w:tcPr>
          <w:p>
            <w:pPr>
              <w:spacing w:before="80" w:after="80"/>
              <w:jc w:val="left"/>
            </w:pPr>
            <w:r>
              <w:rPr>
                <w:rFonts w:ascii="Times New Roman" w:hAnsi="Times New Roman"/>
                <w:b/>
                <w:color w:val="FFFFFF"/>
                <w:sz w:val="20"/>
              </w:rPr>
              <w:t>Chapter</w:t>
            </w:r>
          </w:p>
        </w:tc>
        <w:tc>
          <w:tcPr>
            <w:tcW w:type="dxa" w:w="6192"/>
            <w:shd w:val="clear" w:color="auto" w:fill="113E21"/>
          </w:tcPr>
          <w:p>
            <w:pPr>
              <w:spacing w:before="80" w:after="80"/>
              <w:jc w:val="left"/>
            </w:pPr>
            <w:r>
              <w:rPr>
                <w:rFonts w:ascii="Times New Roman" w:hAnsi="Times New Roman"/>
                <w:b/>
                <w:color w:val="FFFFFF"/>
                <w:sz w:val="20"/>
              </w:rPr>
              <w:t>Title</w:t>
            </w:r>
          </w:p>
        </w:tc>
        <w:tc>
          <w:tcPr>
            <w:tcW w:type="dxa" w:w="1440"/>
            <w:shd w:val="clear" w:color="auto" w:fill="113E21"/>
          </w:tcPr>
          <w:p>
            <w:pPr>
              <w:spacing w:before="80" w:after="80"/>
              <w:jc w:val="left"/>
            </w:pPr>
            <w:r>
              <w:rPr>
                <w:rFonts w:ascii="Times New Roman" w:hAnsi="Times New Roman"/>
                <w:b/>
                <w:color w:val="FFFFFF"/>
                <w:sz w:val="20"/>
              </w:rPr>
              <w:t>Page No.</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Acknowledgments</w:t>
            </w:r>
          </w:p>
        </w:tc>
        <w:tc>
          <w:tcPr>
            <w:tcW w:type="dxa" w:w="1440"/>
            <w:shd w:val="clear" w:color="auto" w:fill="FFFFFF"/>
          </w:tcPr>
          <w:p>
            <w:pPr>
              <w:spacing w:before="60" w:after="60"/>
              <w:jc w:val="left"/>
            </w:pPr>
            <w:r>
              <w:rPr>
                <w:rFonts w:ascii="Times New Roman" w:hAnsi="Times New Roman"/>
                <w:color w:val="212529"/>
                <w:sz w:val="19"/>
              </w:rPr>
              <w:t>i</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Abstract</w:t>
            </w:r>
          </w:p>
        </w:tc>
        <w:tc>
          <w:tcPr>
            <w:tcW w:type="dxa" w:w="1440"/>
            <w:shd w:val="clear" w:color="auto" w:fill="F8FAF9"/>
          </w:tcPr>
          <w:p>
            <w:pPr>
              <w:spacing w:before="60" w:after="60"/>
              <w:jc w:val="left"/>
            </w:pPr>
            <w:r>
              <w:rPr>
                <w:rFonts w:ascii="Times New Roman" w:hAnsi="Times New Roman"/>
                <w:color w:val="212529"/>
                <w:sz w:val="19"/>
              </w:rPr>
              <w:t>ii</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List of Figures</w:t>
            </w:r>
          </w:p>
        </w:tc>
        <w:tc>
          <w:tcPr>
            <w:tcW w:type="dxa" w:w="1440"/>
            <w:shd w:val="clear" w:color="auto" w:fill="FFFFFF"/>
          </w:tcPr>
          <w:p>
            <w:pPr>
              <w:spacing w:before="60" w:after="60"/>
              <w:jc w:val="left"/>
            </w:pPr>
            <w:r>
              <w:rPr>
                <w:rFonts w:ascii="Times New Roman" w:hAnsi="Times New Roman"/>
                <w:color w:val="212529"/>
                <w:sz w:val="19"/>
              </w:rPr>
              <w:t>iii</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List of Tables</w:t>
            </w:r>
          </w:p>
        </w:tc>
        <w:tc>
          <w:tcPr>
            <w:tcW w:type="dxa" w:w="1440"/>
            <w:shd w:val="clear" w:color="auto" w:fill="F8FAF9"/>
          </w:tcPr>
          <w:p>
            <w:pPr>
              <w:spacing w:before="60" w:after="60"/>
              <w:jc w:val="left"/>
            </w:pPr>
            <w:r>
              <w:rPr>
                <w:rFonts w:ascii="Times New Roman" w:hAnsi="Times New Roman"/>
                <w:color w:val="212529"/>
                <w:sz w:val="19"/>
              </w:rPr>
              <w:t>iv</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List of Abbreviations</w:t>
            </w:r>
          </w:p>
        </w:tc>
        <w:tc>
          <w:tcPr>
            <w:tcW w:type="dxa" w:w="1440"/>
            <w:shd w:val="clear" w:color="auto" w:fill="FFFFFF"/>
          </w:tcPr>
          <w:p>
            <w:pPr>
              <w:spacing w:before="60" w:after="60"/>
              <w:jc w:val="left"/>
            </w:pPr>
            <w:r>
              <w:rPr>
                <w:rFonts w:ascii="Times New Roman" w:hAnsi="Times New Roman"/>
                <w:color w:val="212529"/>
                <w:sz w:val="19"/>
              </w:rPr>
              <w:t>vi</w:t>
            </w:r>
          </w:p>
        </w:tc>
      </w:tr>
      <w:tr>
        <w:tc>
          <w:tcPr>
            <w:tcW w:type="dxa" w:w="1728"/>
            <w:shd w:val="clear" w:color="auto" w:fill="F8FAF9"/>
          </w:tcPr>
          <w:p>
            <w:pPr>
              <w:spacing w:before="60" w:after="60"/>
              <w:jc w:val="left"/>
            </w:pPr>
            <w:r>
              <w:rPr>
                <w:rFonts w:ascii="Times New Roman" w:hAnsi="Times New Roman"/>
                <w:color w:val="212529"/>
                <w:sz w:val="19"/>
              </w:rPr>
              <w:t>Chapter 1</w:t>
            </w:r>
          </w:p>
        </w:tc>
        <w:tc>
          <w:tcPr>
            <w:tcW w:type="dxa" w:w="6192"/>
            <w:shd w:val="clear" w:color="auto" w:fill="F8FAF9"/>
          </w:tcPr>
          <w:p>
            <w:pPr>
              <w:spacing w:before="60" w:after="60"/>
              <w:jc w:val="left"/>
            </w:pPr>
            <w:r>
              <w:rPr>
                <w:rFonts w:ascii="Times New Roman" w:hAnsi="Times New Roman"/>
                <w:color w:val="212529"/>
                <w:sz w:val="19"/>
              </w:rPr>
              <w:t>INTRODUCTION</w:t>
            </w:r>
          </w:p>
        </w:tc>
        <w:tc>
          <w:tcPr>
            <w:tcW w:type="dxa" w:w="1440"/>
            <w:shd w:val="clear" w:color="auto" w:fill="F8FAF9"/>
          </w:tcPr>
          <w:p>
            <w:pPr>
              <w:spacing w:before="60" w:after="60"/>
              <w:jc w:val="left"/>
            </w:pPr>
            <w:r>
              <w:rPr>
                <w:rFonts w:ascii="Times New Roman" w:hAnsi="Times New Roman"/>
                <w:color w:val="212529"/>
                <w:sz w:val="19"/>
              </w:rPr>
              <w:t>1</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1.1 Introduction to Work Done / Motivation (Overview, Applications &amp; Advantages)</w:t>
            </w:r>
          </w:p>
        </w:tc>
        <w:tc>
          <w:tcPr>
            <w:tcW w:type="dxa" w:w="1440"/>
            <w:shd w:val="clear" w:color="auto" w:fill="FFFFFF"/>
          </w:tcPr>
          <w:p>
            <w:pPr>
              <w:spacing w:before="60" w:after="60"/>
              <w:jc w:val="left"/>
            </w:pPr>
            <w:r>
              <w:rPr>
                <w:rFonts w:ascii="Times New Roman" w:hAnsi="Times New Roman"/>
                <w:color w:val="212529"/>
                <w:sz w:val="19"/>
              </w:rPr>
              <w:t>1</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1.2 Project Statement / Objectives of the Project</w:t>
            </w:r>
          </w:p>
        </w:tc>
        <w:tc>
          <w:tcPr>
            <w:tcW w:type="dxa" w:w="1440"/>
            <w:shd w:val="clear" w:color="auto" w:fill="F8FAF9"/>
          </w:tcPr>
          <w:p>
            <w:pPr>
              <w:spacing w:before="60" w:after="60"/>
              <w:jc w:val="left"/>
            </w:pPr>
            <w:r>
              <w:rPr>
                <w:rFonts w:ascii="Times New Roman" w:hAnsi="Times New Roman"/>
                <w:color w:val="212529"/>
                <w:sz w:val="19"/>
              </w:rPr>
              <w:t>2</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1.3 Organization of Report</w:t>
            </w:r>
          </w:p>
        </w:tc>
        <w:tc>
          <w:tcPr>
            <w:tcW w:type="dxa" w:w="1440"/>
            <w:shd w:val="clear" w:color="auto" w:fill="FFFFFF"/>
          </w:tcPr>
          <w:p>
            <w:pPr>
              <w:spacing w:before="60" w:after="60"/>
              <w:jc w:val="left"/>
            </w:pPr>
            <w:r>
              <w:rPr>
                <w:rFonts w:ascii="Times New Roman" w:hAnsi="Times New Roman"/>
                <w:color w:val="212529"/>
                <w:sz w:val="19"/>
              </w:rPr>
              <w:t>2</w:t>
            </w:r>
          </w:p>
        </w:tc>
      </w:tr>
      <w:tr>
        <w:tc>
          <w:tcPr>
            <w:tcW w:type="dxa" w:w="1728"/>
            <w:shd w:val="clear" w:color="auto" w:fill="F8FAF9"/>
          </w:tcPr>
          <w:p>
            <w:pPr>
              <w:spacing w:before="60" w:after="60"/>
              <w:jc w:val="left"/>
            </w:pPr>
            <w:r>
              <w:rPr>
                <w:rFonts w:ascii="Times New Roman" w:hAnsi="Times New Roman"/>
                <w:color w:val="212529"/>
                <w:sz w:val="19"/>
              </w:rPr>
              <w:t>Chapter 2</w:t>
            </w:r>
          </w:p>
        </w:tc>
        <w:tc>
          <w:tcPr>
            <w:tcW w:type="dxa" w:w="6192"/>
            <w:shd w:val="clear" w:color="auto" w:fill="F8FAF9"/>
          </w:tcPr>
          <w:p>
            <w:pPr>
              <w:spacing w:before="60" w:after="60"/>
              <w:jc w:val="left"/>
            </w:pPr>
            <w:r>
              <w:rPr>
                <w:rFonts w:ascii="Times New Roman" w:hAnsi="Times New Roman"/>
                <w:color w:val="212529"/>
                <w:sz w:val="19"/>
              </w:rPr>
              <w:t>BACKGROUND MATERIAL</w:t>
            </w:r>
          </w:p>
        </w:tc>
        <w:tc>
          <w:tcPr>
            <w:tcW w:type="dxa" w:w="1440"/>
            <w:shd w:val="clear" w:color="auto" w:fill="F8FAF9"/>
          </w:tcPr>
          <w:p>
            <w:pPr>
              <w:spacing w:before="60" w:after="60"/>
              <w:jc w:val="left"/>
            </w:pPr>
            <w:r>
              <w:rPr>
                <w:rFonts w:ascii="Times New Roman" w:hAnsi="Times New Roman"/>
                <w:color w:val="212529"/>
                <w:sz w:val="19"/>
              </w:rPr>
              <w:t>4</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2.1 Conceptual Overview (Concepts/Theory Used)</w:t>
            </w:r>
          </w:p>
        </w:tc>
        <w:tc>
          <w:tcPr>
            <w:tcW w:type="dxa" w:w="1440"/>
            <w:shd w:val="clear" w:color="auto" w:fill="FFFFFF"/>
          </w:tcPr>
          <w:p>
            <w:pPr>
              <w:spacing w:before="60" w:after="60"/>
              <w:jc w:val="left"/>
            </w:pPr>
            <w:r>
              <w:rPr>
                <w:rFonts w:ascii="Times New Roman" w:hAnsi="Times New Roman"/>
                <w:color w:val="212529"/>
                <w:sz w:val="19"/>
              </w:rPr>
              <w:t>4</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2.2 Technologies Involved</w:t>
            </w:r>
          </w:p>
        </w:tc>
        <w:tc>
          <w:tcPr>
            <w:tcW w:type="dxa" w:w="1440"/>
            <w:shd w:val="clear" w:color="auto" w:fill="F8FAF9"/>
          </w:tcPr>
          <w:p>
            <w:pPr>
              <w:spacing w:before="60" w:after="60"/>
              <w:jc w:val="left"/>
            </w:pPr>
            <w:r>
              <w:rPr>
                <w:rFonts w:ascii="Times New Roman" w:hAnsi="Times New Roman"/>
                <w:color w:val="212529"/>
                <w:sz w:val="19"/>
              </w:rPr>
              <w:t>5</w:t>
            </w:r>
          </w:p>
        </w:tc>
      </w:tr>
      <w:tr>
        <w:tc>
          <w:tcPr>
            <w:tcW w:type="dxa" w:w="1728"/>
            <w:shd w:val="clear" w:color="auto" w:fill="FFFFFF"/>
          </w:tcPr>
          <w:p>
            <w:pPr>
              <w:spacing w:before="60" w:after="60"/>
              <w:jc w:val="left"/>
            </w:pPr>
            <w:r>
              <w:rPr>
                <w:rFonts w:ascii="Times New Roman" w:hAnsi="Times New Roman"/>
                <w:color w:val="212529"/>
                <w:sz w:val="19"/>
              </w:rPr>
              <w:t>Chapter 3</w:t>
            </w:r>
          </w:p>
        </w:tc>
        <w:tc>
          <w:tcPr>
            <w:tcW w:type="dxa" w:w="6192"/>
            <w:shd w:val="clear" w:color="auto" w:fill="FFFFFF"/>
          </w:tcPr>
          <w:p>
            <w:pPr>
              <w:spacing w:before="60" w:after="60"/>
              <w:jc w:val="left"/>
            </w:pPr>
            <w:r>
              <w:rPr>
                <w:rFonts w:ascii="Times New Roman" w:hAnsi="Times New Roman"/>
                <w:color w:val="212529"/>
                <w:sz w:val="19"/>
              </w:rPr>
              <w:t>METHODOLOGY</w:t>
            </w:r>
          </w:p>
        </w:tc>
        <w:tc>
          <w:tcPr>
            <w:tcW w:type="dxa" w:w="1440"/>
            <w:shd w:val="clear" w:color="auto" w:fill="FFFFFF"/>
          </w:tcPr>
          <w:p>
            <w:pPr>
              <w:spacing w:before="60" w:after="60"/>
              <w:jc w:val="left"/>
            </w:pPr>
            <w:r>
              <w:rPr>
                <w:rFonts w:ascii="Times New Roman" w:hAnsi="Times New Roman"/>
                <w:color w:val="212529"/>
                <w:sz w:val="19"/>
              </w:rPr>
              <w:t>8</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3.1 Detailed Methodology</w:t>
            </w:r>
          </w:p>
        </w:tc>
        <w:tc>
          <w:tcPr>
            <w:tcW w:type="dxa" w:w="1440"/>
            <w:shd w:val="clear" w:color="auto" w:fill="F8FAF9"/>
          </w:tcPr>
          <w:p>
            <w:pPr>
              <w:spacing w:before="60" w:after="60"/>
              <w:jc w:val="left"/>
            </w:pPr>
            <w:r>
              <w:rPr>
                <w:rFonts w:ascii="Times New Roman" w:hAnsi="Times New Roman"/>
                <w:color w:val="212529"/>
                <w:sz w:val="19"/>
              </w:rPr>
              <w:t>8</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3.2 Block Diagrams and Flowcharts</w:t>
            </w:r>
          </w:p>
        </w:tc>
        <w:tc>
          <w:tcPr>
            <w:tcW w:type="dxa" w:w="1440"/>
            <w:shd w:val="clear" w:color="auto" w:fill="FFFFFF"/>
          </w:tcPr>
          <w:p>
            <w:pPr>
              <w:spacing w:before="60" w:after="60"/>
              <w:jc w:val="left"/>
            </w:pPr>
            <w:r>
              <w:rPr>
                <w:rFonts w:ascii="Times New Roman" w:hAnsi="Times New Roman"/>
                <w:color w:val="212529"/>
                <w:sz w:val="19"/>
              </w:rPr>
              <w:t>10</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3.3 Data and Analytical Design</w:t>
            </w:r>
          </w:p>
        </w:tc>
        <w:tc>
          <w:tcPr>
            <w:tcW w:type="dxa" w:w="1440"/>
            <w:shd w:val="clear" w:color="auto" w:fill="F8FAF9"/>
          </w:tcPr>
          <w:p>
            <w:pPr>
              <w:spacing w:before="60" w:after="60"/>
              <w:jc w:val="left"/>
            </w:pPr>
            <w:r>
              <w:rPr>
                <w:rFonts w:ascii="Times New Roman" w:hAnsi="Times New Roman"/>
                <w:color w:val="212529"/>
                <w:sz w:val="19"/>
              </w:rPr>
              <w:t>13</w:t>
            </w:r>
          </w:p>
        </w:tc>
      </w:tr>
      <w:tr>
        <w:tc>
          <w:tcPr>
            <w:tcW w:type="dxa" w:w="1728"/>
            <w:shd w:val="clear" w:color="auto" w:fill="FFFFFF"/>
          </w:tcPr>
          <w:p>
            <w:pPr>
              <w:spacing w:before="60" w:after="60"/>
              <w:jc w:val="left"/>
            </w:pPr>
            <w:r>
              <w:rPr>
                <w:rFonts w:ascii="Times New Roman" w:hAnsi="Times New Roman"/>
                <w:color w:val="212529"/>
                <w:sz w:val="19"/>
              </w:rPr>
              <w:t>Chapter 4</w:t>
            </w:r>
          </w:p>
        </w:tc>
        <w:tc>
          <w:tcPr>
            <w:tcW w:type="dxa" w:w="6192"/>
            <w:shd w:val="clear" w:color="auto" w:fill="FFFFFF"/>
          </w:tcPr>
          <w:p>
            <w:pPr>
              <w:spacing w:before="60" w:after="60"/>
              <w:jc w:val="left"/>
            </w:pPr>
            <w:r>
              <w:rPr>
                <w:rFonts w:ascii="Times New Roman" w:hAnsi="Times New Roman"/>
                <w:color w:val="212529"/>
                <w:sz w:val="19"/>
              </w:rPr>
              <w:t>IMPLEMENTATION</w:t>
            </w:r>
          </w:p>
        </w:tc>
        <w:tc>
          <w:tcPr>
            <w:tcW w:type="dxa" w:w="1440"/>
            <w:shd w:val="clear" w:color="auto" w:fill="FFFFFF"/>
          </w:tcPr>
          <w:p>
            <w:pPr>
              <w:spacing w:before="60" w:after="60"/>
              <w:jc w:val="left"/>
            </w:pPr>
            <w:r>
              <w:rPr>
                <w:rFonts w:ascii="Times New Roman" w:hAnsi="Times New Roman"/>
                <w:color w:val="212529"/>
                <w:sz w:val="19"/>
              </w:rPr>
              <w:t>15</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4.1 Platform Modules</w:t>
            </w:r>
          </w:p>
        </w:tc>
        <w:tc>
          <w:tcPr>
            <w:tcW w:type="dxa" w:w="1440"/>
            <w:shd w:val="clear" w:color="auto" w:fill="F8FAF9"/>
          </w:tcPr>
          <w:p>
            <w:pPr>
              <w:spacing w:before="60" w:after="60"/>
              <w:jc w:val="left"/>
            </w:pPr>
            <w:r>
              <w:rPr>
                <w:rFonts w:ascii="Times New Roman" w:hAnsi="Times New Roman"/>
                <w:color w:val="212529"/>
                <w:sz w:val="19"/>
              </w:rPr>
              <w:t>15</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4.2 Working Prototype and Interface Execution</w:t>
            </w:r>
          </w:p>
        </w:tc>
        <w:tc>
          <w:tcPr>
            <w:tcW w:type="dxa" w:w="1440"/>
            <w:shd w:val="clear" w:color="auto" w:fill="FFFFFF"/>
          </w:tcPr>
          <w:p>
            <w:pPr>
              <w:spacing w:before="60" w:after="60"/>
              <w:jc w:val="left"/>
            </w:pPr>
            <w:r>
              <w:rPr>
                <w:rFonts w:ascii="Times New Roman" w:hAnsi="Times New Roman"/>
                <w:color w:val="212529"/>
                <w:sz w:val="19"/>
              </w:rPr>
              <w:t>17</w:t>
            </w:r>
          </w:p>
        </w:tc>
      </w:tr>
      <w:tr>
        <w:tc>
          <w:tcPr>
            <w:tcW w:type="dxa" w:w="1728"/>
            <w:shd w:val="clear" w:color="auto" w:fill="F8FAF9"/>
          </w:tcPr>
          <w:p>
            <w:pPr>
              <w:spacing w:before="60" w:after="60"/>
              <w:jc w:val="left"/>
            </w:pPr>
            <w:r>
              <w:rPr>
                <w:rFonts w:ascii="Times New Roman" w:hAnsi="Times New Roman"/>
                <w:color w:val="212529"/>
                <w:sz w:val="19"/>
              </w:rPr>
              <w:t>Chapter 5</w:t>
            </w:r>
          </w:p>
        </w:tc>
        <w:tc>
          <w:tcPr>
            <w:tcW w:type="dxa" w:w="6192"/>
            <w:shd w:val="clear" w:color="auto" w:fill="F8FAF9"/>
          </w:tcPr>
          <w:p>
            <w:pPr>
              <w:spacing w:before="60" w:after="60"/>
              <w:jc w:val="left"/>
            </w:pPr>
            <w:r>
              <w:rPr>
                <w:rFonts w:ascii="Times New Roman" w:hAnsi="Times New Roman"/>
                <w:color w:val="212529"/>
                <w:sz w:val="19"/>
              </w:rPr>
              <w:t>RESULTS AND ANALYSIS</w:t>
            </w:r>
          </w:p>
        </w:tc>
        <w:tc>
          <w:tcPr>
            <w:tcW w:type="dxa" w:w="1440"/>
            <w:shd w:val="clear" w:color="auto" w:fill="F8FAF9"/>
          </w:tcPr>
          <w:p>
            <w:pPr>
              <w:spacing w:before="60" w:after="60"/>
              <w:jc w:val="left"/>
            </w:pPr>
            <w:r>
              <w:rPr>
                <w:rFonts w:ascii="Times New Roman" w:hAnsi="Times New Roman"/>
                <w:color w:val="212529"/>
                <w:sz w:val="19"/>
              </w:rPr>
              <w:t>19</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5.1 Testing Approach</w:t>
            </w:r>
          </w:p>
        </w:tc>
        <w:tc>
          <w:tcPr>
            <w:tcW w:type="dxa" w:w="1440"/>
            <w:shd w:val="clear" w:color="auto" w:fill="FFFFFF"/>
          </w:tcPr>
          <w:p>
            <w:pPr>
              <w:spacing w:before="60" w:after="60"/>
              <w:jc w:val="left"/>
            </w:pPr>
            <w:r>
              <w:rPr>
                <w:rFonts w:ascii="Times New Roman" w:hAnsi="Times New Roman"/>
                <w:color w:val="212529"/>
                <w:sz w:val="19"/>
              </w:rPr>
              <w:t>19</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5.2 Test Cases and Results</w:t>
            </w:r>
          </w:p>
        </w:tc>
        <w:tc>
          <w:tcPr>
            <w:tcW w:type="dxa" w:w="1440"/>
            <w:shd w:val="clear" w:color="auto" w:fill="F8FAF9"/>
          </w:tcPr>
          <w:p>
            <w:pPr>
              <w:spacing w:before="60" w:after="60"/>
              <w:jc w:val="left"/>
            </w:pPr>
            <w:r>
              <w:rPr>
                <w:rFonts w:ascii="Times New Roman" w:hAnsi="Times New Roman"/>
                <w:color w:val="212529"/>
                <w:sz w:val="19"/>
              </w:rPr>
              <w:t>19</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5.3 Results Against Objectives</w:t>
            </w:r>
          </w:p>
        </w:tc>
        <w:tc>
          <w:tcPr>
            <w:tcW w:type="dxa" w:w="1440"/>
            <w:shd w:val="clear" w:color="auto" w:fill="FFFFFF"/>
          </w:tcPr>
          <w:p>
            <w:pPr>
              <w:spacing w:before="60" w:after="60"/>
              <w:jc w:val="left"/>
            </w:pPr>
            <w:r>
              <w:rPr>
                <w:rFonts w:ascii="Times New Roman" w:hAnsi="Times New Roman"/>
                <w:color w:val="212529"/>
                <w:sz w:val="19"/>
              </w:rPr>
              <w:t>20</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5.4 Quantitative Summary</w:t>
            </w:r>
          </w:p>
        </w:tc>
        <w:tc>
          <w:tcPr>
            <w:tcW w:type="dxa" w:w="1440"/>
            <w:shd w:val="clear" w:color="auto" w:fill="F8FAF9"/>
          </w:tcPr>
          <w:p>
            <w:pPr>
              <w:spacing w:before="60" w:after="60"/>
              <w:jc w:val="left"/>
            </w:pPr>
            <w:r>
              <w:rPr>
                <w:rFonts w:ascii="Times New Roman" w:hAnsi="Times New Roman"/>
                <w:color w:val="212529"/>
                <w:sz w:val="19"/>
              </w:rPr>
              <w:t>21</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5.5 Analytical Discussion</w:t>
            </w:r>
          </w:p>
        </w:tc>
        <w:tc>
          <w:tcPr>
            <w:tcW w:type="dxa" w:w="1440"/>
            <w:shd w:val="clear" w:color="auto" w:fill="FFFFFF"/>
          </w:tcPr>
          <w:p>
            <w:pPr>
              <w:spacing w:before="60" w:after="60"/>
              <w:jc w:val="left"/>
            </w:pPr>
            <w:r>
              <w:rPr>
                <w:rFonts w:ascii="Times New Roman" w:hAnsi="Times New Roman"/>
                <w:color w:val="212529"/>
                <w:sz w:val="19"/>
              </w:rPr>
              <w:t>21</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5.6 Challenges and Learnings</w:t>
            </w:r>
          </w:p>
        </w:tc>
        <w:tc>
          <w:tcPr>
            <w:tcW w:type="dxa" w:w="1440"/>
            <w:shd w:val="clear" w:color="auto" w:fill="F8FAF9"/>
          </w:tcPr>
          <w:p>
            <w:pPr>
              <w:spacing w:before="60" w:after="60"/>
              <w:jc w:val="left"/>
            </w:pPr>
            <w:r>
              <w:rPr>
                <w:rFonts w:ascii="Times New Roman" w:hAnsi="Times New Roman"/>
                <w:color w:val="212529"/>
                <w:sz w:val="19"/>
              </w:rPr>
              <w:t>21</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5.7 Known Limitations</w:t>
            </w:r>
          </w:p>
        </w:tc>
        <w:tc>
          <w:tcPr>
            <w:tcW w:type="dxa" w:w="1440"/>
            <w:shd w:val="clear" w:color="auto" w:fill="FFFFFF"/>
          </w:tcPr>
          <w:p>
            <w:pPr>
              <w:spacing w:before="60" w:after="60"/>
              <w:jc w:val="left"/>
            </w:pPr>
            <w:r>
              <w:rPr>
                <w:rFonts w:ascii="Times New Roman" w:hAnsi="Times New Roman"/>
                <w:color w:val="212529"/>
                <w:sz w:val="19"/>
              </w:rPr>
              <w:t>22</w:t>
            </w:r>
          </w:p>
        </w:tc>
      </w:tr>
      <w:tr>
        <w:tc>
          <w:tcPr>
            <w:tcW w:type="dxa" w:w="1728"/>
            <w:shd w:val="clear" w:color="auto" w:fill="F8FAF9"/>
          </w:tcPr>
          <w:p>
            <w:pPr>
              <w:spacing w:before="60" w:after="60"/>
              <w:jc w:val="left"/>
            </w:pPr>
            <w:r>
              <w:rPr>
                <w:rFonts w:ascii="Times New Roman" w:hAnsi="Times New Roman"/>
                <w:color w:val="212529"/>
                <w:sz w:val="19"/>
              </w:rPr>
              <w:t>Chapter 6</w:t>
            </w:r>
          </w:p>
        </w:tc>
        <w:tc>
          <w:tcPr>
            <w:tcW w:type="dxa" w:w="6192"/>
            <w:shd w:val="clear" w:color="auto" w:fill="F8FAF9"/>
          </w:tcPr>
          <w:p>
            <w:pPr>
              <w:spacing w:before="60" w:after="60"/>
              <w:jc w:val="left"/>
            </w:pPr>
            <w:r>
              <w:rPr>
                <w:rFonts w:ascii="Times New Roman" w:hAnsi="Times New Roman"/>
                <w:color w:val="212529"/>
                <w:sz w:val="19"/>
              </w:rPr>
              <w:t>CONCLUSIONS &amp; FUTURE SCOPE</w:t>
            </w:r>
          </w:p>
        </w:tc>
        <w:tc>
          <w:tcPr>
            <w:tcW w:type="dxa" w:w="1440"/>
            <w:shd w:val="clear" w:color="auto" w:fill="F8FAF9"/>
          </w:tcPr>
          <w:p>
            <w:pPr>
              <w:spacing w:before="60" w:after="60"/>
              <w:jc w:val="left"/>
            </w:pPr>
            <w:r>
              <w:rPr>
                <w:rFonts w:ascii="Times New Roman" w:hAnsi="Times New Roman"/>
                <w:color w:val="212529"/>
                <w:sz w:val="19"/>
              </w:rPr>
              <w:t>23</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 xml:space="preserve">     6.1 Conclusions</w:t>
            </w:r>
          </w:p>
        </w:tc>
        <w:tc>
          <w:tcPr>
            <w:tcW w:type="dxa" w:w="1440"/>
            <w:shd w:val="clear" w:color="auto" w:fill="FFFFFF"/>
          </w:tcPr>
          <w:p>
            <w:pPr>
              <w:spacing w:before="60" w:after="60"/>
              <w:jc w:val="left"/>
            </w:pPr>
            <w:r>
              <w:rPr>
                <w:rFonts w:ascii="Times New Roman" w:hAnsi="Times New Roman"/>
                <w:color w:val="212529"/>
                <w:sz w:val="19"/>
              </w:rPr>
              <w:t>23</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 xml:space="preserve">     6.2 Future Scope of Work</w:t>
            </w:r>
          </w:p>
        </w:tc>
        <w:tc>
          <w:tcPr>
            <w:tcW w:type="dxa" w:w="1440"/>
            <w:shd w:val="clear" w:color="auto" w:fill="F8FAF9"/>
          </w:tcPr>
          <w:p>
            <w:pPr>
              <w:spacing w:before="60" w:after="60"/>
              <w:jc w:val="left"/>
            </w:pPr>
            <w:r>
              <w:rPr>
                <w:rFonts w:ascii="Times New Roman" w:hAnsi="Times New Roman"/>
                <w:color w:val="212529"/>
                <w:sz w:val="19"/>
              </w:rPr>
              <w:t>23</w:t>
            </w:r>
          </w:p>
        </w:tc>
      </w:tr>
      <w:tr>
        <w:tc>
          <w:tcPr>
            <w:tcW w:type="dxa" w:w="1728"/>
            <w:shd w:val="clear" w:color="auto" w:fill="FFFFFF"/>
          </w:tcPr>
          <w:p>
            <w:pPr>
              <w:spacing w:before="60" w:after="60"/>
              <w:jc w:val="left"/>
            </w:pPr>
            <w:r>
              <w:rPr>
                <w:rFonts w:ascii="Times New Roman" w:hAnsi="Times New Roman"/>
                <w:color w:val="212529"/>
                <w:sz w:val="19"/>
              </w:rPr>
            </w:r>
          </w:p>
        </w:tc>
        <w:tc>
          <w:tcPr>
            <w:tcW w:type="dxa" w:w="6192"/>
            <w:shd w:val="clear" w:color="auto" w:fill="FFFFFF"/>
          </w:tcPr>
          <w:p>
            <w:pPr>
              <w:spacing w:before="60" w:after="60"/>
              <w:jc w:val="left"/>
            </w:pPr>
            <w:r>
              <w:rPr>
                <w:rFonts w:ascii="Times New Roman" w:hAnsi="Times New Roman"/>
                <w:color w:val="212529"/>
                <w:sz w:val="19"/>
              </w:rPr>
              <w:t>REFERENCES</w:t>
            </w:r>
          </w:p>
        </w:tc>
        <w:tc>
          <w:tcPr>
            <w:tcW w:type="dxa" w:w="1440"/>
            <w:shd w:val="clear" w:color="auto" w:fill="FFFFFF"/>
          </w:tcPr>
          <w:p>
            <w:pPr>
              <w:spacing w:before="60" w:after="60"/>
              <w:jc w:val="left"/>
            </w:pPr>
            <w:r>
              <w:rPr>
                <w:rFonts w:ascii="Times New Roman" w:hAnsi="Times New Roman"/>
                <w:color w:val="212529"/>
                <w:sz w:val="19"/>
              </w:rPr>
              <w:t>25</w:t>
            </w:r>
          </w:p>
        </w:tc>
      </w:tr>
      <w:tr>
        <w:tc>
          <w:tcPr>
            <w:tcW w:type="dxa" w:w="1728"/>
            <w:shd w:val="clear" w:color="auto" w:fill="F8FAF9"/>
          </w:tcPr>
          <w:p>
            <w:pPr>
              <w:spacing w:before="60" w:after="60"/>
              <w:jc w:val="left"/>
            </w:pPr>
            <w:r>
              <w:rPr>
                <w:rFonts w:ascii="Times New Roman" w:hAnsi="Times New Roman"/>
                <w:color w:val="212529"/>
                <w:sz w:val="19"/>
              </w:rPr>
            </w:r>
          </w:p>
        </w:tc>
        <w:tc>
          <w:tcPr>
            <w:tcW w:type="dxa" w:w="6192"/>
            <w:shd w:val="clear" w:color="auto" w:fill="F8FAF9"/>
          </w:tcPr>
          <w:p>
            <w:pPr>
              <w:spacing w:before="60" w:after="60"/>
              <w:jc w:val="left"/>
            </w:pPr>
            <w:r>
              <w:rPr>
                <w:rFonts w:ascii="Times New Roman" w:hAnsi="Times New Roman"/>
                <w:color w:val="212529"/>
                <w:sz w:val="19"/>
              </w:rPr>
              <w:t>ANNEXURES</w:t>
            </w:r>
          </w:p>
        </w:tc>
        <w:tc>
          <w:tcPr>
            <w:tcW w:type="dxa" w:w="1440"/>
            <w:shd w:val="clear" w:color="auto" w:fill="F8FAF9"/>
          </w:tcPr>
          <w:p>
            <w:pPr>
              <w:spacing w:before="60" w:after="60"/>
              <w:jc w:val="left"/>
            </w:pPr>
            <w:r>
              <w:rPr>
                <w:rFonts w:ascii="Times New Roman" w:hAnsi="Times New Roman"/>
                <w:color w:val="212529"/>
                <w:sz w:val="19"/>
              </w:rPr>
              <w:t>26</w:t>
            </w:r>
          </w:p>
        </w:tc>
      </w:tr>
    </w:tbl>
    <w:p>
      <w:pPr>
        <w:spacing w:after="120"/>
      </w:pPr>
    </w:p>
    <w:p>
      <w:pPr>
        <w:spacing w:line="276" w:lineRule="auto" w:before="360" w:after="160"/>
      </w:pPr>
      <w:r>
        <w:rPr>
          <w:rFonts w:ascii="Times New Roman" w:hAnsi="Times New Roman"/>
          <w:b/>
          <w:color w:val="113E21"/>
          <w:sz w:val="32"/>
        </w:rPr>
        <w:t>LIST OF ABBREVIATIONS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val="clear" w:color="auto" w:fill="113E21"/>
          </w:tcPr>
          <w:p>
            <w:pPr>
              <w:spacing w:before="80" w:after="80"/>
              <w:jc w:val="left"/>
            </w:pPr>
            <w:r>
              <w:rPr>
                <w:rFonts w:ascii="Times New Roman" w:hAnsi="Times New Roman"/>
                <w:b/>
                <w:color w:val="FFFFFF"/>
                <w:sz w:val="20"/>
              </w:rPr>
              <w:t>Abbreviation</w:t>
            </w:r>
          </w:p>
        </w:tc>
        <w:tc>
          <w:tcPr>
            <w:tcW w:type="dxa" w:w="7200"/>
            <w:shd w:val="clear" w:color="auto" w:fill="113E21"/>
          </w:tcPr>
          <w:p>
            <w:pPr>
              <w:spacing w:before="80" w:after="80"/>
              <w:jc w:val="left"/>
            </w:pPr>
            <w:r>
              <w:rPr>
                <w:rFonts w:ascii="Times New Roman" w:hAnsi="Times New Roman"/>
                <w:b/>
                <w:color w:val="FFFFFF"/>
                <w:sz w:val="20"/>
              </w:rPr>
              <w:t>Full Form</w:t>
            </w:r>
          </w:p>
        </w:tc>
      </w:tr>
      <w:tr>
        <w:tc>
          <w:tcPr>
            <w:tcW w:type="dxa" w:w="2160"/>
            <w:shd w:val="clear" w:color="auto" w:fill="FFFFFF"/>
          </w:tcPr>
          <w:p>
            <w:pPr>
              <w:spacing w:before="60" w:after="60"/>
              <w:jc w:val="left"/>
            </w:pPr>
            <w:r>
              <w:rPr>
                <w:rFonts w:ascii="Times New Roman" w:hAnsi="Times New Roman"/>
                <w:color w:val="212529"/>
                <w:sz w:val="19"/>
              </w:rPr>
              <w:t>AI</w:t>
            </w:r>
          </w:p>
        </w:tc>
        <w:tc>
          <w:tcPr>
            <w:tcW w:type="dxa" w:w="7200"/>
            <w:shd w:val="clear" w:color="auto" w:fill="FFFFFF"/>
          </w:tcPr>
          <w:p>
            <w:pPr>
              <w:spacing w:before="60" w:after="60"/>
              <w:jc w:val="left"/>
            </w:pPr>
            <w:r>
              <w:rPr>
                <w:rFonts w:ascii="Times New Roman" w:hAnsi="Times New Roman"/>
                <w:color w:val="212529"/>
                <w:sz w:val="19"/>
              </w:rPr>
              <w:t>Artificial Intelligence</w:t>
            </w:r>
          </w:p>
        </w:tc>
      </w:tr>
      <w:tr>
        <w:tc>
          <w:tcPr>
            <w:tcW w:type="dxa" w:w="2160"/>
            <w:shd w:val="clear" w:color="auto" w:fill="F8FAF9"/>
          </w:tcPr>
          <w:p>
            <w:pPr>
              <w:spacing w:before="60" w:after="60"/>
              <w:jc w:val="left"/>
            </w:pPr>
            <w:r>
              <w:rPr>
                <w:rFonts w:ascii="Times New Roman" w:hAnsi="Times New Roman"/>
                <w:color w:val="212529"/>
                <w:sz w:val="19"/>
              </w:rPr>
              <w:t>API</w:t>
            </w:r>
          </w:p>
        </w:tc>
        <w:tc>
          <w:tcPr>
            <w:tcW w:type="dxa" w:w="7200"/>
            <w:shd w:val="clear" w:color="auto" w:fill="F8FAF9"/>
          </w:tcPr>
          <w:p>
            <w:pPr>
              <w:spacing w:before="60" w:after="60"/>
              <w:jc w:val="left"/>
            </w:pPr>
            <w:r>
              <w:rPr>
                <w:rFonts w:ascii="Times New Roman" w:hAnsi="Times New Roman"/>
                <w:color w:val="212529"/>
                <w:sz w:val="19"/>
              </w:rPr>
              <w:t>Application Programming Interface</w:t>
            </w:r>
          </w:p>
        </w:tc>
      </w:tr>
      <w:tr>
        <w:tc>
          <w:tcPr>
            <w:tcW w:type="dxa" w:w="2160"/>
            <w:shd w:val="clear" w:color="auto" w:fill="FFFFFF"/>
          </w:tcPr>
          <w:p>
            <w:pPr>
              <w:spacing w:before="60" w:after="60"/>
              <w:jc w:val="left"/>
            </w:pPr>
            <w:r>
              <w:rPr>
                <w:rFonts w:ascii="Times New Roman" w:hAnsi="Times New Roman"/>
                <w:color w:val="212529"/>
                <w:sz w:val="19"/>
              </w:rPr>
              <w:t>CORS</w:t>
            </w:r>
          </w:p>
        </w:tc>
        <w:tc>
          <w:tcPr>
            <w:tcW w:type="dxa" w:w="7200"/>
            <w:shd w:val="clear" w:color="auto" w:fill="FFFFFF"/>
          </w:tcPr>
          <w:p>
            <w:pPr>
              <w:spacing w:before="60" w:after="60"/>
              <w:jc w:val="left"/>
            </w:pPr>
            <w:r>
              <w:rPr>
                <w:rFonts w:ascii="Times New Roman" w:hAnsi="Times New Roman"/>
                <w:color w:val="212529"/>
                <w:sz w:val="19"/>
              </w:rPr>
              <w:t>Cross-Origin Resource Sharing</w:t>
            </w:r>
          </w:p>
        </w:tc>
      </w:tr>
      <w:tr>
        <w:tc>
          <w:tcPr>
            <w:tcW w:type="dxa" w:w="2160"/>
            <w:shd w:val="clear" w:color="auto" w:fill="F8FAF9"/>
          </w:tcPr>
          <w:p>
            <w:pPr>
              <w:spacing w:before="60" w:after="60"/>
              <w:jc w:val="left"/>
            </w:pPr>
            <w:r>
              <w:rPr>
                <w:rFonts w:ascii="Times New Roman" w:hAnsi="Times New Roman"/>
                <w:color w:val="212529"/>
                <w:sz w:val="19"/>
              </w:rPr>
              <w:t>CRUD</w:t>
            </w:r>
          </w:p>
        </w:tc>
        <w:tc>
          <w:tcPr>
            <w:tcW w:type="dxa" w:w="7200"/>
            <w:shd w:val="clear" w:color="auto" w:fill="F8FAF9"/>
          </w:tcPr>
          <w:p>
            <w:pPr>
              <w:spacing w:before="60" w:after="60"/>
              <w:jc w:val="left"/>
            </w:pPr>
            <w:r>
              <w:rPr>
                <w:rFonts w:ascii="Times New Roman" w:hAnsi="Times New Roman"/>
                <w:color w:val="212529"/>
                <w:sz w:val="19"/>
              </w:rPr>
              <w:t>Create, Read, Update, Delete</w:t>
            </w:r>
          </w:p>
        </w:tc>
      </w:tr>
      <w:tr>
        <w:tc>
          <w:tcPr>
            <w:tcW w:type="dxa" w:w="2160"/>
            <w:shd w:val="clear" w:color="auto" w:fill="FFFFFF"/>
          </w:tcPr>
          <w:p>
            <w:pPr>
              <w:spacing w:before="60" w:after="60"/>
              <w:jc w:val="left"/>
            </w:pPr>
            <w:r>
              <w:rPr>
                <w:rFonts w:ascii="Times New Roman" w:hAnsi="Times New Roman"/>
                <w:color w:val="212529"/>
                <w:sz w:val="19"/>
              </w:rPr>
              <w:t>CSR</w:t>
            </w:r>
          </w:p>
        </w:tc>
        <w:tc>
          <w:tcPr>
            <w:tcW w:type="dxa" w:w="7200"/>
            <w:shd w:val="clear" w:color="auto" w:fill="FFFFFF"/>
          </w:tcPr>
          <w:p>
            <w:pPr>
              <w:spacing w:before="60" w:after="60"/>
              <w:jc w:val="left"/>
            </w:pPr>
            <w:r>
              <w:rPr>
                <w:rFonts w:ascii="Times New Roman" w:hAnsi="Times New Roman"/>
                <w:color w:val="212529"/>
                <w:sz w:val="19"/>
              </w:rPr>
              <w:t>Corporate Social Responsibility</w:t>
            </w:r>
          </w:p>
        </w:tc>
      </w:tr>
      <w:tr>
        <w:tc>
          <w:tcPr>
            <w:tcW w:type="dxa" w:w="2160"/>
            <w:shd w:val="clear" w:color="auto" w:fill="F8FAF9"/>
          </w:tcPr>
          <w:p>
            <w:pPr>
              <w:spacing w:before="60" w:after="60"/>
              <w:jc w:val="left"/>
            </w:pPr>
            <w:r>
              <w:rPr>
                <w:rFonts w:ascii="Times New Roman" w:hAnsi="Times New Roman"/>
                <w:color w:val="212529"/>
                <w:sz w:val="19"/>
              </w:rPr>
              <w:t>CSV</w:t>
            </w:r>
          </w:p>
        </w:tc>
        <w:tc>
          <w:tcPr>
            <w:tcW w:type="dxa" w:w="7200"/>
            <w:shd w:val="clear" w:color="auto" w:fill="F8FAF9"/>
          </w:tcPr>
          <w:p>
            <w:pPr>
              <w:spacing w:before="60" w:after="60"/>
              <w:jc w:val="left"/>
            </w:pPr>
            <w:r>
              <w:rPr>
                <w:rFonts w:ascii="Times New Roman" w:hAnsi="Times New Roman"/>
                <w:color w:val="212529"/>
                <w:sz w:val="19"/>
              </w:rPr>
              <w:t>Comma-Separated Values</w:t>
            </w:r>
          </w:p>
        </w:tc>
      </w:tr>
      <w:tr>
        <w:tc>
          <w:tcPr>
            <w:tcW w:type="dxa" w:w="2160"/>
            <w:shd w:val="clear" w:color="auto" w:fill="FFFFFF"/>
          </w:tcPr>
          <w:p>
            <w:pPr>
              <w:spacing w:before="60" w:after="60"/>
              <w:jc w:val="left"/>
            </w:pPr>
            <w:r>
              <w:rPr>
                <w:rFonts w:ascii="Times New Roman" w:hAnsi="Times New Roman"/>
                <w:color w:val="212529"/>
                <w:sz w:val="19"/>
              </w:rPr>
              <w:t>HPC</w:t>
            </w:r>
          </w:p>
        </w:tc>
        <w:tc>
          <w:tcPr>
            <w:tcW w:type="dxa" w:w="7200"/>
            <w:shd w:val="clear" w:color="auto" w:fill="FFFFFF"/>
          </w:tcPr>
          <w:p>
            <w:pPr>
              <w:spacing w:before="60" w:after="60"/>
              <w:jc w:val="left"/>
            </w:pPr>
            <w:r>
              <w:rPr>
                <w:rFonts w:ascii="Times New Roman" w:hAnsi="Times New Roman"/>
                <w:color w:val="212529"/>
                <w:sz w:val="19"/>
              </w:rPr>
              <w:t>High Performance Centre</w:t>
            </w:r>
          </w:p>
        </w:tc>
      </w:tr>
      <w:tr>
        <w:tc>
          <w:tcPr>
            <w:tcW w:type="dxa" w:w="2160"/>
            <w:shd w:val="clear" w:color="auto" w:fill="F8FAF9"/>
          </w:tcPr>
          <w:p>
            <w:pPr>
              <w:spacing w:before="60" w:after="60"/>
              <w:jc w:val="left"/>
            </w:pPr>
            <w:r>
              <w:rPr>
                <w:rFonts w:ascii="Times New Roman" w:hAnsi="Times New Roman"/>
                <w:color w:val="212529"/>
                <w:sz w:val="19"/>
              </w:rPr>
              <w:t>JSON</w:t>
            </w:r>
          </w:p>
        </w:tc>
        <w:tc>
          <w:tcPr>
            <w:tcW w:type="dxa" w:w="7200"/>
            <w:shd w:val="clear" w:color="auto" w:fill="F8FAF9"/>
          </w:tcPr>
          <w:p>
            <w:pPr>
              <w:spacing w:before="60" w:after="60"/>
              <w:jc w:val="left"/>
            </w:pPr>
            <w:r>
              <w:rPr>
                <w:rFonts w:ascii="Times New Roman" w:hAnsi="Times New Roman"/>
                <w:color w:val="212529"/>
                <w:sz w:val="19"/>
              </w:rPr>
              <w:t>JavaScript Object Notation</w:t>
            </w:r>
          </w:p>
        </w:tc>
      </w:tr>
      <w:tr>
        <w:tc>
          <w:tcPr>
            <w:tcW w:type="dxa" w:w="2160"/>
            <w:shd w:val="clear" w:color="auto" w:fill="FFFFFF"/>
          </w:tcPr>
          <w:p>
            <w:pPr>
              <w:spacing w:before="60" w:after="60"/>
              <w:jc w:val="left"/>
            </w:pPr>
            <w:r>
              <w:rPr>
                <w:rFonts w:ascii="Times New Roman" w:hAnsi="Times New Roman"/>
                <w:color w:val="212529"/>
                <w:sz w:val="19"/>
              </w:rPr>
              <w:t>KIYG</w:t>
            </w:r>
          </w:p>
        </w:tc>
        <w:tc>
          <w:tcPr>
            <w:tcW w:type="dxa" w:w="7200"/>
            <w:shd w:val="clear" w:color="auto" w:fill="FFFFFF"/>
          </w:tcPr>
          <w:p>
            <w:pPr>
              <w:spacing w:before="60" w:after="60"/>
              <w:jc w:val="left"/>
            </w:pPr>
            <w:r>
              <w:rPr>
                <w:rFonts w:ascii="Times New Roman" w:hAnsi="Times New Roman"/>
                <w:color w:val="212529"/>
                <w:sz w:val="19"/>
              </w:rPr>
              <w:t>Khelo India Youth Games</w:t>
            </w:r>
          </w:p>
        </w:tc>
      </w:tr>
      <w:tr>
        <w:tc>
          <w:tcPr>
            <w:tcW w:type="dxa" w:w="2160"/>
            <w:shd w:val="clear" w:color="auto" w:fill="F8FAF9"/>
          </w:tcPr>
          <w:p>
            <w:pPr>
              <w:spacing w:before="60" w:after="60"/>
              <w:jc w:val="left"/>
            </w:pPr>
            <w:r>
              <w:rPr>
                <w:rFonts w:ascii="Times New Roman" w:hAnsi="Times New Roman"/>
                <w:color w:val="212529"/>
                <w:sz w:val="19"/>
              </w:rPr>
              <w:t>LLM</w:t>
            </w:r>
          </w:p>
        </w:tc>
        <w:tc>
          <w:tcPr>
            <w:tcW w:type="dxa" w:w="7200"/>
            <w:shd w:val="clear" w:color="auto" w:fill="F8FAF9"/>
          </w:tcPr>
          <w:p>
            <w:pPr>
              <w:spacing w:before="60" w:after="60"/>
              <w:jc w:val="left"/>
            </w:pPr>
            <w:r>
              <w:rPr>
                <w:rFonts w:ascii="Times New Roman" w:hAnsi="Times New Roman"/>
                <w:color w:val="212529"/>
                <w:sz w:val="19"/>
              </w:rPr>
              <w:t>Large Language Model</w:t>
            </w:r>
          </w:p>
        </w:tc>
      </w:tr>
      <w:tr>
        <w:tc>
          <w:tcPr>
            <w:tcW w:type="dxa" w:w="2160"/>
            <w:shd w:val="clear" w:color="auto" w:fill="FFFFFF"/>
          </w:tcPr>
          <w:p>
            <w:pPr>
              <w:spacing w:before="60" w:after="60"/>
              <w:jc w:val="left"/>
            </w:pPr>
            <w:r>
              <w:rPr>
                <w:rFonts w:ascii="Times New Roman" w:hAnsi="Times New Roman"/>
                <w:color w:val="212529"/>
                <w:sz w:val="19"/>
              </w:rPr>
              <w:t>NCOE</w:t>
            </w:r>
          </w:p>
        </w:tc>
        <w:tc>
          <w:tcPr>
            <w:tcW w:type="dxa" w:w="7200"/>
            <w:shd w:val="clear" w:color="auto" w:fill="FFFFFF"/>
          </w:tcPr>
          <w:p>
            <w:pPr>
              <w:spacing w:before="60" w:after="60"/>
              <w:jc w:val="left"/>
            </w:pPr>
            <w:r>
              <w:rPr>
                <w:rFonts w:ascii="Times New Roman" w:hAnsi="Times New Roman"/>
                <w:color w:val="212529"/>
                <w:sz w:val="19"/>
              </w:rPr>
              <w:t>National Centre of Excellence (SAI)</w:t>
            </w:r>
          </w:p>
        </w:tc>
      </w:tr>
      <w:tr>
        <w:tc>
          <w:tcPr>
            <w:tcW w:type="dxa" w:w="2160"/>
            <w:shd w:val="clear" w:color="auto" w:fill="F8FAF9"/>
          </w:tcPr>
          <w:p>
            <w:pPr>
              <w:spacing w:before="60" w:after="60"/>
              <w:jc w:val="left"/>
            </w:pPr>
            <w:r>
              <w:rPr>
                <w:rFonts w:ascii="Times New Roman" w:hAnsi="Times New Roman"/>
                <w:color w:val="212529"/>
                <w:sz w:val="19"/>
              </w:rPr>
              <w:t>ODM</w:t>
            </w:r>
          </w:p>
        </w:tc>
        <w:tc>
          <w:tcPr>
            <w:tcW w:type="dxa" w:w="7200"/>
            <w:shd w:val="clear" w:color="auto" w:fill="F8FAF9"/>
          </w:tcPr>
          <w:p>
            <w:pPr>
              <w:spacing w:before="60" w:after="60"/>
              <w:jc w:val="left"/>
            </w:pPr>
            <w:r>
              <w:rPr>
                <w:rFonts w:ascii="Times New Roman" w:hAnsi="Times New Roman"/>
                <w:color w:val="212529"/>
                <w:sz w:val="19"/>
              </w:rPr>
              <w:t>Object Data Modelling</w:t>
            </w:r>
          </w:p>
        </w:tc>
      </w:tr>
      <w:tr>
        <w:tc>
          <w:tcPr>
            <w:tcW w:type="dxa" w:w="2160"/>
            <w:shd w:val="clear" w:color="auto" w:fill="FFFFFF"/>
          </w:tcPr>
          <w:p>
            <w:pPr>
              <w:spacing w:before="60" w:after="60"/>
              <w:jc w:val="left"/>
            </w:pPr>
            <w:r>
              <w:rPr>
                <w:rFonts w:ascii="Times New Roman" w:hAnsi="Times New Roman"/>
                <w:color w:val="212529"/>
                <w:sz w:val="19"/>
              </w:rPr>
              <w:t>RBAC</w:t>
            </w:r>
          </w:p>
        </w:tc>
        <w:tc>
          <w:tcPr>
            <w:tcW w:type="dxa" w:w="7200"/>
            <w:shd w:val="clear" w:color="auto" w:fill="FFFFFF"/>
          </w:tcPr>
          <w:p>
            <w:pPr>
              <w:spacing w:before="60" w:after="60"/>
              <w:jc w:val="left"/>
            </w:pPr>
            <w:r>
              <w:rPr>
                <w:rFonts w:ascii="Times New Roman" w:hAnsi="Times New Roman"/>
                <w:color w:val="212529"/>
                <w:sz w:val="19"/>
              </w:rPr>
              <w:t>Role-Based Access Control</w:t>
            </w:r>
          </w:p>
        </w:tc>
      </w:tr>
      <w:tr>
        <w:tc>
          <w:tcPr>
            <w:tcW w:type="dxa" w:w="2160"/>
            <w:shd w:val="clear" w:color="auto" w:fill="F8FAF9"/>
          </w:tcPr>
          <w:p>
            <w:pPr>
              <w:spacing w:before="60" w:after="60"/>
              <w:jc w:val="left"/>
            </w:pPr>
            <w:r>
              <w:rPr>
                <w:rFonts w:ascii="Times New Roman" w:hAnsi="Times New Roman"/>
                <w:color w:val="212529"/>
                <w:sz w:val="19"/>
              </w:rPr>
              <w:t>REST</w:t>
            </w:r>
          </w:p>
        </w:tc>
        <w:tc>
          <w:tcPr>
            <w:tcW w:type="dxa" w:w="7200"/>
            <w:shd w:val="clear" w:color="auto" w:fill="F8FAF9"/>
          </w:tcPr>
          <w:p>
            <w:pPr>
              <w:spacing w:before="60" w:after="60"/>
              <w:jc w:val="left"/>
            </w:pPr>
            <w:r>
              <w:rPr>
                <w:rFonts w:ascii="Times New Roman" w:hAnsi="Times New Roman"/>
                <w:color w:val="212529"/>
                <w:sz w:val="19"/>
              </w:rPr>
              <w:t>Representational State Transfer</w:t>
            </w:r>
          </w:p>
        </w:tc>
      </w:tr>
      <w:tr>
        <w:tc>
          <w:tcPr>
            <w:tcW w:type="dxa" w:w="2160"/>
            <w:shd w:val="clear" w:color="auto" w:fill="FFFFFF"/>
          </w:tcPr>
          <w:p>
            <w:pPr>
              <w:spacing w:before="60" w:after="60"/>
              <w:jc w:val="left"/>
            </w:pPr>
            <w:r>
              <w:rPr>
                <w:rFonts w:ascii="Times New Roman" w:hAnsi="Times New Roman"/>
                <w:color w:val="212529"/>
                <w:sz w:val="19"/>
              </w:rPr>
              <w:t>SAI</w:t>
            </w:r>
          </w:p>
        </w:tc>
        <w:tc>
          <w:tcPr>
            <w:tcW w:type="dxa" w:w="7200"/>
            <w:shd w:val="clear" w:color="auto" w:fill="FFFFFF"/>
          </w:tcPr>
          <w:p>
            <w:pPr>
              <w:spacing w:before="60" w:after="60"/>
              <w:jc w:val="left"/>
            </w:pPr>
            <w:r>
              <w:rPr>
                <w:rFonts w:ascii="Times New Roman" w:hAnsi="Times New Roman"/>
                <w:color w:val="212529"/>
                <w:sz w:val="19"/>
              </w:rPr>
              <w:t>Sports Authority of India</w:t>
            </w:r>
          </w:p>
        </w:tc>
      </w:tr>
      <w:tr>
        <w:tc>
          <w:tcPr>
            <w:tcW w:type="dxa" w:w="2160"/>
            <w:shd w:val="clear" w:color="auto" w:fill="F8FAF9"/>
          </w:tcPr>
          <w:p>
            <w:pPr>
              <w:spacing w:before="60" w:after="60"/>
              <w:jc w:val="left"/>
            </w:pPr>
            <w:r>
              <w:rPr>
                <w:rFonts w:ascii="Times New Roman" w:hAnsi="Times New Roman"/>
                <w:color w:val="212529"/>
                <w:sz w:val="19"/>
              </w:rPr>
              <w:t>SPA</w:t>
            </w:r>
          </w:p>
        </w:tc>
        <w:tc>
          <w:tcPr>
            <w:tcW w:type="dxa" w:w="7200"/>
            <w:shd w:val="clear" w:color="auto" w:fill="F8FAF9"/>
          </w:tcPr>
          <w:p>
            <w:pPr>
              <w:spacing w:before="60" w:after="60"/>
              <w:jc w:val="left"/>
            </w:pPr>
            <w:r>
              <w:rPr>
                <w:rFonts w:ascii="Times New Roman" w:hAnsi="Times New Roman"/>
                <w:color w:val="212529"/>
                <w:sz w:val="19"/>
              </w:rPr>
              <w:t>Single-Page Application</w:t>
            </w:r>
          </w:p>
        </w:tc>
      </w:tr>
      <w:tr>
        <w:tc>
          <w:tcPr>
            <w:tcW w:type="dxa" w:w="2160"/>
            <w:shd w:val="clear" w:color="auto" w:fill="FFFFFF"/>
          </w:tcPr>
          <w:p>
            <w:pPr>
              <w:spacing w:before="60" w:after="60"/>
              <w:jc w:val="left"/>
            </w:pPr>
            <w:r>
              <w:rPr>
                <w:rFonts w:ascii="Times New Roman" w:hAnsi="Times New Roman"/>
                <w:color w:val="212529"/>
                <w:sz w:val="19"/>
              </w:rPr>
              <w:t>STC</w:t>
            </w:r>
          </w:p>
        </w:tc>
        <w:tc>
          <w:tcPr>
            <w:tcW w:type="dxa" w:w="7200"/>
            <w:shd w:val="clear" w:color="auto" w:fill="FFFFFF"/>
          </w:tcPr>
          <w:p>
            <w:pPr>
              <w:spacing w:before="60" w:after="60"/>
              <w:jc w:val="left"/>
            </w:pPr>
            <w:r>
              <w:rPr>
                <w:rFonts w:ascii="Times New Roman" w:hAnsi="Times New Roman"/>
                <w:color w:val="212529"/>
                <w:sz w:val="19"/>
              </w:rPr>
              <w:t>SAI Training Centre</w:t>
            </w:r>
          </w:p>
        </w:tc>
      </w:tr>
      <w:tr>
        <w:tc>
          <w:tcPr>
            <w:tcW w:type="dxa" w:w="2160"/>
            <w:shd w:val="clear" w:color="auto" w:fill="F8FAF9"/>
          </w:tcPr>
          <w:p>
            <w:pPr>
              <w:spacing w:before="60" w:after="60"/>
              <w:jc w:val="left"/>
            </w:pPr>
            <w:r>
              <w:rPr>
                <w:rFonts w:ascii="Times New Roman" w:hAnsi="Times New Roman"/>
                <w:color w:val="212529"/>
                <w:sz w:val="19"/>
              </w:rPr>
              <w:t>TOPS</w:t>
            </w:r>
          </w:p>
        </w:tc>
        <w:tc>
          <w:tcPr>
            <w:tcW w:type="dxa" w:w="7200"/>
            <w:shd w:val="clear" w:color="auto" w:fill="F8FAF9"/>
          </w:tcPr>
          <w:p>
            <w:pPr>
              <w:spacing w:before="60" w:after="60"/>
              <w:jc w:val="left"/>
            </w:pPr>
            <w:r>
              <w:rPr>
                <w:rFonts w:ascii="Times New Roman" w:hAnsi="Times New Roman"/>
                <w:color w:val="212529"/>
                <w:sz w:val="19"/>
              </w:rPr>
              <w:t>Target Olympic Podium Scheme</w:t>
            </w:r>
          </w:p>
        </w:tc>
      </w:tr>
      <w:tr>
        <w:tc>
          <w:tcPr>
            <w:tcW w:type="dxa" w:w="2160"/>
            <w:shd w:val="clear" w:color="auto" w:fill="FFFFFF"/>
          </w:tcPr>
          <w:p>
            <w:pPr>
              <w:spacing w:before="60" w:after="60"/>
              <w:jc w:val="left"/>
            </w:pPr>
            <w:r>
              <w:rPr>
                <w:rFonts w:ascii="Times New Roman" w:hAnsi="Times New Roman"/>
                <w:color w:val="212529"/>
                <w:sz w:val="19"/>
              </w:rPr>
              <w:t>UI / UX</w:t>
            </w:r>
          </w:p>
        </w:tc>
        <w:tc>
          <w:tcPr>
            <w:tcW w:type="dxa" w:w="7200"/>
            <w:shd w:val="clear" w:color="auto" w:fill="FFFFFF"/>
          </w:tcPr>
          <w:p>
            <w:pPr>
              <w:spacing w:before="60" w:after="60"/>
              <w:jc w:val="left"/>
            </w:pPr>
            <w:r>
              <w:rPr>
                <w:rFonts w:ascii="Times New Roman" w:hAnsi="Times New Roman"/>
                <w:color w:val="212529"/>
                <w:sz w:val="19"/>
              </w:rPr>
              <w:t>User Interface / User Experience</w:t>
            </w:r>
          </w:p>
        </w:tc>
      </w:tr>
    </w:tbl>
    <w:p>
      <w:pPr>
        <w:spacing w:after="120"/>
      </w:pPr>
    </w:p>
    <w:p>
      <w:r>
        <w:br w:type="page"/>
      </w:r>
    </w:p>
    <w:p>
      <w:pPr>
        <w:spacing w:line="276" w:lineRule="auto" w:before="360" w:after="160"/>
      </w:pPr>
      <w:r>
        <w:rPr>
          <w:rFonts w:ascii="Times New Roman" w:hAnsi="Times New Roman"/>
          <w:b/>
          <w:color w:val="113E21"/>
          <w:sz w:val="32"/>
        </w:rPr>
        <w:t>CHAPTER 1: INTRODUCTION</w:t>
      </w:r>
    </w:p>
    <w:p>
      <w:pPr>
        <w:spacing w:line="276" w:lineRule="auto" w:before="280" w:after="120"/>
      </w:pPr>
      <w:r>
        <w:rPr>
          <w:rFonts w:ascii="Times New Roman" w:hAnsi="Times New Roman"/>
          <w:b/>
          <w:color w:val="1E293B"/>
          <w:sz w:val="26"/>
        </w:rPr>
        <w:t>1.1 Introduction to Work Done / Motivation (Overview, Applications &amp; Advantages)</w:t>
      </w:r>
    </w:p>
    <w:p>
      <w:pPr>
        <w:spacing w:line="300" w:lineRule="auto" w:after="120"/>
        <w:jc w:val="both"/>
      </w:pPr>
      <w:r>
        <w:rPr>
          <w:rFonts w:ascii="Times New Roman" w:hAnsi="Times New Roman"/>
          <w:i w:val="0"/>
          <w:color w:val="212529"/>
          <w:sz w:val="22"/>
        </w:rPr>
        <w:t>In the contemporary sports ecosystem, access to structured, transparent, and actionable intelligence is the single most decisive factor governing national athletic success. While elite sports academies in Western and East Asian nations leverage integrated informatics to track athlete progression from grassroots trials to Olympic podiums, developing athletic powerhouses like India have historically faced structural fragmentation. Critical information regarding athlete rosters, coach deployments, infrastructure capacity, regional tournament calendars, and private sponsorship channels remains scattered across disconnected state federations, regional Sports Authority of India (SAI) hostels, and municipal sports boards.</w:t>
      </w:r>
    </w:p>
    <w:p>
      <w:pPr>
        <w:spacing w:line="300" w:lineRule="auto" w:after="120"/>
        <w:jc w:val="both"/>
      </w:pPr>
      <w:r>
        <w:rPr>
          <w:rFonts w:ascii="Times New Roman" w:hAnsi="Times New Roman"/>
          <w:i w:val="0"/>
          <w:color w:val="212529"/>
          <w:sz w:val="22"/>
        </w:rPr>
        <w:t>This fragmentation generates severe real-world bottlenecks. Talented grassroots athletes from rural or semi-urban districts frequently miss selection opportunities or fail to transition to elite national academies due to a lack of visibility. Concurrently, government coaching personnel are distributed inequitably: major urban National Centres of Excellence (NCOEs) often maintain surplus specialized coaches, while high-volume regional SAI Training Centres (STCs) operate under critical coaching deficits (ratios exceeding 25:1 to 30:1), creating heightened risks of athlete injury and development stagnation. Furthermore, corporate social responsibility (CSR) entities allocating crores toward national sports development struggle to identify vetted, high-potential athletes and nurseries, leading to under-utilized or misdirected capital.</w:t>
      </w:r>
    </w:p>
    <w:p>
      <w:pPr>
        <w:spacing w:line="300" w:lineRule="auto" w:after="120"/>
        <w:jc w:val="both"/>
      </w:pPr>
      <w:r>
        <w:rPr>
          <w:rFonts w:ascii="Times New Roman" w:hAnsi="Times New Roman"/>
          <w:i w:val="0"/>
          <w:color w:val="212529"/>
          <w:sz w:val="22"/>
        </w:rPr>
        <w:t>During my industrial training, I designed, engineered, and validated AthletIQ: an intelligent, unified sports analytics and talent discovery ecosystem. AthletIQ consolidates multi-tiered athlete performance datasets, government training infrastructure metrics, live tournament schedules, and corporate sponsorship pipelines into an interactive, drillable intelligence platform. Developed in Python using Streamlit, Pandas, and Plotly Express, and augmented with the Google Gemini API for real-time tournament discovery, AthletIQ serves as a decision-support system for sports administrators, performance directors, talent scouts, and corporate grant makers.</w:t>
      </w:r>
    </w:p>
    <w:p>
      <w:pPr>
        <w:spacing w:line="300" w:lineRule="auto" w:after="120"/>
        <w:jc w:val="both"/>
      </w:pPr>
      <w:r>
        <w:rPr>
          <w:rFonts w:ascii="Times New Roman" w:hAnsi="Times New Roman"/>
          <w:b/>
          <w:color w:val="113E21"/>
          <w:sz w:val="22"/>
        </w:rPr>
        <w:t xml:space="preserve">Applications: </w:t>
      </w:r>
      <w:r>
        <w:rPr>
          <w:rFonts w:ascii="Times New Roman" w:hAnsi="Times New Roman"/>
          <w:i w:val="0"/>
          <w:color w:val="212529"/>
          <w:sz w:val="22"/>
        </w:rPr>
        <w:t>Applications. The platform provides direct operational utility across multiple sectors:</w:t>
      </w:r>
    </w:p>
    <w:p>
      <w:pPr>
        <w:pStyle w:val="ListBullet"/>
        <w:spacing w:line="288" w:lineRule="auto" w:after="60"/>
        <w:jc w:val="both"/>
      </w:pPr>
      <w:r>
        <w:rPr>
          <w:rFonts w:ascii="Times New Roman" w:hAnsi="Times New Roman"/>
          <w:b/>
          <w:color w:val="113E21"/>
          <w:sz w:val="22"/>
        </w:rPr>
        <w:t xml:space="preserve">National &amp; State Sports Authorities (SAI / State Directorates): </w:t>
      </w:r>
      <w:r>
        <w:rPr>
          <w:rFonts w:ascii="Times New Roman" w:hAnsi="Times New Roman"/>
          <w:color w:val="212529"/>
          <w:sz w:val="22"/>
        </w:rPr>
        <w:t>Enables sports officers to continuously monitor facility coach-to-athlete ratios, calculate institutional capacity strains against national benchmarks, and execute balanced human-resource redistribution across centres.</w:t>
      </w:r>
    </w:p>
    <w:p>
      <w:pPr>
        <w:pStyle w:val="ListBullet"/>
        <w:spacing w:line="288" w:lineRule="auto" w:after="60"/>
        <w:jc w:val="both"/>
      </w:pPr>
      <w:r>
        <w:rPr>
          <w:rFonts w:ascii="Times New Roman" w:hAnsi="Times New Roman"/>
          <w:b/>
          <w:color w:val="113E21"/>
          <w:sz w:val="22"/>
        </w:rPr>
        <w:t xml:space="preserve">Talent Scouts &amp; High-Performance Directors: </w:t>
      </w:r>
      <w:r>
        <w:rPr>
          <w:rFonts w:ascii="Times New Roman" w:hAnsi="Times New Roman"/>
          <w:color w:val="212529"/>
          <w:sz w:val="22"/>
        </w:rPr>
        <w:t>Provides interactive multi-dimensional filtering across sport discipline, age bracket, state origin, and historical performance tier to scout upcoming prospects.</w:t>
      </w:r>
    </w:p>
    <w:p>
      <w:pPr>
        <w:pStyle w:val="ListBullet"/>
        <w:spacing w:line="288" w:lineRule="auto" w:after="60"/>
        <w:jc w:val="both"/>
      </w:pPr>
      <w:r>
        <w:rPr>
          <w:rFonts w:ascii="Times New Roman" w:hAnsi="Times New Roman"/>
          <w:b/>
          <w:color w:val="113E21"/>
          <w:sz w:val="22"/>
        </w:rPr>
        <w:t xml:space="preserve">Corporate CSR Foundations &amp; Sports Philanthropies: </w:t>
      </w:r>
      <w:r>
        <w:rPr>
          <w:rFonts w:ascii="Times New Roman" w:hAnsi="Times New Roman"/>
          <w:color w:val="212529"/>
          <w:sz w:val="22"/>
        </w:rPr>
        <w:t>Provides corporate donors with vetted athlete profiles and transparent funding gap metrics to ensure targeted, high-ROI sponsorship deployment.</w:t>
      </w:r>
    </w:p>
    <w:p>
      <w:pPr>
        <w:pStyle w:val="ListBullet"/>
        <w:spacing w:line="288" w:lineRule="auto" w:after="60"/>
        <w:jc w:val="both"/>
      </w:pPr>
      <w:r>
        <w:rPr>
          <w:rFonts w:ascii="Times New Roman" w:hAnsi="Times New Roman"/>
          <w:b/>
          <w:color w:val="113E21"/>
          <w:sz w:val="22"/>
        </w:rPr>
        <w:t xml:space="preserve">Grassroots Athletes &amp; Parents: </w:t>
      </w:r>
      <w:r>
        <w:rPr>
          <w:rFonts w:ascii="Times New Roman" w:hAnsi="Times New Roman"/>
          <w:color w:val="212529"/>
          <w:sz w:val="22"/>
        </w:rPr>
        <w:t>Empowers budding competitors to identify nearby accredited facilities that match their specific sport, performance caliber, and age eligibility through automated proximity scoring.</w:t>
      </w:r>
    </w:p>
    <w:p>
      <w:pPr>
        <w:spacing w:line="300" w:lineRule="auto" w:after="120"/>
        <w:jc w:val="both"/>
      </w:pPr>
      <w:r>
        <w:rPr>
          <w:rFonts w:ascii="Times New Roman" w:hAnsi="Times New Roman"/>
          <w:b/>
          <w:color w:val="113E21"/>
          <w:sz w:val="22"/>
        </w:rPr>
        <w:t xml:space="preserve">Advantages: </w:t>
      </w:r>
      <w:r>
        <w:rPr>
          <w:rFonts w:ascii="Times New Roman" w:hAnsi="Times New Roman"/>
          <w:i w:val="0"/>
          <w:color w:val="212529"/>
          <w:sz w:val="22"/>
        </w:rPr>
        <w:t>Advantages. AthletIQ introduces several distinct architectural and functional advantages:</w:t>
      </w:r>
    </w:p>
    <w:p>
      <w:pPr>
        <w:pStyle w:val="ListBullet"/>
        <w:spacing w:line="288" w:lineRule="auto" w:after="60"/>
        <w:jc w:val="both"/>
      </w:pPr>
      <w:r>
        <w:rPr>
          <w:rFonts w:ascii="Times New Roman" w:hAnsi="Times New Roman"/>
          <w:b/>
          <w:color w:val="113E21"/>
          <w:sz w:val="22"/>
        </w:rPr>
        <w:t xml:space="preserve">Algorithmic Resource Balancing: </w:t>
      </w:r>
      <w:r>
        <w:rPr>
          <w:rFonts w:ascii="Times New Roman" w:hAnsi="Times New Roman"/>
          <w:color w:val="212529"/>
          <w:sz w:val="22"/>
        </w:rPr>
        <w:t>Implements a mathematical model based on the national 15:1 standard that dynamically calculates sport-weighted capacities and generates objective, bilateral transfer recommendations between surplus and deficit centres.</w:t>
      </w:r>
    </w:p>
    <w:p>
      <w:pPr>
        <w:pStyle w:val="ListBullet"/>
        <w:spacing w:line="288" w:lineRule="auto" w:after="60"/>
        <w:jc w:val="both"/>
      </w:pPr>
      <w:r>
        <w:rPr>
          <w:rFonts w:ascii="Times New Roman" w:hAnsi="Times New Roman"/>
          <w:b/>
          <w:color w:val="113E21"/>
          <w:sz w:val="22"/>
        </w:rPr>
        <w:t xml:space="preserve">Multi-Criteria Facility Matching: </w:t>
      </w:r>
      <w:r>
        <w:rPr>
          <w:rFonts w:ascii="Times New Roman" w:hAnsi="Times New Roman"/>
          <w:color w:val="212529"/>
          <w:sz w:val="22"/>
        </w:rPr>
        <w:t>Replaces guesswork with a 100-point multi-criteria suitability algorithm evaluating discipline offerings (40 pts), geographic proximity (25 pts), performance tier alignment (20 pts), age eligibility (10 pts), and gender facilities (5 pts).</w:t>
      </w:r>
    </w:p>
    <w:p>
      <w:pPr>
        <w:pStyle w:val="ListBullet"/>
        <w:spacing w:line="288" w:lineRule="auto" w:after="60"/>
        <w:jc w:val="both"/>
      </w:pPr>
      <w:r>
        <w:rPr>
          <w:rFonts w:ascii="Times New Roman" w:hAnsi="Times New Roman"/>
          <w:b/>
          <w:color w:val="113E21"/>
          <w:sz w:val="22"/>
        </w:rPr>
        <w:t xml:space="preserve">AI-Powered Live Grounding: </w:t>
      </w:r>
      <w:r>
        <w:rPr>
          <w:rFonts w:ascii="Times New Roman" w:hAnsi="Times New Roman"/>
          <w:color w:val="212529"/>
          <w:sz w:val="22"/>
        </w:rPr>
        <w:t>Integrates Gemini 2.5 Flash with live Google Search grounding to retrieve real-time grassroots and junior tournament fixtures directly from the web.</w:t>
      </w:r>
    </w:p>
    <w:p>
      <w:pPr>
        <w:pStyle w:val="ListBullet"/>
        <w:spacing w:line="288" w:lineRule="auto" w:after="60"/>
        <w:jc w:val="both"/>
      </w:pPr>
      <w:r>
        <w:rPr>
          <w:rFonts w:ascii="Times New Roman" w:hAnsi="Times New Roman"/>
          <w:b/>
          <w:color w:val="113E21"/>
          <w:sz w:val="22"/>
        </w:rPr>
        <w:t xml:space="preserve">High-Throughput In-Memory Architecture: </w:t>
      </w:r>
      <w:r>
        <w:rPr>
          <w:rFonts w:ascii="Times New Roman" w:hAnsi="Times New Roman"/>
          <w:color w:val="212529"/>
          <w:sz w:val="22"/>
        </w:rPr>
        <w:t>Maintains responsive in-memory operations across 7,600+ master athletes and a dedicated 5,000-record emerging women athletes registry without server degradation.</w:t>
      </w:r>
    </w:p>
    <w:p>
      <w:pPr>
        <w:pStyle w:val="ListBullet"/>
        <w:spacing w:line="288" w:lineRule="auto" w:after="60"/>
        <w:jc w:val="both"/>
      </w:pPr>
      <w:r>
        <w:rPr>
          <w:rFonts w:ascii="Times New Roman" w:hAnsi="Times New Roman"/>
          <w:b/>
          <w:color w:val="113E21"/>
          <w:sz w:val="22"/>
        </w:rPr>
        <w:t xml:space="preserve">Modern Enterprise User Experience: </w:t>
      </w:r>
      <w:r>
        <w:rPr>
          <w:rFonts w:ascii="Times New Roman" w:hAnsi="Times New Roman"/>
          <w:color w:val="212529"/>
          <w:sz w:val="22"/>
        </w:rPr>
        <w:t>Features an institutional forest-green and gold design system with empty-focus search states, preventing visual clutter upon initial load.</w:t>
      </w:r>
    </w:p>
    <w:p>
      <w:pPr>
        <w:spacing w:line="276" w:lineRule="auto" w:before="280" w:after="120"/>
      </w:pPr>
      <w:r>
        <w:rPr>
          <w:rFonts w:ascii="Times New Roman" w:hAnsi="Times New Roman"/>
          <w:b/>
          <w:color w:val="1E293B"/>
          <w:sz w:val="26"/>
        </w:rPr>
        <w:t>1.2 Project Statement / Objectives of the Project</w:t>
      </w:r>
    </w:p>
    <w:p>
      <w:pPr>
        <w:spacing w:line="300" w:lineRule="auto" w:after="120"/>
        <w:jc w:val="both"/>
      </w:pPr>
      <w:r>
        <w:rPr>
          <w:rFonts w:ascii="Times New Roman" w:hAnsi="Times New Roman"/>
          <w:i/>
          <w:color w:val="212529"/>
          <w:sz w:val="22"/>
        </w:rPr>
        <w:t>Project Statement: To design, architect, and implement a full-stack, data-driven sports intelligence platform that aggregates grassroots athletic registries, models institutional coaching capacity imbalances using national standards, matches athletes to accredited facilities via multi-criteria proximity scoring, tracks corporate sponsorship pipelines, and discovers live tournament signals through grounded generative AI.</w:t>
      </w:r>
    </w:p>
    <w:p>
      <w:pPr>
        <w:spacing w:line="300" w:lineRule="auto" w:after="120"/>
        <w:jc w:val="both"/>
      </w:pPr>
      <w:r>
        <w:rPr>
          <w:rFonts w:ascii="Times New Roman" w:hAnsi="Times New Roman"/>
          <w:i w:val="0"/>
          <w:color w:val="212529"/>
          <w:sz w:val="22"/>
        </w:rPr>
        <w:t>The primary technical objectives of the project were:</w:t>
      </w:r>
    </w:p>
    <w:p>
      <w:pPr>
        <w:pStyle w:val="ListBullet"/>
        <w:spacing w:line="288" w:lineRule="auto" w:after="60"/>
        <w:jc w:val="both"/>
      </w:pPr>
      <w:r>
        <w:rPr>
          <w:rFonts w:ascii="Times New Roman" w:hAnsi="Times New Roman"/>
          <w:b/>
          <w:color w:val="113E21"/>
          <w:sz w:val="22"/>
        </w:rPr>
        <w:t xml:space="preserve">Objective 1 — Data Ingestion &amp; Sanitization: </w:t>
      </w:r>
      <w:r>
        <w:rPr>
          <w:rFonts w:ascii="Times New Roman" w:hAnsi="Times New Roman"/>
          <w:color w:val="212529"/>
          <w:sz w:val="22"/>
        </w:rPr>
        <w:t>Construct an in-memory analytics pipeline using Python and Pandas capable of sanitizing, normalizing, and joining multi-source athletic rosters containing over 12,000 athlete and coach records.</w:t>
      </w:r>
    </w:p>
    <w:p>
      <w:pPr>
        <w:pStyle w:val="ListBullet"/>
        <w:spacing w:line="288" w:lineRule="auto" w:after="60"/>
        <w:jc w:val="both"/>
      </w:pPr>
      <w:r>
        <w:rPr>
          <w:rFonts w:ascii="Times New Roman" w:hAnsi="Times New Roman"/>
          <w:b/>
          <w:color w:val="113E21"/>
          <w:sz w:val="22"/>
        </w:rPr>
        <w:t xml:space="preserve">Objective 2 — Coach Capacity &amp; Redistribution Engine: </w:t>
      </w:r>
      <w:r>
        <w:rPr>
          <w:rFonts w:ascii="Times New Roman" w:hAnsi="Times New Roman"/>
          <w:color w:val="212529"/>
          <w:sz w:val="22"/>
        </w:rPr>
        <w:t>Formulate a multi-criteria mathematical model that computes sport-specific capacity from total facility infrastructure and recommends automated coach transfers based on the national 15:1 benchmark.</w:t>
      </w:r>
    </w:p>
    <w:p>
      <w:pPr>
        <w:pStyle w:val="ListBullet"/>
        <w:spacing w:line="288" w:lineRule="auto" w:after="60"/>
        <w:jc w:val="both"/>
      </w:pPr>
      <w:r>
        <w:rPr>
          <w:rFonts w:ascii="Times New Roman" w:hAnsi="Times New Roman"/>
          <w:b/>
          <w:color w:val="113E21"/>
          <w:sz w:val="22"/>
        </w:rPr>
        <w:t xml:space="preserve">Objective 3 — Facility Suitability Matching Engine: </w:t>
      </w:r>
      <w:r>
        <w:rPr>
          <w:rFonts w:ascii="Times New Roman" w:hAnsi="Times New Roman"/>
          <w:color w:val="212529"/>
          <w:sz w:val="22"/>
        </w:rPr>
        <w:t>Build a 100-point heuristic scoring algorithm that evaluates facility compatibility against candidate profiles across sport, state proximity, age, tier, and boarding criteria.</w:t>
      </w:r>
    </w:p>
    <w:p>
      <w:pPr>
        <w:pStyle w:val="ListBullet"/>
        <w:spacing w:line="288" w:lineRule="auto" w:after="60"/>
        <w:jc w:val="both"/>
      </w:pPr>
      <w:r>
        <w:rPr>
          <w:rFonts w:ascii="Times New Roman" w:hAnsi="Times New Roman"/>
          <w:b/>
          <w:color w:val="113E21"/>
          <w:sz w:val="22"/>
        </w:rPr>
        <w:t xml:space="preserve">Objective 4 — Interactive Presentation Layer: </w:t>
      </w:r>
      <w:r>
        <w:rPr>
          <w:rFonts w:ascii="Times New Roman" w:hAnsi="Times New Roman"/>
          <w:color w:val="212529"/>
          <w:sz w:val="22"/>
        </w:rPr>
        <w:t>Develop an interactive, multi-module dashboard in Streamlit incorporating custom CSS glassmorphism styling, horizontal single-row navigation, and responsive Plotly visualisations.</w:t>
      </w:r>
    </w:p>
    <w:p>
      <w:pPr>
        <w:pStyle w:val="ListBullet"/>
        <w:spacing w:line="288" w:lineRule="auto" w:after="60"/>
        <w:jc w:val="both"/>
      </w:pPr>
      <w:r>
        <w:rPr>
          <w:rFonts w:ascii="Times New Roman" w:hAnsi="Times New Roman"/>
          <w:b/>
          <w:color w:val="113E21"/>
          <w:sz w:val="22"/>
        </w:rPr>
        <w:t xml:space="preserve">Objective 5 — Real-Time Tournament Discovery: </w:t>
      </w:r>
      <w:r>
        <w:rPr>
          <w:rFonts w:ascii="Times New Roman" w:hAnsi="Times New Roman"/>
          <w:color w:val="212529"/>
          <w:sz w:val="22"/>
        </w:rPr>
        <w:t>Integrate the Google Gemini API with Google Search tool grounding to fetch live tournament schedules, fixture statuses, and state selection trials dynamically.</w:t>
      </w:r>
    </w:p>
    <w:p>
      <w:pPr>
        <w:pStyle w:val="ListBullet"/>
        <w:spacing w:line="288" w:lineRule="auto" w:after="60"/>
        <w:jc w:val="both"/>
      </w:pPr>
      <w:r>
        <w:rPr>
          <w:rFonts w:ascii="Times New Roman" w:hAnsi="Times New Roman"/>
          <w:b/>
          <w:color w:val="113E21"/>
          <w:sz w:val="22"/>
        </w:rPr>
        <w:t xml:space="preserve">Objective 6 — Talent Discovery &amp; Women's Pipeline: </w:t>
      </w:r>
      <w:r>
        <w:rPr>
          <w:rFonts w:ascii="Times New Roman" w:hAnsi="Times New Roman"/>
          <w:color w:val="212529"/>
          <w:sz w:val="22"/>
        </w:rPr>
        <w:t>Establish a master-detail profile directory and a dedicated 5,000-record women's sports pipeline with opportunity scoring and empty-focus search states.</w:t>
      </w:r>
    </w:p>
    <w:p>
      <w:pPr>
        <w:pStyle w:val="ListBullet"/>
        <w:spacing w:line="288" w:lineRule="auto" w:after="60"/>
        <w:jc w:val="both"/>
      </w:pPr>
      <w:r>
        <w:rPr>
          <w:rFonts w:ascii="Times New Roman" w:hAnsi="Times New Roman"/>
          <w:b/>
          <w:color w:val="113E21"/>
          <w:sz w:val="22"/>
        </w:rPr>
        <w:t xml:space="preserve">Objective 7 — Verification &amp; Documentation: </w:t>
      </w:r>
      <w:r>
        <w:rPr>
          <w:rFonts w:ascii="Times New Roman" w:hAnsi="Times New Roman"/>
          <w:color w:val="212529"/>
          <w:sz w:val="22"/>
        </w:rPr>
        <w:t>Validate the platform through 18 rigorous functional test cases covering data filtering, session-state tab redirections, algorithmic edge cases, and UI state synchronization.</w:t>
      </w:r>
    </w:p>
    <w:p>
      <w:pPr>
        <w:spacing w:line="300" w:lineRule="auto" w:after="120"/>
        <w:jc w:val="both"/>
      </w:pPr>
      <w:r>
        <w:rPr>
          <w:rFonts w:ascii="Times New Roman" w:hAnsi="Times New Roman"/>
          <w:b/>
          <w:color w:val="113E21"/>
          <w:sz w:val="22"/>
        </w:rPr>
        <w:t xml:space="preserve">Scope &amp; Boundaries: </w:t>
      </w:r>
      <w:r>
        <w:rPr>
          <w:rFonts w:ascii="Times New Roman" w:hAnsi="Times New Roman"/>
          <w:i w:val="0"/>
          <w:color w:val="212529"/>
          <w:sz w:val="22"/>
        </w:rPr>
        <w:t>Scope. The project encompasses frontend design, algorithmic modeling, in-memory analytical processing, generative AI tool grounding, and comprehensive UI state management. The current scope utilizes structured JSON and CSV flat-file datasets with in-memory caching. Permanent cloud PostgreSQL migration, automated PDF dossier generation, and geocoded Haversine distance computations are documented as future work.</w:t>
      </w:r>
    </w:p>
    <w:p>
      <w:pPr>
        <w:spacing w:line="276" w:lineRule="auto" w:before="280" w:after="120"/>
      </w:pPr>
      <w:r>
        <w:rPr>
          <w:rFonts w:ascii="Times New Roman" w:hAnsi="Times New Roman"/>
          <w:b/>
          <w:color w:val="1E293B"/>
          <w:sz w:val="26"/>
        </w:rPr>
        <w:t>1.3 Organization of Report</w:t>
      </w:r>
    </w:p>
    <w:p>
      <w:pPr>
        <w:spacing w:line="300" w:lineRule="auto" w:after="120"/>
        <w:jc w:val="both"/>
      </w:pPr>
      <w:r>
        <w:rPr>
          <w:rFonts w:ascii="Times New Roman" w:hAnsi="Times New Roman"/>
          <w:i w:val="0"/>
          <w:color w:val="212529"/>
          <w:sz w:val="22"/>
        </w:rPr>
        <w:t>This report is systematically structured into six comprehensive chapters:</w:t>
      </w:r>
    </w:p>
    <w:p>
      <w:pPr>
        <w:pStyle w:val="ListBullet"/>
        <w:spacing w:line="288" w:lineRule="auto" w:after="60"/>
        <w:jc w:val="both"/>
      </w:pPr>
      <w:r>
        <w:rPr>
          <w:rFonts w:ascii="Times New Roman" w:hAnsi="Times New Roman"/>
          <w:b/>
          <w:color w:val="113E21"/>
          <w:sz w:val="22"/>
        </w:rPr>
        <w:t xml:space="preserve">Chapter 1 – Introduction: </w:t>
      </w:r>
      <w:r>
        <w:rPr>
          <w:rFonts w:ascii="Times New Roman" w:hAnsi="Times New Roman"/>
          <w:color w:val="212529"/>
          <w:sz w:val="22"/>
        </w:rPr>
        <w:t>Outlines the motivation, problem context, industrial applications, core advantages, and technical objectives.</w:t>
      </w:r>
    </w:p>
    <w:p>
      <w:pPr>
        <w:pStyle w:val="ListBullet"/>
        <w:spacing w:line="288" w:lineRule="auto" w:after="60"/>
        <w:jc w:val="both"/>
      </w:pPr>
      <w:r>
        <w:rPr>
          <w:rFonts w:ascii="Times New Roman" w:hAnsi="Times New Roman"/>
          <w:b/>
          <w:color w:val="113E21"/>
          <w:sz w:val="22"/>
        </w:rPr>
        <w:t xml:space="preserve">Chapter 2 – Background Material: </w:t>
      </w:r>
      <w:r>
        <w:rPr>
          <w:rFonts w:ascii="Times New Roman" w:hAnsi="Times New Roman"/>
          <w:color w:val="212529"/>
          <w:sz w:val="22"/>
        </w:rPr>
        <w:t>Details the theoretical concepts of sports informatics, resource ratio optimization, multi-criteria decision analysis, and reviews the technology stack.</w:t>
      </w:r>
    </w:p>
    <w:p>
      <w:pPr>
        <w:pStyle w:val="ListBullet"/>
        <w:spacing w:line="288" w:lineRule="auto" w:after="60"/>
        <w:jc w:val="both"/>
      </w:pPr>
      <w:r>
        <w:rPr>
          <w:rFonts w:ascii="Times New Roman" w:hAnsi="Times New Roman"/>
          <w:b/>
          <w:color w:val="113E21"/>
          <w:sz w:val="22"/>
        </w:rPr>
        <w:t xml:space="preserve">Chapter 3 – Methodology: </w:t>
      </w:r>
      <w:r>
        <w:rPr>
          <w:rFonts w:ascii="Times New Roman" w:hAnsi="Times New Roman"/>
          <w:color w:val="212529"/>
          <w:sz w:val="22"/>
        </w:rPr>
        <w:t>Presents the Agile delivery schedule, functional requirement specifications, high-level architecture, flowchart diagrams, and database schemas.</w:t>
      </w:r>
    </w:p>
    <w:p>
      <w:pPr>
        <w:pStyle w:val="ListBullet"/>
        <w:spacing w:line="288" w:lineRule="auto" w:after="60"/>
        <w:jc w:val="both"/>
      </w:pPr>
      <w:r>
        <w:rPr>
          <w:rFonts w:ascii="Times New Roman" w:hAnsi="Times New Roman"/>
          <w:b/>
          <w:color w:val="113E21"/>
          <w:sz w:val="22"/>
        </w:rPr>
        <w:t xml:space="preserve">Chapter 4 – Implementation: </w:t>
      </w:r>
      <w:r>
        <w:rPr>
          <w:rFonts w:ascii="Times New Roman" w:hAnsi="Times New Roman"/>
          <w:color w:val="212529"/>
          <w:sz w:val="22"/>
        </w:rPr>
        <w:t>Elaborates on the modular implementation of each platform engine, custom CSS design systems, session-state management, and prototype execution.</w:t>
      </w:r>
    </w:p>
    <w:p>
      <w:pPr>
        <w:pStyle w:val="ListBullet"/>
        <w:spacing w:line="288" w:lineRule="auto" w:after="60"/>
        <w:jc w:val="both"/>
      </w:pPr>
      <w:r>
        <w:rPr>
          <w:rFonts w:ascii="Times New Roman" w:hAnsi="Times New Roman"/>
          <w:b/>
          <w:color w:val="113E21"/>
          <w:sz w:val="22"/>
        </w:rPr>
        <w:t xml:space="preserve">Chapter 5 – Results and Analysis: </w:t>
      </w:r>
      <w:r>
        <w:rPr>
          <w:rFonts w:ascii="Times New Roman" w:hAnsi="Times New Roman"/>
          <w:color w:val="212529"/>
          <w:sz w:val="22"/>
        </w:rPr>
        <w:t>Details the testing approach, test execution table, outcome mapping, quantitative metrics, technical challenges, and known limitations.</w:t>
      </w:r>
    </w:p>
    <w:p>
      <w:pPr>
        <w:pStyle w:val="ListBullet"/>
        <w:spacing w:line="288" w:lineRule="auto" w:after="60"/>
        <w:jc w:val="both"/>
      </w:pPr>
      <w:r>
        <w:rPr>
          <w:rFonts w:ascii="Times New Roman" w:hAnsi="Times New Roman"/>
          <w:b/>
          <w:color w:val="113E21"/>
          <w:sz w:val="22"/>
        </w:rPr>
        <w:t xml:space="preserve">Chapter 6 – Conclusions &amp; Future Scope: </w:t>
      </w:r>
      <w:r>
        <w:rPr>
          <w:rFonts w:ascii="Times New Roman" w:hAnsi="Times New Roman"/>
          <w:color w:val="212529"/>
          <w:sz w:val="22"/>
        </w:rPr>
        <w:t>Synthesizes the core conclusions of the project and outlines a production migration roadmap.</w:t>
      </w:r>
    </w:p>
    <w:p>
      <w:pPr>
        <w:pStyle w:val="ListBullet"/>
        <w:spacing w:line="288" w:lineRule="auto" w:after="60"/>
        <w:jc w:val="both"/>
      </w:pPr>
      <w:r>
        <w:rPr>
          <w:rFonts w:ascii="Times New Roman" w:hAnsi="Times New Roman"/>
          <w:b/>
          <w:color w:val="113E21"/>
          <w:sz w:val="22"/>
        </w:rPr>
        <w:t xml:space="preserve">References &amp; Annexures: </w:t>
      </w:r>
      <w:r>
        <w:rPr>
          <w:rFonts w:ascii="Times New Roman" w:hAnsi="Times New Roman"/>
          <w:color w:val="212529"/>
          <w:sz w:val="22"/>
        </w:rPr>
        <w:t>Contains IEEE academic references, directory folder structures, core mathematical code snippets, and environment configurations.</w:t>
      </w:r>
    </w:p>
    <w:p>
      <w:r>
        <w:br w:type="page"/>
      </w:r>
    </w:p>
    <w:p>
      <w:pPr>
        <w:spacing w:line="276" w:lineRule="auto" w:before="360" w:after="160"/>
      </w:pPr>
      <w:r>
        <w:rPr>
          <w:rFonts w:ascii="Times New Roman" w:hAnsi="Times New Roman"/>
          <w:b/>
          <w:color w:val="113E21"/>
          <w:sz w:val="32"/>
        </w:rPr>
        <w:t>CHAPTER 2: BACKGROUND MATERIAL</w:t>
      </w:r>
    </w:p>
    <w:p>
      <w:pPr>
        <w:spacing w:line="276" w:lineRule="auto" w:before="280" w:after="120"/>
      </w:pPr>
      <w:r>
        <w:rPr>
          <w:rFonts w:ascii="Times New Roman" w:hAnsi="Times New Roman"/>
          <w:b/>
          <w:color w:val="1E293B"/>
          <w:sz w:val="26"/>
        </w:rPr>
        <w:t>2.1 Conceptual Overview (Concepts/Theory Used)</w:t>
      </w:r>
    </w:p>
    <w:p>
      <w:pPr>
        <w:spacing w:line="300" w:lineRule="auto" w:after="120"/>
        <w:jc w:val="both"/>
      </w:pPr>
      <w:r>
        <w:rPr>
          <w:rFonts w:ascii="Times New Roman" w:hAnsi="Times New Roman"/>
          <w:i w:val="0"/>
          <w:color w:val="212529"/>
          <w:sz w:val="22"/>
        </w:rPr>
        <w:t>The architecture of AthletIQ synthesizes principles from sports informatics, operations research, multi-criteria decision analysis (MCDA), and modern reactive web engineering. This section outlines the theoretical paradigms underpinning the platform:</w:t>
      </w:r>
    </w:p>
    <w:p>
      <w:pPr>
        <w:spacing w:line="300" w:lineRule="auto" w:after="120"/>
        <w:jc w:val="both"/>
      </w:pPr>
      <w:r>
        <w:rPr>
          <w:rFonts w:ascii="Times New Roman" w:hAnsi="Times New Roman"/>
          <w:b/>
          <w:color w:val="113E21"/>
          <w:sz w:val="22"/>
        </w:rPr>
        <w:t xml:space="preserve">1. Sports Informatics: </w:t>
      </w:r>
      <w:r>
        <w:rPr>
          <w:rFonts w:ascii="Times New Roman" w:hAnsi="Times New Roman"/>
          <w:i w:val="0"/>
          <w:color w:val="212529"/>
          <w:sz w:val="22"/>
        </w:rPr>
        <w:t>1. Sports Informatics and Athlete Pathway Modeling</w:t>
      </w:r>
    </w:p>
    <w:p>
      <w:pPr>
        <w:spacing w:line="300" w:lineRule="auto" w:after="120"/>
        <w:jc w:val="both"/>
      </w:pPr>
      <w:r>
        <w:rPr>
          <w:rFonts w:ascii="Times New Roman" w:hAnsi="Times New Roman"/>
          <w:i w:val="0"/>
          <w:color w:val="212529"/>
          <w:sz w:val="22"/>
        </w:rPr>
        <w:t>Sports informatics is an interdisciplinary domain combining computer science, data analytics, and physiological tracking to optimize sports performance and organizational workflows. In grassroots talent development, an athlete progresses along a multi-stage funnel: Grassroots Identification -&gt; District/State Nurseries -&gt; National Youth Rosters -&gt; Target Olympic Podium Scheme (TOPS). AthletIQ structures this funnel computationally, transforming qualitative scouting observations and tournament results into normalized metrics.</w:t>
      </w:r>
    </w:p>
    <w:p>
      <w:pPr>
        <w:spacing w:line="300" w:lineRule="auto" w:after="120"/>
        <w:jc w:val="both"/>
      </w:pPr>
      <w:r>
        <w:rPr>
          <w:rFonts w:ascii="Times New Roman" w:hAnsi="Times New Roman"/>
          <w:b/>
          <w:color w:val="113E21"/>
          <w:sz w:val="22"/>
        </w:rPr>
        <w:t xml:space="preserve">2. Resource Ratio Optimization: </w:t>
      </w:r>
      <w:r>
        <w:rPr>
          <w:rFonts w:ascii="Times New Roman" w:hAnsi="Times New Roman"/>
          <w:i w:val="0"/>
          <w:color w:val="212529"/>
          <w:sz w:val="22"/>
        </w:rPr>
        <w:t>2. Human Resource Balancing and Ratio Optimization</w:t>
      </w:r>
    </w:p>
    <w:p>
      <w:pPr>
        <w:spacing w:line="300" w:lineRule="auto" w:after="120"/>
        <w:jc w:val="both"/>
      </w:pPr>
      <w:r>
        <w:rPr>
          <w:rFonts w:ascii="Times New Roman" w:hAnsi="Times New Roman"/>
          <w:i w:val="0"/>
          <w:color w:val="212529"/>
          <w:sz w:val="22"/>
        </w:rPr>
        <w:t>In physical training, the athlete-to-coach ratio directly determines technical instruction fidelity, injury prevention, and tactical conditioning. Sports bodies universally recognize that specialized Olympic disciplines (e.g., Gymnastics, Archery, Wrestling) require low athlete-to-coach ratios compared to broad recreational sports. AthletIQ operationalizes the official Sports Authority of India (SAI) benchmark of 15:1. When institutional staffing deviates from this threshold, the system mathematically calculates capacity strains and formulates compensatory transfers.</w:t>
      </w:r>
    </w:p>
    <w:p>
      <w:pPr>
        <w:spacing w:line="300" w:lineRule="auto" w:after="120"/>
        <w:jc w:val="both"/>
      </w:pPr>
      <w:r>
        <w:rPr>
          <w:rFonts w:ascii="Times New Roman" w:hAnsi="Times New Roman"/>
          <w:b/>
          <w:color w:val="113E21"/>
          <w:sz w:val="22"/>
        </w:rPr>
        <w:t xml:space="preserve">3. Multi-Criteria Decision Analysis: </w:t>
      </w:r>
      <w:r>
        <w:rPr>
          <w:rFonts w:ascii="Times New Roman" w:hAnsi="Times New Roman"/>
          <w:i w:val="0"/>
          <w:color w:val="212529"/>
          <w:sz w:val="22"/>
        </w:rPr>
        <w:t>3. Multi-Criteria Decision Analysis (MCDA)</w:t>
      </w:r>
    </w:p>
    <w:p>
      <w:pPr>
        <w:spacing w:line="300" w:lineRule="auto" w:after="120"/>
        <w:jc w:val="both"/>
      </w:pPr>
      <w:r>
        <w:rPr>
          <w:rFonts w:ascii="Times New Roman" w:hAnsi="Times New Roman"/>
          <w:i w:val="0"/>
          <w:color w:val="212529"/>
          <w:sz w:val="22"/>
        </w:rPr>
        <w:t>Recommending an accredited training academy to an emerging athlete is a complex multi-criteria decision problem involving non-linear trade-offs between discipline availability, logistical travel distance, competitive caliber, and chronological eligibility. AthletIQ implements a weighted linear scoring model that evaluates candidates across five distinct dimensions, mapping multi-factorial attributes to a normalized 0–100 suitability index.</w:t>
      </w:r>
    </w:p>
    <w:p>
      <w:pPr>
        <w:spacing w:line="300" w:lineRule="auto" w:after="120"/>
        <w:jc w:val="both"/>
      </w:pPr>
      <w:r>
        <w:rPr>
          <w:rFonts w:ascii="Times New Roman" w:hAnsi="Times New Roman"/>
          <w:b/>
          <w:color w:val="113E21"/>
          <w:sz w:val="22"/>
        </w:rPr>
        <w:t xml:space="preserve">4. In-Memory Data Processing: </w:t>
      </w:r>
      <w:r>
        <w:rPr>
          <w:rFonts w:ascii="Times New Roman" w:hAnsi="Times New Roman"/>
          <w:i w:val="0"/>
          <w:color w:val="212529"/>
          <w:sz w:val="22"/>
        </w:rPr>
        <w:t>4. In-Memory Analytical Processing</w:t>
      </w:r>
    </w:p>
    <w:p>
      <w:pPr>
        <w:spacing w:line="300" w:lineRule="auto" w:after="120"/>
        <w:jc w:val="both"/>
      </w:pPr>
      <w:r>
        <w:rPr>
          <w:rFonts w:ascii="Times New Roman" w:hAnsi="Times New Roman"/>
          <w:i w:val="0"/>
          <w:color w:val="212529"/>
          <w:sz w:val="22"/>
        </w:rPr>
        <w:t>Traditional relational databases often introduce I/O latency when executing complex multi-column filter operations across thousands of records during live interactive dashboard sessions. By utilizing in-memory columnar structures via Pandas DataFrames coupled with Streamlit's @st.cache_data decorators, AthletIQ achieves sub-50-millisecond query responses across complex joins of athlete, coach, and facility registries.</w:t>
      </w:r>
    </w:p>
    <w:p>
      <w:pPr>
        <w:spacing w:line="300" w:lineRule="auto" w:after="120"/>
        <w:jc w:val="both"/>
      </w:pPr>
      <w:r>
        <w:rPr>
          <w:rFonts w:ascii="Times New Roman" w:hAnsi="Times New Roman"/>
          <w:b/>
          <w:color w:val="113E21"/>
          <w:sz w:val="22"/>
        </w:rPr>
        <w:t xml:space="preserve">5. Tool-Grounded Generative AI: </w:t>
      </w:r>
      <w:r>
        <w:rPr>
          <w:rFonts w:ascii="Times New Roman" w:hAnsi="Times New Roman"/>
          <w:i w:val="0"/>
          <w:color w:val="212529"/>
          <w:sz w:val="22"/>
        </w:rPr>
        <w:t>5. Generative AI Tool Grounding</w:t>
      </w:r>
    </w:p>
    <w:p>
      <w:pPr>
        <w:spacing w:line="300" w:lineRule="auto" w:after="120"/>
        <w:jc w:val="both"/>
      </w:pPr>
      <w:r>
        <w:rPr>
          <w:rFonts w:ascii="Times New Roman" w:hAnsi="Times New Roman"/>
          <w:i w:val="0"/>
          <w:color w:val="212529"/>
          <w:sz w:val="22"/>
        </w:rPr>
        <w:t>Large Language Models (LLMs) frequently suffer from factual hallucinations and temporal obsolescence when queried on real-time event schedules. To overcome this, AthletIQ employs tool grounding via the Google GenAI SDK, pairing Gemini 2.5 Flash with the GoogleSearch() retrieval tool. The model dynamically browses live sports federation portals, extracts current tournament fixtures, and formats them into strict JSON schemas.</w:t>
      </w:r>
    </w:p>
    <w:p>
      <w:pPr>
        <w:spacing w:line="300" w:lineRule="auto" w:after="120"/>
        <w:jc w:val="both"/>
      </w:pPr>
      <w:r>
        <w:rPr>
          <w:rFonts w:ascii="Times New Roman" w:hAnsi="Times New Roman"/>
          <w:b/>
          <w:color w:val="113E21"/>
          <w:sz w:val="22"/>
        </w:rPr>
        <w:t xml:space="preserve">6. UI State Management: </w:t>
      </w:r>
      <w:r>
        <w:rPr>
          <w:rFonts w:ascii="Times New Roman" w:hAnsi="Times New Roman"/>
          <w:i w:val="0"/>
          <w:color w:val="212529"/>
          <w:sz w:val="22"/>
        </w:rPr>
        <w:t>6. Reactive UI State Management and Routing</w:t>
      </w:r>
    </w:p>
    <w:p>
      <w:pPr>
        <w:spacing w:line="300" w:lineRule="auto" w:after="120"/>
        <w:jc w:val="both"/>
      </w:pPr>
      <w:r>
        <w:rPr>
          <w:rFonts w:ascii="Times New Roman" w:hAnsi="Times New Roman"/>
          <w:i w:val="0"/>
          <w:color w:val="212529"/>
          <w:sz w:val="22"/>
        </w:rPr>
        <w:t>Streamlit follows an execution model where user interactions trigger a script re-run from top to bottom. Managing multi-tab workflows, programmatic cross-tab redirections (e.g., clicking a state nursery card to filter the profile registry), and preserving input states requires rigorous management of Streamlit's st.session_state machine.</w:t>
      </w:r>
    </w:p>
    <w:p>
      <w:pPr>
        <w:spacing w:line="300" w:lineRule="auto" w:after="120"/>
        <w:jc w:val="both"/>
      </w:pPr>
      <w:r>
        <w:rPr>
          <w:rFonts w:ascii="Times New Roman" w:hAnsi="Times New Roman"/>
          <w:b/>
          <w:color w:val="113E21"/>
          <w:sz w:val="22"/>
        </w:rPr>
        <w:t xml:space="preserve">7. Empty-Focus Search: </w:t>
      </w:r>
      <w:r>
        <w:rPr>
          <w:rFonts w:ascii="Times New Roman" w:hAnsi="Times New Roman"/>
          <w:i w:val="0"/>
          <w:color w:val="212529"/>
          <w:sz w:val="22"/>
        </w:rPr>
        <w:t>7. Empty-Focus Search Paradigm</w:t>
      </w:r>
    </w:p>
    <w:p>
      <w:pPr>
        <w:spacing w:line="300" w:lineRule="auto" w:after="120"/>
        <w:jc w:val="both"/>
      </w:pPr>
      <w:r>
        <w:rPr>
          <w:rFonts w:ascii="Times New Roman" w:hAnsi="Times New Roman"/>
          <w:i w:val="0"/>
          <w:color w:val="212529"/>
          <w:sz w:val="22"/>
        </w:rPr>
        <w:t>Enterprise data discovery tools must prevent visual cognitive overload. Pre-populating tables with thousands of unfiltered records slows client rendering and forces users to manually clear unwanted default selections. AthletIQ adopts the modern index=None selectbox design pattern, displaying clean placeholder prompts and rendering profile grids only upon deliberate user query execution.</w:t>
      </w:r>
    </w:p>
    <w:p>
      <w:pPr>
        <w:spacing w:line="300" w:lineRule="auto" w:after="120"/>
        <w:jc w:val="both"/>
      </w:pPr>
      <w:r>
        <w:rPr>
          <w:rFonts w:ascii="Times New Roman" w:hAnsi="Times New Roman"/>
          <w:b/>
          <w:color w:val="113E21"/>
          <w:sz w:val="22"/>
        </w:rPr>
        <w:t xml:space="preserve">8. Institutional Design Systems: </w:t>
      </w:r>
      <w:r>
        <w:rPr>
          <w:rFonts w:ascii="Times New Roman" w:hAnsi="Times New Roman"/>
          <w:i w:val="0"/>
          <w:color w:val="212529"/>
          <w:sz w:val="22"/>
        </w:rPr>
        <w:t>8. Glassmorphism and Institutional Design Systems</w:t>
      </w:r>
    </w:p>
    <w:p>
      <w:pPr>
        <w:spacing w:line="300" w:lineRule="auto" w:after="120"/>
        <w:jc w:val="both"/>
      </w:pPr>
      <w:r>
        <w:rPr>
          <w:rFonts w:ascii="Times New Roman" w:hAnsi="Times New Roman"/>
          <w:i w:val="0"/>
          <w:color w:val="212529"/>
          <w:sz w:val="22"/>
        </w:rPr>
        <w:t>Public sector and sports administration applications require clean visual hierarchies. AthletIQ utilizes a custom CSS design system combining Fraunces (an editorial serif), Inter (a clean sans-serif), and IBM Plex Mono (a technical monospace), tied together by an institutional forest green (#113E21), warm gold (#B38B59), and soft slate palette.</w:t>
      </w:r>
    </w:p>
    <w:p>
      <w:pPr>
        <w:spacing w:line="300" w:lineRule="auto" w:after="120"/>
        <w:jc w:val="both"/>
      </w:pPr>
      <w:r>
        <w:rPr>
          <w:rFonts w:ascii="Times New Roman" w:hAnsi="Times New Roman"/>
          <w:b/>
          <w:color w:val="113E21"/>
          <w:sz w:val="22"/>
        </w:rPr>
        <w:t xml:space="preserve">9. Women's Opportunity Scoring: </w:t>
      </w:r>
      <w:r>
        <w:rPr>
          <w:rFonts w:ascii="Times New Roman" w:hAnsi="Times New Roman"/>
          <w:i w:val="0"/>
          <w:color w:val="212529"/>
          <w:sz w:val="22"/>
        </w:rPr>
        <w:t>9. Opportunity Scoring in Women's Athletics</w:t>
      </w:r>
    </w:p>
    <w:p>
      <w:pPr>
        <w:spacing w:line="300" w:lineRule="auto" w:after="120"/>
        <w:jc w:val="both"/>
      </w:pPr>
      <w:r>
        <w:rPr>
          <w:rFonts w:ascii="Times New Roman" w:hAnsi="Times New Roman"/>
          <w:i w:val="0"/>
          <w:color w:val="212529"/>
          <w:sz w:val="22"/>
        </w:rPr>
        <w:t>Emerging women athletes in grassroots academies often demonstrate exceptional physical and tactical upside but suffer from acute funding deficits. AthletIQ introduces a composite Opportunity Score (scale 1.0 to 10.0) combining current performance level, age trajectory, and funding status to identify high-leverage sponsorship investments.</w:t>
      </w:r>
    </w:p>
    <w:p>
      <w:pPr>
        <w:spacing w:line="276" w:lineRule="auto" w:before="280" w:after="120"/>
      </w:pPr>
      <w:r>
        <w:rPr>
          <w:rFonts w:ascii="Times New Roman" w:hAnsi="Times New Roman"/>
          <w:b/>
          <w:color w:val="1E293B"/>
          <w:sz w:val="26"/>
        </w:rPr>
        <w:t>2.2 Technologies Involved</w:t>
      </w:r>
    </w:p>
    <w:p>
      <w:pPr>
        <w:spacing w:line="300" w:lineRule="auto" w:after="120"/>
        <w:jc w:val="both"/>
      </w:pPr>
      <w:r>
        <w:rPr>
          <w:rFonts w:ascii="Times New Roman" w:hAnsi="Times New Roman"/>
          <w:i w:val="0"/>
          <w:color w:val="212529"/>
          <w:sz w:val="22"/>
        </w:rPr>
        <w:t>The technical architecture of AthletIQ leverages a modern Python-based ecosystem. Table 2.1 details the specific technologies, libraries, and their architectural roles: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113E21"/>
          </w:tcPr>
          <w:p>
            <w:pPr>
              <w:spacing w:before="80" w:after="80"/>
              <w:jc w:val="left"/>
            </w:pPr>
            <w:r>
              <w:rPr>
                <w:rFonts w:ascii="Times New Roman" w:hAnsi="Times New Roman"/>
                <w:b/>
                <w:color w:val="FFFFFF"/>
                <w:sz w:val="20"/>
              </w:rPr>
              <w:t>Technology</w:t>
            </w:r>
          </w:p>
        </w:tc>
        <w:tc>
          <w:tcPr>
            <w:tcW w:type="dxa" w:w="2592"/>
            <w:shd w:val="clear" w:color="auto" w:fill="113E21"/>
          </w:tcPr>
          <w:p>
            <w:pPr>
              <w:spacing w:before="80" w:after="80"/>
              <w:jc w:val="left"/>
            </w:pPr>
            <w:r>
              <w:rPr>
                <w:rFonts w:ascii="Times New Roman" w:hAnsi="Times New Roman"/>
                <w:b/>
                <w:color w:val="FFFFFF"/>
                <w:sz w:val="20"/>
              </w:rPr>
              <w:t>Layer</w:t>
            </w:r>
          </w:p>
        </w:tc>
        <w:tc>
          <w:tcPr>
            <w:tcW w:type="dxa" w:w="4608"/>
            <w:shd w:val="clear" w:color="auto" w:fill="113E21"/>
          </w:tcPr>
          <w:p>
            <w:pPr>
              <w:spacing w:before="80" w:after="80"/>
              <w:jc w:val="left"/>
            </w:pPr>
            <w:r>
              <w:rPr>
                <w:rFonts w:ascii="Times New Roman" w:hAnsi="Times New Roman"/>
                <w:b/>
                <w:color w:val="FFFFFF"/>
                <w:sz w:val="20"/>
              </w:rPr>
              <w:t>Purpose &amp; Role in AthletIQ</w:t>
            </w:r>
          </w:p>
        </w:tc>
      </w:tr>
      <w:tr>
        <w:tc>
          <w:tcPr>
            <w:tcW w:type="dxa" w:w="2160"/>
            <w:shd w:val="clear" w:color="auto" w:fill="FFFFFF"/>
          </w:tcPr>
          <w:p>
            <w:pPr>
              <w:spacing w:before="60" w:after="60"/>
              <w:jc w:val="left"/>
            </w:pPr>
            <w:r>
              <w:rPr>
                <w:rFonts w:ascii="Times New Roman" w:hAnsi="Times New Roman"/>
                <w:color w:val="212529"/>
                <w:sz w:val="19"/>
              </w:rPr>
              <w:t>Python 3.10+</w:t>
            </w:r>
          </w:p>
        </w:tc>
        <w:tc>
          <w:tcPr>
            <w:tcW w:type="dxa" w:w="2592"/>
            <w:shd w:val="clear" w:color="auto" w:fill="FFFFFF"/>
          </w:tcPr>
          <w:p>
            <w:pPr>
              <w:spacing w:before="60" w:after="60"/>
              <w:jc w:val="left"/>
            </w:pPr>
            <w:r>
              <w:rPr>
                <w:rFonts w:ascii="Times New Roman" w:hAnsi="Times New Roman"/>
                <w:color w:val="212529"/>
                <w:sz w:val="19"/>
              </w:rPr>
              <w:t>Programming Language</w:t>
            </w:r>
          </w:p>
        </w:tc>
        <w:tc>
          <w:tcPr>
            <w:tcW w:type="dxa" w:w="4608"/>
            <w:shd w:val="clear" w:color="auto" w:fill="FFFFFF"/>
          </w:tcPr>
          <w:p>
            <w:pPr>
              <w:spacing w:before="60" w:after="60"/>
              <w:jc w:val="left"/>
            </w:pPr>
            <w:r>
              <w:rPr>
                <w:rFonts w:ascii="Times New Roman" w:hAnsi="Times New Roman"/>
                <w:color w:val="212529"/>
                <w:sz w:val="19"/>
              </w:rPr>
              <w:t>Underlying language executing data transformations, mathematical modeling, and AI pipelines.</w:t>
            </w:r>
          </w:p>
        </w:tc>
      </w:tr>
      <w:tr>
        <w:tc>
          <w:tcPr>
            <w:tcW w:type="dxa" w:w="2160"/>
            <w:shd w:val="clear" w:color="auto" w:fill="F8FAF9"/>
          </w:tcPr>
          <w:p>
            <w:pPr>
              <w:spacing w:before="60" w:after="60"/>
              <w:jc w:val="left"/>
            </w:pPr>
            <w:r>
              <w:rPr>
                <w:rFonts w:ascii="Times New Roman" w:hAnsi="Times New Roman"/>
                <w:color w:val="212529"/>
                <w:sz w:val="19"/>
              </w:rPr>
              <w:t>Streamlit 1.53+</w:t>
            </w:r>
          </w:p>
        </w:tc>
        <w:tc>
          <w:tcPr>
            <w:tcW w:type="dxa" w:w="2592"/>
            <w:shd w:val="clear" w:color="auto" w:fill="F8FAF9"/>
          </w:tcPr>
          <w:p>
            <w:pPr>
              <w:spacing w:before="60" w:after="60"/>
              <w:jc w:val="left"/>
            </w:pPr>
            <w:r>
              <w:rPr>
                <w:rFonts w:ascii="Times New Roman" w:hAnsi="Times New Roman"/>
                <w:color w:val="212529"/>
                <w:sz w:val="19"/>
              </w:rPr>
              <w:t>Application Framework</w:t>
            </w:r>
          </w:p>
        </w:tc>
        <w:tc>
          <w:tcPr>
            <w:tcW w:type="dxa" w:w="4608"/>
            <w:shd w:val="clear" w:color="auto" w:fill="F8FAF9"/>
          </w:tcPr>
          <w:p>
            <w:pPr>
              <w:spacing w:before="60" w:after="60"/>
              <w:jc w:val="left"/>
            </w:pPr>
            <w:r>
              <w:rPr>
                <w:rFonts w:ascii="Times New Roman" w:hAnsi="Times New Roman"/>
                <w:color w:val="212529"/>
                <w:sz w:val="19"/>
              </w:rPr>
              <w:t>Provides the reactive single-page dashboard architecture, component routing, and session state.</w:t>
            </w:r>
          </w:p>
        </w:tc>
      </w:tr>
      <w:tr>
        <w:tc>
          <w:tcPr>
            <w:tcW w:type="dxa" w:w="2160"/>
            <w:shd w:val="clear" w:color="auto" w:fill="FFFFFF"/>
          </w:tcPr>
          <w:p>
            <w:pPr>
              <w:spacing w:before="60" w:after="60"/>
              <w:jc w:val="left"/>
            </w:pPr>
            <w:r>
              <w:rPr>
                <w:rFonts w:ascii="Times New Roman" w:hAnsi="Times New Roman"/>
                <w:color w:val="212529"/>
                <w:sz w:val="19"/>
              </w:rPr>
              <w:t>Pandas 2.2+</w:t>
            </w:r>
          </w:p>
        </w:tc>
        <w:tc>
          <w:tcPr>
            <w:tcW w:type="dxa" w:w="2592"/>
            <w:shd w:val="clear" w:color="auto" w:fill="FFFFFF"/>
          </w:tcPr>
          <w:p>
            <w:pPr>
              <w:spacing w:before="60" w:after="60"/>
              <w:jc w:val="left"/>
            </w:pPr>
            <w:r>
              <w:rPr>
                <w:rFonts w:ascii="Times New Roman" w:hAnsi="Times New Roman"/>
                <w:color w:val="212529"/>
                <w:sz w:val="19"/>
              </w:rPr>
              <w:t>Data Analysis Engine</w:t>
            </w:r>
          </w:p>
        </w:tc>
        <w:tc>
          <w:tcPr>
            <w:tcW w:type="dxa" w:w="4608"/>
            <w:shd w:val="clear" w:color="auto" w:fill="FFFFFF"/>
          </w:tcPr>
          <w:p>
            <w:pPr>
              <w:spacing w:before="60" w:after="60"/>
              <w:jc w:val="left"/>
            </w:pPr>
            <w:r>
              <w:rPr>
                <w:rFonts w:ascii="Times New Roman" w:hAnsi="Times New Roman"/>
                <w:color w:val="212529"/>
                <w:sz w:val="19"/>
              </w:rPr>
              <w:t>Executes in-memory tabular joins, columnar filtering, aggregations, and schema sanitization.</w:t>
            </w:r>
          </w:p>
        </w:tc>
      </w:tr>
      <w:tr>
        <w:tc>
          <w:tcPr>
            <w:tcW w:type="dxa" w:w="2160"/>
            <w:shd w:val="clear" w:color="auto" w:fill="F8FAF9"/>
          </w:tcPr>
          <w:p>
            <w:pPr>
              <w:spacing w:before="60" w:after="60"/>
              <w:jc w:val="left"/>
            </w:pPr>
            <w:r>
              <w:rPr>
                <w:rFonts w:ascii="Times New Roman" w:hAnsi="Times New Roman"/>
                <w:color w:val="212529"/>
                <w:sz w:val="19"/>
              </w:rPr>
              <w:t>Plotly Express</w:t>
            </w:r>
          </w:p>
        </w:tc>
        <w:tc>
          <w:tcPr>
            <w:tcW w:type="dxa" w:w="2592"/>
            <w:shd w:val="clear" w:color="auto" w:fill="F8FAF9"/>
          </w:tcPr>
          <w:p>
            <w:pPr>
              <w:spacing w:before="60" w:after="60"/>
              <w:jc w:val="left"/>
            </w:pPr>
            <w:r>
              <w:rPr>
                <w:rFonts w:ascii="Times New Roman" w:hAnsi="Times New Roman"/>
                <w:color w:val="212529"/>
                <w:sz w:val="19"/>
              </w:rPr>
              <w:t>Visualization Library</w:t>
            </w:r>
          </w:p>
        </w:tc>
        <w:tc>
          <w:tcPr>
            <w:tcW w:type="dxa" w:w="4608"/>
            <w:shd w:val="clear" w:color="auto" w:fill="F8FAF9"/>
          </w:tcPr>
          <w:p>
            <w:pPr>
              <w:spacing w:before="60" w:after="60"/>
              <w:jc w:val="left"/>
            </w:pPr>
            <w:r>
              <w:rPr>
                <w:rFonts w:ascii="Times New Roman" w:hAnsi="Times New Roman"/>
                <w:color w:val="212529"/>
                <w:sz w:val="19"/>
              </w:rPr>
              <w:t>Renders interactive geospatial choropleth maps, radar charts, and comparative distributions.</w:t>
            </w:r>
          </w:p>
        </w:tc>
      </w:tr>
      <w:tr>
        <w:tc>
          <w:tcPr>
            <w:tcW w:type="dxa" w:w="2160"/>
            <w:shd w:val="clear" w:color="auto" w:fill="FFFFFF"/>
          </w:tcPr>
          <w:p>
            <w:pPr>
              <w:spacing w:before="60" w:after="60"/>
              <w:jc w:val="left"/>
            </w:pPr>
            <w:r>
              <w:rPr>
                <w:rFonts w:ascii="Times New Roman" w:hAnsi="Times New Roman"/>
                <w:color w:val="212529"/>
                <w:sz w:val="19"/>
              </w:rPr>
              <w:t>Google GenAI SDK</w:t>
            </w:r>
          </w:p>
        </w:tc>
        <w:tc>
          <w:tcPr>
            <w:tcW w:type="dxa" w:w="2592"/>
            <w:shd w:val="clear" w:color="auto" w:fill="FFFFFF"/>
          </w:tcPr>
          <w:p>
            <w:pPr>
              <w:spacing w:before="60" w:after="60"/>
              <w:jc w:val="left"/>
            </w:pPr>
            <w:r>
              <w:rPr>
                <w:rFonts w:ascii="Times New Roman" w:hAnsi="Times New Roman"/>
                <w:color w:val="212529"/>
                <w:sz w:val="19"/>
              </w:rPr>
              <w:t>Generative AI Integration</w:t>
            </w:r>
          </w:p>
        </w:tc>
        <w:tc>
          <w:tcPr>
            <w:tcW w:type="dxa" w:w="4608"/>
            <w:shd w:val="clear" w:color="auto" w:fill="FFFFFF"/>
          </w:tcPr>
          <w:p>
            <w:pPr>
              <w:spacing w:before="60" w:after="60"/>
              <w:jc w:val="left"/>
            </w:pPr>
            <w:r>
              <w:rPr>
                <w:rFonts w:ascii="Times New Roman" w:hAnsi="Times New Roman"/>
                <w:color w:val="212529"/>
                <w:sz w:val="19"/>
              </w:rPr>
              <w:t>Interfaces with Gemini 2.5 Flash models to execute grounded search retrieval of live sports events.</w:t>
            </w:r>
          </w:p>
        </w:tc>
      </w:tr>
      <w:tr>
        <w:tc>
          <w:tcPr>
            <w:tcW w:type="dxa" w:w="2160"/>
            <w:shd w:val="clear" w:color="auto" w:fill="F8FAF9"/>
          </w:tcPr>
          <w:p>
            <w:pPr>
              <w:spacing w:before="60" w:after="60"/>
              <w:jc w:val="left"/>
            </w:pPr>
            <w:r>
              <w:rPr>
                <w:rFonts w:ascii="Times New Roman" w:hAnsi="Times New Roman"/>
                <w:color w:val="212529"/>
                <w:sz w:val="19"/>
              </w:rPr>
              <w:t>Custom CSS3</w:t>
            </w:r>
          </w:p>
        </w:tc>
        <w:tc>
          <w:tcPr>
            <w:tcW w:type="dxa" w:w="2592"/>
            <w:shd w:val="clear" w:color="auto" w:fill="F8FAF9"/>
          </w:tcPr>
          <w:p>
            <w:pPr>
              <w:spacing w:before="60" w:after="60"/>
              <w:jc w:val="left"/>
            </w:pPr>
            <w:r>
              <w:rPr>
                <w:rFonts w:ascii="Times New Roman" w:hAnsi="Times New Roman"/>
                <w:color w:val="212529"/>
                <w:sz w:val="19"/>
              </w:rPr>
              <w:t>Styling Engine</w:t>
            </w:r>
          </w:p>
        </w:tc>
        <w:tc>
          <w:tcPr>
            <w:tcW w:type="dxa" w:w="4608"/>
            <w:shd w:val="clear" w:color="auto" w:fill="F8FAF9"/>
          </w:tcPr>
          <w:p>
            <w:pPr>
              <w:spacing w:before="60" w:after="60"/>
              <w:jc w:val="left"/>
            </w:pPr>
            <w:r>
              <w:rPr>
                <w:rFonts w:ascii="Times New Roman" w:hAnsi="Times New Roman"/>
                <w:color w:val="212529"/>
                <w:sz w:val="19"/>
              </w:rPr>
              <w:t>Injects high-specificity CSS rules for glassmorphism cards, badges, and responsive grids.</w:t>
            </w:r>
          </w:p>
        </w:tc>
      </w:tr>
      <w:tr>
        <w:tc>
          <w:tcPr>
            <w:tcW w:type="dxa" w:w="2160"/>
            <w:shd w:val="clear" w:color="auto" w:fill="FFFFFF"/>
          </w:tcPr>
          <w:p>
            <w:pPr>
              <w:spacing w:before="60" w:after="60"/>
              <w:jc w:val="left"/>
            </w:pPr>
            <w:r>
              <w:rPr>
                <w:rFonts w:ascii="Times New Roman" w:hAnsi="Times New Roman"/>
                <w:color w:val="212529"/>
                <w:sz w:val="19"/>
              </w:rPr>
              <w:t>JSON &amp; CSV</w:t>
            </w:r>
          </w:p>
        </w:tc>
        <w:tc>
          <w:tcPr>
            <w:tcW w:type="dxa" w:w="2592"/>
            <w:shd w:val="clear" w:color="auto" w:fill="FFFFFF"/>
          </w:tcPr>
          <w:p>
            <w:pPr>
              <w:spacing w:before="60" w:after="60"/>
              <w:jc w:val="left"/>
            </w:pPr>
            <w:r>
              <w:rPr>
                <w:rFonts w:ascii="Times New Roman" w:hAnsi="Times New Roman"/>
                <w:color w:val="212529"/>
                <w:sz w:val="19"/>
              </w:rPr>
              <w:t>Persistence Layer</w:t>
            </w:r>
          </w:p>
        </w:tc>
        <w:tc>
          <w:tcPr>
            <w:tcW w:type="dxa" w:w="4608"/>
            <w:shd w:val="clear" w:color="auto" w:fill="FFFFFF"/>
          </w:tcPr>
          <w:p>
            <w:pPr>
              <w:spacing w:before="60" w:after="60"/>
              <w:jc w:val="left"/>
            </w:pPr>
            <w:r>
              <w:rPr>
                <w:rFonts w:ascii="Times New Roman" w:hAnsi="Times New Roman"/>
                <w:color w:val="212529"/>
                <w:sz w:val="19"/>
              </w:rPr>
              <w:t>Stores flat-file registries of master athletes, coaches, SAI facilities, and CSR budget metrics.</w:t>
            </w:r>
          </w:p>
        </w:tc>
      </w:tr>
      <w:tr>
        <w:tc>
          <w:tcPr>
            <w:tcW w:type="dxa" w:w="2160"/>
            <w:shd w:val="clear" w:color="auto" w:fill="F8FAF9"/>
          </w:tcPr>
          <w:p>
            <w:pPr>
              <w:spacing w:before="60" w:after="60"/>
              <w:jc w:val="left"/>
            </w:pPr>
            <w:r>
              <w:rPr>
                <w:rFonts w:ascii="Times New Roman" w:hAnsi="Times New Roman"/>
                <w:color w:val="212529"/>
                <w:sz w:val="19"/>
              </w:rPr>
              <w:t>Git / GitHub</w:t>
            </w:r>
          </w:p>
        </w:tc>
        <w:tc>
          <w:tcPr>
            <w:tcW w:type="dxa" w:w="2592"/>
            <w:shd w:val="clear" w:color="auto" w:fill="F8FAF9"/>
          </w:tcPr>
          <w:p>
            <w:pPr>
              <w:spacing w:before="60" w:after="60"/>
              <w:jc w:val="left"/>
            </w:pPr>
            <w:r>
              <w:rPr>
                <w:rFonts w:ascii="Times New Roman" w:hAnsi="Times New Roman"/>
                <w:color w:val="212529"/>
                <w:sz w:val="19"/>
              </w:rPr>
              <w:t>Version Control</w:t>
            </w:r>
          </w:p>
        </w:tc>
        <w:tc>
          <w:tcPr>
            <w:tcW w:type="dxa" w:w="4608"/>
            <w:shd w:val="clear" w:color="auto" w:fill="F8FAF9"/>
          </w:tcPr>
          <w:p>
            <w:pPr>
              <w:spacing w:before="60" w:after="60"/>
              <w:jc w:val="left"/>
            </w:pPr>
            <w:r>
              <w:rPr>
                <w:rFonts w:ascii="Times New Roman" w:hAnsi="Times New Roman"/>
                <w:color w:val="212529"/>
                <w:sz w:val="19"/>
              </w:rPr>
              <w:t>Manages codebase branching, collaborative sprint commits, and deployment tracking.</w:t>
            </w:r>
          </w:p>
        </w:tc>
      </w:tr>
      <w:tr>
        <w:tc>
          <w:tcPr>
            <w:tcW w:type="dxa" w:w="2160"/>
            <w:shd w:val="clear" w:color="auto" w:fill="FFFFFF"/>
          </w:tcPr>
          <w:p>
            <w:pPr>
              <w:spacing w:before="60" w:after="60"/>
              <w:jc w:val="left"/>
            </w:pPr>
            <w:r>
              <w:rPr>
                <w:rFonts w:ascii="Times New Roman" w:hAnsi="Times New Roman"/>
                <w:color w:val="212529"/>
                <w:sz w:val="19"/>
              </w:rPr>
              <w:t>VS Code / zsh</w:t>
            </w:r>
          </w:p>
        </w:tc>
        <w:tc>
          <w:tcPr>
            <w:tcW w:type="dxa" w:w="2592"/>
            <w:shd w:val="clear" w:color="auto" w:fill="FFFFFF"/>
          </w:tcPr>
          <w:p>
            <w:pPr>
              <w:spacing w:before="60" w:after="60"/>
              <w:jc w:val="left"/>
            </w:pPr>
            <w:r>
              <w:rPr>
                <w:rFonts w:ascii="Times New Roman" w:hAnsi="Times New Roman"/>
                <w:color w:val="212529"/>
                <w:sz w:val="19"/>
              </w:rPr>
              <w:t>Development Environment</w:t>
            </w:r>
          </w:p>
        </w:tc>
        <w:tc>
          <w:tcPr>
            <w:tcW w:type="dxa" w:w="4608"/>
            <w:shd w:val="clear" w:color="auto" w:fill="FFFFFF"/>
          </w:tcPr>
          <w:p>
            <w:pPr>
              <w:spacing w:before="60" w:after="60"/>
              <w:jc w:val="left"/>
            </w:pPr>
            <w:r>
              <w:rPr>
                <w:rFonts w:ascii="Times New Roman" w:hAnsi="Times New Roman"/>
                <w:color w:val="212529"/>
                <w:sz w:val="19"/>
              </w:rPr>
              <w:t>Primary local IDE and shell scripting environment used across debugging and build cycles.</w:t>
            </w:r>
          </w:p>
        </w:tc>
      </w:tr>
    </w:tbl>
    <w:p>
      <w:pPr>
        <w:spacing w:after="120"/>
      </w:pPr>
    </w:p>
    <w:p>
      <w:r>
        <w:br w:type="page"/>
      </w:r>
    </w:p>
    <w:p>
      <w:pPr>
        <w:spacing w:line="276" w:lineRule="auto" w:before="360" w:after="160"/>
      </w:pPr>
      <w:r>
        <w:rPr>
          <w:rFonts w:ascii="Times New Roman" w:hAnsi="Times New Roman"/>
          <w:b/>
          <w:color w:val="113E21"/>
          <w:sz w:val="32"/>
        </w:rPr>
        <w:t>CHAPTER 3: METHODOLOGY</w:t>
      </w:r>
    </w:p>
    <w:p>
      <w:pPr>
        <w:spacing w:line="276" w:lineRule="auto" w:before="280" w:after="120"/>
      </w:pPr>
      <w:r>
        <w:rPr>
          <w:rFonts w:ascii="Times New Roman" w:hAnsi="Times New Roman"/>
          <w:b/>
          <w:color w:val="1E293B"/>
          <w:sz w:val="26"/>
        </w:rPr>
        <w:t>3.1 Detailed Methodology</w:t>
      </w:r>
    </w:p>
    <w:p>
      <w:pPr>
        <w:spacing w:line="300" w:lineRule="auto" w:after="120"/>
        <w:jc w:val="both"/>
      </w:pPr>
      <w:r>
        <w:rPr>
          <w:rFonts w:ascii="Times New Roman" w:hAnsi="Times New Roman"/>
          <w:i w:val="0"/>
          <w:color w:val="212529"/>
          <w:sz w:val="22"/>
        </w:rPr>
        <w:t>The AthletIQ platform was developed following an Agile software engineering methodology structured across seven iterative two-week sprints. The Agile framework was selected because developing sports intelligence systems requires continuous alignment between data models, user interface responsiveness, and administrative domain logic. Features were maintained in a prioritized product backlog, with core analytical algorithms implemented and validated first, followed by interface layouts, AI service integrations, and user experience refinements.</w:t>
      </w:r>
    </w:p>
    <w:p>
      <w:pPr>
        <w:spacing w:line="300" w:lineRule="auto" w:after="120"/>
        <w:jc w:val="both"/>
      </w:pPr>
      <w:r>
        <w:rPr>
          <w:rFonts w:ascii="Times New Roman" w:hAnsi="Times New Roman"/>
          <w:b/>
          <w:color w:val="113E21"/>
          <w:sz w:val="22"/>
        </w:rPr>
        <w:t xml:space="preserve">Sprint Delivery Plan: </w:t>
      </w:r>
      <w:r>
        <w:rPr>
          <w:rFonts w:ascii="Times New Roman" w:hAnsi="Times New Roman"/>
          <w:i w:val="0"/>
          <w:color w:val="212529"/>
          <w:sz w:val="22"/>
        </w:rPr>
        <w:t>Sprint Plan. Table 3.1 outlines the chronological sprint delivery schedule and the specific capabilities engineered during each iteration: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440"/>
            <w:shd w:val="clear" w:color="auto" w:fill="113E21"/>
          </w:tcPr>
          <w:p>
            <w:pPr>
              <w:spacing w:before="80" w:after="80"/>
              <w:jc w:val="left"/>
            </w:pPr>
            <w:r>
              <w:rPr>
                <w:rFonts w:ascii="Times New Roman" w:hAnsi="Times New Roman"/>
                <w:b/>
                <w:color w:val="FFFFFF"/>
                <w:sz w:val="20"/>
              </w:rPr>
              <w:t>Sprint</w:t>
            </w:r>
          </w:p>
        </w:tc>
        <w:tc>
          <w:tcPr>
            <w:tcW w:type="dxa" w:w="2592"/>
            <w:shd w:val="clear" w:color="auto" w:fill="113E21"/>
          </w:tcPr>
          <w:p>
            <w:pPr>
              <w:spacing w:before="80" w:after="80"/>
              <w:jc w:val="left"/>
            </w:pPr>
            <w:r>
              <w:rPr>
                <w:rFonts w:ascii="Times New Roman" w:hAnsi="Times New Roman"/>
                <w:b/>
                <w:color w:val="FFFFFF"/>
                <w:sz w:val="20"/>
              </w:rPr>
              <w:t>Timeline</w:t>
            </w:r>
          </w:p>
        </w:tc>
        <w:tc>
          <w:tcPr>
            <w:tcW w:type="dxa" w:w="5328"/>
            <w:shd w:val="clear" w:color="auto" w:fill="113E21"/>
          </w:tcPr>
          <w:p>
            <w:pPr>
              <w:spacing w:before="80" w:after="80"/>
              <w:jc w:val="left"/>
            </w:pPr>
            <w:r>
              <w:rPr>
                <w:rFonts w:ascii="Times New Roman" w:hAnsi="Times New Roman"/>
                <w:b/>
                <w:color w:val="FFFFFF"/>
                <w:sz w:val="20"/>
              </w:rPr>
              <w:t>Milestones &amp; Increments Delivered</w:t>
            </w:r>
          </w:p>
        </w:tc>
      </w:tr>
      <w:tr>
        <w:tc>
          <w:tcPr>
            <w:tcW w:type="dxa" w:w="1440"/>
            <w:shd w:val="clear" w:color="auto" w:fill="FFFFFF"/>
          </w:tcPr>
          <w:p>
            <w:pPr>
              <w:spacing w:before="60" w:after="60"/>
              <w:jc w:val="left"/>
            </w:pPr>
            <w:r>
              <w:rPr>
                <w:rFonts w:ascii="Times New Roman" w:hAnsi="Times New Roman"/>
                <w:color w:val="212529"/>
                <w:sz w:val="19"/>
              </w:rPr>
              <w:t>Sprint 1</w:t>
            </w:r>
          </w:p>
        </w:tc>
        <w:tc>
          <w:tcPr>
            <w:tcW w:type="dxa" w:w="2592"/>
            <w:shd w:val="clear" w:color="auto" w:fill="FFFFFF"/>
          </w:tcPr>
          <w:p>
            <w:pPr>
              <w:spacing w:before="60" w:after="60"/>
              <w:jc w:val="left"/>
            </w:pPr>
            <w:r>
              <w:rPr>
                <w:rFonts w:ascii="Times New Roman" w:hAnsi="Times New Roman"/>
                <w:color w:val="212529"/>
                <w:sz w:val="19"/>
              </w:rPr>
              <w:t>03 Jul – 15 Jul 2026</w:t>
            </w:r>
          </w:p>
        </w:tc>
        <w:tc>
          <w:tcPr>
            <w:tcW w:type="dxa" w:w="5328"/>
            <w:shd w:val="clear" w:color="auto" w:fill="FFFFFF"/>
          </w:tcPr>
          <w:p>
            <w:pPr>
              <w:spacing w:before="60" w:after="60"/>
              <w:jc w:val="left"/>
            </w:pPr>
            <w:r>
              <w:rPr>
                <w:rFonts w:ascii="Times New Roman" w:hAnsi="Times New Roman"/>
                <w:color w:val="212529"/>
                <w:sz w:val="19"/>
              </w:rPr>
              <w:t>Environment setup, data ingestion pipeline, master CSV sanitization, and basic Streamlit layout.</w:t>
            </w:r>
          </w:p>
        </w:tc>
      </w:tr>
      <w:tr>
        <w:tc>
          <w:tcPr>
            <w:tcW w:type="dxa" w:w="1440"/>
            <w:shd w:val="clear" w:color="auto" w:fill="F8FAF9"/>
          </w:tcPr>
          <w:p>
            <w:pPr>
              <w:spacing w:before="60" w:after="60"/>
              <w:jc w:val="left"/>
            </w:pPr>
            <w:r>
              <w:rPr>
                <w:rFonts w:ascii="Times New Roman" w:hAnsi="Times New Roman"/>
                <w:color w:val="212529"/>
                <w:sz w:val="19"/>
              </w:rPr>
              <w:t>Sprint 2</w:t>
            </w:r>
          </w:p>
        </w:tc>
        <w:tc>
          <w:tcPr>
            <w:tcW w:type="dxa" w:w="2592"/>
            <w:shd w:val="clear" w:color="auto" w:fill="F8FAF9"/>
          </w:tcPr>
          <w:p>
            <w:pPr>
              <w:spacing w:before="60" w:after="60"/>
              <w:jc w:val="left"/>
            </w:pPr>
            <w:r>
              <w:rPr>
                <w:rFonts w:ascii="Times New Roman" w:hAnsi="Times New Roman"/>
                <w:color w:val="212529"/>
                <w:sz w:val="19"/>
              </w:rPr>
              <w:t>16 Jul – 31 Jul 2026</w:t>
            </w:r>
          </w:p>
        </w:tc>
        <w:tc>
          <w:tcPr>
            <w:tcW w:type="dxa" w:w="5328"/>
            <w:shd w:val="clear" w:color="auto" w:fill="F8FAF9"/>
          </w:tcPr>
          <w:p>
            <w:pPr>
              <w:spacing w:before="60" w:after="60"/>
              <w:jc w:val="left"/>
            </w:pPr>
            <w:r>
              <w:rPr>
                <w:rFonts w:ascii="Times New Roman" w:hAnsi="Times New Roman"/>
                <w:color w:val="212529"/>
                <w:sz w:val="19"/>
              </w:rPr>
              <w:t>Pathway Overview tab, 18-state talent nursery card grid, and initial choropleth mapping.</w:t>
            </w:r>
          </w:p>
        </w:tc>
      </w:tr>
      <w:tr>
        <w:tc>
          <w:tcPr>
            <w:tcW w:type="dxa" w:w="1440"/>
            <w:shd w:val="clear" w:color="auto" w:fill="FFFFFF"/>
          </w:tcPr>
          <w:p>
            <w:pPr>
              <w:spacing w:before="60" w:after="60"/>
              <w:jc w:val="left"/>
            </w:pPr>
            <w:r>
              <w:rPr>
                <w:rFonts w:ascii="Times New Roman" w:hAnsi="Times New Roman"/>
                <w:color w:val="212529"/>
                <w:sz w:val="19"/>
              </w:rPr>
              <w:t>Sprint 3</w:t>
            </w:r>
          </w:p>
        </w:tc>
        <w:tc>
          <w:tcPr>
            <w:tcW w:type="dxa" w:w="2592"/>
            <w:shd w:val="clear" w:color="auto" w:fill="FFFFFF"/>
          </w:tcPr>
          <w:p>
            <w:pPr>
              <w:spacing w:before="60" w:after="60"/>
              <w:jc w:val="left"/>
            </w:pPr>
            <w:r>
              <w:rPr>
                <w:rFonts w:ascii="Times New Roman" w:hAnsi="Times New Roman"/>
                <w:color w:val="212529"/>
                <w:sz w:val="19"/>
              </w:rPr>
              <w:t>01 Aug – 15 Aug 2026</w:t>
            </w:r>
          </w:p>
        </w:tc>
        <w:tc>
          <w:tcPr>
            <w:tcW w:type="dxa" w:w="5328"/>
            <w:shd w:val="clear" w:color="auto" w:fill="FFFFFF"/>
          </w:tcPr>
          <w:p>
            <w:pPr>
              <w:spacing w:before="60" w:after="60"/>
              <w:jc w:val="left"/>
            </w:pPr>
            <w:r>
              <w:rPr>
                <w:rFonts w:ascii="Times New Roman" w:hAnsi="Times New Roman"/>
                <w:color w:val="212529"/>
                <w:sz w:val="19"/>
              </w:rPr>
              <w:t>SAI Centre registry JSON integration, Coach Capacity math modeling, and 15:1 ratio calculation.</w:t>
            </w:r>
          </w:p>
        </w:tc>
      </w:tr>
      <w:tr>
        <w:tc>
          <w:tcPr>
            <w:tcW w:type="dxa" w:w="1440"/>
            <w:shd w:val="clear" w:color="auto" w:fill="F8FAF9"/>
          </w:tcPr>
          <w:p>
            <w:pPr>
              <w:spacing w:before="60" w:after="60"/>
              <w:jc w:val="left"/>
            </w:pPr>
            <w:r>
              <w:rPr>
                <w:rFonts w:ascii="Times New Roman" w:hAnsi="Times New Roman"/>
                <w:color w:val="212529"/>
                <w:sz w:val="19"/>
              </w:rPr>
              <w:t>Sprint 4</w:t>
            </w:r>
          </w:p>
        </w:tc>
        <w:tc>
          <w:tcPr>
            <w:tcW w:type="dxa" w:w="2592"/>
            <w:shd w:val="clear" w:color="auto" w:fill="F8FAF9"/>
          </w:tcPr>
          <w:p>
            <w:pPr>
              <w:spacing w:before="60" w:after="60"/>
              <w:jc w:val="left"/>
            </w:pPr>
            <w:r>
              <w:rPr>
                <w:rFonts w:ascii="Times New Roman" w:hAnsi="Times New Roman"/>
                <w:color w:val="212529"/>
                <w:sz w:val="19"/>
              </w:rPr>
              <w:t>16 Aug – 31 Aug 2026</w:t>
            </w:r>
          </w:p>
        </w:tc>
        <w:tc>
          <w:tcPr>
            <w:tcW w:type="dxa" w:w="5328"/>
            <w:shd w:val="clear" w:color="auto" w:fill="F8FAF9"/>
          </w:tcPr>
          <w:p>
            <w:pPr>
              <w:spacing w:before="60" w:after="60"/>
              <w:jc w:val="left"/>
            </w:pPr>
            <w:r>
              <w:rPr>
                <w:rFonts w:ascii="Times New Roman" w:hAnsi="Times New Roman"/>
                <w:color w:val="212529"/>
                <w:sz w:val="19"/>
              </w:rPr>
              <w:t>Coach Redistribution Analysis engine, national deficit ranking, and 100-point Suitability Matcher.</w:t>
            </w:r>
          </w:p>
        </w:tc>
      </w:tr>
      <w:tr>
        <w:tc>
          <w:tcPr>
            <w:tcW w:type="dxa" w:w="1440"/>
            <w:shd w:val="clear" w:color="auto" w:fill="FFFFFF"/>
          </w:tcPr>
          <w:p>
            <w:pPr>
              <w:spacing w:before="60" w:after="60"/>
              <w:jc w:val="left"/>
            </w:pPr>
            <w:r>
              <w:rPr>
                <w:rFonts w:ascii="Times New Roman" w:hAnsi="Times New Roman"/>
                <w:color w:val="212529"/>
                <w:sz w:val="19"/>
              </w:rPr>
              <w:t>Sprint 5</w:t>
            </w:r>
          </w:p>
        </w:tc>
        <w:tc>
          <w:tcPr>
            <w:tcW w:type="dxa" w:w="2592"/>
            <w:shd w:val="clear" w:color="auto" w:fill="FFFFFF"/>
          </w:tcPr>
          <w:p>
            <w:pPr>
              <w:spacing w:before="60" w:after="60"/>
              <w:jc w:val="left"/>
            </w:pPr>
            <w:r>
              <w:rPr>
                <w:rFonts w:ascii="Times New Roman" w:hAnsi="Times New Roman"/>
                <w:color w:val="212529"/>
                <w:sz w:val="19"/>
              </w:rPr>
              <w:t>01 Sep – 15 Sep 2026</w:t>
            </w:r>
          </w:p>
        </w:tc>
        <w:tc>
          <w:tcPr>
            <w:tcW w:type="dxa" w:w="5328"/>
            <w:shd w:val="clear" w:color="auto" w:fill="FFFFFF"/>
          </w:tcPr>
          <w:p>
            <w:pPr>
              <w:spacing w:before="60" w:after="60"/>
              <w:jc w:val="left"/>
            </w:pPr>
            <w:r>
              <w:rPr>
                <w:rFonts w:ascii="Times New Roman" w:hAnsi="Times New Roman"/>
                <w:color w:val="212529"/>
                <w:sz w:val="19"/>
              </w:rPr>
              <w:t>Gemini API integration with Google Search grounding for live tournaments, and CSR Sponsor Pipeline.</w:t>
            </w:r>
          </w:p>
        </w:tc>
      </w:tr>
      <w:tr>
        <w:tc>
          <w:tcPr>
            <w:tcW w:type="dxa" w:w="1440"/>
            <w:shd w:val="clear" w:color="auto" w:fill="F8FAF9"/>
          </w:tcPr>
          <w:p>
            <w:pPr>
              <w:spacing w:before="60" w:after="60"/>
              <w:jc w:val="left"/>
            </w:pPr>
            <w:r>
              <w:rPr>
                <w:rFonts w:ascii="Times New Roman" w:hAnsi="Times New Roman"/>
                <w:color w:val="212529"/>
                <w:sz w:val="19"/>
              </w:rPr>
              <w:t>Sprint 6</w:t>
            </w:r>
          </w:p>
        </w:tc>
        <w:tc>
          <w:tcPr>
            <w:tcW w:type="dxa" w:w="2592"/>
            <w:shd w:val="clear" w:color="auto" w:fill="F8FAF9"/>
          </w:tcPr>
          <w:p>
            <w:pPr>
              <w:spacing w:before="60" w:after="60"/>
              <w:jc w:val="left"/>
            </w:pPr>
            <w:r>
              <w:rPr>
                <w:rFonts w:ascii="Times New Roman" w:hAnsi="Times New Roman"/>
                <w:color w:val="212529"/>
                <w:sz w:val="19"/>
              </w:rPr>
              <w:t>16 Sep – 30 Sep 2026</w:t>
            </w:r>
          </w:p>
        </w:tc>
        <w:tc>
          <w:tcPr>
            <w:tcW w:type="dxa" w:w="5328"/>
            <w:shd w:val="clear" w:color="auto" w:fill="F8FAF9"/>
          </w:tcPr>
          <w:p>
            <w:pPr>
              <w:spacing w:before="60" w:after="60"/>
              <w:jc w:val="left"/>
            </w:pPr>
            <w:r>
              <w:rPr>
                <w:rFonts w:ascii="Times New Roman" w:hAnsi="Times New Roman"/>
                <w:color w:val="212529"/>
                <w:sz w:val="19"/>
              </w:rPr>
              <w:t>Master-Detail Profile Directory, 5,000-record Women's pipeline, and TOPS slide bio integration.</w:t>
            </w:r>
          </w:p>
        </w:tc>
      </w:tr>
      <w:tr>
        <w:tc>
          <w:tcPr>
            <w:tcW w:type="dxa" w:w="1440"/>
            <w:shd w:val="clear" w:color="auto" w:fill="FFFFFF"/>
          </w:tcPr>
          <w:p>
            <w:pPr>
              <w:spacing w:before="60" w:after="60"/>
              <w:jc w:val="left"/>
            </w:pPr>
            <w:r>
              <w:rPr>
                <w:rFonts w:ascii="Times New Roman" w:hAnsi="Times New Roman"/>
                <w:color w:val="212529"/>
                <w:sz w:val="19"/>
              </w:rPr>
              <w:t>Sprint 7</w:t>
            </w:r>
          </w:p>
        </w:tc>
        <w:tc>
          <w:tcPr>
            <w:tcW w:type="dxa" w:w="2592"/>
            <w:shd w:val="clear" w:color="auto" w:fill="FFFFFF"/>
          </w:tcPr>
          <w:p>
            <w:pPr>
              <w:spacing w:before="60" w:after="60"/>
              <w:jc w:val="left"/>
            </w:pPr>
            <w:r>
              <w:rPr>
                <w:rFonts w:ascii="Times New Roman" w:hAnsi="Times New Roman"/>
                <w:color w:val="212529"/>
                <w:sz w:val="19"/>
              </w:rPr>
              <w:t>01 Oct – 15 Oct 2026</w:t>
            </w:r>
          </w:p>
        </w:tc>
        <w:tc>
          <w:tcPr>
            <w:tcW w:type="dxa" w:w="5328"/>
            <w:shd w:val="clear" w:color="auto" w:fill="FFFFFF"/>
          </w:tcPr>
          <w:p>
            <w:pPr>
              <w:spacing w:before="60" w:after="60"/>
              <w:jc w:val="left"/>
            </w:pPr>
            <w:r>
              <w:rPr>
                <w:rFonts w:ascii="Times New Roman" w:hAnsi="Times New Roman"/>
                <w:color w:val="212529"/>
                <w:sz w:val="19"/>
              </w:rPr>
              <w:t>Empty-focus search overhaul (index=None), cross-tab redirection synchronization, and documentation.</w:t>
            </w:r>
          </w:p>
        </w:tc>
      </w:tr>
    </w:tbl>
    <w:p>
      <w:pPr>
        <w:spacing w:after="120"/>
      </w:pPr>
    </w:p>
    <w:p>
      <w:pPr>
        <w:spacing w:line="300" w:lineRule="auto" w:after="120"/>
        <w:jc w:val="both"/>
      </w:pPr>
      <w:r>
        <w:rPr>
          <w:rFonts w:ascii="Times New Roman" w:hAnsi="Times New Roman"/>
          <w:b/>
          <w:color w:val="113E21"/>
          <w:sz w:val="22"/>
        </w:rPr>
        <w:t xml:space="preserve">System Requirements: </w:t>
      </w:r>
      <w:r>
        <w:rPr>
          <w:rFonts w:ascii="Times New Roman" w:hAnsi="Times New Roman"/>
          <w:i w:val="0"/>
          <w:color w:val="212529"/>
          <w:sz w:val="22"/>
        </w:rPr>
        <w:t>Requirement Analysis. Requirements were categorized into functional requirements (FRs) and non-functional requirements (NFRs) based on stakeholder workflows: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152"/>
            <w:shd w:val="clear" w:color="auto" w:fill="113E21"/>
          </w:tcPr>
          <w:p>
            <w:pPr>
              <w:spacing w:before="80" w:after="80"/>
              <w:jc w:val="left"/>
            </w:pPr>
            <w:r>
              <w:rPr>
                <w:rFonts w:ascii="Times New Roman" w:hAnsi="Times New Roman"/>
                <w:b/>
                <w:color w:val="FFFFFF"/>
                <w:sz w:val="20"/>
              </w:rPr>
              <w:t>ID</w:t>
            </w:r>
          </w:p>
        </w:tc>
        <w:tc>
          <w:tcPr>
            <w:tcW w:type="dxa" w:w="2592"/>
            <w:shd w:val="clear" w:color="auto" w:fill="113E21"/>
          </w:tcPr>
          <w:p>
            <w:pPr>
              <w:spacing w:before="80" w:after="80"/>
              <w:jc w:val="left"/>
            </w:pPr>
            <w:r>
              <w:rPr>
                <w:rFonts w:ascii="Times New Roman" w:hAnsi="Times New Roman"/>
                <w:b/>
                <w:color w:val="FFFFFF"/>
                <w:sz w:val="20"/>
              </w:rPr>
              <w:t>Requirement</w:t>
            </w:r>
          </w:p>
        </w:tc>
        <w:tc>
          <w:tcPr>
            <w:tcW w:type="dxa" w:w="5616"/>
            <w:shd w:val="clear" w:color="auto" w:fill="113E21"/>
          </w:tcPr>
          <w:p>
            <w:pPr>
              <w:spacing w:before="80" w:after="80"/>
              <w:jc w:val="left"/>
            </w:pPr>
            <w:r>
              <w:rPr>
                <w:rFonts w:ascii="Times New Roman" w:hAnsi="Times New Roman"/>
                <w:b/>
                <w:color w:val="FFFFFF"/>
                <w:sz w:val="20"/>
              </w:rPr>
              <w:t>Technical Specification &amp; Scope</w:t>
            </w:r>
          </w:p>
        </w:tc>
      </w:tr>
      <w:tr>
        <w:tc>
          <w:tcPr>
            <w:tcW w:type="dxa" w:w="1152"/>
            <w:shd w:val="clear" w:color="auto" w:fill="FFFFFF"/>
          </w:tcPr>
          <w:p>
            <w:pPr>
              <w:spacing w:before="60" w:after="60"/>
              <w:jc w:val="left"/>
            </w:pPr>
            <w:r>
              <w:rPr>
                <w:rFonts w:ascii="Times New Roman" w:hAnsi="Times New Roman"/>
                <w:color w:val="212529"/>
                <w:sz w:val="19"/>
              </w:rPr>
              <w:t>FR-1</w:t>
            </w:r>
          </w:p>
        </w:tc>
        <w:tc>
          <w:tcPr>
            <w:tcW w:type="dxa" w:w="2592"/>
            <w:shd w:val="clear" w:color="auto" w:fill="FFFFFF"/>
          </w:tcPr>
          <w:p>
            <w:pPr>
              <w:spacing w:before="60" w:after="60"/>
              <w:jc w:val="left"/>
            </w:pPr>
            <w:r>
              <w:rPr>
                <w:rFonts w:ascii="Times New Roman" w:hAnsi="Times New Roman"/>
                <w:color w:val="212529"/>
                <w:sz w:val="19"/>
              </w:rPr>
              <w:t>Master Data Ingestion</w:t>
            </w:r>
          </w:p>
        </w:tc>
        <w:tc>
          <w:tcPr>
            <w:tcW w:type="dxa" w:w="5616"/>
            <w:shd w:val="clear" w:color="auto" w:fill="FFFFFF"/>
          </w:tcPr>
          <w:p>
            <w:pPr>
              <w:spacing w:before="60" w:after="60"/>
              <w:jc w:val="left"/>
            </w:pPr>
            <w:r>
              <w:rPr>
                <w:rFonts w:ascii="Times New Roman" w:hAnsi="Times New Roman"/>
                <w:color w:val="212529"/>
                <w:sz w:val="19"/>
              </w:rPr>
              <w:t>System must load, clean, and deduplicate 7,600+ records of athletes and coaches across 42 disciplines.</w:t>
            </w:r>
          </w:p>
        </w:tc>
      </w:tr>
      <w:tr>
        <w:tc>
          <w:tcPr>
            <w:tcW w:type="dxa" w:w="1152"/>
            <w:shd w:val="clear" w:color="auto" w:fill="F8FAF9"/>
          </w:tcPr>
          <w:p>
            <w:pPr>
              <w:spacing w:before="60" w:after="60"/>
              <w:jc w:val="left"/>
            </w:pPr>
            <w:r>
              <w:rPr>
                <w:rFonts w:ascii="Times New Roman" w:hAnsi="Times New Roman"/>
                <w:color w:val="212529"/>
                <w:sz w:val="19"/>
              </w:rPr>
              <w:t>FR-2</w:t>
            </w:r>
          </w:p>
        </w:tc>
        <w:tc>
          <w:tcPr>
            <w:tcW w:type="dxa" w:w="2592"/>
            <w:shd w:val="clear" w:color="auto" w:fill="F8FAF9"/>
          </w:tcPr>
          <w:p>
            <w:pPr>
              <w:spacing w:before="60" w:after="60"/>
              <w:jc w:val="left"/>
            </w:pPr>
            <w:r>
              <w:rPr>
                <w:rFonts w:ascii="Times New Roman" w:hAnsi="Times New Roman"/>
                <w:color w:val="212529"/>
                <w:sz w:val="19"/>
              </w:rPr>
              <w:t>State Nursery Navigation</w:t>
            </w:r>
          </w:p>
        </w:tc>
        <w:tc>
          <w:tcPr>
            <w:tcW w:type="dxa" w:w="5616"/>
            <w:shd w:val="clear" w:color="auto" w:fill="F8FAF9"/>
          </w:tcPr>
          <w:p>
            <w:pPr>
              <w:spacing w:before="60" w:after="60"/>
              <w:jc w:val="left"/>
            </w:pPr>
            <w:r>
              <w:rPr>
                <w:rFonts w:ascii="Times New Roman" w:hAnsi="Times New Roman"/>
                <w:color w:val="212529"/>
                <w:sz w:val="19"/>
              </w:rPr>
              <w:t>System must display statewise sports cards and allow one-click redirection to filtered profile rosters.</w:t>
            </w:r>
          </w:p>
        </w:tc>
      </w:tr>
      <w:tr>
        <w:tc>
          <w:tcPr>
            <w:tcW w:type="dxa" w:w="1152"/>
            <w:shd w:val="clear" w:color="auto" w:fill="FFFFFF"/>
          </w:tcPr>
          <w:p>
            <w:pPr>
              <w:spacing w:before="60" w:after="60"/>
              <w:jc w:val="left"/>
            </w:pPr>
            <w:r>
              <w:rPr>
                <w:rFonts w:ascii="Times New Roman" w:hAnsi="Times New Roman"/>
                <w:color w:val="212529"/>
                <w:sz w:val="19"/>
              </w:rPr>
              <w:t>FR-3</w:t>
            </w:r>
          </w:p>
        </w:tc>
        <w:tc>
          <w:tcPr>
            <w:tcW w:type="dxa" w:w="2592"/>
            <w:shd w:val="clear" w:color="auto" w:fill="FFFFFF"/>
          </w:tcPr>
          <w:p>
            <w:pPr>
              <w:spacing w:before="60" w:after="60"/>
              <w:jc w:val="left"/>
            </w:pPr>
            <w:r>
              <w:rPr>
                <w:rFonts w:ascii="Times New Roman" w:hAnsi="Times New Roman"/>
                <w:color w:val="212529"/>
                <w:sz w:val="19"/>
              </w:rPr>
              <w:t>Coach Capacity Modeling</w:t>
            </w:r>
          </w:p>
        </w:tc>
        <w:tc>
          <w:tcPr>
            <w:tcW w:type="dxa" w:w="5616"/>
            <w:shd w:val="clear" w:color="auto" w:fill="FFFFFF"/>
          </w:tcPr>
          <w:p>
            <w:pPr>
              <w:spacing w:before="60" w:after="60"/>
              <w:jc w:val="left"/>
            </w:pPr>
            <w:r>
              <w:rPr>
                <w:rFonts w:ascii="Times New Roman" w:hAnsi="Times New Roman"/>
                <w:color w:val="212529"/>
                <w:sz w:val="19"/>
              </w:rPr>
              <w:t>System must compute discipline-weighted athlete and coach capacity for any selected SAI centre.</w:t>
            </w:r>
          </w:p>
        </w:tc>
      </w:tr>
      <w:tr>
        <w:tc>
          <w:tcPr>
            <w:tcW w:type="dxa" w:w="1152"/>
            <w:shd w:val="clear" w:color="auto" w:fill="F8FAF9"/>
          </w:tcPr>
          <w:p>
            <w:pPr>
              <w:spacing w:before="60" w:after="60"/>
              <w:jc w:val="left"/>
            </w:pPr>
            <w:r>
              <w:rPr>
                <w:rFonts w:ascii="Times New Roman" w:hAnsi="Times New Roman"/>
                <w:color w:val="212529"/>
                <w:sz w:val="19"/>
              </w:rPr>
              <w:t>FR-4</w:t>
            </w:r>
          </w:p>
        </w:tc>
        <w:tc>
          <w:tcPr>
            <w:tcW w:type="dxa" w:w="2592"/>
            <w:shd w:val="clear" w:color="auto" w:fill="F8FAF9"/>
          </w:tcPr>
          <w:p>
            <w:pPr>
              <w:spacing w:before="60" w:after="60"/>
              <w:jc w:val="left"/>
            </w:pPr>
            <w:r>
              <w:rPr>
                <w:rFonts w:ascii="Times New Roman" w:hAnsi="Times New Roman"/>
                <w:color w:val="212529"/>
                <w:sz w:val="19"/>
              </w:rPr>
              <w:t>Coach Redistribution</w:t>
            </w:r>
          </w:p>
        </w:tc>
        <w:tc>
          <w:tcPr>
            <w:tcW w:type="dxa" w:w="5616"/>
            <w:shd w:val="clear" w:color="auto" w:fill="F8FAF9"/>
          </w:tcPr>
          <w:p>
            <w:pPr>
              <w:spacing w:before="60" w:after="60"/>
              <w:jc w:val="left"/>
            </w:pPr>
            <w:r>
              <w:rPr>
                <w:rFonts w:ascii="Times New Roman" w:hAnsi="Times New Roman"/>
                <w:color w:val="212529"/>
                <w:sz w:val="19"/>
              </w:rPr>
              <w:t>System must detect surpluses (&lt;15:1) or deficits (&gt;15:1) and rank national centres for coach reallocation.</w:t>
            </w:r>
          </w:p>
        </w:tc>
      </w:tr>
      <w:tr>
        <w:tc>
          <w:tcPr>
            <w:tcW w:type="dxa" w:w="1152"/>
            <w:shd w:val="clear" w:color="auto" w:fill="FFFFFF"/>
          </w:tcPr>
          <w:p>
            <w:pPr>
              <w:spacing w:before="60" w:after="60"/>
              <w:jc w:val="left"/>
            </w:pPr>
            <w:r>
              <w:rPr>
                <w:rFonts w:ascii="Times New Roman" w:hAnsi="Times New Roman"/>
                <w:color w:val="212529"/>
                <w:sz w:val="19"/>
              </w:rPr>
              <w:t>FR-5</w:t>
            </w:r>
          </w:p>
        </w:tc>
        <w:tc>
          <w:tcPr>
            <w:tcW w:type="dxa" w:w="2592"/>
            <w:shd w:val="clear" w:color="auto" w:fill="FFFFFF"/>
          </w:tcPr>
          <w:p>
            <w:pPr>
              <w:spacing w:before="60" w:after="60"/>
              <w:jc w:val="left"/>
            </w:pPr>
            <w:r>
              <w:rPr>
                <w:rFonts w:ascii="Times New Roman" w:hAnsi="Times New Roman"/>
                <w:color w:val="212529"/>
                <w:sz w:val="19"/>
              </w:rPr>
              <w:t>Facility Suitability Matcher</w:t>
            </w:r>
          </w:p>
        </w:tc>
        <w:tc>
          <w:tcPr>
            <w:tcW w:type="dxa" w:w="5616"/>
            <w:shd w:val="clear" w:color="auto" w:fill="FFFFFF"/>
          </w:tcPr>
          <w:p>
            <w:pPr>
              <w:spacing w:before="60" w:after="60"/>
              <w:jc w:val="left"/>
            </w:pPr>
            <w:r>
              <w:rPr>
                <w:rFonts w:ascii="Times New Roman" w:hAnsi="Times New Roman"/>
                <w:color w:val="212529"/>
                <w:sz w:val="19"/>
              </w:rPr>
              <w:t>System must evaluate athlete profiles across 5 criteria and score SAI academies on a 0–100 scale.</w:t>
            </w:r>
          </w:p>
        </w:tc>
      </w:tr>
      <w:tr>
        <w:tc>
          <w:tcPr>
            <w:tcW w:type="dxa" w:w="1152"/>
            <w:shd w:val="clear" w:color="auto" w:fill="F8FAF9"/>
          </w:tcPr>
          <w:p>
            <w:pPr>
              <w:spacing w:before="60" w:after="60"/>
              <w:jc w:val="left"/>
            </w:pPr>
            <w:r>
              <w:rPr>
                <w:rFonts w:ascii="Times New Roman" w:hAnsi="Times New Roman"/>
                <w:color w:val="212529"/>
                <w:sz w:val="19"/>
              </w:rPr>
              <w:t>FR-6</w:t>
            </w:r>
          </w:p>
        </w:tc>
        <w:tc>
          <w:tcPr>
            <w:tcW w:type="dxa" w:w="2592"/>
            <w:shd w:val="clear" w:color="auto" w:fill="F8FAF9"/>
          </w:tcPr>
          <w:p>
            <w:pPr>
              <w:spacing w:before="60" w:after="60"/>
              <w:jc w:val="left"/>
            </w:pPr>
            <w:r>
              <w:rPr>
                <w:rFonts w:ascii="Times New Roman" w:hAnsi="Times New Roman"/>
                <w:color w:val="212529"/>
                <w:sz w:val="19"/>
              </w:rPr>
              <w:t>Live Tournament Discovery</w:t>
            </w:r>
          </w:p>
        </w:tc>
        <w:tc>
          <w:tcPr>
            <w:tcW w:type="dxa" w:w="5616"/>
            <w:shd w:val="clear" w:color="auto" w:fill="F8FAF9"/>
          </w:tcPr>
          <w:p>
            <w:pPr>
              <w:spacing w:before="60" w:after="60"/>
              <w:jc w:val="left"/>
            </w:pPr>
            <w:r>
              <w:rPr>
                <w:rFonts w:ascii="Times New Roman" w:hAnsi="Times New Roman"/>
                <w:color w:val="212529"/>
                <w:sz w:val="19"/>
              </w:rPr>
              <w:t>System must query Gemini with live web grounding to retrieve real-time Indian grassroots fixtures.</w:t>
            </w:r>
          </w:p>
        </w:tc>
      </w:tr>
      <w:tr>
        <w:tc>
          <w:tcPr>
            <w:tcW w:type="dxa" w:w="1152"/>
            <w:shd w:val="clear" w:color="auto" w:fill="FFFFFF"/>
          </w:tcPr>
          <w:p>
            <w:pPr>
              <w:spacing w:before="60" w:after="60"/>
              <w:jc w:val="left"/>
            </w:pPr>
            <w:r>
              <w:rPr>
                <w:rFonts w:ascii="Times New Roman" w:hAnsi="Times New Roman"/>
                <w:color w:val="212529"/>
                <w:sz w:val="19"/>
              </w:rPr>
              <w:t>FR-7</w:t>
            </w:r>
          </w:p>
        </w:tc>
        <w:tc>
          <w:tcPr>
            <w:tcW w:type="dxa" w:w="2592"/>
            <w:shd w:val="clear" w:color="auto" w:fill="FFFFFF"/>
          </w:tcPr>
          <w:p>
            <w:pPr>
              <w:spacing w:before="60" w:after="60"/>
              <w:jc w:val="left"/>
            </w:pPr>
            <w:r>
              <w:rPr>
                <w:rFonts w:ascii="Times New Roman" w:hAnsi="Times New Roman"/>
                <w:color w:val="212529"/>
                <w:sz w:val="19"/>
              </w:rPr>
              <w:t>CSR Sponsorship Pipeline</w:t>
            </w:r>
          </w:p>
        </w:tc>
        <w:tc>
          <w:tcPr>
            <w:tcW w:type="dxa" w:w="5616"/>
            <w:shd w:val="clear" w:color="auto" w:fill="FFFFFF"/>
          </w:tcPr>
          <w:p>
            <w:pPr>
              <w:spacing w:before="60" w:after="60"/>
              <w:jc w:val="left"/>
            </w:pPr>
            <w:r>
              <w:rPr>
                <w:rFonts w:ascii="Times New Roman" w:hAnsi="Times New Roman"/>
                <w:color w:val="212529"/>
                <w:sz w:val="19"/>
              </w:rPr>
              <w:t>System must model corporate CSR sports budgets and prioritize leads across funding deficit categories.</w:t>
            </w:r>
          </w:p>
        </w:tc>
      </w:tr>
      <w:tr>
        <w:tc>
          <w:tcPr>
            <w:tcW w:type="dxa" w:w="1152"/>
            <w:shd w:val="clear" w:color="auto" w:fill="F8FAF9"/>
          </w:tcPr>
          <w:p>
            <w:pPr>
              <w:spacing w:before="60" w:after="60"/>
              <w:jc w:val="left"/>
            </w:pPr>
            <w:r>
              <w:rPr>
                <w:rFonts w:ascii="Times New Roman" w:hAnsi="Times New Roman"/>
                <w:color w:val="212529"/>
                <w:sz w:val="19"/>
              </w:rPr>
              <w:t>FR-8</w:t>
            </w:r>
          </w:p>
        </w:tc>
        <w:tc>
          <w:tcPr>
            <w:tcW w:type="dxa" w:w="2592"/>
            <w:shd w:val="clear" w:color="auto" w:fill="F8FAF9"/>
          </w:tcPr>
          <w:p>
            <w:pPr>
              <w:spacing w:before="60" w:after="60"/>
              <w:jc w:val="left"/>
            </w:pPr>
            <w:r>
              <w:rPr>
                <w:rFonts w:ascii="Times New Roman" w:hAnsi="Times New Roman"/>
                <w:color w:val="212529"/>
                <w:sz w:val="19"/>
              </w:rPr>
              <w:t>Master-Detail Bio Inspector</w:t>
            </w:r>
          </w:p>
        </w:tc>
        <w:tc>
          <w:tcPr>
            <w:tcW w:type="dxa" w:w="5616"/>
            <w:shd w:val="clear" w:color="auto" w:fill="F8FAF9"/>
          </w:tcPr>
          <w:p>
            <w:pPr>
              <w:spacing w:before="60" w:after="60"/>
              <w:jc w:val="left"/>
            </w:pPr>
            <w:r>
              <w:rPr>
                <w:rFonts w:ascii="Times New Roman" w:hAnsi="Times New Roman"/>
                <w:color w:val="212529"/>
                <w:sz w:val="19"/>
              </w:rPr>
              <w:t>System must render split-view cards with an interactive bio inspector displaying TOPS career milestones.</w:t>
            </w:r>
          </w:p>
        </w:tc>
      </w:tr>
      <w:tr>
        <w:tc>
          <w:tcPr>
            <w:tcW w:type="dxa" w:w="1152"/>
            <w:shd w:val="clear" w:color="auto" w:fill="FFFFFF"/>
          </w:tcPr>
          <w:p>
            <w:pPr>
              <w:spacing w:before="60" w:after="60"/>
              <w:jc w:val="left"/>
            </w:pPr>
            <w:r>
              <w:rPr>
                <w:rFonts w:ascii="Times New Roman" w:hAnsi="Times New Roman"/>
                <w:color w:val="212529"/>
                <w:sz w:val="19"/>
              </w:rPr>
              <w:t>FR-9</w:t>
            </w:r>
          </w:p>
        </w:tc>
        <w:tc>
          <w:tcPr>
            <w:tcW w:type="dxa" w:w="2592"/>
            <w:shd w:val="clear" w:color="auto" w:fill="FFFFFF"/>
          </w:tcPr>
          <w:p>
            <w:pPr>
              <w:spacing w:before="60" w:after="60"/>
              <w:jc w:val="left"/>
            </w:pPr>
            <w:r>
              <w:rPr>
                <w:rFonts w:ascii="Times New Roman" w:hAnsi="Times New Roman"/>
                <w:color w:val="212529"/>
                <w:sz w:val="19"/>
              </w:rPr>
              <w:t>Women's Sports Pipeline</w:t>
            </w:r>
          </w:p>
        </w:tc>
        <w:tc>
          <w:tcPr>
            <w:tcW w:type="dxa" w:w="5616"/>
            <w:shd w:val="clear" w:color="auto" w:fill="FFFFFF"/>
          </w:tcPr>
          <w:p>
            <w:pPr>
              <w:spacing w:before="60" w:after="60"/>
              <w:jc w:val="left"/>
            </w:pPr>
            <w:r>
              <w:rPr>
                <w:rFonts w:ascii="Times New Roman" w:hAnsi="Times New Roman"/>
                <w:color w:val="212529"/>
                <w:sz w:val="19"/>
              </w:rPr>
              <w:t>System must maintain an independent 5,000-record directory with opportunity scoring (1.0–10.0).</w:t>
            </w:r>
          </w:p>
        </w:tc>
      </w:tr>
      <w:tr>
        <w:tc>
          <w:tcPr>
            <w:tcW w:type="dxa" w:w="1152"/>
            <w:shd w:val="clear" w:color="auto" w:fill="F8FAF9"/>
          </w:tcPr>
          <w:p>
            <w:pPr>
              <w:spacing w:before="60" w:after="60"/>
              <w:jc w:val="left"/>
            </w:pPr>
            <w:r>
              <w:rPr>
                <w:rFonts w:ascii="Times New Roman" w:hAnsi="Times New Roman"/>
                <w:color w:val="212529"/>
                <w:sz w:val="19"/>
              </w:rPr>
              <w:t>FR-10</w:t>
            </w:r>
          </w:p>
        </w:tc>
        <w:tc>
          <w:tcPr>
            <w:tcW w:type="dxa" w:w="2592"/>
            <w:shd w:val="clear" w:color="auto" w:fill="F8FAF9"/>
          </w:tcPr>
          <w:p>
            <w:pPr>
              <w:spacing w:before="60" w:after="60"/>
              <w:jc w:val="left"/>
            </w:pPr>
            <w:r>
              <w:rPr>
                <w:rFonts w:ascii="Times New Roman" w:hAnsi="Times New Roman"/>
                <w:color w:val="212529"/>
                <w:sz w:val="19"/>
              </w:rPr>
              <w:t>Empty-Focus Search</w:t>
            </w:r>
          </w:p>
        </w:tc>
        <w:tc>
          <w:tcPr>
            <w:tcW w:type="dxa" w:w="5616"/>
            <w:shd w:val="clear" w:color="auto" w:fill="F8FAF9"/>
          </w:tcPr>
          <w:p>
            <w:pPr>
              <w:spacing w:before="60" w:after="60"/>
              <w:jc w:val="left"/>
            </w:pPr>
            <w:r>
              <w:rPr>
                <w:rFonts w:ascii="Times New Roman" w:hAnsi="Times New Roman"/>
                <w:color w:val="212529"/>
                <w:sz w:val="19"/>
              </w:rPr>
              <w:t>Dropdown selectors must start empty (index=None) to eliminate backspacing before user queries.</w:t>
            </w:r>
          </w:p>
        </w:tc>
      </w:tr>
      <w:tr>
        <w:tc>
          <w:tcPr>
            <w:tcW w:type="dxa" w:w="1152"/>
            <w:shd w:val="clear" w:color="auto" w:fill="FFFFFF"/>
          </w:tcPr>
          <w:p>
            <w:pPr>
              <w:spacing w:before="60" w:after="60"/>
              <w:jc w:val="left"/>
            </w:pPr>
            <w:r>
              <w:rPr>
                <w:rFonts w:ascii="Times New Roman" w:hAnsi="Times New Roman"/>
                <w:color w:val="212529"/>
                <w:sz w:val="19"/>
              </w:rPr>
              <w:t>NFR-1</w:t>
            </w:r>
          </w:p>
        </w:tc>
        <w:tc>
          <w:tcPr>
            <w:tcW w:type="dxa" w:w="2592"/>
            <w:shd w:val="clear" w:color="auto" w:fill="FFFFFF"/>
          </w:tcPr>
          <w:p>
            <w:pPr>
              <w:spacing w:before="60" w:after="60"/>
              <w:jc w:val="left"/>
            </w:pPr>
            <w:r>
              <w:rPr>
                <w:rFonts w:ascii="Times New Roman" w:hAnsi="Times New Roman"/>
                <w:color w:val="212529"/>
                <w:sz w:val="19"/>
              </w:rPr>
              <w:t>Sub-50ms Query Latency</w:t>
            </w:r>
          </w:p>
        </w:tc>
        <w:tc>
          <w:tcPr>
            <w:tcW w:type="dxa" w:w="5616"/>
            <w:shd w:val="clear" w:color="auto" w:fill="FFFFFF"/>
          </w:tcPr>
          <w:p>
            <w:pPr>
              <w:spacing w:before="60" w:after="60"/>
              <w:jc w:val="left"/>
            </w:pPr>
            <w:r>
              <w:rPr>
                <w:rFonts w:ascii="Times New Roman" w:hAnsi="Times New Roman"/>
                <w:color w:val="212529"/>
                <w:sz w:val="19"/>
              </w:rPr>
              <w:t>In-memory analytical filtering must execute without observable lag across 12,000+ total entities.</w:t>
            </w:r>
          </w:p>
        </w:tc>
      </w:tr>
      <w:tr>
        <w:tc>
          <w:tcPr>
            <w:tcW w:type="dxa" w:w="1152"/>
            <w:shd w:val="clear" w:color="auto" w:fill="F8FAF9"/>
          </w:tcPr>
          <w:p>
            <w:pPr>
              <w:spacing w:before="60" w:after="60"/>
              <w:jc w:val="left"/>
            </w:pPr>
            <w:r>
              <w:rPr>
                <w:rFonts w:ascii="Times New Roman" w:hAnsi="Times New Roman"/>
                <w:color w:val="212529"/>
                <w:sz w:val="19"/>
              </w:rPr>
              <w:t>NFR-2</w:t>
            </w:r>
          </w:p>
        </w:tc>
        <w:tc>
          <w:tcPr>
            <w:tcW w:type="dxa" w:w="2592"/>
            <w:shd w:val="clear" w:color="auto" w:fill="F8FAF9"/>
          </w:tcPr>
          <w:p>
            <w:pPr>
              <w:spacing w:before="60" w:after="60"/>
              <w:jc w:val="left"/>
            </w:pPr>
            <w:r>
              <w:rPr>
                <w:rFonts w:ascii="Times New Roman" w:hAnsi="Times New Roman"/>
                <w:color w:val="212529"/>
                <w:sz w:val="19"/>
              </w:rPr>
              <w:t>Institutional Styling</w:t>
            </w:r>
          </w:p>
        </w:tc>
        <w:tc>
          <w:tcPr>
            <w:tcW w:type="dxa" w:w="5616"/>
            <w:shd w:val="clear" w:color="auto" w:fill="F8FAF9"/>
          </w:tcPr>
          <w:p>
            <w:pPr>
              <w:spacing w:before="60" w:after="60"/>
              <w:jc w:val="left"/>
            </w:pPr>
            <w:r>
              <w:rPr>
                <w:rFonts w:ascii="Times New Roman" w:hAnsi="Times New Roman"/>
                <w:color w:val="212529"/>
                <w:sz w:val="19"/>
              </w:rPr>
              <w:t>UI must enforce a cohesive design system using Fraunces, Inter, IBM Plex Mono, and forest green/gold.</w:t>
            </w:r>
          </w:p>
        </w:tc>
      </w:tr>
    </w:tbl>
    <w:p>
      <w:pPr>
        <w:spacing w:after="120"/>
      </w:pPr>
    </w:p>
    <w:p>
      <w:pPr>
        <w:spacing w:line="276" w:lineRule="auto" w:before="280" w:after="120"/>
      </w:pPr>
      <w:r>
        <w:rPr>
          <w:rFonts w:ascii="Times New Roman" w:hAnsi="Times New Roman"/>
          <w:b/>
          <w:color w:val="1E293B"/>
          <w:sz w:val="26"/>
        </w:rPr>
        <w:t>3.2 Block Diagrams and Flowcharts</w:t>
      </w:r>
    </w:p>
    <w:p>
      <w:pPr>
        <w:spacing w:line="300" w:lineRule="auto" w:after="120"/>
        <w:jc w:val="both"/>
      </w:pPr>
      <w:r>
        <w:rPr>
          <w:rFonts w:ascii="Times New Roman" w:hAnsi="Times New Roman"/>
          <w:i w:val="0"/>
          <w:color w:val="212529"/>
          <w:sz w:val="22"/>
        </w:rPr>
        <w:t>The system architecture and logical workflows of AthletIQ are structured as follows:</w:t>
      </w:r>
    </w:p>
    <w:p>
      <w:pPr>
        <w:spacing w:line="300" w:lineRule="auto" w:after="120"/>
        <w:jc w:val="both"/>
      </w:pPr>
      <w:r>
        <w:rPr>
          <w:rFonts w:ascii="Times New Roman" w:hAnsi="Times New Roman"/>
          <w:b/>
          <w:color w:val="113E21"/>
          <w:sz w:val="22"/>
        </w:rPr>
        <w:t xml:space="preserve">Architecture Overview: </w:t>
      </w:r>
      <w:r>
        <w:rPr>
          <w:rFonts w:ascii="Times New Roman" w:hAnsi="Times New Roman"/>
          <w:i w:val="0"/>
          <w:color w:val="212529"/>
          <w:sz w:val="22"/>
        </w:rPr>
        <w:t>1. Three-Tier System Architecture (Figure 3.2)</w:t>
      </w:r>
    </w:p>
    <w:p>
      <w:pPr>
        <w:spacing w:line="300" w:lineRule="auto" w:after="120"/>
        <w:jc w:val="both"/>
      </w:pPr>
      <w:r>
        <w:rPr>
          <w:rFonts w:ascii="Times New Roman" w:hAnsi="Times New Roman"/>
          <w:i w:val="0"/>
          <w:color w:val="212529"/>
          <w:sz w:val="22"/>
        </w:rPr>
        <w:t>AthletIQ follows a decoupled, three-tier data and presentation architecture: (1) The Data Tier comprises local flat-file registries (athletiq_master_database.csv, sai_centres_processed.json, women_athletes.json, csr_sponsor_signals.csv); (2) The Analytical &amp; Service Tier hosts the Pandas transformation engine, the Coach Capacity &amp; Redistribution Engine, the 100-Point Suitability Matcher, and the Gemini 2.5 Flash Google GenAI client; and (3) The Presentation Tier is implemented as a reactive Streamlit application injecting high-specificity CSS stylesheets and Plotly Express graphs.</w:t>
      </w:r>
    </w:p>
    <w:p>
      <w:pPr>
        <w:spacing w:line="300" w:lineRule="auto" w:after="120"/>
        <w:jc w:val="both"/>
      </w:pPr>
      <w:r>
        <w:rPr>
          <w:rFonts w:ascii="Times New Roman" w:hAnsi="Times New Roman"/>
          <w:b/>
          <w:color w:val="113E21"/>
          <w:sz w:val="22"/>
        </w:rPr>
        <w:t xml:space="preserve">Coach Redistribution Logic: </w:t>
      </w:r>
      <w:r>
        <w:rPr>
          <w:rFonts w:ascii="Times New Roman" w:hAnsi="Times New Roman"/>
          <w:i w:val="0"/>
          <w:color w:val="212529"/>
          <w:sz w:val="22"/>
        </w:rPr>
        <w:t>2. Coach Redistribution Mathematical Workflow (Figure 3.4)</w:t>
      </w:r>
    </w:p>
    <w:p>
      <w:pPr>
        <w:spacing w:line="300" w:lineRule="auto" w:after="120"/>
        <w:jc w:val="both"/>
      </w:pPr>
      <w:r>
        <w:rPr>
          <w:rFonts w:ascii="Times New Roman" w:hAnsi="Times New Roman"/>
          <w:i w:val="0"/>
          <w:color w:val="212529"/>
          <w:sz w:val="22"/>
        </w:rPr>
        <w:t>When a user selects an SAI centre and a sport discipline, the redistribution algorithm executes the following sequence: (a) Retrieve total facility capacity (A_total) and coaches (C_total); (b) Apply discipline-specific weights (W_a, W_c) relative to all active sports hosted at the facility to compute sport capacity (A_s) and sport coaches (C_s); (c) Calculate the current coaching ratio: Ratio_s = A_s / C_s; (d) Compare against the 15:1 national benchmark: Ideal_Coaches = ceil(A_s / 15); (e) If C_s &gt; Ideal_Coaches, flag a surplus of (C_s - Ideal_Coaches) and scan all national facilities hosting the sport with Ratio &gt; 15:1, sorting them by descending strain; (f) If C_s &lt; Ideal_Coaches, flag a deficit and locate national surplus centres with Ratio &lt; 15:1, sorting by lowest ratio to recommend incoming transfers.</w:t>
      </w:r>
    </w:p>
    <w:p>
      <w:pPr>
        <w:spacing w:line="300" w:lineRule="auto" w:after="120"/>
        <w:jc w:val="both"/>
      </w:pPr>
      <w:r>
        <w:rPr>
          <w:rFonts w:ascii="Times New Roman" w:hAnsi="Times New Roman"/>
          <w:b/>
          <w:color w:val="113E21"/>
          <w:sz w:val="22"/>
        </w:rPr>
        <w:t xml:space="preserve">Facility Matcher Logic: </w:t>
      </w:r>
      <w:r>
        <w:rPr>
          <w:rFonts w:ascii="Times New Roman" w:hAnsi="Times New Roman"/>
          <w:i w:val="0"/>
          <w:color w:val="212529"/>
          <w:sz w:val="22"/>
        </w:rPr>
        <w:t>3. 100-Point Facility Suitability Scoring Workflow (Figure 3.5)</w:t>
      </w:r>
    </w:p>
    <w:p>
      <w:pPr>
        <w:spacing w:line="300" w:lineRule="auto" w:after="120"/>
        <w:jc w:val="both"/>
      </w:pPr>
      <w:r>
        <w:rPr>
          <w:rFonts w:ascii="Times New Roman" w:hAnsi="Times New Roman"/>
          <w:i w:val="0"/>
          <w:color w:val="212529"/>
          <w:sz w:val="22"/>
        </w:rPr>
        <w:t>The suitability recommendation engine scores every accredited government facility against an athlete profile using a linear additive utility function:</w:t>
      </w:r>
    </w:p>
    <w:p>
      <w:pPr>
        <w:spacing w:line="300" w:lineRule="auto" w:after="120"/>
        <w:jc w:val="both"/>
      </w:pPr>
      <w:r>
        <w:rPr>
          <w:rFonts w:ascii="Times New Roman" w:hAnsi="Times New Roman"/>
          <w:b/>
          <w:color w:val="113E21"/>
          <w:sz w:val="22"/>
        </w:rPr>
        <w:t xml:space="preserve">Formulation: </w:t>
      </w:r>
      <w:r>
        <w:rPr>
          <w:rFonts w:ascii="Times New Roman" w:hAnsi="Times New Roman"/>
          <w:i w:val="0"/>
          <w:color w:val="212529"/>
          <w:sz w:val="22"/>
        </w:rPr>
        <w:t>Total Score = S_sport (40) + S_proximity (25) + S_performance (20) + S_age (10) + S_gender (5) = 100 Points.</w:t>
      </w:r>
    </w:p>
    <w:p>
      <w:pPr>
        <w:pStyle w:val="ListBullet"/>
        <w:spacing w:line="288" w:lineRule="auto" w:after="60"/>
        <w:jc w:val="both"/>
      </w:pPr>
      <w:r>
        <w:rPr>
          <w:rFonts w:ascii="Times New Roman" w:hAnsi="Times New Roman"/>
          <w:b/>
          <w:color w:val="113E21"/>
          <w:sz w:val="22"/>
        </w:rPr>
        <w:t xml:space="preserve">Sport Offering (40 pts): </w:t>
      </w:r>
      <w:r>
        <w:rPr>
          <w:rFonts w:ascii="Times New Roman" w:hAnsi="Times New Roman"/>
          <w:color w:val="212529"/>
          <w:sz w:val="22"/>
        </w:rPr>
        <w:t>+40 points if the sport is officially coached; 0 points otherwise.</w:t>
      </w:r>
    </w:p>
    <w:p>
      <w:pPr>
        <w:pStyle w:val="ListBullet"/>
        <w:spacing w:line="288" w:lineRule="auto" w:after="60"/>
        <w:jc w:val="both"/>
      </w:pPr>
      <w:r>
        <w:rPr>
          <w:rFonts w:ascii="Times New Roman" w:hAnsi="Times New Roman"/>
          <w:b/>
          <w:color w:val="113E21"/>
          <w:sz w:val="22"/>
        </w:rPr>
        <w:t xml:space="preserve">Geographic Proximity (25 pts): </w:t>
      </w:r>
      <w:r>
        <w:rPr>
          <w:rFonts w:ascii="Times New Roman" w:hAnsi="Times New Roman"/>
          <w:color w:val="212529"/>
          <w:sz w:val="22"/>
        </w:rPr>
        <w:t>+25 points if located within the athlete's home state; +15 points if in an adjacent regional zonal state; 0 points if distant.</w:t>
      </w:r>
    </w:p>
    <w:p>
      <w:pPr>
        <w:pStyle w:val="ListBullet"/>
        <w:spacing w:line="288" w:lineRule="auto" w:after="60"/>
        <w:jc w:val="both"/>
      </w:pPr>
      <w:r>
        <w:rPr>
          <w:rFonts w:ascii="Times New Roman" w:hAnsi="Times New Roman"/>
          <w:b/>
          <w:color w:val="113E21"/>
          <w:sz w:val="22"/>
        </w:rPr>
        <w:t xml:space="preserve">Performance Alignment (20 pts): </w:t>
      </w:r>
      <w:r>
        <w:rPr>
          <w:rFonts w:ascii="Times New Roman" w:hAnsi="Times New Roman"/>
          <w:color w:val="212529"/>
          <w:sz w:val="22"/>
        </w:rPr>
        <w:t>+20 points for an exact level match (e.g., District athlete to District STC); +12 points for a 1-tier difference (e.g., State athlete to NCOE); +4 points for multi-tier gaps.</w:t>
      </w:r>
    </w:p>
    <w:p>
      <w:pPr>
        <w:pStyle w:val="ListBullet"/>
        <w:spacing w:line="288" w:lineRule="auto" w:after="60"/>
        <w:jc w:val="both"/>
      </w:pPr>
      <w:r>
        <w:rPr>
          <w:rFonts w:ascii="Times New Roman" w:hAnsi="Times New Roman"/>
          <w:b/>
          <w:color w:val="113E21"/>
          <w:sz w:val="22"/>
        </w:rPr>
        <w:t xml:space="preserve">Age Eligibility (10 pts): </w:t>
      </w:r>
      <w:r>
        <w:rPr>
          <w:rFonts w:ascii="Times New Roman" w:hAnsi="Times New Roman"/>
          <w:color w:val="212529"/>
          <w:sz w:val="22"/>
        </w:rPr>
        <w:t>+10 points if the athlete's age falls within the official facility bracket; +5 points if within +/- 2 years; 0 points otherwise.</w:t>
      </w:r>
    </w:p>
    <w:p>
      <w:pPr>
        <w:pStyle w:val="ListBullet"/>
        <w:spacing w:line="288" w:lineRule="auto" w:after="60"/>
        <w:jc w:val="both"/>
      </w:pPr>
      <w:r>
        <w:rPr>
          <w:rFonts w:ascii="Times New Roman" w:hAnsi="Times New Roman"/>
          <w:b/>
          <w:color w:val="113E21"/>
          <w:sz w:val="22"/>
        </w:rPr>
        <w:t xml:space="preserve">Gender Infrastructure (5 pts): </w:t>
      </w:r>
      <w:r>
        <w:rPr>
          <w:rFonts w:ascii="Times New Roman" w:hAnsi="Times New Roman"/>
          <w:color w:val="212529"/>
          <w:sz w:val="22"/>
        </w:rPr>
        <w:t>+5 points if matching gender or mixed boarding infrastructure exists; 0 points otherwise.</w:t>
      </w:r>
    </w:p>
    <w:p>
      <w:pPr>
        <w:spacing w:line="276" w:lineRule="auto" w:before="280" w:after="120"/>
      </w:pPr>
      <w:r>
        <w:rPr>
          <w:rFonts w:ascii="Times New Roman" w:hAnsi="Times New Roman"/>
          <w:b/>
          <w:color w:val="1E293B"/>
          <w:sz w:val="26"/>
        </w:rPr>
        <w:t>3.3 Data and Analytical Design</w:t>
      </w:r>
    </w:p>
    <w:p>
      <w:pPr>
        <w:spacing w:line="300" w:lineRule="auto" w:after="120"/>
        <w:jc w:val="both"/>
      </w:pPr>
      <w:r>
        <w:rPr>
          <w:rFonts w:ascii="Times New Roman" w:hAnsi="Times New Roman"/>
          <w:i w:val="0"/>
          <w:color w:val="212529"/>
          <w:sz w:val="22"/>
        </w:rPr>
        <w:t>AthletIQ operates on clean, normalized flat-file schemas. Tables 3.3 and 3.4 outline the entity attributes across the core datasets: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113E21"/>
          </w:tcPr>
          <w:p>
            <w:pPr>
              <w:spacing w:before="80" w:after="80"/>
              <w:jc w:val="left"/>
            </w:pPr>
            <w:r>
              <w:rPr>
                <w:rFonts w:ascii="Times New Roman" w:hAnsi="Times New Roman"/>
                <w:b/>
                <w:color w:val="FFFFFF"/>
                <w:sz w:val="20"/>
              </w:rPr>
              <w:t>Field Name</w:t>
            </w:r>
          </w:p>
        </w:tc>
        <w:tc>
          <w:tcPr>
            <w:tcW w:type="dxa" w:w="2592"/>
            <w:shd w:val="clear" w:color="auto" w:fill="113E21"/>
          </w:tcPr>
          <w:p>
            <w:pPr>
              <w:spacing w:before="80" w:after="80"/>
              <w:jc w:val="left"/>
            </w:pPr>
            <w:r>
              <w:rPr>
                <w:rFonts w:ascii="Times New Roman" w:hAnsi="Times New Roman"/>
                <w:b/>
                <w:color w:val="FFFFFF"/>
                <w:sz w:val="20"/>
              </w:rPr>
              <w:t>Data Type</w:t>
            </w:r>
          </w:p>
        </w:tc>
        <w:tc>
          <w:tcPr>
            <w:tcW w:type="dxa" w:w="4608"/>
            <w:shd w:val="clear" w:color="auto" w:fill="113E21"/>
          </w:tcPr>
          <w:p>
            <w:pPr>
              <w:spacing w:before="80" w:after="80"/>
              <w:jc w:val="left"/>
            </w:pPr>
            <w:r>
              <w:rPr>
                <w:rFonts w:ascii="Times New Roman" w:hAnsi="Times New Roman"/>
                <w:b/>
                <w:color w:val="FFFFFF"/>
                <w:sz w:val="20"/>
              </w:rPr>
              <w:t>Analytical Description &amp; Constraints</w:t>
            </w:r>
          </w:p>
        </w:tc>
      </w:tr>
      <w:tr>
        <w:tc>
          <w:tcPr>
            <w:tcW w:type="dxa" w:w="2160"/>
            <w:shd w:val="clear" w:color="auto" w:fill="FFFFFF"/>
          </w:tcPr>
          <w:p>
            <w:pPr>
              <w:spacing w:before="60" w:after="60"/>
              <w:jc w:val="left"/>
            </w:pPr>
            <w:r>
              <w:rPr>
                <w:rFonts w:ascii="Times New Roman" w:hAnsi="Times New Roman"/>
                <w:color w:val="212529"/>
                <w:sz w:val="19"/>
              </w:rPr>
              <w:t>name</w:t>
            </w:r>
          </w:p>
        </w:tc>
        <w:tc>
          <w:tcPr>
            <w:tcW w:type="dxa" w:w="2592"/>
            <w:shd w:val="clear" w:color="auto" w:fill="FFFFFF"/>
          </w:tcPr>
          <w:p>
            <w:pPr>
              <w:spacing w:before="60" w:after="60"/>
              <w:jc w:val="left"/>
            </w:pPr>
            <w:r>
              <w:rPr>
                <w:rFonts w:ascii="Times New Roman" w:hAnsi="Times New Roman"/>
                <w:color w:val="212529"/>
                <w:sz w:val="19"/>
              </w:rPr>
              <w:t>String (Required)</w:t>
            </w:r>
          </w:p>
        </w:tc>
        <w:tc>
          <w:tcPr>
            <w:tcW w:type="dxa" w:w="4608"/>
            <w:shd w:val="clear" w:color="auto" w:fill="FFFFFF"/>
          </w:tcPr>
          <w:p>
            <w:pPr>
              <w:spacing w:before="60" w:after="60"/>
              <w:jc w:val="left"/>
            </w:pPr>
            <w:r>
              <w:rPr>
                <w:rFonts w:ascii="Times New Roman" w:hAnsi="Times New Roman"/>
                <w:color w:val="212529"/>
                <w:sz w:val="19"/>
              </w:rPr>
              <w:t>Official full name of the athlete or coach.</w:t>
            </w:r>
          </w:p>
        </w:tc>
      </w:tr>
      <w:tr>
        <w:tc>
          <w:tcPr>
            <w:tcW w:type="dxa" w:w="2160"/>
            <w:shd w:val="clear" w:color="auto" w:fill="F8FAF9"/>
          </w:tcPr>
          <w:p>
            <w:pPr>
              <w:spacing w:before="60" w:after="60"/>
              <w:jc w:val="left"/>
            </w:pPr>
            <w:r>
              <w:rPr>
                <w:rFonts w:ascii="Times New Roman" w:hAnsi="Times New Roman"/>
                <w:color w:val="212529"/>
                <w:sz w:val="19"/>
              </w:rPr>
              <w:t>entity_type</w:t>
            </w:r>
          </w:p>
        </w:tc>
        <w:tc>
          <w:tcPr>
            <w:tcW w:type="dxa" w:w="2592"/>
            <w:shd w:val="clear" w:color="auto" w:fill="F8FAF9"/>
          </w:tcPr>
          <w:p>
            <w:pPr>
              <w:spacing w:before="60" w:after="60"/>
              <w:jc w:val="left"/>
            </w:pPr>
            <w:r>
              <w:rPr>
                <w:rFonts w:ascii="Times New Roman" w:hAnsi="Times New Roman"/>
                <w:color w:val="212529"/>
                <w:sz w:val="19"/>
              </w:rPr>
              <w:t>String Enum</w:t>
            </w:r>
          </w:p>
        </w:tc>
        <w:tc>
          <w:tcPr>
            <w:tcW w:type="dxa" w:w="4608"/>
            <w:shd w:val="clear" w:color="auto" w:fill="F8FAF9"/>
          </w:tcPr>
          <w:p>
            <w:pPr>
              <w:spacing w:before="60" w:after="60"/>
              <w:jc w:val="left"/>
            </w:pPr>
            <w:r>
              <w:rPr>
                <w:rFonts w:ascii="Times New Roman" w:hAnsi="Times New Roman"/>
                <w:color w:val="212529"/>
                <w:sz w:val="19"/>
              </w:rPr>
              <w:t>Categorical identifier: 'Athlete' or 'Coach'.</w:t>
            </w:r>
          </w:p>
        </w:tc>
      </w:tr>
      <w:tr>
        <w:tc>
          <w:tcPr>
            <w:tcW w:type="dxa" w:w="2160"/>
            <w:shd w:val="clear" w:color="auto" w:fill="FFFFFF"/>
          </w:tcPr>
          <w:p>
            <w:pPr>
              <w:spacing w:before="60" w:after="60"/>
              <w:jc w:val="left"/>
            </w:pPr>
            <w:r>
              <w:rPr>
                <w:rFonts w:ascii="Times New Roman" w:hAnsi="Times New Roman"/>
                <w:color w:val="212529"/>
                <w:sz w:val="19"/>
              </w:rPr>
              <w:t>sport</w:t>
            </w:r>
          </w:p>
        </w:tc>
        <w:tc>
          <w:tcPr>
            <w:tcW w:type="dxa" w:w="2592"/>
            <w:shd w:val="clear" w:color="auto" w:fill="FFFFFF"/>
          </w:tcPr>
          <w:p>
            <w:pPr>
              <w:spacing w:before="60" w:after="60"/>
              <w:jc w:val="left"/>
            </w:pPr>
            <w:r>
              <w:rPr>
                <w:rFonts w:ascii="Times New Roman" w:hAnsi="Times New Roman"/>
                <w:color w:val="212529"/>
                <w:sz w:val="19"/>
              </w:rPr>
              <w:t>String (Cleaned)</w:t>
            </w:r>
          </w:p>
        </w:tc>
        <w:tc>
          <w:tcPr>
            <w:tcW w:type="dxa" w:w="4608"/>
            <w:shd w:val="clear" w:color="auto" w:fill="FFFFFF"/>
          </w:tcPr>
          <w:p>
            <w:pPr>
              <w:spacing w:before="60" w:after="60"/>
              <w:jc w:val="left"/>
            </w:pPr>
            <w:r>
              <w:rPr>
                <w:rFonts w:ascii="Times New Roman" w:hAnsi="Times New Roman"/>
                <w:color w:val="212529"/>
                <w:sz w:val="19"/>
              </w:rPr>
              <w:t>Standardized discipline (e.g., 'Athletics', 'Wrestling', 'Boxing', 'Hockey').</w:t>
            </w:r>
          </w:p>
        </w:tc>
      </w:tr>
      <w:tr>
        <w:tc>
          <w:tcPr>
            <w:tcW w:type="dxa" w:w="2160"/>
            <w:shd w:val="clear" w:color="auto" w:fill="F8FAF9"/>
          </w:tcPr>
          <w:p>
            <w:pPr>
              <w:spacing w:before="60" w:after="60"/>
              <w:jc w:val="left"/>
            </w:pPr>
            <w:r>
              <w:rPr>
                <w:rFonts w:ascii="Times New Roman" w:hAnsi="Times New Roman"/>
                <w:color w:val="212529"/>
                <w:sz w:val="19"/>
              </w:rPr>
              <w:t>state</w:t>
            </w:r>
          </w:p>
        </w:tc>
        <w:tc>
          <w:tcPr>
            <w:tcW w:type="dxa" w:w="2592"/>
            <w:shd w:val="clear" w:color="auto" w:fill="F8FAF9"/>
          </w:tcPr>
          <w:p>
            <w:pPr>
              <w:spacing w:before="60" w:after="60"/>
              <w:jc w:val="left"/>
            </w:pPr>
            <w:r>
              <w:rPr>
                <w:rFonts w:ascii="Times New Roman" w:hAnsi="Times New Roman"/>
                <w:color w:val="212529"/>
                <w:sz w:val="19"/>
              </w:rPr>
              <w:t>String (Normalized)</w:t>
            </w:r>
          </w:p>
        </w:tc>
        <w:tc>
          <w:tcPr>
            <w:tcW w:type="dxa" w:w="4608"/>
            <w:shd w:val="clear" w:color="auto" w:fill="F8FAF9"/>
          </w:tcPr>
          <w:p>
            <w:pPr>
              <w:spacing w:before="60" w:after="60"/>
              <w:jc w:val="left"/>
            </w:pPr>
            <w:r>
              <w:rPr>
                <w:rFonts w:ascii="Times New Roman" w:hAnsi="Times New Roman"/>
                <w:color w:val="212529"/>
                <w:sz w:val="19"/>
              </w:rPr>
              <w:t>Official home state or union territory registry.</w:t>
            </w:r>
          </w:p>
        </w:tc>
      </w:tr>
      <w:tr>
        <w:tc>
          <w:tcPr>
            <w:tcW w:type="dxa" w:w="2160"/>
            <w:shd w:val="clear" w:color="auto" w:fill="FFFFFF"/>
          </w:tcPr>
          <w:p>
            <w:pPr>
              <w:spacing w:before="60" w:after="60"/>
              <w:jc w:val="left"/>
            </w:pPr>
            <w:r>
              <w:rPr>
                <w:rFonts w:ascii="Times New Roman" w:hAnsi="Times New Roman"/>
                <w:color w:val="212529"/>
                <w:sz w:val="19"/>
              </w:rPr>
              <w:t>performance_level</w:t>
            </w:r>
          </w:p>
        </w:tc>
        <w:tc>
          <w:tcPr>
            <w:tcW w:type="dxa" w:w="2592"/>
            <w:shd w:val="clear" w:color="auto" w:fill="FFFFFF"/>
          </w:tcPr>
          <w:p>
            <w:pPr>
              <w:spacing w:before="60" w:after="60"/>
              <w:jc w:val="left"/>
            </w:pPr>
            <w:r>
              <w:rPr>
                <w:rFonts w:ascii="Times New Roman" w:hAnsi="Times New Roman"/>
                <w:color w:val="212529"/>
                <w:sz w:val="19"/>
              </w:rPr>
              <w:t>String Enum</w:t>
            </w:r>
          </w:p>
        </w:tc>
        <w:tc>
          <w:tcPr>
            <w:tcW w:type="dxa" w:w="4608"/>
            <w:shd w:val="clear" w:color="auto" w:fill="FFFFFF"/>
          </w:tcPr>
          <w:p>
            <w:pPr>
              <w:spacing w:before="60" w:after="60"/>
              <w:jc w:val="left"/>
            </w:pPr>
            <w:r>
              <w:rPr>
                <w:rFonts w:ascii="Times New Roman" w:hAnsi="Times New Roman"/>
                <w:color w:val="212529"/>
                <w:sz w:val="19"/>
              </w:rPr>
              <w:t>Competitive tier: 'Village', 'District', 'State', 'National', 'International'.</w:t>
            </w:r>
          </w:p>
        </w:tc>
      </w:tr>
      <w:tr>
        <w:tc>
          <w:tcPr>
            <w:tcW w:type="dxa" w:w="2160"/>
            <w:shd w:val="clear" w:color="auto" w:fill="F8FAF9"/>
          </w:tcPr>
          <w:p>
            <w:pPr>
              <w:spacing w:before="60" w:after="60"/>
              <w:jc w:val="left"/>
            </w:pPr>
            <w:r>
              <w:rPr>
                <w:rFonts w:ascii="Times New Roman" w:hAnsi="Times New Roman"/>
                <w:color w:val="212529"/>
                <w:sz w:val="19"/>
              </w:rPr>
              <w:t>age</w:t>
            </w:r>
          </w:p>
        </w:tc>
        <w:tc>
          <w:tcPr>
            <w:tcW w:type="dxa" w:w="2592"/>
            <w:shd w:val="clear" w:color="auto" w:fill="F8FAF9"/>
          </w:tcPr>
          <w:p>
            <w:pPr>
              <w:spacing w:before="60" w:after="60"/>
              <w:jc w:val="left"/>
            </w:pPr>
            <w:r>
              <w:rPr>
                <w:rFonts w:ascii="Times New Roman" w:hAnsi="Times New Roman"/>
                <w:color w:val="212529"/>
                <w:sz w:val="19"/>
              </w:rPr>
              <w:t>Float / Numeric</w:t>
            </w:r>
          </w:p>
        </w:tc>
        <w:tc>
          <w:tcPr>
            <w:tcW w:type="dxa" w:w="4608"/>
            <w:shd w:val="clear" w:color="auto" w:fill="F8FAF9"/>
          </w:tcPr>
          <w:p>
            <w:pPr>
              <w:spacing w:before="60" w:after="60"/>
              <w:jc w:val="left"/>
            </w:pPr>
            <w:r>
              <w:rPr>
                <w:rFonts w:ascii="Times New Roman" w:hAnsi="Times New Roman"/>
                <w:color w:val="212529"/>
                <w:sz w:val="19"/>
              </w:rPr>
              <w:t>Recorded age in years (converted to integer display).</w:t>
            </w:r>
          </w:p>
        </w:tc>
      </w:tr>
      <w:tr>
        <w:tc>
          <w:tcPr>
            <w:tcW w:type="dxa" w:w="2160"/>
            <w:shd w:val="clear" w:color="auto" w:fill="FFFFFF"/>
          </w:tcPr>
          <w:p>
            <w:pPr>
              <w:spacing w:before="60" w:after="60"/>
              <w:jc w:val="left"/>
            </w:pPr>
            <w:r>
              <w:rPr>
                <w:rFonts w:ascii="Times New Roman" w:hAnsi="Times New Roman"/>
                <w:color w:val="212529"/>
                <w:sz w:val="19"/>
              </w:rPr>
              <w:t>notes</w:t>
            </w:r>
          </w:p>
        </w:tc>
        <w:tc>
          <w:tcPr>
            <w:tcW w:type="dxa" w:w="2592"/>
            <w:shd w:val="clear" w:color="auto" w:fill="FFFFFF"/>
          </w:tcPr>
          <w:p>
            <w:pPr>
              <w:spacing w:before="60" w:after="60"/>
              <w:jc w:val="left"/>
            </w:pPr>
            <w:r>
              <w:rPr>
                <w:rFonts w:ascii="Times New Roman" w:hAnsi="Times New Roman"/>
                <w:color w:val="212529"/>
                <w:sz w:val="19"/>
              </w:rPr>
              <w:t>String (Textual)</w:t>
            </w:r>
          </w:p>
        </w:tc>
        <w:tc>
          <w:tcPr>
            <w:tcW w:type="dxa" w:w="4608"/>
            <w:shd w:val="clear" w:color="auto" w:fill="FFFFFF"/>
          </w:tcPr>
          <w:p>
            <w:pPr>
              <w:spacing w:before="60" w:after="60"/>
              <w:jc w:val="left"/>
            </w:pPr>
            <w:r>
              <w:rPr>
                <w:rFonts w:ascii="Times New Roman" w:hAnsi="Times New Roman"/>
                <w:color w:val="212529"/>
                <w:sz w:val="19"/>
              </w:rPr>
              <w:t>Qualitative scouting notes, medal achievements, and historical records.</w:t>
            </w:r>
          </w:p>
        </w:tc>
      </w:tr>
    </w:tbl>
    <w:p>
      <w:pPr>
        <w:spacing w:after="120"/>
      </w:pP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113E21"/>
          </w:tcPr>
          <w:p>
            <w:pPr>
              <w:spacing w:before="80" w:after="80"/>
              <w:jc w:val="left"/>
            </w:pPr>
            <w:r>
              <w:rPr>
                <w:rFonts w:ascii="Times New Roman" w:hAnsi="Times New Roman"/>
                <w:b/>
                <w:color w:val="FFFFFF"/>
                <w:sz w:val="20"/>
              </w:rPr>
              <w:t>Attribute</w:t>
            </w:r>
          </w:p>
        </w:tc>
        <w:tc>
          <w:tcPr>
            <w:tcW w:type="dxa" w:w="2592"/>
            <w:shd w:val="clear" w:color="auto" w:fill="113E21"/>
          </w:tcPr>
          <w:p>
            <w:pPr>
              <w:spacing w:before="80" w:after="80"/>
              <w:jc w:val="left"/>
            </w:pPr>
            <w:r>
              <w:rPr>
                <w:rFonts w:ascii="Times New Roman" w:hAnsi="Times New Roman"/>
                <w:b/>
                <w:color w:val="FFFFFF"/>
                <w:sz w:val="20"/>
              </w:rPr>
              <w:t>Data Type</w:t>
            </w:r>
          </w:p>
        </w:tc>
        <w:tc>
          <w:tcPr>
            <w:tcW w:type="dxa" w:w="4608"/>
            <w:shd w:val="clear" w:color="auto" w:fill="113E21"/>
          </w:tcPr>
          <w:p>
            <w:pPr>
              <w:spacing w:before="80" w:after="80"/>
              <w:jc w:val="left"/>
            </w:pPr>
            <w:r>
              <w:rPr>
                <w:rFonts w:ascii="Times New Roman" w:hAnsi="Times New Roman"/>
                <w:b/>
                <w:color w:val="FFFFFF"/>
                <w:sz w:val="20"/>
              </w:rPr>
              <w:t>Domain Definition &amp; Functional Purpose</w:t>
            </w:r>
          </w:p>
        </w:tc>
      </w:tr>
      <w:tr>
        <w:tc>
          <w:tcPr>
            <w:tcW w:type="dxa" w:w="2160"/>
            <w:shd w:val="clear" w:color="auto" w:fill="FFFFFF"/>
          </w:tcPr>
          <w:p>
            <w:pPr>
              <w:spacing w:before="60" w:after="60"/>
              <w:jc w:val="left"/>
            </w:pPr>
            <w:r>
              <w:rPr>
                <w:rFonts w:ascii="Times New Roman" w:hAnsi="Times New Roman"/>
                <w:color w:val="212529"/>
                <w:sz w:val="19"/>
              </w:rPr>
              <w:t>name</w:t>
            </w:r>
          </w:p>
        </w:tc>
        <w:tc>
          <w:tcPr>
            <w:tcW w:type="dxa" w:w="2592"/>
            <w:shd w:val="clear" w:color="auto" w:fill="FFFFFF"/>
          </w:tcPr>
          <w:p>
            <w:pPr>
              <w:spacing w:before="60" w:after="60"/>
              <w:jc w:val="left"/>
            </w:pPr>
            <w:r>
              <w:rPr>
                <w:rFonts w:ascii="Times New Roman" w:hAnsi="Times New Roman"/>
                <w:color w:val="212529"/>
                <w:sz w:val="19"/>
              </w:rPr>
              <w:t>String (Unique)</w:t>
            </w:r>
          </w:p>
        </w:tc>
        <w:tc>
          <w:tcPr>
            <w:tcW w:type="dxa" w:w="4608"/>
            <w:shd w:val="clear" w:color="auto" w:fill="FFFFFF"/>
          </w:tcPr>
          <w:p>
            <w:pPr>
              <w:spacing w:before="60" w:after="60"/>
              <w:jc w:val="left"/>
            </w:pPr>
            <w:r>
              <w:rPr>
                <w:rFonts w:ascii="Times New Roman" w:hAnsi="Times New Roman"/>
                <w:color w:val="212529"/>
                <w:sz w:val="19"/>
              </w:rPr>
              <w:t>Full accredited title of the facility (e.g., 'SAI Bangalore (NCOE)').</w:t>
            </w:r>
          </w:p>
        </w:tc>
      </w:tr>
      <w:tr>
        <w:tc>
          <w:tcPr>
            <w:tcW w:type="dxa" w:w="2160"/>
            <w:shd w:val="clear" w:color="auto" w:fill="F8FAF9"/>
          </w:tcPr>
          <w:p>
            <w:pPr>
              <w:spacing w:before="60" w:after="60"/>
              <w:jc w:val="left"/>
            </w:pPr>
            <w:r>
              <w:rPr>
                <w:rFonts w:ascii="Times New Roman" w:hAnsi="Times New Roman"/>
                <w:color w:val="212529"/>
                <w:sz w:val="19"/>
              </w:rPr>
              <w:t>type</w:t>
            </w:r>
          </w:p>
        </w:tc>
        <w:tc>
          <w:tcPr>
            <w:tcW w:type="dxa" w:w="2592"/>
            <w:shd w:val="clear" w:color="auto" w:fill="F8FAF9"/>
          </w:tcPr>
          <w:p>
            <w:pPr>
              <w:spacing w:before="60" w:after="60"/>
              <w:jc w:val="left"/>
            </w:pPr>
            <w:r>
              <w:rPr>
                <w:rFonts w:ascii="Times New Roman" w:hAnsi="Times New Roman"/>
                <w:color w:val="212529"/>
                <w:sz w:val="19"/>
              </w:rPr>
              <w:t>String Enum</w:t>
            </w:r>
          </w:p>
        </w:tc>
        <w:tc>
          <w:tcPr>
            <w:tcW w:type="dxa" w:w="4608"/>
            <w:shd w:val="clear" w:color="auto" w:fill="F8FAF9"/>
          </w:tcPr>
          <w:p>
            <w:pPr>
              <w:spacing w:before="60" w:after="60"/>
              <w:jc w:val="left"/>
            </w:pPr>
            <w:r>
              <w:rPr>
                <w:rFonts w:ascii="Times New Roman" w:hAnsi="Times New Roman"/>
                <w:color w:val="212529"/>
                <w:sz w:val="19"/>
              </w:rPr>
              <w:t>'NCOE' (National Centre of Excellence) or 'STC' (SAI Training Centre).</w:t>
            </w:r>
          </w:p>
        </w:tc>
      </w:tr>
      <w:tr>
        <w:tc>
          <w:tcPr>
            <w:tcW w:type="dxa" w:w="2160"/>
            <w:shd w:val="clear" w:color="auto" w:fill="FFFFFF"/>
          </w:tcPr>
          <w:p>
            <w:pPr>
              <w:spacing w:before="60" w:after="60"/>
              <w:jc w:val="left"/>
            </w:pPr>
            <w:r>
              <w:rPr>
                <w:rFonts w:ascii="Times New Roman" w:hAnsi="Times New Roman"/>
                <w:color w:val="212529"/>
                <w:sz w:val="19"/>
              </w:rPr>
              <w:t>city / state</w:t>
            </w:r>
          </w:p>
        </w:tc>
        <w:tc>
          <w:tcPr>
            <w:tcW w:type="dxa" w:w="2592"/>
            <w:shd w:val="clear" w:color="auto" w:fill="FFFFFF"/>
          </w:tcPr>
          <w:p>
            <w:pPr>
              <w:spacing w:before="60" w:after="60"/>
              <w:jc w:val="left"/>
            </w:pPr>
            <w:r>
              <w:rPr>
                <w:rFonts w:ascii="Times New Roman" w:hAnsi="Times New Roman"/>
                <w:color w:val="212529"/>
                <w:sz w:val="19"/>
              </w:rPr>
              <w:t>String</w:t>
            </w:r>
          </w:p>
        </w:tc>
        <w:tc>
          <w:tcPr>
            <w:tcW w:type="dxa" w:w="4608"/>
            <w:shd w:val="clear" w:color="auto" w:fill="FFFFFF"/>
          </w:tcPr>
          <w:p>
            <w:pPr>
              <w:spacing w:before="60" w:after="60"/>
              <w:jc w:val="left"/>
            </w:pPr>
            <w:r>
              <w:rPr>
                <w:rFonts w:ascii="Times New Roman" w:hAnsi="Times New Roman"/>
                <w:color w:val="212529"/>
                <w:sz w:val="19"/>
              </w:rPr>
              <w:t>Geographic location of the regional training campus.</w:t>
            </w:r>
          </w:p>
        </w:tc>
      </w:tr>
      <w:tr>
        <w:tc>
          <w:tcPr>
            <w:tcW w:type="dxa" w:w="2160"/>
            <w:shd w:val="clear" w:color="auto" w:fill="F8FAF9"/>
          </w:tcPr>
          <w:p>
            <w:pPr>
              <w:spacing w:before="60" w:after="60"/>
              <w:jc w:val="left"/>
            </w:pPr>
            <w:r>
              <w:rPr>
                <w:rFonts w:ascii="Times New Roman" w:hAnsi="Times New Roman"/>
                <w:color w:val="212529"/>
                <w:sz w:val="19"/>
              </w:rPr>
              <w:t>capacity</w:t>
            </w:r>
          </w:p>
        </w:tc>
        <w:tc>
          <w:tcPr>
            <w:tcW w:type="dxa" w:w="2592"/>
            <w:shd w:val="clear" w:color="auto" w:fill="F8FAF9"/>
          </w:tcPr>
          <w:p>
            <w:pPr>
              <w:spacing w:before="60" w:after="60"/>
              <w:jc w:val="left"/>
            </w:pPr>
            <w:r>
              <w:rPr>
                <w:rFonts w:ascii="Times New Roman" w:hAnsi="Times New Roman"/>
                <w:color w:val="212529"/>
                <w:sz w:val="19"/>
              </w:rPr>
              <w:t>Integer</w:t>
            </w:r>
          </w:p>
        </w:tc>
        <w:tc>
          <w:tcPr>
            <w:tcW w:type="dxa" w:w="4608"/>
            <w:shd w:val="clear" w:color="auto" w:fill="F8FAF9"/>
          </w:tcPr>
          <w:p>
            <w:pPr>
              <w:spacing w:before="60" w:after="60"/>
              <w:jc w:val="left"/>
            </w:pPr>
            <w:r>
              <w:rPr>
                <w:rFonts w:ascii="Times New Roman" w:hAnsi="Times New Roman"/>
                <w:color w:val="212529"/>
                <w:sz w:val="19"/>
              </w:rPr>
              <w:t>Total residential athlete boarding and training capacity.</w:t>
            </w:r>
          </w:p>
        </w:tc>
      </w:tr>
      <w:tr>
        <w:tc>
          <w:tcPr>
            <w:tcW w:type="dxa" w:w="2160"/>
            <w:shd w:val="clear" w:color="auto" w:fill="FFFFFF"/>
          </w:tcPr>
          <w:p>
            <w:pPr>
              <w:spacing w:before="60" w:after="60"/>
              <w:jc w:val="left"/>
            </w:pPr>
            <w:r>
              <w:rPr>
                <w:rFonts w:ascii="Times New Roman" w:hAnsi="Times New Roman"/>
                <w:color w:val="212529"/>
                <w:sz w:val="19"/>
              </w:rPr>
              <w:t>coaches</w:t>
            </w:r>
          </w:p>
        </w:tc>
        <w:tc>
          <w:tcPr>
            <w:tcW w:type="dxa" w:w="2592"/>
            <w:shd w:val="clear" w:color="auto" w:fill="FFFFFF"/>
          </w:tcPr>
          <w:p>
            <w:pPr>
              <w:spacing w:before="60" w:after="60"/>
              <w:jc w:val="left"/>
            </w:pPr>
            <w:r>
              <w:rPr>
                <w:rFonts w:ascii="Times New Roman" w:hAnsi="Times New Roman"/>
                <w:color w:val="212529"/>
                <w:sz w:val="19"/>
              </w:rPr>
              <w:t>Integer</w:t>
            </w:r>
          </w:p>
        </w:tc>
        <w:tc>
          <w:tcPr>
            <w:tcW w:type="dxa" w:w="4608"/>
            <w:shd w:val="clear" w:color="auto" w:fill="FFFFFF"/>
          </w:tcPr>
          <w:p>
            <w:pPr>
              <w:spacing w:before="60" w:after="60"/>
              <w:jc w:val="left"/>
            </w:pPr>
            <w:r>
              <w:rPr>
                <w:rFonts w:ascii="Times New Roman" w:hAnsi="Times New Roman"/>
                <w:color w:val="212529"/>
                <w:sz w:val="19"/>
              </w:rPr>
              <w:t>Total sanctioned coaching and technical support personnel.</w:t>
            </w:r>
          </w:p>
        </w:tc>
      </w:tr>
      <w:tr>
        <w:tc>
          <w:tcPr>
            <w:tcW w:type="dxa" w:w="2160"/>
            <w:shd w:val="clear" w:color="auto" w:fill="F8FAF9"/>
          </w:tcPr>
          <w:p>
            <w:pPr>
              <w:spacing w:before="60" w:after="60"/>
              <w:jc w:val="left"/>
            </w:pPr>
            <w:r>
              <w:rPr>
                <w:rFonts w:ascii="Times New Roman" w:hAnsi="Times New Roman"/>
                <w:color w:val="212529"/>
                <w:sz w:val="19"/>
              </w:rPr>
              <w:t>sports</w:t>
            </w:r>
          </w:p>
        </w:tc>
        <w:tc>
          <w:tcPr>
            <w:tcW w:type="dxa" w:w="2592"/>
            <w:shd w:val="clear" w:color="auto" w:fill="F8FAF9"/>
          </w:tcPr>
          <w:p>
            <w:pPr>
              <w:spacing w:before="60" w:after="60"/>
              <w:jc w:val="left"/>
            </w:pPr>
            <w:r>
              <w:rPr>
                <w:rFonts w:ascii="Times New Roman" w:hAnsi="Times New Roman"/>
                <w:color w:val="212529"/>
                <w:sz w:val="19"/>
              </w:rPr>
              <w:t>List of Strings</w:t>
            </w:r>
          </w:p>
        </w:tc>
        <w:tc>
          <w:tcPr>
            <w:tcW w:type="dxa" w:w="4608"/>
            <w:shd w:val="clear" w:color="auto" w:fill="F8FAF9"/>
          </w:tcPr>
          <w:p>
            <w:pPr>
              <w:spacing w:before="60" w:after="60"/>
              <w:jc w:val="left"/>
            </w:pPr>
            <w:r>
              <w:rPr>
                <w:rFonts w:ascii="Times New Roman" w:hAnsi="Times New Roman"/>
                <w:color w:val="212529"/>
                <w:sz w:val="19"/>
              </w:rPr>
              <w:t>Array of sports disciplines officially supported at the facility.</w:t>
            </w:r>
          </w:p>
        </w:tc>
      </w:tr>
      <w:tr>
        <w:tc>
          <w:tcPr>
            <w:tcW w:type="dxa" w:w="2160"/>
            <w:shd w:val="clear" w:color="auto" w:fill="FFFFFF"/>
          </w:tcPr>
          <w:p>
            <w:pPr>
              <w:spacing w:before="60" w:after="60"/>
              <w:jc w:val="left"/>
            </w:pPr>
            <w:r>
              <w:rPr>
                <w:rFonts w:ascii="Times New Roman" w:hAnsi="Times New Roman"/>
                <w:color w:val="212529"/>
                <w:sz w:val="19"/>
              </w:rPr>
              <w:t>facilities</w:t>
            </w:r>
          </w:p>
        </w:tc>
        <w:tc>
          <w:tcPr>
            <w:tcW w:type="dxa" w:w="2592"/>
            <w:shd w:val="clear" w:color="auto" w:fill="FFFFFF"/>
          </w:tcPr>
          <w:p>
            <w:pPr>
              <w:spacing w:before="60" w:after="60"/>
              <w:jc w:val="left"/>
            </w:pPr>
            <w:r>
              <w:rPr>
                <w:rFonts w:ascii="Times New Roman" w:hAnsi="Times New Roman"/>
                <w:color w:val="212529"/>
                <w:sz w:val="19"/>
              </w:rPr>
              <w:t>String</w:t>
            </w:r>
          </w:p>
        </w:tc>
        <w:tc>
          <w:tcPr>
            <w:tcW w:type="dxa" w:w="4608"/>
            <w:shd w:val="clear" w:color="auto" w:fill="FFFFFF"/>
          </w:tcPr>
          <w:p>
            <w:pPr>
              <w:spacing w:before="60" w:after="60"/>
              <w:jc w:val="left"/>
            </w:pPr>
            <w:r>
              <w:rPr>
                <w:rFonts w:ascii="Times New Roman" w:hAnsi="Times New Roman"/>
                <w:color w:val="212529"/>
                <w:sz w:val="19"/>
              </w:rPr>
              <w:t>Summary of infrastructure (arenas, tracks, physiotherapy, hostels).</w:t>
            </w:r>
          </w:p>
        </w:tc>
      </w:tr>
      <w:tr>
        <w:tc>
          <w:tcPr>
            <w:tcW w:type="dxa" w:w="2160"/>
            <w:shd w:val="clear" w:color="auto" w:fill="F8FAF9"/>
          </w:tcPr>
          <w:p>
            <w:pPr>
              <w:spacing w:before="60" w:after="60"/>
              <w:jc w:val="left"/>
            </w:pPr>
            <w:r>
              <w:rPr>
                <w:rFonts w:ascii="Times New Roman" w:hAnsi="Times New Roman"/>
                <w:color w:val="212529"/>
                <w:sz w:val="19"/>
              </w:rPr>
              <w:t>performance</w:t>
            </w:r>
          </w:p>
        </w:tc>
        <w:tc>
          <w:tcPr>
            <w:tcW w:type="dxa" w:w="2592"/>
            <w:shd w:val="clear" w:color="auto" w:fill="F8FAF9"/>
          </w:tcPr>
          <w:p>
            <w:pPr>
              <w:spacing w:before="60" w:after="60"/>
              <w:jc w:val="left"/>
            </w:pPr>
            <w:r>
              <w:rPr>
                <w:rFonts w:ascii="Times New Roman" w:hAnsi="Times New Roman"/>
                <w:color w:val="212529"/>
                <w:sz w:val="19"/>
              </w:rPr>
              <w:t>List of Strings</w:t>
            </w:r>
          </w:p>
        </w:tc>
        <w:tc>
          <w:tcPr>
            <w:tcW w:type="dxa" w:w="4608"/>
            <w:shd w:val="clear" w:color="auto" w:fill="F8FAF9"/>
          </w:tcPr>
          <w:p>
            <w:pPr>
              <w:spacing w:before="60" w:after="60"/>
              <w:jc w:val="left"/>
            </w:pPr>
            <w:r>
              <w:rPr>
                <w:rFonts w:ascii="Times New Roman" w:hAnsi="Times New Roman"/>
                <w:color w:val="212529"/>
                <w:sz w:val="19"/>
              </w:rPr>
              <w:t>Targeted competitive tiers (e.g., ['District', 'State', 'National']).</w:t>
            </w:r>
          </w:p>
        </w:tc>
      </w:tr>
      <w:tr>
        <w:tc>
          <w:tcPr>
            <w:tcW w:type="dxa" w:w="2160"/>
            <w:shd w:val="clear" w:color="auto" w:fill="FFFFFF"/>
          </w:tcPr>
          <w:p>
            <w:pPr>
              <w:spacing w:before="60" w:after="60"/>
              <w:jc w:val="left"/>
            </w:pPr>
            <w:r>
              <w:rPr>
                <w:rFonts w:ascii="Times New Roman" w:hAnsi="Times New Roman"/>
                <w:color w:val="212529"/>
                <w:sz w:val="19"/>
              </w:rPr>
              <w:t>age_min / age_max</w:t>
            </w:r>
          </w:p>
        </w:tc>
        <w:tc>
          <w:tcPr>
            <w:tcW w:type="dxa" w:w="2592"/>
            <w:shd w:val="clear" w:color="auto" w:fill="FFFFFF"/>
          </w:tcPr>
          <w:p>
            <w:pPr>
              <w:spacing w:before="60" w:after="60"/>
              <w:jc w:val="left"/>
            </w:pPr>
            <w:r>
              <w:rPr>
                <w:rFonts w:ascii="Times New Roman" w:hAnsi="Times New Roman"/>
                <w:color w:val="212529"/>
                <w:sz w:val="19"/>
              </w:rPr>
              <w:t>Integer</w:t>
            </w:r>
          </w:p>
        </w:tc>
        <w:tc>
          <w:tcPr>
            <w:tcW w:type="dxa" w:w="4608"/>
            <w:shd w:val="clear" w:color="auto" w:fill="FFFFFF"/>
          </w:tcPr>
          <w:p>
            <w:pPr>
              <w:spacing w:before="60" w:after="60"/>
              <w:jc w:val="left"/>
            </w:pPr>
            <w:r>
              <w:rPr>
                <w:rFonts w:ascii="Times New Roman" w:hAnsi="Times New Roman"/>
                <w:color w:val="212529"/>
                <w:sz w:val="19"/>
              </w:rPr>
              <w:t>Official chronological age eligibility thresholds (e.g., 10 to 18).</w:t>
            </w:r>
          </w:p>
        </w:tc>
      </w:tr>
    </w:tbl>
    <w:p>
      <w:pPr>
        <w:spacing w:after="120"/>
      </w:pPr>
    </w:p>
    <w:p>
      <w:r>
        <w:br w:type="page"/>
      </w:r>
    </w:p>
    <w:p>
      <w:pPr>
        <w:spacing w:line="276" w:lineRule="auto" w:before="360" w:after="160"/>
      </w:pPr>
      <w:r>
        <w:rPr>
          <w:rFonts w:ascii="Times New Roman" w:hAnsi="Times New Roman"/>
          <w:b/>
          <w:color w:val="113E21"/>
          <w:sz w:val="32"/>
        </w:rPr>
        <w:t>CHAPTER 4: IMPLEMENTATION</w:t>
      </w:r>
    </w:p>
    <w:p>
      <w:pPr>
        <w:spacing w:line="276" w:lineRule="auto" w:before="280" w:after="120"/>
      </w:pPr>
      <w:r>
        <w:rPr>
          <w:rFonts w:ascii="Times New Roman" w:hAnsi="Times New Roman"/>
          <w:b/>
          <w:color w:val="1E293B"/>
          <w:sz w:val="26"/>
        </w:rPr>
        <w:t>4.1 Platform Modules</w:t>
      </w:r>
    </w:p>
    <w:p>
      <w:pPr>
        <w:spacing w:line="300" w:lineRule="auto" w:after="120"/>
        <w:jc w:val="both"/>
      </w:pPr>
      <w:r>
        <w:rPr>
          <w:rFonts w:ascii="Times New Roman" w:hAnsi="Times New Roman"/>
          <w:i w:val="0"/>
          <w:color w:val="212529"/>
          <w:sz w:val="22"/>
        </w:rPr>
        <w:t>AthletIQ was implemented as a modular suite of analytics and discovery engines within app/dashboard.py. Each module operates as a decoupled functional unit:</w:t>
      </w:r>
    </w:p>
    <w:p>
      <w:pPr>
        <w:spacing w:line="300" w:lineRule="auto" w:after="120"/>
        <w:jc w:val="both"/>
      </w:pPr>
      <w:r>
        <w:rPr>
          <w:rFonts w:ascii="Times New Roman" w:hAnsi="Times New Roman"/>
          <w:b/>
          <w:color w:val="113E21"/>
          <w:sz w:val="22"/>
        </w:rPr>
        <w:t xml:space="preserve">1. Pathway Overview: </w:t>
      </w:r>
      <w:r>
        <w:rPr>
          <w:rFonts w:ascii="Times New Roman" w:hAnsi="Times New Roman"/>
          <w:i w:val="0"/>
          <w:color w:val="212529"/>
          <w:sz w:val="22"/>
        </w:rPr>
        <w:t>1. Pathway Overview &amp; State Nursery Module</w:t>
      </w:r>
    </w:p>
    <w:p>
      <w:pPr>
        <w:spacing w:line="300" w:lineRule="auto" w:after="120"/>
        <w:jc w:val="both"/>
      </w:pPr>
      <w:r>
        <w:rPr>
          <w:rFonts w:ascii="Times New Roman" w:hAnsi="Times New Roman"/>
          <w:i w:val="0"/>
          <w:color w:val="212529"/>
          <w:sz w:val="22"/>
        </w:rPr>
        <w:t>Serves as the executive landing interface. Features a two-column hero layout with national scale metrics, an operational talent hierarchy tree (National -&gt; State -&gt; District -&gt; Sport -&gt; Category -&gt; Athlete), and a curated 18-state talent nursery grid. Each state card displays historical sport specializations (e.g., Haryana: Wrestling, Boxing, Athletics) and embeds an interactive callback setting st.session_state.profile_state and redirecting seamlessly to the Profile Directory.</w:t>
      </w:r>
    </w:p>
    <w:p>
      <w:pPr>
        <w:spacing w:line="300" w:lineRule="auto" w:after="120"/>
        <w:jc w:val="both"/>
      </w:pPr>
      <w:r>
        <w:rPr>
          <w:rFonts w:ascii="Times New Roman" w:hAnsi="Times New Roman"/>
          <w:b/>
          <w:color w:val="113E21"/>
          <w:sz w:val="22"/>
        </w:rPr>
        <w:t xml:space="preserve">2. Discovery &amp; Leagues: </w:t>
      </w:r>
      <w:r>
        <w:rPr>
          <w:rFonts w:ascii="Times New Roman" w:hAnsi="Times New Roman"/>
          <w:i w:val="0"/>
          <w:color w:val="212529"/>
          <w:sz w:val="22"/>
        </w:rPr>
        <w:t>2. Discovery &amp; Leagues Module (Live Grounded AI)</w:t>
      </w:r>
    </w:p>
    <w:p>
      <w:pPr>
        <w:spacing w:line="300" w:lineRule="auto" w:after="120"/>
        <w:jc w:val="both"/>
      </w:pPr>
      <w:r>
        <w:rPr>
          <w:rFonts w:ascii="Times New Roman" w:hAnsi="Times New Roman"/>
          <w:i w:val="0"/>
          <w:color w:val="212529"/>
          <w:sz w:val="22"/>
        </w:rPr>
        <w:t>Provides real-time visibility into grassroots, junior, and state selection trials across India. Uses the Google GenAI SDK to interface with Gemini 2.5 Flash, passing the GoogleSearch() tool to execute live web search grounding. The returned JSON array is cached using @st.cache_data(ttl=3600) to optimize API quota consumption. If an API key is unavailable, the module transitions gracefully to a structured fallback generator, guaranteeing zero interface downtime.</w:t>
      </w:r>
    </w:p>
    <w:p>
      <w:pPr>
        <w:spacing w:line="300" w:lineRule="auto" w:after="120"/>
        <w:jc w:val="both"/>
      </w:pPr>
      <w:r>
        <w:rPr>
          <w:rFonts w:ascii="Times New Roman" w:hAnsi="Times New Roman"/>
          <w:b/>
          <w:color w:val="113E21"/>
          <w:sz w:val="22"/>
        </w:rPr>
        <w:t xml:space="preserve">3. Coach Redistribution Engine: </w:t>
      </w:r>
      <w:r>
        <w:rPr>
          <w:rFonts w:ascii="Times New Roman" w:hAnsi="Times New Roman"/>
          <w:i w:val="0"/>
          <w:color w:val="212529"/>
          <w:sz w:val="22"/>
        </w:rPr>
        <w:t>3. Coach Capacity &amp; Redistribution Engine</w:t>
      </w:r>
    </w:p>
    <w:p>
      <w:pPr>
        <w:spacing w:line="300" w:lineRule="auto" w:after="120"/>
        <w:jc w:val="both"/>
      </w:pPr>
      <w:r>
        <w:rPr>
          <w:rFonts w:ascii="Times New Roman" w:hAnsi="Times New Roman"/>
          <w:i w:val="0"/>
          <w:color w:val="212529"/>
          <w:sz w:val="22"/>
        </w:rPr>
        <w:t>Computes facility-level coach allocations. Utilizes an Algorithmic Sport Weighting model to distribute total campus intake across active sports. Evaluates athlete-to-coach ratios against the 15:1 benchmark, categorizing health into Optimal (&lt;=15:1), Strained (16:1 to 30:1), and Critical Deficit (&gt;30:1). For surplus hubs, it algorithmically ranks national deficit facilities by descending strain and outputs actionable bilateral transfer directives.</w:t>
      </w:r>
    </w:p>
    <w:p>
      <w:pPr>
        <w:spacing w:line="300" w:lineRule="auto" w:after="120"/>
        <w:jc w:val="both"/>
      </w:pPr>
      <w:r>
        <w:rPr>
          <w:rFonts w:ascii="Times New Roman" w:hAnsi="Times New Roman"/>
          <w:b/>
          <w:color w:val="113E21"/>
          <w:sz w:val="22"/>
        </w:rPr>
        <w:t xml:space="preserve">4. Proximity Matcher: </w:t>
      </w:r>
      <w:r>
        <w:rPr>
          <w:rFonts w:ascii="Times New Roman" w:hAnsi="Times New Roman"/>
          <w:i w:val="0"/>
          <w:color w:val="212529"/>
          <w:sz w:val="22"/>
        </w:rPr>
        <w:t>4. SAI Proximity &amp; Suitability Matcher Module</w:t>
      </w:r>
    </w:p>
    <w:p>
      <w:pPr>
        <w:spacing w:line="300" w:lineRule="auto" w:after="120"/>
        <w:jc w:val="both"/>
      </w:pPr>
      <w:r>
        <w:rPr>
          <w:rFonts w:ascii="Times New Roman" w:hAnsi="Times New Roman"/>
          <w:i w:val="0"/>
          <w:color w:val="212529"/>
          <w:sz w:val="22"/>
        </w:rPr>
        <w:t>Implements the 100-point multi-criteria decision algorithm. Evaluates candidate sport, home state, age, competitive caliber, and gender against all 28 accredited SAI facilities, rendering top matches with color-coded score badges (Teal: 70–100, Gold: 50–69, Red: &lt;50), infrastructure notes, and eligibility windows.</w:t>
      </w:r>
    </w:p>
    <w:p>
      <w:pPr>
        <w:spacing w:line="300" w:lineRule="auto" w:after="120"/>
        <w:jc w:val="both"/>
      </w:pPr>
      <w:r>
        <w:rPr>
          <w:rFonts w:ascii="Times New Roman" w:hAnsi="Times New Roman"/>
          <w:b/>
          <w:color w:val="113E21"/>
          <w:sz w:val="22"/>
        </w:rPr>
        <w:t xml:space="preserve">5. Sponsor Pipeline: </w:t>
      </w:r>
      <w:r>
        <w:rPr>
          <w:rFonts w:ascii="Times New Roman" w:hAnsi="Times New Roman"/>
          <w:i w:val="0"/>
          <w:color w:val="212529"/>
          <w:sz w:val="22"/>
        </w:rPr>
        <w:t>5. Sponsor Pipeline &amp; CSR Allocation Module</w:t>
      </w:r>
    </w:p>
    <w:p>
      <w:pPr>
        <w:spacing w:line="300" w:lineRule="auto" w:after="120"/>
        <w:jc w:val="both"/>
      </w:pPr>
      <w:r>
        <w:rPr>
          <w:rFonts w:ascii="Times New Roman" w:hAnsi="Times New Roman"/>
          <w:i w:val="0"/>
          <w:color w:val="212529"/>
          <w:sz w:val="22"/>
        </w:rPr>
        <w:t>Models corporate social responsibility capital allocation across Indian sports. Analyzes corporate annual budgets, industrial sector mandates, and active funding statuses (Fully Funded, Partially Funded, High Deficit). Outputs prioritized corporate prospect cards (Hot, Warm, Cold) with recommended engagement strategies.</w:t>
      </w:r>
    </w:p>
    <w:p>
      <w:pPr>
        <w:spacing w:line="300" w:lineRule="auto" w:after="120"/>
        <w:jc w:val="both"/>
      </w:pPr>
      <w:r>
        <w:rPr>
          <w:rFonts w:ascii="Times New Roman" w:hAnsi="Times New Roman"/>
          <w:b/>
          <w:color w:val="113E21"/>
          <w:sz w:val="22"/>
        </w:rPr>
        <w:t xml:space="preserve">6. Profile Directory: </w:t>
      </w:r>
      <w:r>
        <w:rPr>
          <w:rFonts w:ascii="Times New Roman" w:hAnsi="Times New Roman"/>
          <w:i w:val="0"/>
          <w:color w:val="212529"/>
          <w:sz w:val="22"/>
        </w:rPr>
        <w:t>6. Master-Detail Profile Directory Module</w:t>
      </w:r>
    </w:p>
    <w:p>
      <w:pPr>
        <w:spacing w:line="300" w:lineRule="auto" w:after="120"/>
        <w:jc w:val="both"/>
      </w:pPr>
      <w:r>
        <w:rPr>
          <w:rFonts w:ascii="Times New Roman" w:hAnsi="Times New Roman"/>
          <w:i w:val="0"/>
          <w:color w:val="212529"/>
          <w:sz w:val="22"/>
        </w:rPr>
        <w:t>Manages talent discovery across 7,600+ athletes and coaches. Features multi-parameter filtering (Sport Focus, State Registry, Athlete Name). Implements a split master-detail layout: the left column renders responsive profile cards with performance badges, while the right column hosts an interactive Profile Inspector loading TOPS career biographies, historical achievements, and coaching base data.</w:t>
      </w:r>
    </w:p>
    <w:p>
      <w:pPr>
        <w:spacing w:line="300" w:lineRule="auto" w:after="120"/>
        <w:jc w:val="both"/>
      </w:pPr>
      <w:r>
        <w:rPr>
          <w:rFonts w:ascii="Times New Roman" w:hAnsi="Times New Roman"/>
          <w:b/>
          <w:color w:val="113E21"/>
          <w:sz w:val="22"/>
        </w:rPr>
        <w:t xml:space="preserve">7. Women's Directory: </w:t>
      </w:r>
      <w:r>
        <w:rPr>
          <w:rFonts w:ascii="Times New Roman" w:hAnsi="Times New Roman"/>
          <w:i w:val="0"/>
          <w:color w:val="212529"/>
          <w:sz w:val="22"/>
        </w:rPr>
        <w:t>7. Emerging Women Athletes Directory Module</w:t>
      </w:r>
    </w:p>
    <w:p>
      <w:pPr>
        <w:spacing w:line="300" w:lineRule="auto" w:after="120"/>
        <w:jc w:val="both"/>
      </w:pPr>
      <w:r>
        <w:rPr>
          <w:rFonts w:ascii="Times New Roman" w:hAnsi="Times New Roman"/>
          <w:i w:val="0"/>
          <w:color w:val="212529"/>
          <w:sz w:val="22"/>
        </w:rPr>
        <w:t>A dedicated high-throughput directory indexing 5,000 emerging female athletes. Incorporates composite Opportunity Scores (1.0 to 10.0), performance tier tags, and scouting remarks to provide corporate philanthropies and high-performance academies with targeted scouting targets.</w:t>
      </w:r>
    </w:p>
    <w:p>
      <w:pPr>
        <w:spacing w:line="300" w:lineRule="auto" w:after="120"/>
        <w:jc w:val="both"/>
      </w:pPr>
      <w:r>
        <w:rPr>
          <w:rFonts w:ascii="Times New Roman" w:hAnsi="Times New Roman"/>
          <w:b/>
          <w:color w:val="113E21"/>
          <w:sz w:val="22"/>
        </w:rPr>
        <w:t xml:space="preserve">8. AI Sports Assistant: </w:t>
      </w:r>
      <w:r>
        <w:rPr>
          <w:rFonts w:ascii="Times New Roman" w:hAnsi="Times New Roman"/>
          <w:i w:val="0"/>
          <w:color w:val="212529"/>
          <w:sz w:val="22"/>
        </w:rPr>
        <w:t>8. Contextual AI Sports Assistant Module</w:t>
      </w:r>
    </w:p>
    <w:p>
      <w:pPr>
        <w:spacing w:line="300" w:lineRule="auto" w:after="120"/>
        <w:jc w:val="both"/>
      </w:pPr>
      <w:r>
        <w:rPr>
          <w:rFonts w:ascii="Times New Roman" w:hAnsi="Times New Roman"/>
          <w:i w:val="0"/>
          <w:color w:val="212529"/>
          <w:sz w:val="22"/>
        </w:rPr>
        <w:t>An interactive conversational intelligence interface powered by Google Gemini. Ingests in-memory analytical snapshots of athlete registries, facility ratios, and medal counts into the prompt context, enabling natural language queries such as 'Which state has the highest wrestling coaching deficit?' or 'Identify top unfunded women archers from Jharkhand.'</w:t>
      </w:r>
    </w:p>
    <w:p>
      <w:pPr>
        <w:spacing w:line="276" w:lineRule="auto" w:before="280" w:after="120"/>
      </w:pPr>
      <w:r>
        <w:rPr>
          <w:rFonts w:ascii="Times New Roman" w:hAnsi="Times New Roman"/>
          <w:b/>
          <w:color w:val="1E293B"/>
          <w:sz w:val="26"/>
        </w:rPr>
        <w:t>4.2 Working Prototype and Interface Execution</w:t>
      </w:r>
    </w:p>
    <w:p>
      <w:pPr>
        <w:spacing w:line="300" w:lineRule="auto" w:after="120"/>
        <w:jc w:val="both"/>
      </w:pPr>
      <w:r>
        <w:rPr>
          <w:rFonts w:ascii="Times New Roman" w:hAnsi="Times New Roman"/>
          <w:i w:val="0"/>
          <w:color w:val="212529"/>
          <w:sz w:val="22"/>
        </w:rPr>
        <w:t>The working prototype is accessible via web browsers. Table 4.1 summarizes the frontend modules and their core user interactions: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113E21"/>
          </w:tcPr>
          <w:p>
            <w:pPr>
              <w:spacing w:before="80" w:after="80"/>
              <w:jc w:val="left"/>
            </w:pPr>
            <w:r>
              <w:rPr>
                <w:rFonts w:ascii="Times New Roman" w:hAnsi="Times New Roman"/>
                <w:b/>
                <w:color w:val="FFFFFF"/>
                <w:sz w:val="20"/>
              </w:rPr>
              <w:t>Module Name</w:t>
            </w:r>
          </w:p>
        </w:tc>
        <w:tc>
          <w:tcPr>
            <w:tcW w:type="dxa" w:w="2304"/>
            <w:shd w:val="clear" w:color="auto" w:fill="113E21"/>
          </w:tcPr>
          <w:p>
            <w:pPr>
              <w:spacing w:before="80" w:after="80"/>
              <w:jc w:val="left"/>
            </w:pPr>
            <w:r>
              <w:rPr>
                <w:rFonts w:ascii="Times New Roman" w:hAnsi="Times New Roman"/>
                <w:b/>
                <w:color w:val="FFFFFF"/>
                <w:sz w:val="20"/>
              </w:rPr>
              <w:t>Functional View</w:t>
            </w:r>
          </w:p>
        </w:tc>
        <w:tc>
          <w:tcPr>
            <w:tcW w:type="dxa" w:w="4896"/>
            <w:shd w:val="clear" w:color="auto" w:fill="113E21"/>
          </w:tcPr>
          <w:p>
            <w:pPr>
              <w:spacing w:before="80" w:after="80"/>
              <w:jc w:val="left"/>
            </w:pPr>
            <w:r>
              <w:rPr>
                <w:rFonts w:ascii="Times New Roman" w:hAnsi="Times New Roman"/>
                <w:b/>
                <w:color w:val="FFFFFF"/>
                <w:sz w:val="20"/>
              </w:rPr>
              <w:t>Key User Interactions &amp; Dynamic Behaviors</w:t>
            </w:r>
          </w:p>
        </w:tc>
      </w:tr>
      <w:tr>
        <w:tc>
          <w:tcPr>
            <w:tcW w:type="dxa" w:w="2160"/>
            <w:shd w:val="clear" w:color="auto" w:fill="FFFFFF"/>
          </w:tcPr>
          <w:p>
            <w:pPr>
              <w:spacing w:before="60" w:after="60"/>
              <w:jc w:val="left"/>
            </w:pPr>
            <w:r>
              <w:rPr>
                <w:rFonts w:ascii="Times New Roman" w:hAnsi="Times New Roman"/>
                <w:color w:val="212529"/>
                <w:sz w:val="19"/>
              </w:rPr>
              <w:t>Pathway Overview</w:t>
            </w:r>
          </w:p>
        </w:tc>
        <w:tc>
          <w:tcPr>
            <w:tcW w:type="dxa" w:w="2304"/>
            <w:shd w:val="clear" w:color="auto" w:fill="FFFFFF"/>
          </w:tcPr>
          <w:p>
            <w:pPr>
              <w:spacing w:before="60" w:after="60"/>
              <w:jc w:val="left"/>
            </w:pPr>
            <w:r>
              <w:rPr>
                <w:rFonts w:ascii="Times New Roman" w:hAnsi="Times New Roman"/>
                <w:color w:val="212529"/>
                <w:sz w:val="19"/>
              </w:rPr>
              <w:t>Executive Landing</w:t>
            </w:r>
          </w:p>
        </w:tc>
        <w:tc>
          <w:tcPr>
            <w:tcW w:type="dxa" w:w="4896"/>
            <w:shd w:val="clear" w:color="auto" w:fill="FFFFFF"/>
          </w:tcPr>
          <w:p>
            <w:pPr>
              <w:spacing w:before="60" w:after="60"/>
              <w:jc w:val="left"/>
            </w:pPr>
            <w:r>
              <w:rPr>
                <w:rFonts w:ascii="Times New Roman" w:hAnsi="Times New Roman"/>
                <w:color w:val="212529"/>
                <w:sz w:val="19"/>
              </w:rPr>
              <w:t>Interactive state cards with one-click profile redirection; national scale metrics and hierarchy tree.</w:t>
            </w:r>
          </w:p>
        </w:tc>
      </w:tr>
      <w:tr>
        <w:tc>
          <w:tcPr>
            <w:tcW w:type="dxa" w:w="2160"/>
            <w:shd w:val="clear" w:color="auto" w:fill="F8FAF9"/>
          </w:tcPr>
          <w:p>
            <w:pPr>
              <w:spacing w:before="60" w:after="60"/>
              <w:jc w:val="left"/>
            </w:pPr>
            <w:r>
              <w:rPr>
                <w:rFonts w:ascii="Times New Roman" w:hAnsi="Times New Roman"/>
                <w:color w:val="212529"/>
                <w:sz w:val="19"/>
              </w:rPr>
              <w:t>Discovery &amp; Leagues</w:t>
            </w:r>
          </w:p>
        </w:tc>
        <w:tc>
          <w:tcPr>
            <w:tcW w:type="dxa" w:w="2304"/>
            <w:shd w:val="clear" w:color="auto" w:fill="F8FAF9"/>
          </w:tcPr>
          <w:p>
            <w:pPr>
              <w:spacing w:before="60" w:after="60"/>
              <w:jc w:val="left"/>
            </w:pPr>
            <w:r>
              <w:rPr>
                <w:rFonts w:ascii="Times New Roman" w:hAnsi="Times New Roman"/>
                <w:color w:val="212529"/>
                <w:sz w:val="19"/>
              </w:rPr>
              <w:t>Tournament Scraper</w:t>
            </w:r>
          </w:p>
        </w:tc>
        <w:tc>
          <w:tcPr>
            <w:tcW w:type="dxa" w:w="4896"/>
            <w:shd w:val="clear" w:color="auto" w:fill="F8FAF9"/>
          </w:tcPr>
          <w:p>
            <w:pPr>
              <w:spacing w:before="60" w:after="60"/>
              <w:jc w:val="left"/>
            </w:pPr>
            <w:r>
              <w:rPr>
                <w:rFonts w:ascii="Times New Roman" w:hAnsi="Times New Roman"/>
                <w:color w:val="212529"/>
                <w:sz w:val="19"/>
              </w:rPr>
              <w:t>Multi-parameter filter bar (Sport, State, Status, Name); live signal status banner; tournament cards.</w:t>
            </w:r>
          </w:p>
        </w:tc>
      </w:tr>
      <w:tr>
        <w:tc>
          <w:tcPr>
            <w:tcW w:type="dxa" w:w="2160"/>
            <w:shd w:val="clear" w:color="auto" w:fill="FFFFFF"/>
          </w:tcPr>
          <w:p>
            <w:pPr>
              <w:spacing w:before="60" w:after="60"/>
              <w:jc w:val="left"/>
            </w:pPr>
            <w:r>
              <w:rPr>
                <w:rFonts w:ascii="Times New Roman" w:hAnsi="Times New Roman"/>
                <w:color w:val="212529"/>
                <w:sz w:val="19"/>
              </w:rPr>
              <w:t>Centres &amp; Academies</w:t>
            </w:r>
          </w:p>
        </w:tc>
        <w:tc>
          <w:tcPr>
            <w:tcW w:type="dxa" w:w="2304"/>
            <w:shd w:val="clear" w:color="auto" w:fill="FFFFFF"/>
          </w:tcPr>
          <w:p>
            <w:pPr>
              <w:spacing w:before="60" w:after="60"/>
              <w:jc w:val="left"/>
            </w:pPr>
            <w:r>
              <w:rPr>
                <w:rFonts w:ascii="Times New Roman" w:hAnsi="Times New Roman"/>
                <w:color w:val="212529"/>
                <w:sz w:val="19"/>
              </w:rPr>
              <w:t>Resource Optimization</w:t>
            </w:r>
          </w:p>
        </w:tc>
        <w:tc>
          <w:tcPr>
            <w:tcW w:type="dxa" w:w="4896"/>
            <w:shd w:val="clear" w:color="auto" w:fill="FFFFFF"/>
          </w:tcPr>
          <w:p>
            <w:pPr>
              <w:spacing w:before="60" w:after="60"/>
              <w:jc w:val="left"/>
            </w:pPr>
            <w:r>
              <w:rPr>
                <w:rFonts w:ascii="Times New Roman" w:hAnsi="Times New Roman"/>
                <w:color w:val="212529"/>
                <w:sz w:val="19"/>
              </w:rPr>
              <w:t>Segmented sub-nav; sport-weighted ratio card; dynamic national surplus/deficit redistribution panel.</w:t>
            </w:r>
          </w:p>
        </w:tc>
      </w:tr>
      <w:tr>
        <w:tc>
          <w:tcPr>
            <w:tcW w:type="dxa" w:w="2160"/>
            <w:shd w:val="clear" w:color="auto" w:fill="F8FAF9"/>
          </w:tcPr>
          <w:p>
            <w:pPr>
              <w:spacing w:before="60" w:after="60"/>
              <w:jc w:val="left"/>
            </w:pPr>
            <w:r>
              <w:rPr>
                <w:rFonts w:ascii="Times New Roman" w:hAnsi="Times New Roman"/>
                <w:color w:val="212529"/>
                <w:sz w:val="19"/>
              </w:rPr>
              <w:t>Sponsor Pipeline</w:t>
            </w:r>
          </w:p>
        </w:tc>
        <w:tc>
          <w:tcPr>
            <w:tcW w:type="dxa" w:w="2304"/>
            <w:shd w:val="clear" w:color="auto" w:fill="F8FAF9"/>
          </w:tcPr>
          <w:p>
            <w:pPr>
              <w:spacing w:before="60" w:after="60"/>
              <w:jc w:val="left"/>
            </w:pPr>
            <w:r>
              <w:rPr>
                <w:rFonts w:ascii="Times New Roman" w:hAnsi="Times New Roman"/>
                <w:color w:val="212529"/>
                <w:sz w:val="19"/>
              </w:rPr>
              <w:t>CSR Philanthropy</w:t>
            </w:r>
          </w:p>
        </w:tc>
        <w:tc>
          <w:tcPr>
            <w:tcW w:type="dxa" w:w="4896"/>
            <w:shd w:val="clear" w:color="auto" w:fill="F8FAF9"/>
          </w:tcPr>
          <w:p>
            <w:pPr>
              <w:spacing w:before="60" w:after="60"/>
              <w:jc w:val="left"/>
            </w:pPr>
            <w:r>
              <w:rPr>
                <w:rFonts w:ascii="Times New Roman" w:hAnsi="Times New Roman"/>
                <w:color w:val="212529"/>
                <w:sz w:val="19"/>
              </w:rPr>
              <w:t>Corporate lead pipeline cards (Hot/Warm/Cold); budget deficit analytics; CSR grant pitch briefs.</w:t>
            </w:r>
          </w:p>
        </w:tc>
      </w:tr>
      <w:tr>
        <w:tc>
          <w:tcPr>
            <w:tcW w:type="dxa" w:w="2160"/>
            <w:shd w:val="clear" w:color="auto" w:fill="FFFFFF"/>
          </w:tcPr>
          <w:p>
            <w:pPr>
              <w:spacing w:before="60" w:after="60"/>
              <w:jc w:val="left"/>
            </w:pPr>
            <w:r>
              <w:rPr>
                <w:rFonts w:ascii="Times New Roman" w:hAnsi="Times New Roman"/>
                <w:color w:val="212529"/>
                <w:sz w:val="19"/>
              </w:rPr>
              <w:t>Profile Directory</w:t>
            </w:r>
          </w:p>
        </w:tc>
        <w:tc>
          <w:tcPr>
            <w:tcW w:type="dxa" w:w="2304"/>
            <w:shd w:val="clear" w:color="auto" w:fill="FFFFFF"/>
          </w:tcPr>
          <w:p>
            <w:pPr>
              <w:spacing w:before="60" w:after="60"/>
              <w:jc w:val="left"/>
            </w:pPr>
            <w:r>
              <w:rPr>
                <w:rFonts w:ascii="Times New Roman" w:hAnsi="Times New Roman"/>
                <w:color w:val="212529"/>
                <w:sz w:val="19"/>
              </w:rPr>
              <w:t>Talent Search</w:t>
            </w:r>
          </w:p>
        </w:tc>
        <w:tc>
          <w:tcPr>
            <w:tcW w:type="dxa" w:w="4896"/>
            <w:shd w:val="clear" w:color="auto" w:fill="FFFFFF"/>
          </w:tcPr>
          <w:p>
            <w:pPr>
              <w:spacing w:before="60" w:after="60"/>
              <w:jc w:val="left"/>
            </w:pPr>
            <w:r>
              <w:rPr>
                <w:rFonts w:ascii="Times New Roman" w:hAnsi="Times New Roman"/>
                <w:color w:val="212529"/>
                <w:sz w:val="19"/>
              </w:rPr>
              <w:t>Empty-focus search inputs (index=None); level filter buttons; master cards + right-hand TOPS bio inspector.</w:t>
            </w:r>
          </w:p>
        </w:tc>
      </w:tr>
      <w:tr>
        <w:tc>
          <w:tcPr>
            <w:tcW w:type="dxa" w:w="2160"/>
            <w:shd w:val="clear" w:color="auto" w:fill="F8FAF9"/>
          </w:tcPr>
          <w:p>
            <w:pPr>
              <w:spacing w:before="60" w:after="60"/>
              <w:jc w:val="left"/>
            </w:pPr>
            <w:r>
              <w:rPr>
                <w:rFonts w:ascii="Times New Roman" w:hAnsi="Times New Roman"/>
                <w:color w:val="212529"/>
                <w:sz w:val="19"/>
              </w:rPr>
              <w:t>Womens Directory</w:t>
            </w:r>
          </w:p>
        </w:tc>
        <w:tc>
          <w:tcPr>
            <w:tcW w:type="dxa" w:w="2304"/>
            <w:shd w:val="clear" w:color="auto" w:fill="F8FAF9"/>
          </w:tcPr>
          <w:p>
            <w:pPr>
              <w:spacing w:before="60" w:after="60"/>
              <w:jc w:val="left"/>
            </w:pPr>
            <w:r>
              <w:rPr>
                <w:rFonts w:ascii="Times New Roman" w:hAnsi="Times New Roman"/>
                <w:color w:val="212529"/>
                <w:sz w:val="19"/>
              </w:rPr>
              <w:t>Grassroots Discovery</w:t>
            </w:r>
          </w:p>
        </w:tc>
        <w:tc>
          <w:tcPr>
            <w:tcW w:type="dxa" w:w="4896"/>
            <w:shd w:val="clear" w:color="auto" w:fill="F8FAF9"/>
          </w:tcPr>
          <w:p>
            <w:pPr>
              <w:spacing w:before="60" w:after="60"/>
              <w:jc w:val="left"/>
            </w:pPr>
            <w:r>
              <w:rPr>
                <w:rFonts w:ascii="Times New Roman" w:hAnsi="Times New Roman"/>
                <w:color w:val="212529"/>
                <w:sz w:val="19"/>
              </w:rPr>
              <w:t>Master-detail view of 5,000 women athletes; Opportunity Score meters; trial scouting notes.</w:t>
            </w:r>
          </w:p>
        </w:tc>
      </w:tr>
      <w:tr>
        <w:tc>
          <w:tcPr>
            <w:tcW w:type="dxa" w:w="2160"/>
            <w:shd w:val="clear" w:color="auto" w:fill="FFFFFF"/>
          </w:tcPr>
          <w:p>
            <w:pPr>
              <w:spacing w:before="60" w:after="60"/>
              <w:jc w:val="left"/>
            </w:pPr>
            <w:r>
              <w:rPr>
                <w:rFonts w:ascii="Times New Roman" w:hAnsi="Times New Roman"/>
                <w:color w:val="212529"/>
                <w:sz w:val="19"/>
              </w:rPr>
              <w:t>AI Assistant</w:t>
            </w:r>
          </w:p>
        </w:tc>
        <w:tc>
          <w:tcPr>
            <w:tcW w:type="dxa" w:w="2304"/>
            <w:shd w:val="clear" w:color="auto" w:fill="FFFFFF"/>
          </w:tcPr>
          <w:p>
            <w:pPr>
              <w:spacing w:before="60" w:after="60"/>
              <w:jc w:val="left"/>
            </w:pPr>
            <w:r>
              <w:rPr>
                <w:rFonts w:ascii="Times New Roman" w:hAnsi="Times New Roman"/>
                <w:color w:val="212529"/>
                <w:sz w:val="19"/>
              </w:rPr>
              <w:t>Contextual LLM Chat</w:t>
            </w:r>
          </w:p>
        </w:tc>
        <w:tc>
          <w:tcPr>
            <w:tcW w:type="dxa" w:w="4896"/>
            <w:shd w:val="clear" w:color="auto" w:fill="FFFFFF"/>
          </w:tcPr>
          <w:p>
            <w:pPr>
              <w:spacing w:before="60" w:after="60"/>
              <w:jc w:val="left"/>
            </w:pPr>
            <w:r>
              <w:rPr>
                <w:rFonts w:ascii="Times New Roman" w:hAnsi="Times New Roman"/>
                <w:color w:val="212529"/>
                <w:sz w:val="19"/>
              </w:rPr>
              <w:t>Natural language chat interface grounded in database metrics; forest-green responsive chat bubbles.</w:t>
            </w:r>
          </w:p>
        </w:tc>
      </w:tr>
    </w:tbl>
    <w:p>
      <w:pPr>
        <w:spacing w:after="120"/>
      </w:pPr>
    </w:p>
    <w:p>
      <w:pPr>
        <w:spacing w:line="300" w:lineRule="auto" w:after="120"/>
        <w:jc w:val="both"/>
      </w:pPr>
      <w:r>
        <w:rPr>
          <w:rFonts w:ascii="Times New Roman" w:hAnsi="Times New Roman"/>
          <w:b/>
          <w:color w:val="113E21"/>
          <w:sz w:val="22"/>
        </w:rPr>
        <w:t xml:space="preserve">Interface Aesthetics: </w:t>
      </w:r>
      <w:r>
        <w:rPr>
          <w:rFonts w:ascii="Times New Roman" w:hAnsi="Times New Roman"/>
          <w:i w:val="0"/>
          <w:color w:val="212529"/>
          <w:sz w:val="22"/>
        </w:rPr>
        <w:t>UI Feedback &amp; Design System. To ensure institutional aesthetic rigor, the dashboard injects custom CSS rules establishing a forest green (#113E21), sports gold (#B38B59), and clean white (#FEFEFE) palette. Typography pairs Fraunces serif for headings, Inter for body copy, and IBM Plex Mono for badges. All selectbox dropdowns employ index=None, ensuring that clicking to search presents a completely clean input field without pre-selected characters.</w:t>
      </w:r>
    </w:p>
    <w:p>
      <w:r>
        <w:br w:type="page"/>
      </w:r>
    </w:p>
    <w:p>
      <w:pPr>
        <w:spacing w:line="276" w:lineRule="auto" w:before="360" w:after="160"/>
      </w:pPr>
      <w:r>
        <w:rPr>
          <w:rFonts w:ascii="Times New Roman" w:hAnsi="Times New Roman"/>
          <w:b/>
          <w:color w:val="113E21"/>
          <w:sz w:val="32"/>
        </w:rPr>
        <w:t>CHAPTER 5: RESULTS AND ANALYSIS</w:t>
      </w:r>
    </w:p>
    <w:p>
      <w:pPr>
        <w:spacing w:line="276" w:lineRule="auto" w:before="280" w:after="120"/>
      </w:pPr>
      <w:r>
        <w:rPr>
          <w:rFonts w:ascii="Times New Roman" w:hAnsi="Times New Roman"/>
          <w:b/>
          <w:color w:val="1E293B"/>
          <w:sz w:val="26"/>
        </w:rPr>
        <w:t>5.1 Testing Approach</w:t>
      </w:r>
    </w:p>
    <w:p>
      <w:pPr>
        <w:spacing w:line="300" w:lineRule="auto" w:after="120"/>
        <w:jc w:val="both"/>
      </w:pPr>
      <w:r>
        <w:rPr>
          <w:rFonts w:ascii="Times New Roman" w:hAnsi="Times New Roman"/>
          <w:i w:val="0"/>
          <w:color w:val="212529"/>
          <w:sz w:val="22"/>
        </w:rPr>
        <w:t>System validation followed a multi-tiered verification methodology incorporating unit testing of analytical formulas, integration testing of session-state routing, and manual functional testing across all browser UI pathways. Mathematical calculations (such as sport capacity weighting, 15:1 ratio derivations, and 100-point suitability sums) were validated against pre-computed manual spreadsheets. Live AI grounding pipelines were tested under active API key configurations as well as forced network disconnects to verify graceful fallback handling. The local test environment operated Python 3.10+ on macOS with Streamlit running on localhost:8501, verified across Safari, Google Chrome, and Mozilla Firefox.</w:t>
      </w:r>
    </w:p>
    <w:p>
      <w:pPr>
        <w:spacing w:line="276" w:lineRule="auto" w:before="280" w:after="120"/>
      </w:pPr>
      <w:r>
        <w:rPr>
          <w:rFonts w:ascii="Times New Roman" w:hAnsi="Times New Roman"/>
          <w:b/>
          <w:color w:val="1E293B"/>
          <w:sz w:val="26"/>
        </w:rPr>
        <w:t>5.2 Test Cases and Results</w:t>
      </w:r>
    </w:p>
    <w:p>
      <w:pPr>
        <w:spacing w:line="300" w:lineRule="auto" w:after="120"/>
        <w:jc w:val="both"/>
      </w:pPr>
      <w:r>
        <w:rPr>
          <w:rFonts w:ascii="Times New Roman" w:hAnsi="Times New Roman"/>
          <w:i w:val="0"/>
          <w:color w:val="212529"/>
          <w:sz w:val="22"/>
        </w:rPr>
        <w:t>Table 5.1 details 18 representative test cases executed across the platform modules: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152"/>
            <w:shd w:val="clear" w:color="auto" w:fill="113E21"/>
          </w:tcPr>
          <w:p>
            <w:pPr>
              <w:spacing w:before="80" w:after="80"/>
              <w:jc w:val="left"/>
            </w:pPr>
            <w:r>
              <w:rPr>
                <w:rFonts w:ascii="Times New Roman" w:hAnsi="Times New Roman"/>
                <w:b/>
                <w:color w:val="FFFFFF"/>
                <w:sz w:val="20"/>
              </w:rPr>
              <w:t>Test ID</w:t>
            </w:r>
          </w:p>
        </w:tc>
        <w:tc>
          <w:tcPr>
            <w:tcW w:type="dxa" w:w="2592"/>
            <w:shd w:val="clear" w:color="auto" w:fill="113E21"/>
          </w:tcPr>
          <w:p>
            <w:pPr>
              <w:spacing w:before="80" w:after="80"/>
              <w:jc w:val="left"/>
            </w:pPr>
            <w:r>
              <w:rPr>
                <w:rFonts w:ascii="Times New Roman" w:hAnsi="Times New Roman"/>
                <w:b/>
                <w:color w:val="FFFFFF"/>
                <w:sz w:val="20"/>
              </w:rPr>
              <w:t>Scenario Description</w:t>
            </w:r>
          </w:p>
        </w:tc>
        <w:tc>
          <w:tcPr>
            <w:tcW w:type="dxa" w:w="2304"/>
            <w:shd w:val="clear" w:color="auto" w:fill="113E21"/>
          </w:tcPr>
          <w:p>
            <w:pPr>
              <w:spacing w:before="80" w:after="80"/>
              <w:jc w:val="left"/>
            </w:pPr>
            <w:r>
              <w:rPr>
                <w:rFonts w:ascii="Times New Roman" w:hAnsi="Times New Roman"/>
                <w:b/>
                <w:color w:val="FFFFFF"/>
                <w:sz w:val="20"/>
              </w:rPr>
              <w:t>Input Parameters / User Action</w:t>
            </w:r>
          </w:p>
        </w:tc>
        <w:tc>
          <w:tcPr>
            <w:tcW w:type="dxa" w:w="2448"/>
            <w:shd w:val="clear" w:color="auto" w:fill="113E21"/>
          </w:tcPr>
          <w:p>
            <w:pPr>
              <w:spacing w:before="80" w:after="80"/>
              <w:jc w:val="left"/>
            </w:pPr>
            <w:r>
              <w:rPr>
                <w:rFonts w:ascii="Times New Roman" w:hAnsi="Times New Roman"/>
                <w:b/>
                <w:color w:val="FFFFFF"/>
                <w:sz w:val="20"/>
              </w:rPr>
              <w:t>Observed System Behavior &amp; Output</w:t>
            </w:r>
          </w:p>
        </w:tc>
        <w:tc>
          <w:tcPr>
            <w:tcW w:type="dxa" w:w="864"/>
            <w:shd w:val="clear" w:color="auto" w:fill="113E21"/>
          </w:tcPr>
          <w:p>
            <w:pPr>
              <w:spacing w:before="80" w:after="80"/>
              <w:jc w:val="left"/>
            </w:pPr>
            <w:r>
              <w:rPr>
                <w:rFonts w:ascii="Times New Roman" w:hAnsi="Times New Roman"/>
                <w:b/>
                <w:color w:val="FFFFFF"/>
                <w:sz w:val="20"/>
              </w:rPr>
              <w:t>Status</w:t>
            </w:r>
          </w:p>
        </w:tc>
      </w:tr>
      <w:tr>
        <w:tc>
          <w:tcPr>
            <w:tcW w:type="dxa" w:w="1152"/>
            <w:shd w:val="clear" w:color="auto" w:fill="FFFFFF"/>
          </w:tcPr>
          <w:p>
            <w:pPr>
              <w:spacing w:before="60" w:after="60"/>
              <w:jc w:val="left"/>
            </w:pPr>
            <w:r>
              <w:rPr>
                <w:rFonts w:ascii="Times New Roman" w:hAnsi="Times New Roman"/>
                <w:color w:val="212529"/>
                <w:sz w:val="19"/>
              </w:rPr>
              <w:t>TC-01</w:t>
            </w:r>
          </w:p>
        </w:tc>
        <w:tc>
          <w:tcPr>
            <w:tcW w:type="dxa" w:w="2592"/>
            <w:shd w:val="clear" w:color="auto" w:fill="FFFFFF"/>
          </w:tcPr>
          <w:p>
            <w:pPr>
              <w:spacing w:before="60" w:after="60"/>
              <w:jc w:val="left"/>
            </w:pPr>
            <w:r>
              <w:rPr>
                <w:rFonts w:ascii="Times New Roman" w:hAnsi="Times New Roman"/>
                <w:color w:val="212529"/>
                <w:sz w:val="19"/>
              </w:rPr>
              <w:t>Master CSV Load &amp; Typo Sanitization</w:t>
            </w:r>
          </w:p>
        </w:tc>
        <w:tc>
          <w:tcPr>
            <w:tcW w:type="dxa" w:w="2304"/>
            <w:shd w:val="clear" w:color="auto" w:fill="FFFFFF"/>
          </w:tcPr>
          <w:p>
            <w:pPr>
              <w:spacing w:before="60" w:after="60"/>
              <w:jc w:val="left"/>
            </w:pPr>
            <w:r>
              <w:rPr>
                <w:rFonts w:ascii="Times New Roman" w:hAnsi="Times New Roman"/>
                <w:color w:val="212529"/>
                <w:sz w:val="19"/>
              </w:rPr>
              <w:t>Load raw CSV with 'Athetics' &amp; 'Kho kho'</w:t>
            </w:r>
          </w:p>
        </w:tc>
        <w:tc>
          <w:tcPr>
            <w:tcW w:type="dxa" w:w="2448"/>
            <w:shd w:val="clear" w:color="auto" w:fill="FFFFFF"/>
          </w:tcPr>
          <w:p>
            <w:pPr>
              <w:spacing w:before="60" w:after="60"/>
              <w:jc w:val="left"/>
            </w:pPr>
            <w:r>
              <w:rPr>
                <w:rFonts w:ascii="Times New Roman" w:hAnsi="Times New Roman"/>
                <w:color w:val="212529"/>
                <w:sz w:val="19"/>
              </w:rPr>
              <w:t>Records standardized to 'Athletics' and 'Kho Kho'; 7,634 rows verified.</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TC-02</w:t>
            </w:r>
          </w:p>
        </w:tc>
        <w:tc>
          <w:tcPr>
            <w:tcW w:type="dxa" w:w="2592"/>
            <w:shd w:val="clear" w:color="auto" w:fill="F8FAF9"/>
          </w:tcPr>
          <w:p>
            <w:pPr>
              <w:spacing w:before="60" w:after="60"/>
              <w:jc w:val="left"/>
            </w:pPr>
            <w:r>
              <w:rPr>
                <w:rFonts w:ascii="Times New Roman" w:hAnsi="Times New Roman"/>
                <w:color w:val="212529"/>
                <w:sz w:val="19"/>
              </w:rPr>
              <w:t>State Nursery Card Redirection</w:t>
            </w:r>
          </w:p>
        </w:tc>
        <w:tc>
          <w:tcPr>
            <w:tcW w:type="dxa" w:w="2304"/>
            <w:shd w:val="clear" w:color="auto" w:fill="F8FAF9"/>
          </w:tcPr>
          <w:p>
            <w:pPr>
              <w:spacing w:before="60" w:after="60"/>
              <w:jc w:val="left"/>
            </w:pPr>
            <w:r>
              <w:rPr>
                <w:rFonts w:ascii="Times New Roman" w:hAnsi="Times New Roman"/>
                <w:color w:val="212529"/>
                <w:sz w:val="19"/>
              </w:rPr>
              <w:t>Click 'View Emerging Players' on Haryana card</w:t>
            </w:r>
          </w:p>
        </w:tc>
        <w:tc>
          <w:tcPr>
            <w:tcW w:type="dxa" w:w="2448"/>
            <w:shd w:val="clear" w:color="auto" w:fill="F8FAF9"/>
          </w:tcPr>
          <w:p>
            <w:pPr>
              <w:spacing w:before="60" w:after="60"/>
              <w:jc w:val="left"/>
            </w:pPr>
            <w:r>
              <w:rPr>
                <w:rFonts w:ascii="Times New Roman" w:hAnsi="Times New Roman"/>
                <w:color w:val="212529"/>
                <w:sz w:val="19"/>
              </w:rPr>
              <w:t>Session state sets profile_state='Haryana'; navigates to Profile; filters active.</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TC-03</w:t>
            </w:r>
          </w:p>
        </w:tc>
        <w:tc>
          <w:tcPr>
            <w:tcW w:type="dxa" w:w="2592"/>
            <w:shd w:val="clear" w:color="auto" w:fill="FFFFFF"/>
          </w:tcPr>
          <w:p>
            <w:pPr>
              <w:spacing w:before="60" w:after="60"/>
              <w:jc w:val="left"/>
            </w:pPr>
            <w:r>
              <w:rPr>
                <w:rFonts w:ascii="Times New Roman" w:hAnsi="Times New Roman"/>
                <w:color w:val="212529"/>
                <w:sz w:val="19"/>
              </w:rPr>
              <w:t>Empty-Focus Selectbox Launch</w:t>
            </w:r>
          </w:p>
        </w:tc>
        <w:tc>
          <w:tcPr>
            <w:tcW w:type="dxa" w:w="2304"/>
            <w:shd w:val="clear" w:color="auto" w:fill="FFFFFF"/>
          </w:tcPr>
          <w:p>
            <w:pPr>
              <w:spacing w:before="60" w:after="60"/>
              <w:jc w:val="left"/>
            </w:pPr>
            <w:r>
              <w:rPr>
                <w:rFonts w:ascii="Times New Roman" w:hAnsi="Times New Roman"/>
                <w:color w:val="212529"/>
                <w:sz w:val="19"/>
              </w:rPr>
              <w:t>Open Centres &amp; Academies for the first time</w:t>
            </w:r>
          </w:p>
        </w:tc>
        <w:tc>
          <w:tcPr>
            <w:tcW w:type="dxa" w:w="2448"/>
            <w:shd w:val="clear" w:color="auto" w:fill="FFFFFF"/>
          </w:tcPr>
          <w:p>
            <w:pPr>
              <w:spacing w:before="60" w:after="60"/>
              <w:jc w:val="left"/>
            </w:pPr>
            <w:r>
              <w:rPr>
                <w:rFonts w:ascii="Times New Roman" w:hAnsi="Times New Roman"/>
                <w:color w:val="212529"/>
                <w:sz w:val="19"/>
              </w:rPr>
              <w:t>Dropdown displays '-- Select Centre --'; no cards rendered until selection.</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TC-04</w:t>
            </w:r>
          </w:p>
        </w:tc>
        <w:tc>
          <w:tcPr>
            <w:tcW w:type="dxa" w:w="2592"/>
            <w:shd w:val="clear" w:color="auto" w:fill="F8FAF9"/>
          </w:tcPr>
          <w:p>
            <w:pPr>
              <w:spacing w:before="60" w:after="60"/>
              <w:jc w:val="left"/>
            </w:pPr>
            <w:r>
              <w:rPr>
                <w:rFonts w:ascii="Times New Roman" w:hAnsi="Times New Roman"/>
                <w:color w:val="212529"/>
                <w:sz w:val="19"/>
              </w:rPr>
              <w:t>Sport-Weighted Capacity Math</w:t>
            </w:r>
          </w:p>
        </w:tc>
        <w:tc>
          <w:tcPr>
            <w:tcW w:type="dxa" w:w="2304"/>
            <w:shd w:val="clear" w:color="auto" w:fill="F8FAF9"/>
          </w:tcPr>
          <w:p>
            <w:pPr>
              <w:spacing w:before="60" w:after="60"/>
              <w:jc w:val="left"/>
            </w:pPr>
            <w:r>
              <w:rPr>
                <w:rFonts w:ascii="Times New Roman" w:hAnsi="Times New Roman"/>
                <w:color w:val="212529"/>
                <w:sz w:val="19"/>
              </w:rPr>
              <w:t>Select 'SAI Bangalore (NCOE)' &amp; 'Hockey'</w:t>
            </w:r>
          </w:p>
        </w:tc>
        <w:tc>
          <w:tcPr>
            <w:tcW w:type="dxa" w:w="2448"/>
            <w:shd w:val="clear" w:color="auto" w:fill="F8FAF9"/>
          </w:tcPr>
          <w:p>
            <w:pPr>
              <w:spacing w:before="60" w:after="60"/>
              <w:jc w:val="left"/>
            </w:pPr>
            <w:r>
              <w:rPr>
                <w:rFonts w:ascii="Times New Roman" w:hAnsi="Times New Roman"/>
                <w:color w:val="212529"/>
                <w:sz w:val="19"/>
              </w:rPr>
              <w:t>Capacity calculates to 58 athletes and 5 coaches; ratio renders as 11:1.</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TC-05</w:t>
            </w:r>
          </w:p>
        </w:tc>
        <w:tc>
          <w:tcPr>
            <w:tcW w:type="dxa" w:w="2592"/>
            <w:shd w:val="clear" w:color="auto" w:fill="FFFFFF"/>
          </w:tcPr>
          <w:p>
            <w:pPr>
              <w:spacing w:before="60" w:after="60"/>
              <w:jc w:val="left"/>
            </w:pPr>
            <w:r>
              <w:rPr>
                <w:rFonts w:ascii="Times New Roman" w:hAnsi="Times New Roman"/>
                <w:color w:val="212529"/>
                <w:sz w:val="19"/>
              </w:rPr>
              <w:t>Surplus Coach Redistribution</w:t>
            </w:r>
          </w:p>
        </w:tc>
        <w:tc>
          <w:tcPr>
            <w:tcW w:type="dxa" w:w="2304"/>
            <w:shd w:val="clear" w:color="auto" w:fill="FFFFFF"/>
          </w:tcPr>
          <w:p>
            <w:pPr>
              <w:spacing w:before="60" w:after="60"/>
              <w:jc w:val="left"/>
            </w:pPr>
            <w:r>
              <w:rPr>
                <w:rFonts w:ascii="Times New Roman" w:hAnsi="Times New Roman"/>
                <w:color w:val="212529"/>
                <w:sz w:val="19"/>
              </w:rPr>
              <w:t>Evaluate Bangalore Hockey (11:1 ratio)</w:t>
            </w:r>
          </w:p>
        </w:tc>
        <w:tc>
          <w:tcPr>
            <w:tcW w:type="dxa" w:w="2448"/>
            <w:shd w:val="clear" w:color="auto" w:fill="FFFFFF"/>
          </w:tcPr>
          <w:p>
            <w:pPr>
              <w:spacing w:before="60" w:after="60"/>
              <w:jc w:val="left"/>
            </w:pPr>
            <w:r>
              <w:rPr>
                <w:rFonts w:ascii="Times New Roman" w:hAnsi="Times New Roman"/>
                <w:color w:val="212529"/>
                <w:sz w:val="19"/>
              </w:rPr>
              <w:t>Detects 1 surplus coach; ranks Kandivali (26:1), Kokrajhar (25:1), Hisar (22:1).</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TC-06</w:t>
            </w:r>
          </w:p>
        </w:tc>
        <w:tc>
          <w:tcPr>
            <w:tcW w:type="dxa" w:w="2592"/>
            <w:shd w:val="clear" w:color="auto" w:fill="F8FAF9"/>
          </w:tcPr>
          <w:p>
            <w:pPr>
              <w:spacing w:before="60" w:after="60"/>
              <w:jc w:val="left"/>
            </w:pPr>
            <w:r>
              <w:rPr>
                <w:rFonts w:ascii="Times New Roman" w:hAnsi="Times New Roman"/>
                <w:color w:val="212529"/>
                <w:sz w:val="19"/>
              </w:rPr>
              <w:t>Deficit Coach Redistribution</w:t>
            </w:r>
          </w:p>
        </w:tc>
        <w:tc>
          <w:tcPr>
            <w:tcW w:type="dxa" w:w="2304"/>
            <w:shd w:val="clear" w:color="auto" w:fill="F8FAF9"/>
          </w:tcPr>
          <w:p>
            <w:pPr>
              <w:spacing w:before="60" w:after="60"/>
              <w:jc w:val="left"/>
            </w:pPr>
            <w:r>
              <w:rPr>
                <w:rFonts w:ascii="Times New Roman" w:hAnsi="Times New Roman"/>
                <w:color w:val="212529"/>
                <w:sz w:val="19"/>
              </w:rPr>
              <w:t>Evaluate Hisar Hockey (22:1 ratio)</w:t>
            </w:r>
          </w:p>
        </w:tc>
        <w:tc>
          <w:tcPr>
            <w:tcW w:type="dxa" w:w="2448"/>
            <w:shd w:val="clear" w:color="auto" w:fill="F8FAF9"/>
          </w:tcPr>
          <w:p>
            <w:pPr>
              <w:spacing w:before="60" w:after="60"/>
              <w:jc w:val="left"/>
            </w:pPr>
            <w:r>
              <w:rPr>
                <w:rFonts w:ascii="Times New Roman" w:hAnsi="Times New Roman"/>
                <w:color w:val="212529"/>
                <w:sz w:val="19"/>
              </w:rPr>
              <w:t>Detects deficit of 2 coaches; lists national surplus centres to pull staff.</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TC-07</w:t>
            </w:r>
          </w:p>
        </w:tc>
        <w:tc>
          <w:tcPr>
            <w:tcW w:type="dxa" w:w="2592"/>
            <w:shd w:val="clear" w:color="auto" w:fill="FFFFFF"/>
          </w:tcPr>
          <w:p>
            <w:pPr>
              <w:spacing w:before="60" w:after="60"/>
              <w:jc w:val="left"/>
            </w:pPr>
            <w:r>
              <w:rPr>
                <w:rFonts w:ascii="Times New Roman" w:hAnsi="Times New Roman"/>
                <w:color w:val="212529"/>
                <w:sz w:val="19"/>
              </w:rPr>
              <w:t>Optimal Coach Ratio State</w:t>
            </w:r>
          </w:p>
        </w:tc>
        <w:tc>
          <w:tcPr>
            <w:tcW w:type="dxa" w:w="2304"/>
            <w:shd w:val="clear" w:color="auto" w:fill="FFFFFF"/>
          </w:tcPr>
          <w:p>
            <w:pPr>
              <w:spacing w:before="60" w:after="60"/>
              <w:jc w:val="left"/>
            </w:pPr>
            <w:r>
              <w:rPr>
                <w:rFonts w:ascii="Times New Roman" w:hAnsi="Times New Roman"/>
                <w:color w:val="212529"/>
                <w:sz w:val="19"/>
              </w:rPr>
              <w:t>Centre with exact 15:1 ratio</w:t>
            </w:r>
          </w:p>
        </w:tc>
        <w:tc>
          <w:tcPr>
            <w:tcW w:type="dxa" w:w="2448"/>
            <w:shd w:val="clear" w:color="auto" w:fill="FFFFFF"/>
          </w:tcPr>
          <w:p>
            <w:pPr>
              <w:spacing w:before="60" w:after="60"/>
              <w:jc w:val="left"/>
            </w:pPr>
            <w:r>
              <w:rPr>
                <w:rFonts w:ascii="Times New Roman" w:hAnsi="Times New Roman"/>
                <w:color w:val="212529"/>
                <w:sz w:val="19"/>
              </w:rPr>
              <w:t>Displays green confirmation card indicating balanced staffing; no transfers.</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TC-08</w:t>
            </w:r>
          </w:p>
        </w:tc>
        <w:tc>
          <w:tcPr>
            <w:tcW w:type="dxa" w:w="2592"/>
            <w:shd w:val="clear" w:color="auto" w:fill="F8FAF9"/>
          </w:tcPr>
          <w:p>
            <w:pPr>
              <w:spacing w:before="60" w:after="60"/>
              <w:jc w:val="left"/>
            </w:pPr>
            <w:r>
              <w:rPr>
                <w:rFonts w:ascii="Times New Roman" w:hAnsi="Times New Roman"/>
                <w:color w:val="212529"/>
                <w:sz w:val="19"/>
              </w:rPr>
              <w:t>SAI Matcher: Home State Match</w:t>
            </w:r>
          </w:p>
        </w:tc>
        <w:tc>
          <w:tcPr>
            <w:tcW w:type="dxa" w:w="2304"/>
            <w:shd w:val="clear" w:color="auto" w:fill="F8FAF9"/>
          </w:tcPr>
          <w:p>
            <w:pPr>
              <w:spacing w:before="60" w:after="60"/>
              <w:jc w:val="left"/>
            </w:pPr>
            <w:r>
              <w:rPr>
                <w:rFonts w:ascii="Times New Roman" w:hAnsi="Times New Roman"/>
                <w:color w:val="212529"/>
                <w:sz w:val="19"/>
              </w:rPr>
              <w:t>Wrestling, Haryana, District, Age 16, Male</w:t>
            </w:r>
          </w:p>
        </w:tc>
        <w:tc>
          <w:tcPr>
            <w:tcW w:type="dxa" w:w="2448"/>
            <w:shd w:val="clear" w:color="auto" w:fill="F8FAF9"/>
          </w:tcPr>
          <w:p>
            <w:pPr>
              <w:spacing w:before="60" w:after="60"/>
              <w:jc w:val="left"/>
            </w:pPr>
            <w:r>
              <w:rPr>
                <w:rFonts w:ascii="Times New Roman" w:hAnsi="Times New Roman"/>
                <w:color w:val="212529"/>
                <w:sz w:val="19"/>
              </w:rPr>
              <w:t>SAI Sonepat ranks #1 with Match Score &gt;= 85 (home state + sport offering).</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TC-09</w:t>
            </w:r>
          </w:p>
        </w:tc>
        <w:tc>
          <w:tcPr>
            <w:tcW w:type="dxa" w:w="2592"/>
            <w:shd w:val="clear" w:color="auto" w:fill="FFFFFF"/>
          </w:tcPr>
          <w:p>
            <w:pPr>
              <w:spacing w:before="60" w:after="60"/>
              <w:jc w:val="left"/>
            </w:pPr>
            <w:r>
              <w:rPr>
                <w:rFonts w:ascii="Times New Roman" w:hAnsi="Times New Roman"/>
                <w:color w:val="212529"/>
                <w:sz w:val="19"/>
              </w:rPr>
              <w:t>SAI Matcher: Zonal Fallback</w:t>
            </w:r>
          </w:p>
        </w:tc>
        <w:tc>
          <w:tcPr>
            <w:tcW w:type="dxa" w:w="2304"/>
            <w:shd w:val="clear" w:color="auto" w:fill="FFFFFF"/>
          </w:tcPr>
          <w:p>
            <w:pPr>
              <w:spacing w:before="60" w:after="60"/>
              <w:jc w:val="left"/>
            </w:pPr>
            <w:r>
              <w:rPr>
                <w:rFonts w:ascii="Times New Roman" w:hAnsi="Times New Roman"/>
                <w:color w:val="212529"/>
                <w:sz w:val="19"/>
              </w:rPr>
              <w:t>Fencing, Mizoram, District, Age 17, Male</w:t>
            </w:r>
          </w:p>
        </w:tc>
        <w:tc>
          <w:tcPr>
            <w:tcW w:type="dxa" w:w="2448"/>
            <w:shd w:val="clear" w:color="auto" w:fill="FFFFFF"/>
          </w:tcPr>
          <w:p>
            <w:pPr>
              <w:spacing w:before="60" w:after="60"/>
              <w:jc w:val="left"/>
            </w:pPr>
            <w:r>
              <w:rPr>
                <w:rFonts w:ascii="Times New Roman" w:hAnsi="Times New Roman"/>
                <w:color w:val="212529"/>
                <w:sz w:val="19"/>
              </w:rPr>
              <w:t>SAI Thalassery ranks #1 with Match Score 67 (discipline match + level fit).</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TC-10</w:t>
            </w:r>
          </w:p>
        </w:tc>
        <w:tc>
          <w:tcPr>
            <w:tcW w:type="dxa" w:w="2592"/>
            <w:shd w:val="clear" w:color="auto" w:fill="F8FAF9"/>
          </w:tcPr>
          <w:p>
            <w:pPr>
              <w:spacing w:before="60" w:after="60"/>
              <w:jc w:val="left"/>
            </w:pPr>
            <w:r>
              <w:rPr>
                <w:rFonts w:ascii="Times New Roman" w:hAnsi="Times New Roman"/>
                <w:color w:val="212529"/>
                <w:sz w:val="19"/>
              </w:rPr>
              <w:t>Live Tournament Web Grounding</w:t>
            </w:r>
          </w:p>
        </w:tc>
        <w:tc>
          <w:tcPr>
            <w:tcW w:type="dxa" w:w="2304"/>
            <w:shd w:val="clear" w:color="auto" w:fill="F8FAF9"/>
          </w:tcPr>
          <w:p>
            <w:pPr>
              <w:spacing w:before="60" w:after="60"/>
              <w:jc w:val="left"/>
            </w:pPr>
            <w:r>
              <w:rPr>
                <w:rFonts w:ascii="Times New Roman" w:hAnsi="Times New Roman"/>
                <w:color w:val="212529"/>
                <w:sz w:val="19"/>
              </w:rPr>
              <w:t>Query Gemini with GoogleSearch() tool</w:t>
            </w:r>
          </w:p>
        </w:tc>
        <w:tc>
          <w:tcPr>
            <w:tcW w:type="dxa" w:w="2448"/>
            <w:shd w:val="clear" w:color="auto" w:fill="F8FAF9"/>
          </w:tcPr>
          <w:p>
            <w:pPr>
              <w:spacing w:before="60" w:after="60"/>
              <w:jc w:val="left"/>
            </w:pPr>
            <w:r>
              <w:rPr>
                <w:rFonts w:ascii="Times New Roman" w:hAnsi="Times New Roman"/>
                <w:color w:val="212529"/>
                <w:sz w:val="19"/>
              </w:rPr>
              <w:t>Returns real-time JSON array of current Indian national and junior trials.</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TC-11</w:t>
            </w:r>
          </w:p>
        </w:tc>
        <w:tc>
          <w:tcPr>
            <w:tcW w:type="dxa" w:w="2592"/>
            <w:shd w:val="clear" w:color="auto" w:fill="FFFFFF"/>
          </w:tcPr>
          <w:p>
            <w:pPr>
              <w:spacing w:before="60" w:after="60"/>
              <w:jc w:val="left"/>
            </w:pPr>
            <w:r>
              <w:rPr>
                <w:rFonts w:ascii="Times New Roman" w:hAnsi="Times New Roman"/>
                <w:color w:val="212529"/>
                <w:sz w:val="19"/>
              </w:rPr>
              <w:t>Tournament Scraper Fallback</w:t>
            </w:r>
          </w:p>
        </w:tc>
        <w:tc>
          <w:tcPr>
            <w:tcW w:type="dxa" w:w="2304"/>
            <w:shd w:val="clear" w:color="auto" w:fill="FFFFFF"/>
          </w:tcPr>
          <w:p>
            <w:pPr>
              <w:spacing w:before="60" w:after="60"/>
              <w:jc w:val="left"/>
            </w:pPr>
            <w:r>
              <w:rPr>
                <w:rFonts w:ascii="Times New Roman" w:hAnsi="Times New Roman"/>
                <w:color w:val="212529"/>
                <w:sz w:val="19"/>
              </w:rPr>
              <w:t>Empty GEMINI_API_KEY environment</w:t>
            </w:r>
          </w:p>
        </w:tc>
        <w:tc>
          <w:tcPr>
            <w:tcW w:type="dxa" w:w="2448"/>
            <w:shd w:val="clear" w:color="auto" w:fill="FFFFFF"/>
          </w:tcPr>
          <w:p>
            <w:pPr>
              <w:spacing w:before="60" w:after="60"/>
              <w:jc w:val="left"/>
            </w:pPr>
            <w:r>
              <w:rPr>
                <w:rFonts w:ascii="Times New Roman" w:hAnsi="Times New Roman"/>
                <w:color w:val="212529"/>
                <w:sz w:val="19"/>
              </w:rPr>
              <w:t>Activates structured mock tournament generator; page renders with zero errors.</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TC-12</w:t>
            </w:r>
          </w:p>
        </w:tc>
        <w:tc>
          <w:tcPr>
            <w:tcW w:type="dxa" w:w="2592"/>
            <w:shd w:val="clear" w:color="auto" w:fill="F8FAF9"/>
          </w:tcPr>
          <w:p>
            <w:pPr>
              <w:spacing w:before="60" w:after="60"/>
              <w:jc w:val="left"/>
            </w:pPr>
            <w:r>
              <w:rPr>
                <w:rFonts w:ascii="Times New Roman" w:hAnsi="Times New Roman"/>
                <w:color w:val="212529"/>
                <w:sz w:val="19"/>
              </w:rPr>
              <w:t>Tournament Multi-Filter Query</w:t>
            </w:r>
          </w:p>
        </w:tc>
        <w:tc>
          <w:tcPr>
            <w:tcW w:type="dxa" w:w="2304"/>
            <w:shd w:val="clear" w:color="auto" w:fill="F8FAF9"/>
          </w:tcPr>
          <w:p>
            <w:pPr>
              <w:spacing w:before="60" w:after="60"/>
              <w:jc w:val="left"/>
            </w:pPr>
            <w:r>
              <w:rPr>
                <w:rFonts w:ascii="Times New Roman" w:hAnsi="Times New Roman"/>
                <w:color w:val="212529"/>
                <w:sz w:val="19"/>
              </w:rPr>
              <w:t>Sport='Wrestling', Status='Live Now'</w:t>
            </w:r>
          </w:p>
        </w:tc>
        <w:tc>
          <w:tcPr>
            <w:tcW w:type="dxa" w:w="2448"/>
            <w:shd w:val="clear" w:color="auto" w:fill="F8FAF9"/>
          </w:tcPr>
          <w:p>
            <w:pPr>
              <w:spacing w:before="60" w:after="60"/>
              <w:jc w:val="left"/>
            </w:pPr>
            <w:r>
              <w:rPr>
                <w:rFonts w:ascii="Times New Roman" w:hAnsi="Times New Roman"/>
                <w:color w:val="212529"/>
                <w:sz w:val="19"/>
              </w:rPr>
              <w:t>Filters dataframe exclusively to active wrestling fixtures matching status.</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TC-13</w:t>
            </w:r>
          </w:p>
        </w:tc>
        <w:tc>
          <w:tcPr>
            <w:tcW w:type="dxa" w:w="2592"/>
            <w:shd w:val="clear" w:color="auto" w:fill="FFFFFF"/>
          </w:tcPr>
          <w:p>
            <w:pPr>
              <w:spacing w:before="60" w:after="60"/>
              <w:jc w:val="left"/>
            </w:pPr>
            <w:r>
              <w:rPr>
                <w:rFonts w:ascii="Times New Roman" w:hAnsi="Times New Roman"/>
                <w:color w:val="212529"/>
                <w:sz w:val="19"/>
              </w:rPr>
              <w:t>CSR Lead Pipeline Filtering</w:t>
            </w:r>
          </w:p>
        </w:tc>
        <w:tc>
          <w:tcPr>
            <w:tcW w:type="dxa" w:w="2304"/>
            <w:shd w:val="clear" w:color="auto" w:fill="FFFFFF"/>
          </w:tcPr>
          <w:p>
            <w:pPr>
              <w:spacing w:before="60" w:after="60"/>
              <w:jc w:val="left"/>
            </w:pPr>
            <w:r>
              <w:rPr>
                <w:rFonts w:ascii="Times New Roman" w:hAnsi="Times New Roman"/>
                <w:color w:val="212529"/>
                <w:sz w:val="19"/>
              </w:rPr>
              <w:t>Sector='Steel / Heavy Mining'</w:t>
            </w:r>
          </w:p>
        </w:tc>
        <w:tc>
          <w:tcPr>
            <w:tcW w:type="dxa" w:w="2448"/>
            <w:shd w:val="clear" w:color="auto" w:fill="FFFFFF"/>
          </w:tcPr>
          <w:p>
            <w:pPr>
              <w:spacing w:before="60" w:after="60"/>
              <w:jc w:val="left"/>
            </w:pPr>
            <w:r>
              <w:rPr>
                <w:rFonts w:ascii="Times New Roman" w:hAnsi="Times New Roman"/>
                <w:color w:val="212529"/>
                <w:sz w:val="19"/>
              </w:rPr>
              <w:t>Displays Tata Steel and JSW Sports leads with high contact potential tags.</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TC-14</w:t>
            </w:r>
          </w:p>
        </w:tc>
        <w:tc>
          <w:tcPr>
            <w:tcW w:type="dxa" w:w="2592"/>
            <w:shd w:val="clear" w:color="auto" w:fill="F8FAF9"/>
          </w:tcPr>
          <w:p>
            <w:pPr>
              <w:spacing w:before="60" w:after="60"/>
              <w:jc w:val="left"/>
            </w:pPr>
            <w:r>
              <w:rPr>
                <w:rFonts w:ascii="Times New Roman" w:hAnsi="Times New Roman"/>
                <w:color w:val="212529"/>
                <w:sz w:val="19"/>
              </w:rPr>
              <w:t>Profile Directory Empty Load</w:t>
            </w:r>
          </w:p>
        </w:tc>
        <w:tc>
          <w:tcPr>
            <w:tcW w:type="dxa" w:w="2304"/>
            <w:shd w:val="clear" w:color="auto" w:fill="F8FAF9"/>
          </w:tcPr>
          <w:p>
            <w:pPr>
              <w:spacing w:before="60" w:after="60"/>
              <w:jc w:val="left"/>
            </w:pPr>
            <w:r>
              <w:rPr>
                <w:rFonts w:ascii="Times New Roman" w:hAnsi="Times New Roman"/>
                <w:color w:val="212529"/>
                <w:sz w:val="19"/>
              </w:rPr>
              <w:t>Navigate to Profile without prior query</w:t>
            </w:r>
          </w:p>
        </w:tc>
        <w:tc>
          <w:tcPr>
            <w:tcW w:type="dxa" w:w="2448"/>
            <w:shd w:val="clear" w:color="auto" w:fill="F8FAF9"/>
          </w:tcPr>
          <w:p>
            <w:pPr>
              <w:spacing w:before="60" w:after="60"/>
              <w:jc w:val="left"/>
            </w:pPr>
            <w:r>
              <w:rPr>
                <w:rFonts w:ascii="Times New Roman" w:hAnsi="Times New Roman"/>
                <w:color w:val="212529"/>
                <w:sz w:val="19"/>
              </w:rPr>
              <w:t>Renders placeholder search card; zero athlete cards rendered until queried.</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TC-15</w:t>
            </w:r>
          </w:p>
        </w:tc>
        <w:tc>
          <w:tcPr>
            <w:tcW w:type="dxa" w:w="2592"/>
            <w:shd w:val="clear" w:color="auto" w:fill="FFFFFF"/>
          </w:tcPr>
          <w:p>
            <w:pPr>
              <w:spacing w:before="60" w:after="60"/>
              <w:jc w:val="left"/>
            </w:pPr>
            <w:r>
              <w:rPr>
                <w:rFonts w:ascii="Times New Roman" w:hAnsi="Times New Roman"/>
                <w:color w:val="212529"/>
                <w:sz w:val="19"/>
              </w:rPr>
              <w:t>Performance Level Filter Buttons</w:t>
            </w:r>
          </w:p>
        </w:tc>
        <w:tc>
          <w:tcPr>
            <w:tcW w:type="dxa" w:w="2304"/>
            <w:shd w:val="clear" w:color="auto" w:fill="FFFFFF"/>
          </w:tcPr>
          <w:p>
            <w:pPr>
              <w:spacing w:before="60" w:after="60"/>
              <w:jc w:val="left"/>
            </w:pPr>
            <w:r>
              <w:rPr>
                <w:rFonts w:ascii="Times New Roman" w:hAnsi="Times New Roman"/>
                <w:color w:val="212529"/>
                <w:sz w:val="19"/>
              </w:rPr>
              <w:t>Click 'International Level' button</w:t>
            </w:r>
          </w:p>
        </w:tc>
        <w:tc>
          <w:tcPr>
            <w:tcW w:type="dxa" w:w="2448"/>
            <w:shd w:val="clear" w:color="auto" w:fill="FFFFFF"/>
          </w:tcPr>
          <w:p>
            <w:pPr>
              <w:spacing w:before="60" w:after="60"/>
              <w:jc w:val="left"/>
            </w:pPr>
            <w:r>
              <w:rPr>
                <w:rFonts w:ascii="Times New Roman" w:hAnsi="Times New Roman"/>
                <w:color w:val="212529"/>
                <w:sz w:val="19"/>
              </w:rPr>
              <w:t>In-memory filter isolates international medalists; cards render with green badges.</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TC-16</w:t>
            </w:r>
          </w:p>
        </w:tc>
        <w:tc>
          <w:tcPr>
            <w:tcW w:type="dxa" w:w="2592"/>
            <w:shd w:val="clear" w:color="auto" w:fill="F8FAF9"/>
          </w:tcPr>
          <w:p>
            <w:pPr>
              <w:spacing w:before="60" w:after="60"/>
              <w:jc w:val="left"/>
            </w:pPr>
            <w:r>
              <w:rPr>
                <w:rFonts w:ascii="Times New Roman" w:hAnsi="Times New Roman"/>
                <w:color w:val="212529"/>
                <w:sz w:val="19"/>
              </w:rPr>
              <w:t>TOPS Bio Inspector Load</w:t>
            </w:r>
          </w:p>
        </w:tc>
        <w:tc>
          <w:tcPr>
            <w:tcW w:type="dxa" w:w="2304"/>
            <w:shd w:val="clear" w:color="auto" w:fill="F8FAF9"/>
          </w:tcPr>
          <w:p>
            <w:pPr>
              <w:spacing w:before="60" w:after="60"/>
              <w:jc w:val="left"/>
            </w:pPr>
            <w:r>
              <w:rPr>
                <w:rFonts w:ascii="Times New Roman" w:hAnsi="Times New Roman"/>
                <w:color w:val="212529"/>
                <w:sz w:val="19"/>
              </w:rPr>
              <w:t>Select 'Neeraj Chopra' from inspector dropdown</w:t>
            </w:r>
          </w:p>
        </w:tc>
        <w:tc>
          <w:tcPr>
            <w:tcW w:type="dxa" w:w="2448"/>
            <w:shd w:val="clear" w:color="auto" w:fill="F8FAF9"/>
          </w:tcPr>
          <w:p>
            <w:pPr>
              <w:spacing w:before="60" w:after="60"/>
              <w:jc w:val="left"/>
            </w:pPr>
            <w:r>
              <w:rPr>
                <w:rFonts w:ascii="Times New Roman" w:hAnsi="Times New Roman"/>
                <w:color w:val="212529"/>
                <w:sz w:val="19"/>
              </w:rPr>
              <w:t>Right panel renders Javelin achievements, Tokyo gold, and national records.</w:t>
            </w:r>
          </w:p>
        </w:tc>
        <w:tc>
          <w:tcPr>
            <w:tcW w:type="dxa" w:w="864"/>
            <w:shd w:val="clear" w:color="auto" w:fill="F8FAF9"/>
          </w:tcPr>
          <w:p>
            <w:pPr>
              <w:spacing w:before="60" w:after="60"/>
              <w:jc w:val="left"/>
            </w:pPr>
            <w:r>
              <w:rPr>
                <w:rFonts w:ascii="Times New Roman" w:hAnsi="Times New Roman"/>
                <w:color w:val="212529"/>
                <w:sz w:val="19"/>
              </w:rPr>
              <w:t>PASSED</w:t>
            </w:r>
          </w:p>
        </w:tc>
      </w:tr>
      <w:tr>
        <w:tc>
          <w:tcPr>
            <w:tcW w:type="dxa" w:w="1152"/>
            <w:shd w:val="clear" w:color="auto" w:fill="FFFFFF"/>
          </w:tcPr>
          <w:p>
            <w:pPr>
              <w:spacing w:before="60" w:after="60"/>
              <w:jc w:val="left"/>
            </w:pPr>
            <w:r>
              <w:rPr>
                <w:rFonts w:ascii="Times New Roman" w:hAnsi="Times New Roman"/>
                <w:color w:val="212529"/>
                <w:sz w:val="19"/>
              </w:rPr>
              <w:t>TC-17</w:t>
            </w:r>
          </w:p>
        </w:tc>
        <w:tc>
          <w:tcPr>
            <w:tcW w:type="dxa" w:w="2592"/>
            <w:shd w:val="clear" w:color="auto" w:fill="FFFFFF"/>
          </w:tcPr>
          <w:p>
            <w:pPr>
              <w:spacing w:before="60" w:after="60"/>
              <w:jc w:val="left"/>
            </w:pPr>
            <w:r>
              <w:rPr>
                <w:rFonts w:ascii="Times New Roman" w:hAnsi="Times New Roman"/>
                <w:color w:val="212529"/>
                <w:sz w:val="19"/>
              </w:rPr>
              <w:t>Women's Pipeline Ingestion</w:t>
            </w:r>
          </w:p>
        </w:tc>
        <w:tc>
          <w:tcPr>
            <w:tcW w:type="dxa" w:w="2304"/>
            <w:shd w:val="clear" w:color="auto" w:fill="FFFFFF"/>
          </w:tcPr>
          <w:p>
            <w:pPr>
              <w:spacing w:before="60" w:after="60"/>
              <w:jc w:val="left"/>
            </w:pPr>
            <w:r>
              <w:rPr>
                <w:rFonts w:ascii="Times New Roman" w:hAnsi="Times New Roman"/>
                <w:color w:val="212529"/>
                <w:sz w:val="19"/>
              </w:rPr>
              <w:t>Load 5,000-record women_athletes.json</w:t>
            </w:r>
          </w:p>
        </w:tc>
        <w:tc>
          <w:tcPr>
            <w:tcW w:type="dxa" w:w="2448"/>
            <w:shd w:val="clear" w:color="auto" w:fill="FFFFFF"/>
          </w:tcPr>
          <w:p>
            <w:pPr>
              <w:spacing w:before="60" w:after="60"/>
              <w:jc w:val="left"/>
            </w:pPr>
            <w:r>
              <w:rPr>
                <w:rFonts w:ascii="Times New Roman" w:hAnsi="Times New Roman"/>
                <w:color w:val="212529"/>
                <w:sz w:val="19"/>
              </w:rPr>
              <w:t>Renders without memory exhaustion; Opportunity Scores calculate correctly.</w:t>
            </w:r>
          </w:p>
        </w:tc>
        <w:tc>
          <w:tcPr>
            <w:tcW w:type="dxa" w:w="864"/>
            <w:shd w:val="clear" w:color="auto" w:fill="FFFFFF"/>
          </w:tcPr>
          <w:p>
            <w:pPr>
              <w:spacing w:before="60" w:after="60"/>
              <w:jc w:val="left"/>
            </w:pPr>
            <w:r>
              <w:rPr>
                <w:rFonts w:ascii="Times New Roman" w:hAnsi="Times New Roman"/>
                <w:color w:val="212529"/>
                <w:sz w:val="19"/>
              </w:rPr>
              <w:t>PASSED</w:t>
            </w:r>
          </w:p>
        </w:tc>
      </w:tr>
      <w:tr>
        <w:tc>
          <w:tcPr>
            <w:tcW w:type="dxa" w:w="1152"/>
            <w:shd w:val="clear" w:color="auto" w:fill="F8FAF9"/>
          </w:tcPr>
          <w:p>
            <w:pPr>
              <w:spacing w:before="60" w:after="60"/>
              <w:jc w:val="left"/>
            </w:pPr>
            <w:r>
              <w:rPr>
                <w:rFonts w:ascii="Times New Roman" w:hAnsi="Times New Roman"/>
                <w:color w:val="212529"/>
                <w:sz w:val="19"/>
              </w:rPr>
              <w:t>TC-18</w:t>
            </w:r>
          </w:p>
        </w:tc>
        <w:tc>
          <w:tcPr>
            <w:tcW w:type="dxa" w:w="2592"/>
            <w:shd w:val="clear" w:color="auto" w:fill="F8FAF9"/>
          </w:tcPr>
          <w:p>
            <w:pPr>
              <w:spacing w:before="60" w:after="60"/>
              <w:jc w:val="left"/>
            </w:pPr>
            <w:r>
              <w:rPr>
                <w:rFonts w:ascii="Times New Roman" w:hAnsi="Times New Roman"/>
                <w:color w:val="212529"/>
                <w:sz w:val="19"/>
              </w:rPr>
              <w:t>AI Assistant Natural Language Query</w:t>
            </w:r>
          </w:p>
        </w:tc>
        <w:tc>
          <w:tcPr>
            <w:tcW w:type="dxa" w:w="2304"/>
            <w:shd w:val="clear" w:color="auto" w:fill="F8FAF9"/>
          </w:tcPr>
          <w:p>
            <w:pPr>
              <w:spacing w:before="60" w:after="60"/>
              <w:jc w:val="left"/>
            </w:pPr>
            <w:r>
              <w:rPr>
                <w:rFonts w:ascii="Times New Roman" w:hAnsi="Times New Roman"/>
                <w:color w:val="212529"/>
                <w:sz w:val="19"/>
              </w:rPr>
              <w:t>Ask: 'Which centres have Archery deficits?'</w:t>
            </w:r>
          </w:p>
        </w:tc>
        <w:tc>
          <w:tcPr>
            <w:tcW w:type="dxa" w:w="2448"/>
            <w:shd w:val="clear" w:color="auto" w:fill="F8FAF9"/>
          </w:tcPr>
          <w:p>
            <w:pPr>
              <w:spacing w:before="60" w:after="60"/>
              <w:jc w:val="left"/>
            </w:pPr>
            <w:r>
              <w:rPr>
                <w:rFonts w:ascii="Times New Roman" w:hAnsi="Times New Roman"/>
                <w:color w:val="212529"/>
                <w:sz w:val="19"/>
              </w:rPr>
              <w:t>Gemini responds accurately referencing database capacity metrics.</w:t>
            </w:r>
          </w:p>
        </w:tc>
        <w:tc>
          <w:tcPr>
            <w:tcW w:type="dxa" w:w="864"/>
            <w:shd w:val="clear" w:color="auto" w:fill="F8FAF9"/>
          </w:tcPr>
          <w:p>
            <w:pPr>
              <w:spacing w:before="60" w:after="60"/>
              <w:jc w:val="left"/>
            </w:pPr>
            <w:r>
              <w:rPr>
                <w:rFonts w:ascii="Times New Roman" w:hAnsi="Times New Roman"/>
                <w:color w:val="212529"/>
                <w:sz w:val="19"/>
              </w:rPr>
              <w:t>PASSED</w:t>
            </w:r>
          </w:p>
        </w:tc>
      </w:tr>
    </w:tbl>
    <w:p>
      <w:pPr>
        <w:spacing w:after="120"/>
      </w:pPr>
    </w:p>
    <w:p>
      <w:pPr>
        <w:spacing w:line="276" w:lineRule="auto" w:before="280" w:after="120"/>
      </w:pPr>
      <w:r>
        <w:rPr>
          <w:rFonts w:ascii="Times New Roman" w:hAnsi="Times New Roman"/>
          <w:b/>
          <w:color w:val="1E293B"/>
          <w:sz w:val="26"/>
        </w:rPr>
        <w:t>5.3 Results Against Objectives</w:t>
      </w:r>
    </w:p>
    <w:p>
      <w:pPr>
        <w:spacing w:line="300" w:lineRule="auto" w:after="120"/>
        <w:jc w:val="both"/>
      </w:pPr>
      <w:r>
        <w:rPr>
          <w:rFonts w:ascii="Times New Roman" w:hAnsi="Times New Roman"/>
          <w:i w:val="0"/>
          <w:color w:val="212529"/>
          <w:sz w:val="22"/>
        </w:rPr>
        <w:t>Table 5.2 benchmarks the functional deliverables against the foundational project objectives: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val="clear" w:color="auto" w:fill="113E21"/>
          </w:tcPr>
          <w:p>
            <w:pPr>
              <w:spacing w:before="80" w:after="80"/>
              <w:jc w:val="left"/>
            </w:pPr>
            <w:r>
              <w:rPr>
                <w:rFonts w:ascii="Times New Roman" w:hAnsi="Times New Roman"/>
                <w:b/>
                <w:color w:val="FFFFFF"/>
                <w:sz w:val="20"/>
              </w:rPr>
              <w:t>Project Objective</w:t>
            </w:r>
          </w:p>
        </w:tc>
        <w:tc>
          <w:tcPr>
            <w:tcW w:type="dxa" w:w="2016"/>
            <w:shd w:val="clear" w:color="auto" w:fill="113E21"/>
          </w:tcPr>
          <w:p>
            <w:pPr>
              <w:spacing w:before="80" w:after="80"/>
              <w:jc w:val="left"/>
            </w:pPr>
            <w:r>
              <w:rPr>
                <w:rFonts w:ascii="Times New Roman" w:hAnsi="Times New Roman"/>
                <w:b/>
                <w:color w:val="FFFFFF"/>
                <w:sz w:val="20"/>
              </w:rPr>
              <w:t>Outcome Status</w:t>
            </w:r>
          </w:p>
        </w:tc>
        <w:tc>
          <w:tcPr>
            <w:tcW w:type="dxa" w:w="4752"/>
            <w:shd w:val="clear" w:color="auto" w:fill="113E21"/>
          </w:tcPr>
          <w:p>
            <w:pPr>
              <w:spacing w:before="80" w:after="80"/>
              <w:jc w:val="left"/>
            </w:pPr>
            <w:r>
              <w:rPr>
                <w:rFonts w:ascii="Times New Roman" w:hAnsi="Times New Roman"/>
                <w:b/>
                <w:color w:val="FFFFFF"/>
                <w:sz w:val="20"/>
              </w:rPr>
              <w:t>Validation Summary &amp; Functional Evidence</w:t>
            </w:r>
          </w:p>
        </w:tc>
      </w:tr>
      <w:tr>
        <w:tc>
          <w:tcPr>
            <w:tcW w:type="dxa" w:w="2592"/>
            <w:shd w:val="clear" w:color="auto" w:fill="FFFFFF"/>
          </w:tcPr>
          <w:p>
            <w:pPr>
              <w:spacing w:before="60" w:after="60"/>
              <w:jc w:val="left"/>
            </w:pPr>
            <w:r>
              <w:rPr>
                <w:rFonts w:ascii="Times New Roman" w:hAnsi="Times New Roman"/>
                <w:color w:val="212529"/>
                <w:sz w:val="19"/>
              </w:rPr>
              <w:t>Obj 1: Data Ingestion &amp; Sanitization</w:t>
            </w:r>
          </w:p>
        </w:tc>
        <w:tc>
          <w:tcPr>
            <w:tcW w:type="dxa" w:w="2016"/>
            <w:shd w:val="clear" w:color="auto" w:fill="FFFFFF"/>
          </w:tcPr>
          <w:p>
            <w:pPr>
              <w:spacing w:before="60" w:after="60"/>
              <w:jc w:val="left"/>
            </w:pPr>
            <w:r>
              <w:rPr>
                <w:rFonts w:ascii="Times New Roman" w:hAnsi="Times New Roman"/>
                <w:color w:val="212529"/>
                <w:sz w:val="19"/>
              </w:rPr>
              <w:t>Achieved in Full</w:t>
            </w:r>
          </w:p>
        </w:tc>
        <w:tc>
          <w:tcPr>
            <w:tcW w:type="dxa" w:w="4752"/>
            <w:shd w:val="clear" w:color="auto" w:fill="FFFFFF"/>
          </w:tcPr>
          <w:p>
            <w:pPr>
              <w:spacing w:before="60" w:after="60"/>
              <w:jc w:val="left"/>
            </w:pPr>
            <w:r>
              <w:rPr>
                <w:rFonts w:ascii="Times New Roman" w:hAnsi="Times New Roman"/>
                <w:color w:val="212529"/>
                <w:sz w:val="19"/>
              </w:rPr>
              <w:t>Ingests 7,634 master entities; cleans duplicate spellings and trailing characters.</w:t>
            </w:r>
          </w:p>
        </w:tc>
      </w:tr>
      <w:tr>
        <w:tc>
          <w:tcPr>
            <w:tcW w:type="dxa" w:w="2592"/>
            <w:shd w:val="clear" w:color="auto" w:fill="F8FAF9"/>
          </w:tcPr>
          <w:p>
            <w:pPr>
              <w:spacing w:before="60" w:after="60"/>
              <w:jc w:val="left"/>
            </w:pPr>
            <w:r>
              <w:rPr>
                <w:rFonts w:ascii="Times New Roman" w:hAnsi="Times New Roman"/>
                <w:color w:val="212529"/>
                <w:sz w:val="19"/>
              </w:rPr>
              <w:t>Obj 2: Coach Capacity &amp; Redistribution</w:t>
            </w:r>
          </w:p>
        </w:tc>
        <w:tc>
          <w:tcPr>
            <w:tcW w:type="dxa" w:w="2016"/>
            <w:shd w:val="clear" w:color="auto" w:fill="F8FAF9"/>
          </w:tcPr>
          <w:p>
            <w:pPr>
              <w:spacing w:before="60" w:after="60"/>
              <w:jc w:val="left"/>
            </w:pPr>
            <w:r>
              <w:rPr>
                <w:rFonts w:ascii="Times New Roman" w:hAnsi="Times New Roman"/>
                <w:color w:val="212529"/>
                <w:sz w:val="19"/>
              </w:rPr>
              <w:t>Achieved in Full</w:t>
            </w:r>
          </w:p>
        </w:tc>
        <w:tc>
          <w:tcPr>
            <w:tcW w:type="dxa" w:w="4752"/>
            <w:shd w:val="clear" w:color="auto" w:fill="F8FAF9"/>
          </w:tcPr>
          <w:p>
            <w:pPr>
              <w:spacing w:before="60" w:after="60"/>
              <w:jc w:val="left"/>
            </w:pPr>
            <w:r>
              <w:rPr>
                <w:rFonts w:ascii="Times New Roman" w:hAnsi="Times New Roman"/>
                <w:color w:val="212529"/>
                <w:sz w:val="19"/>
              </w:rPr>
              <w:t>Operationalizes 15:1 ratio math; identifies national surplus/deficit allocations.</w:t>
            </w:r>
          </w:p>
        </w:tc>
      </w:tr>
      <w:tr>
        <w:tc>
          <w:tcPr>
            <w:tcW w:type="dxa" w:w="2592"/>
            <w:shd w:val="clear" w:color="auto" w:fill="FFFFFF"/>
          </w:tcPr>
          <w:p>
            <w:pPr>
              <w:spacing w:before="60" w:after="60"/>
              <w:jc w:val="left"/>
            </w:pPr>
            <w:r>
              <w:rPr>
                <w:rFonts w:ascii="Times New Roman" w:hAnsi="Times New Roman"/>
                <w:color w:val="212529"/>
                <w:sz w:val="19"/>
              </w:rPr>
              <w:t>Obj 3: Facility Suitability Matcher</w:t>
            </w:r>
          </w:p>
        </w:tc>
        <w:tc>
          <w:tcPr>
            <w:tcW w:type="dxa" w:w="2016"/>
            <w:shd w:val="clear" w:color="auto" w:fill="FFFFFF"/>
          </w:tcPr>
          <w:p>
            <w:pPr>
              <w:spacing w:before="60" w:after="60"/>
              <w:jc w:val="left"/>
            </w:pPr>
            <w:r>
              <w:rPr>
                <w:rFonts w:ascii="Times New Roman" w:hAnsi="Times New Roman"/>
                <w:color w:val="212529"/>
                <w:sz w:val="19"/>
              </w:rPr>
              <w:t>Achieved in Full</w:t>
            </w:r>
          </w:p>
        </w:tc>
        <w:tc>
          <w:tcPr>
            <w:tcW w:type="dxa" w:w="4752"/>
            <w:shd w:val="clear" w:color="auto" w:fill="FFFFFF"/>
          </w:tcPr>
          <w:p>
            <w:pPr>
              <w:spacing w:before="60" w:after="60"/>
              <w:jc w:val="left"/>
            </w:pPr>
            <w:r>
              <w:rPr>
                <w:rFonts w:ascii="Times New Roman" w:hAnsi="Times New Roman"/>
                <w:color w:val="212529"/>
                <w:sz w:val="19"/>
              </w:rPr>
              <w:t>Implements 100-point multi-criteria model across sport, proximity, tier, age, gender.</w:t>
            </w:r>
          </w:p>
        </w:tc>
      </w:tr>
      <w:tr>
        <w:tc>
          <w:tcPr>
            <w:tcW w:type="dxa" w:w="2592"/>
            <w:shd w:val="clear" w:color="auto" w:fill="F8FAF9"/>
          </w:tcPr>
          <w:p>
            <w:pPr>
              <w:spacing w:before="60" w:after="60"/>
              <w:jc w:val="left"/>
            </w:pPr>
            <w:r>
              <w:rPr>
                <w:rFonts w:ascii="Times New Roman" w:hAnsi="Times New Roman"/>
                <w:color w:val="212529"/>
                <w:sz w:val="19"/>
              </w:rPr>
              <w:t>Obj 4: Interactive Presentation Layer</w:t>
            </w:r>
          </w:p>
        </w:tc>
        <w:tc>
          <w:tcPr>
            <w:tcW w:type="dxa" w:w="2016"/>
            <w:shd w:val="clear" w:color="auto" w:fill="F8FAF9"/>
          </w:tcPr>
          <w:p>
            <w:pPr>
              <w:spacing w:before="60" w:after="60"/>
              <w:jc w:val="left"/>
            </w:pPr>
            <w:r>
              <w:rPr>
                <w:rFonts w:ascii="Times New Roman" w:hAnsi="Times New Roman"/>
                <w:color w:val="212529"/>
                <w:sz w:val="19"/>
              </w:rPr>
              <w:t>Achieved in Full</w:t>
            </w:r>
          </w:p>
        </w:tc>
        <w:tc>
          <w:tcPr>
            <w:tcW w:type="dxa" w:w="4752"/>
            <w:shd w:val="clear" w:color="auto" w:fill="F8FAF9"/>
          </w:tcPr>
          <w:p>
            <w:pPr>
              <w:spacing w:before="60" w:after="60"/>
              <w:jc w:val="left"/>
            </w:pPr>
            <w:r>
              <w:rPr>
                <w:rFonts w:ascii="Times New Roman" w:hAnsi="Times New Roman"/>
                <w:color w:val="212529"/>
                <w:sz w:val="19"/>
              </w:rPr>
              <w:t>Delivers 7 cohesive tabs with Fraunces/Inter CSS styling and Plotly graphs.</w:t>
            </w:r>
          </w:p>
        </w:tc>
      </w:tr>
      <w:tr>
        <w:tc>
          <w:tcPr>
            <w:tcW w:type="dxa" w:w="2592"/>
            <w:shd w:val="clear" w:color="auto" w:fill="FFFFFF"/>
          </w:tcPr>
          <w:p>
            <w:pPr>
              <w:spacing w:before="60" w:after="60"/>
              <w:jc w:val="left"/>
            </w:pPr>
            <w:r>
              <w:rPr>
                <w:rFonts w:ascii="Times New Roman" w:hAnsi="Times New Roman"/>
                <w:color w:val="212529"/>
                <w:sz w:val="19"/>
              </w:rPr>
              <w:t>Obj 5: Real-Time Tournament Discovery</w:t>
            </w:r>
          </w:p>
        </w:tc>
        <w:tc>
          <w:tcPr>
            <w:tcW w:type="dxa" w:w="2016"/>
            <w:shd w:val="clear" w:color="auto" w:fill="FFFFFF"/>
          </w:tcPr>
          <w:p>
            <w:pPr>
              <w:spacing w:before="60" w:after="60"/>
              <w:jc w:val="left"/>
            </w:pPr>
            <w:r>
              <w:rPr>
                <w:rFonts w:ascii="Times New Roman" w:hAnsi="Times New Roman"/>
                <w:color w:val="212529"/>
                <w:sz w:val="19"/>
              </w:rPr>
              <w:t>Achieved in Full</w:t>
            </w:r>
          </w:p>
        </w:tc>
        <w:tc>
          <w:tcPr>
            <w:tcW w:type="dxa" w:w="4752"/>
            <w:shd w:val="clear" w:color="auto" w:fill="FFFFFF"/>
          </w:tcPr>
          <w:p>
            <w:pPr>
              <w:spacing w:before="60" w:after="60"/>
              <w:jc w:val="left"/>
            </w:pPr>
            <w:r>
              <w:rPr>
                <w:rFonts w:ascii="Times New Roman" w:hAnsi="Times New Roman"/>
                <w:color w:val="212529"/>
                <w:sz w:val="19"/>
              </w:rPr>
              <w:t>Integrates Gemini 2.5 Flash Google Search grounding with graceful fallback caching.</w:t>
            </w:r>
          </w:p>
        </w:tc>
      </w:tr>
      <w:tr>
        <w:tc>
          <w:tcPr>
            <w:tcW w:type="dxa" w:w="2592"/>
            <w:shd w:val="clear" w:color="auto" w:fill="F8FAF9"/>
          </w:tcPr>
          <w:p>
            <w:pPr>
              <w:spacing w:before="60" w:after="60"/>
              <w:jc w:val="left"/>
            </w:pPr>
            <w:r>
              <w:rPr>
                <w:rFonts w:ascii="Times New Roman" w:hAnsi="Times New Roman"/>
                <w:color w:val="212529"/>
                <w:sz w:val="19"/>
              </w:rPr>
              <w:t>Obj 6: Talent Discovery &amp; Women's Pipeline</w:t>
            </w:r>
          </w:p>
        </w:tc>
        <w:tc>
          <w:tcPr>
            <w:tcW w:type="dxa" w:w="2016"/>
            <w:shd w:val="clear" w:color="auto" w:fill="F8FAF9"/>
          </w:tcPr>
          <w:p>
            <w:pPr>
              <w:spacing w:before="60" w:after="60"/>
              <w:jc w:val="left"/>
            </w:pPr>
            <w:r>
              <w:rPr>
                <w:rFonts w:ascii="Times New Roman" w:hAnsi="Times New Roman"/>
                <w:color w:val="212529"/>
                <w:sz w:val="19"/>
              </w:rPr>
              <w:t>Achieved in Full</w:t>
            </w:r>
          </w:p>
        </w:tc>
        <w:tc>
          <w:tcPr>
            <w:tcW w:type="dxa" w:w="4752"/>
            <w:shd w:val="clear" w:color="auto" w:fill="F8FAF9"/>
          </w:tcPr>
          <w:p>
            <w:pPr>
              <w:spacing w:before="60" w:after="60"/>
              <w:jc w:val="left"/>
            </w:pPr>
            <w:r>
              <w:rPr>
                <w:rFonts w:ascii="Times New Roman" w:hAnsi="Times New Roman"/>
                <w:color w:val="212529"/>
                <w:sz w:val="19"/>
              </w:rPr>
              <w:t>Delivers split master-detail view; indexes 5,000 women athletes with Opportunity Scores.</w:t>
            </w:r>
          </w:p>
        </w:tc>
      </w:tr>
      <w:tr>
        <w:tc>
          <w:tcPr>
            <w:tcW w:type="dxa" w:w="2592"/>
            <w:shd w:val="clear" w:color="auto" w:fill="FFFFFF"/>
          </w:tcPr>
          <w:p>
            <w:pPr>
              <w:spacing w:before="60" w:after="60"/>
              <w:jc w:val="left"/>
            </w:pPr>
            <w:r>
              <w:rPr>
                <w:rFonts w:ascii="Times New Roman" w:hAnsi="Times New Roman"/>
                <w:color w:val="212529"/>
                <w:sz w:val="19"/>
              </w:rPr>
              <w:t>Obj 7: Verification &amp; Documentation</w:t>
            </w:r>
          </w:p>
        </w:tc>
        <w:tc>
          <w:tcPr>
            <w:tcW w:type="dxa" w:w="2016"/>
            <w:shd w:val="clear" w:color="auto" w:fill="FFFFFF"/>
          </w:tcPr>
          <w:p>
            <w:pPr>
              <w:spacing w:before="60" w:after="60"/>
              <w:jc w:val="left"/>
            </w:pPr>
            <w:r>
              <w:rPr>
                <w:rFonts w:ascii="Times New Roman" w:hAnsi="Times New Roman"/>
                <w:color w:val="212529"/>
                <w:sz w:val="19"/>
              </w:rPr>
              <w:t>Achieved in Full</w:t>
            </w:r>
          </w:p>
        </w:tc>
        <w:tc>
          <w:tcPr>
            <w:tcW w:type="dxa" w:w="4752"/>
            <w:shd w:val="clear" w:color="auto" w:fill="FFFFFF"/>
          </w:tcPr>
          <w:p>
            <w:pPr>
              <w:spacing w:before="60" w:after="60"/>
              <w:jc w:val="left"/>
            </w:pPr>
            <w:r>
              <w:rPr>
                <w:rFonts w:ascii="Times New Roman" w:hAnsi="Times New Roman"/>
                <w:color w:val="212529"/>
                <w:sz w:val="19"/>
              </w:rPr>
              <w:t>18/18 manual test cases passed; comprehensive architecture documentation produced.</w:t>
            </w:r>
          </w:p>
        </w:tc>
      </w:tr>
    </w:tbl>
    <w:p>
      <w:pPr>
        <w:spacing w:after="120"/>
      </w:pPr>
    </w:p>
    <w:p>
      <w:pPr>
        <w:spacing w:line="276" w:lineRule="auto" w:before="280" w:after="120"/>
      </w:pPr>
      <w:r>
        <w:rPr>
          <w:rFonts w:ascii="Times New Roman" w:hAnsi="Times New Roman"/>
          <w:b/>
          <w:color w:val="1E293B"/>
          <w:sz w:val="26"/>
        </w:rPr>
        <w:t>5.4 Quantitative Summary</w:t>
      </w:r>
    </w:p>
    <w:p>
      <w:pPr>
        <w:spacing w:line="300" w:lineRule="auto" w:after="120"/>
        <w:jc w:val="both"/>
      </w:pPr>
      <w:r>
        <w:rPr>
          <w:rFonts w:ascii="Times New Roman" w:hAnsi="Times New Roman"/>
          <w:i w:val="0"/>
          <w:color w:val="212529"/>
          <w:sz w:val="22"/>
        </w:rPr>
        <w:t>Table 5.3 presents the quantitative engineering metrics achieved in the AthletIQ platform:</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600"/>
            <w:shd w:val="clear" w:color="auto" w:fill="113E21"/>
          </w:tcPr>
          <w:p>
            <w:pPr>
              <w:spacing w:before="80" w:after="80"/>
              <w:jc w:val="left"/>
            </w:pPr>
            <w:r>
              <w:rPr>
                <w:rFonts w:ascii="Times New Roman" w:hAnsi="Times New Roman"/>
                <w:b/>
                <w:color w:val="FFFFFF"/>
                <w:sz w:val="20"/>
              </w:rPr>
              <w:t>Quantitative Metric Category</w:t>
            </w:r>
          </w:p>
        </w:tc>
        <w:tc>
          <w:tcPr>
            <w:tcW w:type="dxa" w:w="5760"/>
            <w:shd w:val="clear" w:color="auto" w:fill="113E21"/>
          </w:tcPr>
          <w:p>
            <w:pPr>
              <w:spacing w:before="80" w:after="80"/>
              <w:jc w:val="left"/>
            </w:pPr>
            <w:r>
              <w:rPr>
                <w:rFonts w:ascii="Times New Roman" w:hAnsi="Times New Roman"/>
                <w:b/>
                <w:color w:val="FFFFFF"/>
                <w:sz w:val="20"/>
              </w:rPr>
              <w:t>Measured Engineering Value</w:t>
            </w:r>
          </w:p>
        </w:tc>
      </w:tr>
      <w:tr>
        <w:tc>
          <w:tcPr>
            <w:tcW w:type="dxa" w:w="3600"/>
            <w:shd w:val="clear" w:color="auto" w:fill="FFFFFF"/>
          </w:tcPr>
          <w:p>
            <w:pPr>
              <w:spacing w:before="60" w:after="60"/>
              <w:jc w:val="left"/>
            </w:pPr>
            <w:r>
              <w:rPr>
                <w:rFonts w:ascii="Times New Roman" w:hAnsi="Times New Roman"/>
                <w:color w:val="212529"/>
                <w:sz w:val="19"/>
              </w:rPr>
              <w:t>Total Python Codebase Size</w:t>
            </w:r>
          </w:p>
        </w:tc>
        <w:tc>
          <w:tcPr>
            <w:tcW w:type="dxa" w:w="5760"/>
            <w:shd w:val="clear" w:color="auto" w:fill="FFFFFF"/>
          </w:tcPr>
          <w:p>
            <w:pPr>
              <w:spacing w:before="60" w:after="60"/>
              <w:jc w:val="left"/>
            </w:pPr>
            <w:r>
              <w:rPr>
                <w:rFonts w:ascii="Times New Roman" w:hAnsi="Times New Roman"/>
                <w:color w:val="212529"/>
                <w:sz w:val="19"/>
              </w:rPr>
              <w:t>3,400+ lines of Python across app/dashboard.py and modular utilities</w:t>
            </w:r>
          </w:p>
        </w:tc>
      </w:tr>
      <w:tr>
        <w:tc>
          <w:tcPr>
            <w:tcW w:type="dxa" w:w="3600"/>
            <w:shd w:val="clear" w:color="auto" w:fill="F8FAF9"/>
          </w:tcPr>
          <w:p>
            <w:pPr>
              <w:spacing w:before="60" w:after="60"/>
              <w:jc w:val="left"/>
            </w:pPr>
            <w:r>
              <w:rPr>
                <w:rFonts w:ascii="Times New Roman" w:hAnsi="Times New Roman"/>
                <w:color w:val="212529"/>
                <w:sz w:val="19"/>
              </w:rPr>
              <w:t>Master Athletes &amp; Coaches Indexed</w:t>
            </w:r>
          </w:p>
        </w:tc>
        <w:tc>
          <w:tcPr>
            <w:tcW w:type="dxa" w:w="5760"/>
            <w:shd w:val="clear" w:color="auto" w:fill="F8FAF9"/>
          </w:tcPr>
          <w:p>
            <w:pPr>
              <w:spacing w:before="60" w:after="60"/>
              <w:jc w:val="left"/>
            </w:pPr>
            <w:r>
              <w:rPr>
                <w:rFonts w:ascii="Times New Roman" w:hAnsi="Times New Roman"/>
                <w:color w:val="212529"/>
                <w:sz w:val="19"/>
              </w:rPr>
              <w:t>7,634 verified entities in master analytical database</w:t>
            </w:r>
          </w:p>
        </w:tc>
      </w:tr>
      <w:tr>
        <w:tc>
          <w:tcPr>
            <w:tcW w:type="dxa" w:w="3600"/>
            <w:shd w:val="clear" w:color="auto" w:fill="FFFFFF"/>
          </w:tcPr>
          <w:p>
            <w:pPr>
              <w:spacing w:before="60" w:after="60"/>
              <w:jc w:val="left"/>
            </w:pPr>
            <w:r>
              <w:rPr>
                <w:rFonts w:ascii="Times New Roman" w:hAnsi="Times New Roman"/>
                <w:color w:val="212529"/>
                <w:sz w:val="19"/>
              </w:rPr>
              <w:t>Dedicated Women Athletes Registry</w:t>
            </w:r>
          </w:p>
        </w:tc>
        <w:tc>
          <w:tcPr>
            <w:tcW w:type="dxa" w:w="5760"/>
            <w:shd w:val="clear" w:color="auto" w:fill="FFFFFF"/>
          </w:tcPr>
          <w:p>
            <w:pPr>
              <w:spacing w:before="60" w:after="60"/>
              <w:jc w:val="left"/>
            </w:pPr>
            <w:r>
              <w:rPr>
                <w:rFonts w:ascii="Times New Roman" w:hAnsi="Times New Roman"/>
                <w:color w:val="212529"/>
                <w:sz w:val="19"/>
              </w:rPr>
              <w:t>5,000 emerging female athletic prospect profiles</w:t>
            </w:r>
          </w:p>
        </w:tc>
      </w:tr>
      <w:tr>
        <w:tc>
          <w:tcPr>
            <w:tcW w:type="dxa" w:w="3600"/>
            <w:shd w:val="clear" w:color="auto" w:fill="F8FAF9"/>
          </w:tcPr>
          <w:p>
            <w:pPr>
              <w:spacing w:before="60" w:after="60"/>
              <w:jc w:val="left"/>
            </w:pPr>
            <w:r>
              <w:rPr>
                <w:rFonts w:ascii="Times New Roman" w:hAnsi="Times New Roman"/>
                <w:color w:val="212529"/>
                <w:sz w:val="19"/>
              </w:rPr>
              <w:t>Accredited SAI Facilities Mapped</w:t>
            </w:r>
          </w:p>
        </w:tc>
        <w:tc>
          <w:tcPr>
            <w:tcW w:type="dxa" w:w="5760"/>
            <w:shd w:val="clear" w:color="auto" w:fill="F8FAF9"/>
          </w:tcPr>
          <w:p>
            <w:pPr>
              <w:spacing w:before="60" w:after="60"/>
              <w:jc w:val="left"/>
            </w:pPr>
            <w:r>
              <w:rPr>
                <w:rFonts w:ascii="Times New Roman" w:hAnsi="Times New Roman"/>
                <w:color w:val="212529"/>
                <w:sz w:val="19"/>
              </w:rPr>
              <w:t>28 National Centres of Excellence (NCOEs) and Training Centres (STCs)</w:t>
            </w:r>
          </w:p>
        </w:tc>
      </w:tr>
      <w:tr>
        <w:tc>
          <w:tcPr>
            <w:tcW w:type="dxa" w:w="3600"/>
            <w:shd w:val="clear" w:color="auto" w:fill="FFFFFF"/>
          </w:tcPr>
          <w:p>
            <w:pPr>
              <w:spacing w:before="60" w:after="60"/>
              <w:jc w:val="left"/>
            </w:pPr>
            <w:r>
              <w:rPr>
                <w:rFonts w:ascii="Times New Roman" w:hAnsi="Times New Roman"/>
                <w:color w:val="212529"/>
                <w:sz w:val="19"/>
              </w:rPr>
              <w:t>Olympic &amp; Grassroots Sports Supported</w:t>
            </w:r>
          </w:p>
        </w:tc>
        <w:tc>
          <w:tcPr>
            <w:tcW w:type="dxa" w:w="5760"/>
            <w:shd w:val="clear" w:color="auto" w:fill="FFFFFF"/>
          </w:tcPr>
          <w:p>
            <w:pPr>
              <w:spacing w:before="60" w:after="60"/>
              <w:jc w:val="left"/>
            </w:pPr>
            <w:r>
              <w:rPr>
                <w:rFonts w:ascii="Times New Roman" w:hAnsi="Times New Roman"/>
                <w:color w:val="212529"/>
                <w:sz w:val="19"/>
              </w:rPr>
              <w:t>42 recognized disciplines</w:t>
            </w:r>
          </w:p>
        </w:tc>
      </w:tr>
      <w:tr>
        <w:tc>
          <w:tcPr>
            <w:tcW w:type="dxa" w:w="3600"/>
            <w:shd w:val="clear" w:color="auto" w:fill="F8FAF9"/>
          </w:tcPr>
          <w:p>
            <w:pPr>
              <w:spacing w:before="60" w:after="60"/>
              <w:jc w:val="left"/>
            </w:pPr>
            <w:r>
              <w:rPr>
                <w:rFonts w:ascii="Times New Roman" w:hAnsi="Times New Roman"/>
                <w:color w:val="212529"/>
                <w:sz w:val="19"/>
              </w:rPr>
              <w:t>Indian States &amp; Union Territories Mapped</w:t>
            </w:r>
          </w:p>
        </w:tc>
        <w:tc>
          <w:tcPr>
            <w:tcW w:type="dxa" w:w="5760"/>
            <w:shd w:val="clear" w:color="auto" w:fill="F8FAF9"/>
          </w:tcPr>
          <w:p>
            <w:pPr>
              <w:spacing w:before="60" w:after="60"/>
              <w:jc w:val="left"/>
            </w:pPr>
            <w:r>
              <w:rPr>
                <w:rFonts w:ascii="Times New Roman" w:hAnsi="Times New Roman"/>
                <w:color w:val="212529"/>
                <w:sz w:val="19"/>
              </w:rPr>
              <w:t>36 states and union territories with localized nursery cards</w:t>
            </w:r>
          </w:p>
        </w:tc>
      </w:tr>
      <w:tr>
        <w:tc>
          <w:tcPr>
            <w:tcW w:type="dxa" w:w="3600"/>
            <w:shd w:val="clear" w:color="auto" w:fill="FFFFFF"/>
          </w:tcPr>
          <w:p>
            <w:pPr>
              <w:spacing w:before="60" w:after="60"/>
              <w:jc w:val="left"/>
            </w:pPr>
            <w:r>
              <w:rPr>
                <w:rFonts w:ascii="Times New Roman" w:hAnsi="Times New Roman"/>
                <w:color w:val="212529"/>
                <w:sz w:val="19"/>
              </w:rPr>
              <w:t>Dashboard Navigation Tabs</w:t>
            </w:r>
          </w:p>
        </w:tc>
        <w:tc>
          <w:tcPr>
            <w:tcW w:type="dxa" w:w="5760"/>
            <w:shd w:val="clear" w:color="auto" w:fill="FFFFFF"/>
          </w:tcPr>
          <w:p>
            <w:pPr>
              <w:spacing w:before="60" w:after="60"/>
              <w:jc w:val="left"/>
            </w:pPr>
            <w:r>
              <w:rPr>
                <w:rFonts w:ascii="Times New Roman" w:hAnsi="Times New Roman"/>
                <w:color w:val="212529"/>
                <w:sz w:val="19"/>
              </w:rPr>
              <w:t>7 integrated analytical views (Overview, Discovery, Centres, Sponsors, Profiles, Womens, AI)</w:t>
            </w:r>
          </w:p>
        </w:tc>
      </w:tr>
      <w:tr>
        <w:tc>
          <w:tcPr>
            <w:tcW w:type="dxa" w:w="3600"/>
            <w:shd w:val="clear" w:color="auto" w:fill="F8FAF9"/>
          </w:tcPr>
          <w:p>
            <w:pPr>
              <w:spacing w:before="60" w:after="60"/>
              <w:jc w:val="left"/>
            </w:pPr>
            <w:r>
              <w:rPr>
                <w:rFonts w:ascii="Times New Roman" w:hAnsi="Times New Roman"/>
                <w:color w:val="212529"/>
                <w:sz w:val="19"/>
              </w:rPr>
              <w:t>Verified Functional Test Cases</w:t>
            </w:r>
          </w:p>
        </w:tc>
        <w:tc>
          <w:tcPr>
            <w:tcW w:type="dxa" w:w="5760"/>
            <w:shd w:val="clear" w:color="auto" w:fill="F8FAF9"/>
          </w:tcPr>
          <w:p>
            <w:pPr>
              <w:spacing w:before="60" w:after="60"/>
              <w:jc w:val="left"/>
            </w:pPr>
            <w:r>
              <w:rPr>
                <w:rFonts w:ascii="Times New Roman" w:hAnsi="Times New Roman"/>
                <w:color w:val="212529"/>
                <w:sz w:val="19"/>
              </w:rPr>
              <w:t>18 comprehensive test scenarios executed with 100% pass rate</w:t>
            </w:r>
          </w:p>
        </w:tc>
      </w:tr>
    </w:tbl>
    <w:p>
      <w:pPr>
        <w:spacing w:after="120"/>
      </w:pPr>
    </w:p>
    <w:p>
      <w:pPr>
        <w:spacing w:line="276" w:lineRule="auto" w:before="280" w:after="120"/>
      </w:pPr>
      <w:r>
        <w:rPr>
          <w:rFonts w:ascii="Times New Roman" w:hAnsi="Times New Roman"/>
          <w:b/>
          <w:color w:val="1E293B"/>
          <w:sz w:val="26"/>
        </w:rPr>
        <w:t>5.5 Analytical Discussion</w:t>
      </w:r>
    </w:p>
    <w:p>
      <w:pPr>
        <w:spacing w:line="300" w:lineRule="auto" w:after="120"/>
        <w:jc w:val="both"/>
      </w:pPr>
      <w:r>
        <w:rPr>
          <w:rFonts w:ascii="Times New Roman" w:hAnsi="Times New Roman"/>
          <w:b/>
          <w:color w:val="113E21"/>
          <w:sz w:val="22"/>
        </w:rPr>
        <w:t xml:space="preserve">1. Coaching Allocation Impact: </w:t>
      </w:r>
      <w:r>
        <w:rPr>
          <w:rFonts w:ascii="Times New Roman" w:hAnsi="Times New Roman"/>
          <w:i w:val="0"/>
          <w:color w:val="212529"/>
          <w:sz w:val="22"/>
        </w:rPr>
        <w:t>1. Algorithmic Impact on Coach Resource Allocation</w:t>
      </w:r>
    </w:p>
    <w:p>
      <w:pPr>
        <w:spacing w:line="300" w:lineRule="auto" w:after="120"/>
        <w:jc w:val="both"/>
      </w:pPr>
      <w:r>
        <w:rPr>
          <w:rFonts w:ascii="Times New Roman" w:hAnsi="Times New Roman"/>
          <w:i w:val="0"/>
          <w:color w:val="212529"/>
          <w:sz w:val="22"/>
        </w:rPr>
        <w:t>The deployment of the Coach Redistribution Matrix demonstrates significant administrative value. In existing workflows, coaching staff transfers occur through subjective administrative deputations, frequently leaving high-throughput grassroots centres (e.g., SAI Hisar or SAI Kokrajhar) severely under-resourced with ratios exceeding 25:1. By establishing an objective mathematical standard (15:1), AthletIQ transforms coaching redistribution into a transparent, data-driven optimization problem, prioritizing transfers strictly by measured student strain.</w:t>
      </w:r>
    </w:p>
    <w:p>
      <w:pPr>
        <w:spacing w:line="300" w:lineRule="auto" w:after="120"/>
        <w:jc w:val="both"/>
      </w:pPr>
      <w:r>
        <w:rPr>
          <w:rFonts w:ascii="Times New Roman" w:hAnsi="Times New Roman"/>
          <w:b/>
          <w:color w:val="113E21"/>
          <w:sz w:val="22"/>
        </w:rPr>
        <w:t xml:space="preserve">2. Grassroots Retention: </w:t>
      </w:r>
      <w:r>
        <w:rPr>
          <w:rFonts w:ascii="Times New Roman" w:hAnsi="Times New Roman"/>
          <w:i w:val="0"/>
          <w:color w:val="212529"/>
          <w:sz w:val="22"/>
        </w:rPr>
        <w:t>2. Reducing Grassroots Drop-off via Suitability Matching</w:t>
      </w:r>
    </w:p>
    <w:p>
      <w:pPr>
        <w:spacing w:line="300" w:lineRule="auto" w:after="120"/>
        <w:jc w:val="both"/>
      </w:pPr>
      <w:r>
        <w:rPr>
          <w:rFonts w:ascii="Times New Roman" w:hAnsi="Times New Roman"/>
          <w:i w:val="0"/>
          <w:color w:val="212529"/>
          <w:sz w:val="22"/>
        </w:rPr>
        <w:t>Grassroots athletes in remote districts frequently drop out due to lack of visibility regarding accredited academies. The 100-point Suitability Matcher bridges this gap by prioritizing local state facilities while maintaining zonal fallbacks for specialized disciplines (such as Fencing, Cycling, or Rowing), ensuring athletes are routed to centers matching their exact chronological and competitive caliber.</w:t>
      </w:r>
    </w:p>
    <w:p>
      <w:pPr>
        <w:spacing w:line="300" w:lineRule="auto" w:after="120"/>
        <w:jc w:val="both"/>
      </w:pPr>
      <w:r>
        <w:rPr>
          <w:rFonts w:ascii="Times New Roman" w:hAnsi="Times New Roman"/>
          <w:b/>
          <w:color w:val="113E21"/>
          <w:sz w:val="22"/>
        </w:rPr>
        <w:t xml:space="preserve">3. UI Performance &amp; Responsiveness: </w:t>
      </w:r>
      <w:r>
        <w:rPr>
          <w:rFonts w:ascii="Times New Roman" w:hAnsi="Times New Roman"/>
          <w:i w:val="0"/>
          <w:color w:val="212529"/>
          <w:sz w:val="22"/>
        </w:rPr>
        <w:t>3. High-Throughput User Interface Performance</w:t>
      </w:r>
    </w:p>
    <w:p>
      <w:pPr>
        <w:spacing w:line="300" w:lineRule="auto" w:after="120"/>
        <w:jc w:val="both"/>
      </w:pPr>
      <w:r>
        <w:rPr>
          <w:rFonts w:ascii="Times New Roman" w:hAnsi="Times New Roman"/>
          <w:i w:val="0"/>
          <w:color w:val="212529"/>
          <w:sz w:val="22"/>
        </w:rPr>
        <w:t>Handling 12,000+ total records in a web UI often introduces browser memory bloat. By implementing in-memory Pandas caching and the index=None empty-focus search paradigm, AthletIQ guarantees that DOM nodes are created only for the top 24 matching candidates, maintaining 60 FPS scrolling and instantaneous sub-50ms query responses.</w:t>
      </w:r>
    </w:p>
    <w:p>
      <w:pPr>
        <w:spacing w:line="276" w:lineRule="auto" w:before="280" w:after="120"/>
      </w:pPr>
      <w:r>
        <w:rPr>
          <w:rFonts w:ascii="Times New Roman" w:hAnsi="Times New Roman"/>
          <w:b/>
          <w:color w:val="1E293B"/>
          <w:sz w:val="26"/>
        </w:rPr>
        <w:t>5.6 Challenges and Learnings</w:t>
      </w:r>
    </w:p>
    <w:p>
      <w:pPr>
        <w:pStyle w:val="ListBullet"/>
        <w:spacing w:line="288" w:lineRule="auto" w:after="60"/>
        <w:jc w:val="both"/>
      </w:pPr>
      <w:r>
        <w:rPr>
          <w:rFonts w:ascii="Times New Roman" w:hAnsi="Times New Roman"/>
          <w:b/>
          <w:color w:val="113E21"/>
          <w:sz w:val="22"/>
        </w:rPr>
        <w:t xml:space="preserve">Multi-line F-String Constraints in Python: </w:t>
      </w:r>
      <w:r>
        <w:rPr>
          <w:rFonts w:ascii="Times New Roman" w:hAnsi="Times New Roman"/>
          <w:color w:val="212529"/>
          <w:sz w:val="22"/>
        </w:rPr>
        <w:t>In Python versions prior to 3.12, multi-line f-strings containing expressions with line breaks inside curly braces trigger unexpected SyntaxErrors. Resolving this required strict linting and refactoring string expressions into discrete variables prior to rendering.</w:t>
      </w:r>
    </w:p>
    <w:p>
      <w:pPr>
        <w:pStyle w:val="ListBullet"/>
        <w:spacing w:line="288" w:lineRule="auto" w:after="60"/>
        <w:jc w:val="both"/>
      </w:pPr>
      <w:r>
        <w:rPr>
          <w:rFonts w:ascii="Times New Roman" w:hAnsi="Times New Roman"/>
          <w:b/>
          <w:color w:val="113E21"/>
          <w:sz w:val="22"/>
        </w:rPr>
        <w:t xml:space="preserve">Dynamic State Synchronization with index=None: </w:t>
      </w:r>
      <w:r>
        <w:rPr>
          <w:rFonts w:ascii="Times New Roman" w:hAnsi="Times New Roman"/>
          <w:color w:val="212529"/>
          <w:sz w:val="22"/>
        </w:rPr>
        <w:t>Streamlit's selectbox component historically required an integer index. Integrating index=None to create blank search fields required restructuring filter evaluation blocks from 'if choice != Default' to 'if choice is not None', preventing unintended empty dataframe rendering.</w:t>
      </w:r>
    </w:p>
    <w:p>
      <w:pPr>
        <w:pStyle w:val="ListBullet"/>
        <w:spacing w:line="288" w:lineRule="auto" w:after="60"/>
        <w:jc w:val="both"/>
      </w:pPr>
      <w:r>
        <w:rPr>
          <w:rFonts w:ascii="Times New Roman" w:hAnsi="Times New Roman"/>
          <w:b/>
          <w:color w:val="113E21"/>
          <w:sz w:val="22"/>
        </w:rPr>
        <w:t xml:space="preserve">Cross-Tab Navigation State Machines: </w:t>
      </w:r>
      <w:r>
        <w:rPr>
          <w:rFonts w:ascii="Times New Roman" w:hAnsi="Times New Roman"/>
          <w:color w:val="212529"/>
          <w:sz w:val="22"/>
        </w:rPr>
        <w:t>Programmatic redirection from Pathway Overview state cards to the Profile Directory required decoupled session state variables (nav_to_profile, profile_state) combined with explicit st.rerun() triggers to ensure the active radio pill synchronized with the underlying filtered roster.</w:t>
      </w:r>
    </w:p>
    <w:p>
      <w:pPr>
        <w:spacing w:line="276" w:lineRule="auto" w:before="280" w:after="120"/>
      </w:pPr>
      <w:r>
        <w:rPr>
          <w:rFonts w:ascii="Times New Roman" w:hAnsi="Times New Roman"/>
          <w:b/>
          <w:color w:val="1E293B"/>
          <w:sz w:val="26"/>
        </w:rPr>
        <w:t>5.7 Known Limitations</w:t>
      </w:r>
    </w:p>
    <w:p>
      <w:pPr>
        <w:pStyle w:val="ListBullet"/>
        <w:spacing w:line="288" w:lineRule="auto" w:after="60"/>
        <w:jc w:val="both"/>
      </w:pPr>
      <w:r>
        <w:rPr>
          <w:rFonts w:ascii="Times New Roman" w:hAnsi="Times New Roman"/>
          <w:b/>
          <w:color w:val="113E21"/>
          <w:sz w:val="22"/>
        </w:rPr>
        <w:t xml:space="preserve">Flat-File In-Memory Persistence: </w:t>
      </w:r>
      <w:r>
        <w:rPr>
          <w:rFonts w:ascii="Times New Roman" w:hAnsi="Times New Roman"/>
          <w:color w:val="212529"/>
          <w:sz w:val="22"/>
        </w:rPr>
        <w:t>The current implementation relies on in-memory Pandas DataFrames backed by local CSV and JSON files. While fast, updates are not permanently persisted across multi-user web sessions without a dedicated relational database.</w:t>
      </w:r>
    </w:p>
    <w:p>
      <w:pPr>
        <w:pStyle w:val="ListBullet"/>
        <w:spacing w:line="288" w:lineRule="auto" w:after="60"/>
        <w:jc w:val="both"/>
      </w:pPr>
      <w:r>
        <w:rPr>
          <w:rFonts w:ascii="Times New Roman" w:hAnsi="Times New Roman"/>
          <w:b/>
          <w:color w:val="113E21"/>
          <w:sz w:val="22"/>
        </w:rPr>
        <w:t xml:space="preserve">Categorical vs Geocoded Proximity: </w:t>
      </w:r>
      <w:r>
        <w:rPr>
          <w:rFonts w:ascii="Times New Roman" w:hAnsi="Times New Roman"/>
          <w:color w:val="212529"/>
          <w:sz w:val="22"/>
        </w:rPr>
        <w:t>Geographic distance calculations currently utilize categorical classifications (Home State = 25 pts, Regional Zonal State = 15 pts) rather than exact kilometric Haversine calculations based on latitude and longitude.</w:t>
      </w:r>
    </w:p>
    <w:p>
      <w:pPr>
        <w:pStyle w:val="ListBullet"/>
        <w:spacing w:line="288" w:lineRule="auto" w:after="60"/>
        <w:jc w:val="both"/>
      </w:pPr>
      <w:r>
        <w:rPr>
          <w:rFonts w:ascii="Times New Roman" w:hAnsi="Times New Roman"/>
          <w:b/>
          <w:color w:val="113E21"/>
          <w:sz w:val="22"/>
        </w:rPr>
        <w:t xml:space="preserve">Automated Document Export: </w:t>
      </w:r>
      <w:r>
        <w:rPr>
          <w:rFonts w:ascii="Times New Roman" w:hAnsi="Times New Roman"/>
          <w:color w:val="212529"/>
          <w:sz w:val="22"/>
        </w:rPr>
        <w:t>While dossiers can be copied or printed from the browser, the platform lacks an integrated 1-click PDF compilation engine to export formatted corporate grant decks directly.</w:t>
      </w:r>
    </w:p>
    <w:p>
      <w:r>
        <w:br w:type="page"/>
      </w:r>
    </w:p>
    <w:p>
      <w:pPr>
        <w:spacing w:line="276" w:lineRule="auto" w:before="360" w:after="160"/>
      </w:pPr>
      <w:r>
        <w:rPr>
          <w:rFonts w:ascii="Times New Roman" w:hAnsi="Times New Roman"/>
          <w:b/>
          <w:color w:val="113E21"/>
          <w:sz w:val="32"/>
        </w:rPr>
        <w:t>CHAPTER 6: CONCLUSIONS &amp; FUTURE SCOPE</w:t>
      </w:r>
    </w:p>
    <w:p>
      <w:pPr>
        <w:spacing w:line="276" w:lineRule="auto" w:before="280" w:after="120"/>
      </w:pPr>
      <w:r>
        <w:rPr>
          <w:rFonts w:ascii="Times New Roman" w:hAnsi="Times New Roman"/>
          <w:b/>
          <w:color w:val="1E293B"/>
          <w:sz w:val="26"/>
        </w:rPr>
        <w:t>6.1 Conclusions</w:t>
      </w:r>
    </w:p>
    <w:p>
      <w:pPr>
        <w:spacing w:line="300" w:lineRule="auto" w:after="120"/>
        <w:jc w:val="both"/>
      </w:pPr>
      <w:r>
        <w:rPr>
          <w:rFonts w:ascii="Times New Roman" w:hAnsi="Times New Roman"/>
          <w:i w:val="0"/>
          <w:color w:val="212529"/>
          <w:sz w:val="22"/>
        </w:rPr>
        <w:t>The industrial training tenure successfully achieved its overarching mandate: designing, architecting, implementing, and validating AthletIQ as an enterprise-grade sports analytics, coach capacity optimization, and talent discovery platform. The project proved that systemic information asymmetry and human-resource imbalances in grassroots sports governance can be effectively resolved through modern data engineering and multi-criteria algorithmic modeling. The following detailed conclusions are drawn from the execution of this work:</w:t>
      </w:r>
    </w:p>
    <w:p>
      <w:pPr>
        <w:spacing w:line="276" w:lineRule="auto" w:before="200" w:after="80"/>
      </w:pPr>
      <w:r>
        <w:rPr>
          <w:rFonts w:ascii="Times New Roman" w:hAnsi="Times New Roman"/>
          <w:b/>
          <w:color w:val="475569"/>
          <w:sz w:val="23"/>
        </w:rPr>
        <w:t>1. Algorithmic Modeling and Objective Resource Allocation</w:t>
      </w:r>
    </w:p>
    <w:p>
      <w:pPr>
        <w:pStyle w:val="ListBullet"/>
        <w:spacing w:line="288" w:lineRule="auto" w:after="60"/>
        <w:jc w:val="both"/>
      </w:pPr>
      <w:r>
        <w:rPr>
          <w:rFonts w:ascii="Times New Roman" w:hAnsi="Times New Roman"/>
          <w:b/>
          <w:color w:val="113E21"/>
          <w:sz w:val="22"/>
        </w:rPr>
        <w:t xml:space="preserve">• Outcomes: </w:t>
      </w:r>
      <w:r>
        <w:rPr>
          <w:rFonts w:ascii="Times New Roman" w:hAnsi="Times New Roman"/>
          <w:color w:val="212529"/>
          <w:sz w:val="22"/>
        </w:rPr>
        <w:t>Formulated and verified a sport-weighted capacity allocation model that derives discipline-specific intake from total facility capacity and dynamically calculates athlete-to-coach ratios against the official Sports Authority of India 15:1 standard. Successfully implemented automated surplus detection (&lt;15:1) and national deficit ranking (&gt;15:1), generating actionable bilateral coaching transfer directives across 28 accredited training centres.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Eliminates administrative subjectivity, political bias, and ad-hoc deputations in coaching staff management. Provides national and state sports directorates with a transparent, mathematically grounded decision-support mechanism that mitigates athlete burnout, prevents training-related injuries at strained grassroots hubs, and optimizes taxpayer-funded athletic infrastructure.</w:t>
      </w:r>
    </w:p>
    <w:p>
      <w:pPr>
        <w:spacing w:line="276" w:lineRule="auto" w:before="200" w:after="80"/>
      </w:pPr>
      <w:r>
        <w:rPr>
          <w:rFonts w:ascii="Times New Roman" w:hAnsi="Times New Roman"/>
          <w:b/>
          <w:color w:val="475569"/>
          <w:sz w:val="23"/>
        </w:rPr>
        <w:t>2. Multi-Criteria Decision Analysis for Grassroots Talent Retention</w:t>
      </w:r>
    </w:p>
    <w:p>
      <w:pPr>
        <w:pStyle w:val="ListBullet"/>
        <w:spacing w:line="288" w:lineRule="auto" w:after="60"/>
        <w:jc w:val="both"/>
      </w:pPr>
      <w:r>
        <w:rPr>
          <w:rFonts w:ascii="Times New Roman" w:hAnsi="Times New Roman"/>
          <w:b/>
          <w:color w:val="113E21"/>
          <w:sz w:val="22"/>
        </w:rPr>
        <w:t xml:space="preserve">• Outcomes: </w:t>
      </w:r>
      <w:r>
        <w:rPr>
          <w:rFonts w:ascii="Times New Roman" w:hAnsi="Times New Roman"/>
          <w:color w:val="212529"/>
          <w:sz w:val="22"/>
        </w:rPr>
        <w:t>Developed, validated, and stress-tested a 100-point multi-criteria suitability recommendation engine evaluating athlete profiles across five weighted dimensions: discipline availability (40 pts), geographic/state proximity (25 pts), performance tier alignment (20 pts), chronological age eligibility (10 pts), and gender boarding infrastructure (5 pts).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Directly confronts the critical 'grassroots-to-elite drop-off' phenomenon where rural and semi-urban athletes abandon competitive sports due to lack of visibility into accredited academies. Intelligently prioritizes home-state institutions while providing transparent zonal fallbacks for specialized infrastructure (e.g., Fencing, Cycling velodromes, or Rowing channels), ensuring athletes are routed to environments matching their developmental caliber.</w:t>
      </w:r>
    </w:p>
    <w:p>
      <w:pPr>
        <w:spacing w:line="276" w:lineRule="auto" w:before="200" w:after="80"/>
      </w:pPr>
      <w:r>
        <w:rPr>
          <w:rFonts w:ascii="Times New Roman" w:hAnsi="Times New Roman"/>
          <w:b/>
          <w:color w:val="475569"/>
          <w:sz w:val="23"/>
        </w:rPr>
        <w:t>3. High-Performance In-Memory Data Engineering on Low Operational Overhead</w:t>
      </w:r>
    </w:p>
    <w:p>
      <w:pPr>
        <w:pStyle w:val="ListBullet"/>
        <w:spacing w:line="288" w:lineRule="auto" w:after="60"/>
        <w:jc w:val="both"/>
      </w:pPr>
      <w:r>
        <w:rPr>
          <w:rFonts w:ascii="Times New Roman" w:hAnsi="Times New Roman"/>
          <w:b/>
          <w:color w:val="113E21"/>
          <w:sz w:val="22"/>
        </w:rPr>
        <w:t xml:space="preserve">• Outcomes: </w:t>
      </w:r>
      <w:r>
        <w:rPr>
          <w:rFonts w:ascii="Times New Roman" w:hAnsi="Times New Roman"/>
          <w:color w:val="212529"/>
          <w:sz w:val="22"/>
        </w:rPr>
        <w:t>Engineered an in-memory columnar analytical pipeline utilizing Python, Pandas, and Streamlit caching decorators that processes 7,634 master athlete and coach records, 28 accredited SAI campuses, and a dedicated 5,000-record emerging women athletes registry with query response latencies consistently under 50 milliseconds.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Proves that institutional sports intelligence tools do not require multi-tier distributed server clusters or expensive enterprise software licenses to deliver high-performance discovery. A lightweight, reactive in-memory architecture delivers exceptional responsiveness, zero server management overhead, and instantaneous deployment readiness for resource-constrained state sports departments.</w:t>
      </w:r>
    </w:p>
    <w:p>
      <w:pPr>
        <w:spacing w:line="276" w:lineRule="auto" w:before="200" w:after="80"/>
      </w:pPr>
      <w:r>
        <w:rPr>
          <w:rFonts w:ascii="Times New Roman" w:hAnsi="Times New Roman"/>
          <w:b/>
          <w:color w:val="475569"/>
          <w:sz w:val="23"/>
        </w:rPr>
        <w:t>4. Practical Integration of Generative AI with Live Grounded Search</w:t>
      </w:r>
    </w:p>
    <w:p>
      <w:pPr>
        <w:pStyle w:val="ListBullet"/>
        <w:spacing w:line="288" w:lineRule="auto" w:after="60"/>
        <w:jc w:val="both"/>
      </w:pPr>
      <w:r>
        <w:rPr>
          <w:rFonts w:ascii="Times New Roman" w:hAnsi="Times New Roman"/>
          <w:b/>
          <w:color w:val="113E21"/>
          <w:sz w:val="22"/>
        </w:rPr>
        <w:t xml:space="preserve">• Outcomes: </w:t>
      </w:r>
      <w:r>
        <w:rPr>
          <w:rFonts w:ascii="Times New Roman" w:hAnsi="Times New Roman"/>
          <w:color w:val="212529"/>
          <w:sz w:val="22"/>
        </w:rPr>
        <w:t>Successfully interfaced Google Gemini 2.5 Flash with the GoogleSearch() retrieval tool, enforcing strict JSON output schemas to automatically discover, scrape, and structure live grassroots tournaments, junior selection trials, and Khelo India leagues directly from public sports portals, backed by a robust fallback generator.</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Bridges the gap between static databases and dynamic real-world calendars. Overcomes the chronic data obsolescence plaguing legacy sports administration platforms by equipping administrators with real-time tournament signals without requiring continuous manual data-entry staffing.</w:t>
      </w:r>
    </w:p>
    <w:p>
      <w:pPr>
        <w:spacing w:line="276" w:lineRule="auto" w:before="200" w:after="80"/>
      </w:pPr>
      <w:r>
        <w:rPr>
          <w:rFonts w:ascii="Times New Roman" w:hAnsi="Times New Roman"/>
          <w:b/>
          <w:color w:val="475569"/>
          <w:sz w:val="23"/>
        </w:rPr>
        <w:t>5. Human-Centric Institutional UI/UX and State Synchronization</w:t>
      </w:r>
    </w:p>
    <w:p>
      <w:pPr>
        <w:pStyle w:val="ListBullet"/>
        <w:spacing w:line="288" w:lineRule="auto" w:after="60"/>
        <w:jc w:val="both"/>
      </w:pPr>
      <w:r>
        <w:rPr>
          <w:rFonts w:ascii="Times New Roman" w:hAnsi="Times New Roman"/>
          <w:b/>
          <w:color w:val="113E21"/>
          <w:sz w:val="22"/>
        </w:rPr>
        <w:t xml:space="preserve">• Outcomes: </w:t>
      </w:r>
      <w:r>
        <w:rPr>
          <w:rFonts w:ascii="Times New Roman" w:hAnsi="Times New Roman"/>
          <w:color w:val="212529"/>
          <w:sz w:val="22"/>
        </w:rPr>
        <w:t>Implemented a cohesive design system (Fraunces editorial serif, Inter sans, IBM Plex Mono, forest green #113E21 and gold #B38B59), adopted the index=None empty-focus search paradigm to eliminate pre-selected text deletion, and established robust session-state machine handling for cross-tab redirection from state nursery cards to profile registries.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Demonstrates that public sector analytics tools must prioritize cognitive ergonomics. Eliminating default data clutter and pre-populated search boxes dramatically streamlines candidate lookup for talent scouts, academy directors, and corporate CSR grant committees during time-critical scouting workflows.</w:t>
      </w:r>
    </w:p>
    <w:p>
      <w:pPr>
        <w:spacing w:line="276" w:lineRule="auto" w:before="200" w:after="80"/>
      </w:pPr>
      <w:r>
        <w:rPr>
          <w:rFonts w:ascii="Times New Roman" w:hAnsi="Times New Roman"/>
          <w:b/>
          <w:color w:val="475569"/>
          <w:sz w:val="23"/>
        </w:rPr>
        <w:t>6. Agile Engineering Discipline and Rigorous Validation</w:t>
      </w:r>
    </w:p>
    <w:p>
      <w:pPr>
        <w:pStyle w:val="ListBullet"/>
        <w:spacing w:line="288" w:lineRule="auto" w:after="60"/>
        <w:jc w:val="both"/>
      </w:pPr>
      <w:r>
        <w:rPr>
          <w:rFonts w:ascii="Times New Roman" w:hAnsi="Times New Roman"/>
          <w:b/>
          <w:color w:val="113E21"/>
          <w:sz w:val="22"/>
        </w:rPr>
        <w:t xml:space="preserve">• Outcomes: </w:t>
      </w:r>
      <w:r>
        <w:rPr>
          <w:rFonts w:ascii="Times New Roman" w:hAnsi="Times New Roman"/>
          <w:color w:val="212529"/>
          <w:sz w:val="22"/>
        </w:rPr>
        <w:t>Delivered the complete platform across seven iterative sprints, maintaining a prioritized product backlog, and validating 18 comprehensive functional test cases covering valid executions, edge cases, fallback routines, and error scenarios with 100% pass rates.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Instilled professional software engineering habits: code reviews, iterative stakeholder feedback loops, honest recording of technical limitations, and structured architectural documentation essential for long-term software maintainability and enterprise handover.</w:t>
      </w:r>
    </w:p>
    <w:p>
      <w:pPr>
        <w:spacing w:line="276" w:lineRule="auto" w:before="280" w:after="120"/>
      </w:pPr>
      <w:r>
        <w:rPr>
          <w:rFonts w:ascii="Times New Roman" w:hAnsi="Times New Roman"/>
          <w:b/>
          <w:color w:val="1E293B"/>
          <w:sz w:val="26"/>
        </w:rPr>
        <w:t>6.2 Future Scope of Work</w:t>
      </w:r>
    </w:p>
    <w:p>
      <w:pPr>
        <w:spacing w:line="300" w:lineRule="auto" w:after="120"/>
        <w:jc w:val="both"/>
      </w:pPr>
      <w:r>
        <w:rPr>
          <w:rFonts w:ascii="Times New Roman" w:hAnsi="Times New Roman"/>
          <w:i w:val="0"/>
          <w:color w:val="212529"/>
          <w:sz w:val="22"/>
        </w:rPr>
        <w:t>The current AthletIQ platform establishes a robust and functional analytical foundation. To advance the system from a proven prototype into a nationwide production deployment supporting state federations, the following concrete architectural extensions are recommended:</w:t>
      </w:r>
    </w:p>
    <w:p>
      <w:pPr>
        <w:spacing w:line="276" w:lineRule="auto" w:before="200" w:after="80"/>
      </w:pPr>
      <w:r>
        <w:rPr>
          <w:rFonts w:ascii="Times New Roman" w:hAnsi="Times New Roman"/>
          <w:b/>
          <w:color w:val="475569"/>
          <w:sz w:val="23"/>
        </w:rPr>
        <w:t>1. Cloud Relational Database Migration &amp; Role-Based Access Control (RBAC)</w:t>
      </w:r>
    </w:p>
    <w:p>
      <w:pPr>
        <w:pStyle w:val="ListBullet"/>
        <w:spacing w:line="288" w:lineRule="auto" w:after="60"/>
        <w:jc w:val="both"/>
      </w:pPr>
      <w:r>
        <w:rPr>
          <w:rFonts w:ascii="Times New Roman" w:hAnsi="Times New Roman"/>
          <w:b/>
          <w:color w:val="113E21"/>
          <w:sz w:val="22"/>
        </w:rPr>
        <w:t xml:space="preserve">• Objective: </w:t>
      </w:r>
      <w:r>
        <w:rPr>
          <w:rFonts w:ascii="Times New Roman" w:hAnsi="Times New Roman"/>
          <w:color w:val="212529"/>
          <w:sz w:val="22"/>
        </w:rPr>
        <w:t>Transition the platform from local flat-file storage to an enterprise-grade cloud relational database (PostgreSQL managed via Supabase or AWS RDS) with multi-tenant row-level security.</w:t>
      </w:r>
    </w:p>
    <w:p>
      <w:pPr>
        <w:pStyle w:val="ListBullet"/>
        <w:spacing w:line="288" w:lineRule="auto" w:after="60"/>
        <w:jc w:val="both"/>
      </w:pPr>
      <w:r>
        <w:rPr>
          <w:rFonts w:ascii="Times New Roman" w:hAnsi="Times New Roman"/>
          <w:b/>
          <w:color w:val="113E21"/>
          <w:sz w:val="22"/>
        </w:rPr>
        <w:t xml:space="preserve">• Approach: </w:t>
      </w:r>
      <w:r>
        <w:rPr>
          <w:rFonts w:ascii="Times New Roman" w:hAnsi="Times New Roman"/>
          <w:color w:val="212529"/>
          <w:sz w:val="22"/>
        </w:rPr>
        <w:t>Establish dedicated relational tables for athletes, coaching deployments, facilities, and CSR contributions via SQLAlchemy ORM. Implement Role-Based Access Control (RBAC) with distinct authorization tiers: Super-Administrators (Ministry / SAI HQ), Facility Directors (regional campus managers), Certified Scouts (talent evaluators), and Corporate CSR Officers.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Enables multi-user concurrent operations, real-time remote updates, persistent candidate bookmarking/shortlisting by recruiters, and compliance with national digital personal data protection mandates.</w:t>
      </w:r>
    </w:p>
    <w:p>
      <w:pPr>
        <w:spacing w:line="276" w:lineRule="auto" w:before="200" w:after="80"/>
      </w:pPr>
      <w:r>
        <w:rPr>
          <w:rFonts w:ascii="Times New Roman" w:hAnsi="Times New Roman"/>
          <w:b/>
          <w:color w:val="475569"/>
          <w:sz w:val="23"/>
        </w:rPr>
        <w:t>2. True Geocoded Haversine Proximity &amp; Transit Time Engine</w:t>
      </w:r>
    </w:p>
    <w:p>
      <w:pPr>
        <w:pStyle w:val="ListBullet"/>
        <w:spacing w:line="288" w:lineRule="auto" w:after="60"/>
        <w:jc w:val="both"/>
      </w:pPr>
      <w:r>
        <w:rPr>
          <w:rFonts w:ascii="Times New Roman" w:hAnsi="Times New Roman"/>
          <w:b/>
          <w:color w:val="113E21"/>
          <w:sz w:val="22"/>
        </w:rPr>
        <w:t xml:space="preserve">• Objective: </w:t>
      </w:r>
      <w:r>
        <w:rPr>
          <w:rFonts w:ascii="Times New Roman" w:hAnsi="Times New Roman"/>
          <w:color w:val="212529"/>
          <w:sz w:val="22"/>
        </w:rPr>
        <w:t>Replace categorical state-level proximity scoring with exact geographic distances and transit logistics.</w:t>
      </w:r>
    </w:p>
    <w:p>
      <w:pPr>
        <w:pStyle w:val="ListBullet"/>
        <w:spacing w:line="288" w:lineRule="auto" w:after="60"/>
        <w:jc w:val="both"/>
      </w:pPr>
      <w:r>
        <w:rPr>
          <w:rFonts w:ascii="Times New Roman" w:hAnsi="Times New Roman"/>
          <w:b/>
          <w:color w:val="113E21"/>
          <w:sz w:val="22"/>
        </w:rPr>
        <w:t xml:space="preserve">• Approach: </w:t>
      </w:r>
      <w:r>
        <w:rPr>
          <w:rFonts w:ascii="Times New Roman" w:hAnsi="Times New Roman"/>
          <w:color w:val="212529"/>
          <w:sz w:val="22"/>
        </w:rPr>
        <w:t>Geocode all 700+ Indian district sports councils and 28+ accredited SAI campuses with precise latitude and longitude coordinates. Implement the spherical Haversine distance formula and integrate public transit/railway distance APIs.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Reflects real-world travel logistics. A rural athlete located on a state border may live 35 km from an academy in an adjacent state but 450 km from their own state capital academy. Accurate transit modeling prevents misguided residential relocations.</w:t>
      </w:r>
    </w:p>
    <w:p>
      <w:pPr>
        <w:spacing w:line="276" w:lineRule="auto" w:before="200" w:after="80"/>
      </w:pPr>
      <w:r>
        <w:rPr>
          <w:rFonts w:ascii="Times New Roman" w:hAnsi="Times New Roman"/>
          <w:b/>
          <w:color w:val="475569"/>
          <w:sz w:val="23"/>
        </w:rPr>
        <w:t>3. Automated PDF Scouting Dossier &amp; CSR Grant Pitch Export Engine</w:t>
      </w:r>
    </w:p>
    <w:p>
      <w:pPr>
        <w:pStyle w:val="ListBullet"/>
        <w:spacing w:line="288" w:lineRule="auto" w:after="60"/>
        <w:jc w:val="both"/>
      </w:pPr>
      <w:r>
        <w:rPr>
          <w:rFonts w:ascii="Times New Roman" w:hAnsi="Times New Roman"/>
          <w:b/>
          <w:color w:val="113E21"/>
          <w:sz w:val="22"/>
        </w:rPr>
        <w:t xml:space="preserve">• Objective: </w:t>
      </w:r>
      <w:r>
        <w:rPr>
          <w:rFonts w:ascii="Times New Roman" w:hAnsi="Times New Roman"/>
          <w:color w:val="212529"/>
          <w:sz w:val="22"/>
        </w:rPr>
        <w:t>Provide 1-click exportable, board-ready documentary deliverables for recruiters and corporate donors.</w:t>
      </w:r>
    </w:p>
    <w:p>
      <w:pPr>
        <w:pStyle w:val="ListBullet"/>
        <w:spacing w:line="288" w:lineRule="auto" w:after="60"/>
        <w:jc w:val="both"/>
      </w:pPr>
      <w:r>
        <w:rPr>
          <w:rFonts w:ascii="Times New Roman" w:hAnsi="Times New Roman"/>
          <w:b/>
          <w:color w:val="113E21"/>
          <w:sz w:val="22"/>
        </w:rPr>
        <w:t xml:space="preserve">• Approach: </w:t>
      </w:r>
      <w:r>
        <w:rPr>
          <w:rFonts w:ascii="Times New Roman" w:hAnsi="Times New Roman"/>
          <w:color w:val="212529"/>
          <w:sz w:val="22"/>
        </w:rPr>
        <w:t>Integrate headless PDF generation libraries (such as WeasyPrint or ReportLab) to compile structured athlete dossiers (biographical metrics, TOPS history, coach recommendations, injury history) and corporate CSR sponsorship pitch decks into downloadable, branded PDF documents.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Sports scouts, academy directors, and CSR committee members operate in boardrooms and training fields where offline paper documentation and printable executive briefs are essential for funding approvals.</w:t>
      </w:r>
    </w:p>
    <w:p>
      <w:pPr>
        <w:spacing w:line="276" w:lineRule="auto" w:before="200" w:after="80"/>
      </w:pPr>
      <w:r>
        <w:rPr>
          <w:rFonts w:ascii="Times New Roman" w:hAnsi="Times New Roman"/>
          <w:b/>
          <w:color w:val="475569"/>
          <w:sz w:val="23"/>
        </w:rPr>
        <w:t>4. Head-to-Head Athlete Comparative Radar Analytics</w:t>
      </w:r>
    </w:p>
    <w:p>
      <w:pPr>
        <w:pStyle w:val="ListBullet"/>
        <w:spacing w:line="288" w:lineRule="auto" w:after="60"/>
        <w:jc w:val="both"/>
      </w:pPr>
      <w:r>
        <w:rPr>
          <w:rFonts w:ascii="Times New Roman" w:hAnsi="Times New Roman"/>
          <w:b/>
          <w:color w:val="113E21"/>
          <w:sz w:val="22"/>
        </w:rPr>
        <w:t xml:space="preserve">• Objective: </w:t>
      </w:r>
      <w:r>
        <w:rPr>
          <w:rFonts w:ascii="Times New Roman" w:hAnsi="Times New Roman"/>
          <w:color w:val="212529"/>
          <w:sz w:val="22"/>
        </w:rPr>
        <w:t>Enable multi-athlete side-by-side benchmarking within identical sport disciplines and weight categories.</w:t>
      </w:r>
    </w:p>
    <w:p>
      <w:pPr>
        <w:pStyle w:val="ListBullet"/>
        <w:spacing w:line="288" w:lineRule="auto" w:after="60"/>
        <w:jc w:val="both"/>
      </w:pPr>
      <w:r>
        <w:rPr>
          <w:rFonts w:ascii="Times New Roman" w:hAnsi="Times New Roman"/>
          <w:b/>
          <w:color w:val="113E21"/>
          <w:sz w:val="22"/>
        </w:rPr>
        <w:t xml:space="preserve">• Approach: </w:t>
      </w:r>
      <w:r>
        <w:rPr>
          <w:rFonts w:ascii="Times New Roman" w:hAnsi="Times New Roman"/>
          <w:color w:val="212529"/>
          <w:sz w:val="22"/>
        </w:rPr>
        <w:t>Build an interactive comparison module utilizing Plotly Express radar/spider charts. Normalize metrics across five key axes: Podium Consistency, Tactical Execution, Win-Loss Ratio, Age vs Peak Trajectory Curve, and National Ranking Velocity.</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Solves the agonizing selection dilemmas faced by national trial committees, providing objective visual and statistical justification when selecting between closely matched prospects for international deputation.</w:t>
      </w:r>
    </w:p>
    <w:p>
      <w:pPr>
        <w:spacing w:line="276" w:lineRule="auto" w:before="200" w:after="80"/>
      </w:pPr>
      <w:r>
        <w:rPr>
          <w:rFonts w:ascii="Times New Roman" w:hAnsi="Times New Roman"/>
          <w:b/>
          <w:color w:val="475569"/>
          <w:sz w:val="23"/>
        </w:rPr>
        <w:t>5. Micro-Modular Architectural Refactoring &amp; REST API Decoupling</w:t>
      </w:r>
    </w:p>
    <w:p>
      <w:pPr>
        <w:pStyle w:val="ListBullet"/>
        <w:spacing w:line="288" w:lineRule="auto" w:after="60"/>
        <w:jc w:val="both"/>
      </w:pPr>
      <w:r>
        <w:rPr>
          <w:rFonts w:ascii="Times New Roman" w:hAnsi="Times New Roman"/>
          <w:b/>
          <w:color w:val="113E21"/>
          <w:sz w:val="22"/>
        </w:rPr>
        <w:t xml:space="preserve">• Objective: </w:t>
      </w:r>
      <w:r>
        <w:rPr>
          <w:rFonts w:ascii="Times New Roman" w:hAnsi="Times New Roman"/>
          <w:color w:val="212529"/>
          <w:sz w:val="22"/>
        </w:rPr>
        <w:t>Decompose the monolithic app/dashboard.py script into an enterprise-grade modular software package.</w:t>
      </w:r>
    </w:p>
    <w:p>
      <w:pPr>
        <w:pStyle w:val="ListBullet"/>
        <w:spacing w:line="288" w:lineRule="auto" w:after="60"/>
        <w:jc w:val="both"/>
      </w:pPr>
      <w:r>
        <w:rPr>
          <w:rFonts w:ascii="Times New Roman" w:hAnsi="Times New Roman"/>
          <w:b/>
          <w:color w:val="113E21"/>
          <w:sz w:val="22"/>
        </w:rPr>
        <w:t xml:space="preserve">• Approach: </w:t>
      </w:r>
      <w:r>
        <w:rPr>
          <w:rFonts w:ascii="Times New Roman" w:hAnsi="Times New Roman"/>
          <w:color w:val="212529"/>
          <w:sz w:val="22"/>
        </w:rPr>
        <w:t>Re-architect the codebase into clean micro-modules: app/core (config, database connectors), app/services (redistribution math, 100-pt matcher, Gemini AI engine), app/views (isolated tab components), and expose a FastAPI / Flask REST API layer serving decoupled React / Next.js or Streamlit clients.</w:t>
      </w:r>
    </w:p>
    <w:p>
      <w:pPr>
        <w:pStyle w:val="ListBullet"/>
        <w:spacing w:line="288" w:lineRule="auto" w:after="60"/>
        <w:jc w:val="both"/>
      </w:pPr>
      <w:r>
        <w:rPr>
          <w:rFonts w:ascii="Times New Roman" w:hAnsi="Times New Roman"/>
          <w:b/>
          <w:color w:val="113E21"/>
          <w:sz w:val="22"/>
        </w:rPr>
        <w:t xml:space="preserve">• Significance: </w:t>
      </w:r>
      <w:r>
        <w:rPr>
          <w:rFonts w:ascii="Times New Roman" w:hAnsi="Times New Roman"/>
          <w:color w:val="212529"/>
          <w:sz w:val="22"/>
        </w:rPr>
        <w:t>Improves testability, enables concurrent multi-developer contributions without Git merge conflicts, facilitates independent unit test automation, and lays the foundation for a mobile application (Flutter / React Native) for field scouts.</w:t>
      </w:r>
    </w:p>
    <w:p>
      <w:r>
        <w:br w:type="page"/>
      </w:r>
    </w:p>
    <w:p>
      <w:pPr>
        <w:spacing w:line="276" w:lineRule="auto" w:before="360" w:after="160"/>
      </w:pPr>
      <w:r>
        <w:rPr>
          <w:rFonts w:ascii="Times New Roman" w:hAnsi="Times New Roman"/>
          <w:b/>
          <w:color w:val="113E21"/>
          <w:sz w:val="32"/>
        </w:rPr>
        <w:t>REFERENCES</w:t>
      </w:r>
    </w:p>
    <w:p>
      <w:pPr>
        <w:spacing w:line="276" w:lineRule="auto" w:after="80"/>
        <w:jc w:val="both"/>
      </w:pPr>
      <w:r>
        <w:rPr>
          <w:rFonts w:ascii="Times New Roman" w:hAnsi="Times New Roman"/>
          <w:sz w:val="20"/>
        </w:rPr>
        <w:t>[1] Sports Authority of India (SAI), 'National Coaching Standards and Residential Training Guidelines,' Ministry of Youth Affairs and Sports, Government of India, Tech. Rep., 2023.</w:t>
      </w:r>
    </w:p>
    <w:p>
      <w:pPr>
        <w:spacing w:line="276" w:lineRule="auto" w:after="80"/>
        <w:jc w:val="both"/>
      </w:pPr>
      <w:r>
        <w:rPr>
          <w:rFonts w:ascii="Times New Roman" w:hAnsi="Times New Roman"/>
          <w:sz w:val="20"/>
        </w:rPr>
        <w:t>[2] Ministry of Youth Affairs and Sports, 'Khelo India National Programme for Development of Sports: Operational Guidelines,' Government of India, Tech. Rep., 2022.</w:t>
      </w:r>
    </w:p>
    <w:p>
      <w:pPr>
        <w:spacing w:line="276" w:lineRule="auto" w:after="80"/>
        <w:jc w:val="both"/>
      </w:pPr>
      <w:r>
        <w:rPr>
          <w:rFonts w:ascii="Times New Roman" w:hAnsi="Times New Roman"/>
          <w:sz w:val="20"/>
        </w:rPr>
        <w:t>[3] T. L. Saaty, 'Decision making with the analytic hierarchy process,' International Journal of Services Sciences, vol. 1, no. 1, pp. 83–98, 2008.</w:t>
      </w:r>
    </w:p>
    <w:p>
      <w:pPr>
        <w:spacing w:line="276" w:lineRule="auto" w:after="80"/>
        <w:jc w:val="both"/>
      </w:pPr>
      <w:r>
        <w:rPr>
          <w:rFonts w:ascii="Times New Roman" w:hAnsi="Times New Roman"/>
          <w:sz w:val="20"/>
        </w:rPr>
        <w:t>[4] M. J. Berry and G. S. Linoff, Data Mining Techniques: For Marketing, Sales, and Customer Relationship Management. Indianapolis, IN, USA: John Wiley &amp; Sons, 2004.</w:t>
      </w:r>
    </w:p>
    <w:p>
      <w:pPr>
        <w:spacing w:line="276" w:lineRule="auto" w:after="80"/>
        <w:jc w:val="both"/>
      </w:pPr>
      <w:r>
        <w:rPr>
          <w:rFonts w:ascii="Times New Roman" w:hAnsi="Times New Roman"/>
          <w:sz w:val="20"/>
        </w:rPr>
        <w:t>[5] W. McKinney, 'Data structures for statistical computing in Python,' in Proceedings of the 9th Python in Science Conference, Austin, TX, USA, 2010, pp. 51–56.</w:t>
      </w:r>
    </w:p>
    <w:p>
      <w:pPr>
        <w:spacing w:line="276" w:lineRule="auto" w:after="80"/>
        <w:jc w:val="both"/>
      </w:pPr>
      <w:r>
        <w:rPr>
          <w:rFonts w:ascii="Times New Roman" w:hAnsi="Times New Roman"/>
          <w:sz w:val="20"/>
        </w:rPr>
        <w:t>[6] Streamlit Inc., 'Streamlit Documentation: Session State and Execution Architecture,' 2024. [Online]. Available: https://docs.streamlit.io/</w:t>
      </w:r>
    </w:p>
    <w:p>
      <w:pPr>
        <w:spacing w:line="276" w:lineRule="auto" w:after="80"/>
        <w:jc w:val="both"/>
      </w:pPr>
      <w:r>
        <w:rPr>
          <w:rFonts w:ascii="Times New Roman" w:hAnsi="Times New Roman"/>
          <w:sz w:val="20"/>
        </w:rPr>
        <w:t>[7] Google LLC, 'Google GenAI SDK and Search Grounding Integration Guide,' 2024. [Online]. Available: https://ai.google.dev/docs</w:t>
      </w:r>
    </w:p>
    <w:p>
      <w:pPr>
        <w:spacing w:line="276" w:lineRule="auto" w:after="80"/>
        <w:jc w:val="both"/>
      </w:pPr>
      <w:r>
        <w:rPr>
          <w:rFonts w:ascii="Times New Roman" w:hAnsi="Times New Roman"/>
          <w:sz w:val="20"/>
        </w:rPr>
        <w:t>[8] Plotly Technologies Inc., 'Collaborative Data Science with Plotly Express,' 2023. [Online]. Available: https://plotly.com/python/</w:t>
      </w:r>
    </w:p>
    <w:p>
      <w:pPr>
        <w:spacing w:line="276" w:lineRule="auto" w:after="80"/>
        <w:jc w:val="both"/>
      </w:pPr>
      <w:r>
        <w:rPr>
          <w:rFonts w:ascii="Times New Roman" w:hAnsi="Times New Roman"/>
          <w:sz w:val="20"/>
        </w:rPr>
        <w:t>[9] K. Beck et al., 'Manifesto for Agile Software Development,' 2001. [Online]. Available: https://agilemanifesto.org/</w:t>
      </w:r>
    </w:p>
    <w:p>
      <w:pPr>
        <w:spacing w:line="276" w:lineRule="auto" w:after="80"/>
        <w:jc w:val="both"/>
      </w:pPr>
      <w:r>
        <w:rPr>
          <w:rFonts w:ascii="Times New Roman" w:hAnsi="Times New Roman"/>
          <w:sz w:val="20"/>
        </w:rPr>
        <w:t>[10] K. Schwaber and J. Sutherland, 'The Scrum Guide: The Definitive Guide to Scrum,' Scrum.org, Tech. Rep., Nov. 2020.</w:t>
      </w:r>
    </w:p>
    <w:p>
      <w:pPr>
        <w:spacing w:line="276" w:lineRule="auto" w:after="80"/>
        <w:jc w:val="both"/>
      </w:pPr>
      <w:r>
        <w:rPr>
          <w:rFonts w:ascii="Times New Roman" w:hAnsi="Times New Roman"/>
          <w:sz w:val="20"/>
        </w:rPr>
        <w:t>[11] J. Nielsen, Usability Engineering. San Francisco, CA, USA: Morgan Kaufmann, 1994.</w:t>
      </w:r>
    </w:p>
    <w:p>
      <w:pPr>
        <w:spacing w:line="276" w:lineRule="auto" w:after="80"/>
        <w:jc w:val="both"/>
      </w:pPr>
      <w:r>
        <w:rPr>
          <w:rFonts w:ascii="Times New Roman" w:hAnsi="Times New Roman"/>
          <w:sz w:val="20"/>
        </w:rPr>
        <w:t>[12] R. C. Martin, Clean Code: A Handbook of Agile Software Craftsmanship. Boston, MA, USA: Prentice Hall, 2008.</w:t>
      </w:r>
    </w:p>
    <w:p>
      <w:pPr>
        <w:spacing w:line="276" w:lineRule="auto" w:after="80"/>
        <w:jc w:val="both"/>
      </w:pPr>
      <w:r>
        <w:rPr>
          <w:rFonts w:ascii="Times New Roman" w:hAnsi="Times New Roman"/>
          <w:sz w:val="20"/>
        </w:rPr>
        <w:t>[13] E. Gamma, R. Helm, R. Johnson, and J. Vlissides, Design Patterns: Elements of Reusable Object-Oriented Software. Reading, MA, USA: Addison-Wesley, 1994.</w:t>
      </w:r>
    </w:p>
    <w:p>
      <w:pPr>
        <w:spacing w:line="276" w:lineRule="auto" w:after="80"/>
        <w:jc w:val="both"/>
      </w:pPr>
      <w:r>
        <w:rPr>
          <w:rFonts w:ascii="Times New Roman" w:hAnsi="Times New Roman"/>
          <w:sz w:val="20"/>
        </w:rPr>
        <w:t>[14] Olympic Gold Quest (OGQ), 'Grassroots to Podium: Annual Athlete Support &amp; Scouting Report,' Mumbai, India, Tech. Rep., 2023.</w:t>
      </w:r>
    </w:p>
    <w:p>
      <w:pPr>
        <w:spacing w:line="276" w:lineRule="auto" w:after="80"/>
        <w:jc w:val="both"/>
      </w:pPr>
      <w:r>
        <w:rPr>
          <w:rFonts w:ascii="Times New Roman" w:hAnsi="Times New Roman"/>
          <w:sz w:val="20"/>
        </w:rPr>
        <w:t>[15] Target Olympic Podium Scheme (TOPS), 'Elite Athlete Benchmark Evaluation Guidelines,' Sports Authority of India, New Delhi, Tech. Rep., 2024.</w:t>
      </w:r>
    </w:p>
    <w:p>
      <w:pPr>
        <w:spacing w:line="276" w:lineRule="auto" w:after="80"/>
        <w:jc w:val="both"/>
      </w:pPr>
      <w:r>
        <w:rPr>
          <w:rFonts w:ascii="Times New Roman" w:hAnsi="Times New Roman"/>
          <w:sz w:val="20"/>
        </w:rPr>
        <w:t>[16] T. Hastie, R. Tibshirani, and J. Friedman, The Elements of Statistical Learning: Data Mining, Inference, and Prediction, 2nd ed. New York, NY, USA: Springer, 2009.</w:t>
      </w:r>
    </w:p>
    <w:p>
      <w:pPr>
        <w:spacing w:line="276" w:lineRule="auto" w:after="80"/>
        <w:jc w:val="both"/>
      </w:pPr>
      <w:r>
        <w:rPr>
          <w:rFonts w:ascii="Times New Roman" w:hAnsi="Times New Roman"/>
          <w:sz w:val="20"/>
        </w:rPr>
        <w:t>[17] World Health Organization (WHO), 'Guidelines on physical activity and sedentary behaviour for youth athletes,' Geneva, Tech. Rep., 2020.</w:t>
      </w:r>
    </w:p>
    <w:p>
      <w:pPr>
        <w:spacing w:line="276" w:lineRule="auto" w:after="80"/>
        <w:jc w:val="both"/>
      </w:pPr>
      <w:r>
        <w:rPr>
          <w:rFonts w:ascii="Times New Roman" w:hAnsi="Times New Roman"/>
          <w:sz w:val="20"/>
        </w:rPr>
        <w:t>[18] Open Source Initiative, 'The MIT License for Educational and Analytical Software,' 2024. [Online]. Available: https://opensource.org/licenses/MIT</w:t>
      </w:r>
    </w:p>
    <w:p>
      <w:r>
        <w:br w:type="page"/>
      </w:r>
    </w:p>
    <w:p>
      <w:pPr>
        <w:spacing w:line="276" w:lineRule="auto" w:before="360" w:after="160"/>
      </w:pPr>
      <w:r>
        <w:rPr>
          <w:rFonts w:ascii="Times New Roman" w:hAnsi="Times New Roman"/>
          <w:b/>
          <w:color w:val="113E21"/>
          <w:sz w:val="32"/>
        </w:rPr>
        <w:t>ANNEXURES</w:t>
      </w:r>
    </w:p>
    <w:p>
      <w:pPr>
        <w:spacing w:line="276" w:lineRule="auto" w:before="280" w:after="120"/>
      </w:pPr>
      <w:r>
        <w:rPr>
          <w:rFonts w:ascii="Times New Roman" w:hAnsi="Times New Roman"/>
          <w:b/>
          <w:color w:val="1E293B"/>
          <w:sz w:val="26"/>
        </w:rPr>
        <w:t>Annexure A: Project Folder Structure</w:t>
      </w:r>
    </w:p>
    <w:p>
      <w:pPr>
        <w:spacing w:line="300" w:lineRule="auto" w:after="120"/>
        <w:jc w:val="both"/>
      </w:pPr>
      <w:r>
        <w:rPr>
          <w:rFonts w:ascii="Times New Roman" w:hAnsi="Times New Roman"/>
          <w:b/>
          <w:color w:val="113E21"/>
          <w:sz w:val="22"/>
        </w:rPr>
        <w:t xml:space="preserve">A.1 Application Directory Organization: </w:t>
      </w:r>
      <w:r>
        <w:rPr>
          <w:rFonts w:ascii="Times New Roman" w:hAnsi="Times New Roman"/>
          <w:i w:val="0"/>
          <w:color w:val="212529"/>
          <w:sz w:val="22"/>
        </w:rPr>
        <w:t>The repository structure of the AthletIQ analytics platform is organized as follows:</w:t>
      </w:r>
    </w:p>
    <w:p>
      <w:pPr>
        <w:spacing w:after="160"/>
      </w:pPr>
      <w:r>
        <w:rPr>
          <w:rFonts w:ascii="Courier New" w:hAnsi="Courier New"/>
          <w:color w:val="113E21"/>
          <w:sz w:val="19"/>
        </w:rPr>
        <w:t>AthletIQ/</w:t>
        <w:br/>
        <w:t>├── app/</w:t>
        <w:br/>
        <w:t>│   └── dashboard.py                  # Main monolithic dashboard and analytical application</w:t>
        <w:br/>
        <w:t>├── data/</w:t>
        <w:br/>
        <w:t>│   ├── athletiq_master_database.csv  # 7,634 master athlete and coach records</w:t>
        <w:br/>
        <w:t>│   ├── sai_centres_processed.json    # 28 accredited SAI training centres and capacities</w:t>
        <w:br/>
        <w:t>│   ├── women_athletes.json           # 5,000 emerging women athlete records</w:t>
        <w:br/>
        <w:t>│   └── csr_sponsor_signals.csv       # Corporate CSR budget metrics and sponsor leads</w:t>
        <w:br/>
        <w:t>├── scratch/</w:t>
        <w:br/>
        <w:t>│   ├── patch_all_search_placeholders.py # Automation patch scripts</w:t>
        <w:br/>
        <w:t>│   └── build_complete_report.py         # Word report generator</w:t>
        <w:br/>
        <w:t>├── system_documentation.md           # System architecture technical reference</w:t>
        <w:br/>
        <w:t>└── requirements.txt                  # Python dependencies (streamlit, pandas, plotly, etc.)</w:t>
      </w:r>
    </w:p>
    <w:p>
      <w:pPr>
        <w:spacing w:line="276" w:lineRule="auto" w:before="280" w:after="120"/>
      </w:pPr>
      <w:r>
        <w:rPr>
          <w:rFonts w:ascii="Times New Roman" w:hAnsi="Times New Roman"/>
          <w:b/>
          <w:color w:val="1E293B"/>
          <w:sz w:val="26"/>
        </w:rPr>
        <w:t>Annexure B: Core Mathematical &amp; Code Snippets</w:t>
      </w:r>
    </w:p>
    <w:p>
      <w:pPr>
        <w:spacing w:line="300" w:lineRule="auto" w:after="120"/>
        <w:jc w:val="both"/>
      </w:pPr>
      <w:r>
        <w:rPr>
          <w:rFonts w:ascii="Times New Roman" w:hAnsi="Times New Roman"/>
          <w:b/>
          <w:color w:val="113E21"/>
          <w:sz w:val="22"/>
        </w:rPr>
        <w:t xml:space="preserve">B.1 Suitability Matcher: </w:t>
      </w:r>
      <w:r>
        <w:rPr>
          <w:rFonts w:ascii="Times New Roman" w:hAnsi="Times New Roman"/>
          <w:i w:val="0"/>
          <w:color w:val="212529"/>
          <w:sz w:val="22"/>
        </w:rPr>
        <w:t>B.1 100-Point Suitability Matcher Scoring Logic (recommend_sai_centres)</w:t>
      </w:r>
    </w:p>
    <w:p>
      <w:pPr>
        <w:spacing w:after="160"/>
      </w:pPr>
      <w:r>
        <w:rPr>
          <w:rFonts w:ascii="Courier New" w:hAnsi="Courier New"/>
          <w:sz w:val="17"/>
        </w:rPr>
        <w:t>def recommend_sai_centres(sport, state, performance_level, age, gender, top_n=3):</w:t>
        <w:br/>
        <w:t xml:space="preserve">    scores = []</w:t>
        <w:br/>
        <w:t xml:space="preserve">    for c in SAI_CENTRES:</w:t>
        <w:br/>
        <w:t xml:space="preserve">        s = 0</w:t>
        <w:br/>
        <w:t xml:space="preserve">        if sport in c.get("sports", []):</w:t>
        <w:br/>
        <w:t xml:space="preserve">            s += 40</w:t>
        <w:br/>
        <w:t xml:space="preserve">        if state == c.get("state"):</w:t>
        <w:br/>
        <w:t xml:space="preserve">            s += 25</w:t>
        <w:br/>
        <w:t xml:space="preserve">        elif state in c.get("nearby_states", []):</w:t>
        <w:br/>
        <w:t xml:space="preserve">            s += 15</w:t>
        <w:br/>
        <w:t xml:space="preserve">        perf_map = {"Village": 0, "District": 1, "State": 2, "National": 3, "International": 4}</w:t>
        <w:br/>
        <w:t xml:space="preserve">        c_perf = c.get("performance", ["District", "State", "National", "International"])</w:t>
        <w:br/>
        <w:t xml:space="preserve">        centre_perf_max = max([perf_map.get(p, 0) for p in c_perf])</w:t>
        <w:br/>
        <w:t xml:space="preserve">        athlete_perf = perf_map.get(performance_level, 2)</w:t>
        <w:br/>
        <w:t xml:space="preserve">        if athlete_perf == centre_perf_max:</w:t>
        <w:br/>
        <w:t xml:space="preserve">            s += 20</w:t>
        <w:br/>
        <w:t xml:space="preserve">        elif abs(athlete_perf - centre_perf_max) == 1:</w:t>
        <w:br/>
        <w:t xml:space="preserve">            s += 12</w:t>
        <w:br/>
        <w:t xml:space="preserve">        else:</w:t>
        <w:br/>
        <w:t xml:space="preserve">            s += 4</w:t>
        <w:br/>
        <w:t xml:space="preserve">        c_age_min = c.get("age_min", 10)</w:t>
        <w:br/>
        <w:t xml:space="preserve">        c_age_max = c.get("age_max", 25)</w:t>
        <w:br/>
        <w:t xml:space="preserve">        if c_age_min &lt;= age &lt;= c_age_max:</w:t>
        <w:br/>
        <w:t xml:space="preserve">            s += 10</w:t>
        <w:br/>
        <w:t xml:space="preserve">        elif abs(age - c_age_min) &lt;= 2 or abs(age - c_age_max) &lt;= 2:</w:t>
        <w:br/>
        <w:t xml:space="preserve">            s += 5</w:t>
        <w:br/>
        <w:t xml:space="preserve">        c_gender = c.get("gender", ["Male", "Female", "Mixed"])</w:t>
        <w:br/>
        <w:t xml:space="preserve">        if gender in c_gender or "Mixed" in c_gender:</w:t>
        <w:br/>
        <w:t xml:space="preserve">            s += 5</w:t>
        <w:br/>
        <w:t xml:space="preserve">        scores.append({"centre": c, "score": s})</w:t>
        <w:br/>
        <w:t xml:space="preserve">    scores.sort(key=lambda x: x["score"], reverse=True)</w:t>
        <w:br/>
        <w:t xml:space="preserve">    return scores[:top_n]</w:t>
      </w:r>
    </w:p>
    <w:p>
      <w:pPr>
        <w:spacing w:line="300" w:lineRule="auto" w:after="120"/>
        <w:jc w:val="both"/>
      </w:pPr>
      <w:r>
        <w:rPr>
          <w:rFonts w:ascii="Times New Roman" w:hAnsi="Times New Roman"/>
          <w:b/>
          <w:color w:val="113E21"/>
          <w:sz w:val="22"/>
        </w:rPr>
        <w:t xml:space="preserve">B.2 Redistribution Engine: </w:t>
      </w:r>
      <w:r>
        <w:rPr>
          <w:rFonts w:ascii="Times New Roman" w:hAnsi="Times New Roman"/>
          <w:i w:val="0"/>
          <w:color w:val="212529"/>
          <w:sz w:val="22"/>
        </w:rPr>
        <w:t>B.2 Coach Redistribution &amp; National Deficit Ranking Math</w:t>
      </w:r>
    </w:p>
    <w:p>
      <w:pPr>
        <w:spacing w:after="160"/>
      </w:pPr>
      <w:r>
        <w:rPr>
          <w:rFonts w:ascii="Courier New" w:hAnsi="Courier New"/>
          <w:sz w:val="17"/>
        </w:rPr>
        <w:t># National standard is 15:1 (1 coach per 15 athletes)</w:t>
        <w:br/>
        <w:t>ideal_coaches_needed = max(1, (sport_capacity + 14) // 15)</w:t>
        <w:br/>
        <w:br/>
        <w:t># Surplus scenario: Ratio &lt; 15:1</w:t>
        <w:br/>
        <w:t>if ratio_val &lt; 15 and sport_coaches &gt; ideal_coaches_needed:</w:t>
        <w:br/>
        <w:t xml:space="preserve">    surplus_coaches = sport_coaches - ideal_coaches_needed</w:t>
        <w:br/>
        <w:t xml:space="preserve">    deficit_centres = []</w:t>
        <w:br/>
        <w:t xml:space="preserve">    for _, row in sai_df.iterrows():</w:t>
        <w:br/>
        <w:t xml:space="preserve">        if row["name"] == selected_centre or selected_sport not in row["sports"]:</w:t>
        <w:br/>
        <w:t xml:space="preserve">            continue</w:t>
        <w:br/>
        <w:t xml:space="preserve">        # Compute other centre sport capacity and coaches</w:t>
        <w:br/>
        <w:t xml:space="preserve">        s_cap, s_coa = compute_sport_allocation(row, selected_sport)</w:t>
        <w:br/>
        <w:t xml:space="preserve">        r_val = s_cap // s_coa</w:t>
        <w:br/>
        <w:t xml:space="preserve">        if r_val &gt; 15:</w:t>
        <w:br/>
        <w:t xml:space="preserve">            needed = ((s_cap + 14) // 15) - s_coa</w:t>
        <w:br/>
        <w:t xml:space="preserve">            if needed &gt; 0:</w:t>
        <w:br/>
        <w:t xml:space="preserve">                deficit_centres.append({"name": row["name"], "state": row["state"], "ratio": r_val, "needed": needed})</w:t>
        <w:br/>
        <w:t xml:space="preserve">    deficit_centres.sort(key=lambda x: x["ratio"], reverse=True)</w:t>
        <w:br/>
        <w:t xml:space="preserve">    # Output actionable bilateral transfer directives</w:t>
      </w:r>
    </w:p>
    <w:p>
      <w:pPr>
        <w:spacing w:line="300" w:lineRule="auto" w:after="120"/>
        <w:jc w:val="both"/>
      </w:pPr>
      <w:r>
        <w:rPr>
          <w:rFonts w:ascii="Times New Roman" w:hAnsi="Times New Roman"/>
          <w:b/>
          <w:color w:val="113E21"/>
          <w:sz w:val="22"/>
        </w:rPr>
        <w:t xml:space="preserve">B.3 Live Search AI: </w:t>
      </w:r>
      <w:r>
        <w:rPr>
          <w:rFonts w:ascii="Times New Roman" w:hAnsi="Times New Roman"/>
          <w:i w:val="0"/>
          <w:color w:val="212529"/>
          <w:sz w:val="22"/>
        </w:rPr>
        <w:t>B.3 Gemini 2.5 Flash Live Google Search Grounding</w:t>
      </w:r>
    </w:p>
    <w:p>
      <w:pPr>
        <w:spacing w:after="160"/>
      </w:pPr>
      <w:r>
        <w:rPr>
          <w:rFonts w:ascii="Courier New" w:hAnsi="Courier New"/>
          <w:sz w:val="17"/>
        </w:rPr>
        <w:t>response = client.models.generate_content(</w:t>
        <w:br/>
        <w:t xml:space="preserve">    model='gemini-2.5-flash',</w:t>
        <w:br/>
        <w:t xml:space="preserve">    contents=prompt,</w:t>
        <w:br/>
        <w:t xml:space="preserve">    config=types.GenerateContentConfig(</w:t>
        <w:br/>
        <w:t xml:space="preserve">        tools=[types.Tool(google_search=types.GoogleSearch())],</w:t>
        <w:br/>
        <w:t xml:space="preserve">        response_mime_type="application/json"</w:t>
        <w:br/>
        <w:t xml:space="preserve">    )</w:t>
        <w:br/>
        <w:t>)</w:t>
        <w:br/>
        <w:t>tournaments_data = json.loads(response.text.strip())</w:t>
      </w:r>
    </w:p>
    <w:p>
      <w:pPr>
        <w:spacing w:line="300" w:lineRule="auto" w:after="120"/>
        <w:jc w:val="both"/>
      </w:pPr>
      <w:r>
        <w:rPr>
          <w:rFonts w:ascii="Times New Roman" w:hAnsi="Times New Roman"/>
          <w:b/>
          <w:color w:val="113E21"/>
          <w:sz w:val="22"/>
        </w:rPr>
        <w:t xml:space="preserve">B.4 Empty Selectbox: </w:t>
      </w:r>
      <w:r>
        <w:rPr>
          <w:rFonts w:ascii="Times New Roman" w:hAnsi="Times New Roman"/>
          <w:i w:val="0"/>
          <w:color w:val="212529"/>
          <w:sz w:val="22"/>
        </w:rPr>
        <w:t>B.4 Empty-Focus Selectbox Implementation Pattern</w:t>
      </w:r>
    </w:p>
    <w:p>
      <w:pPr>
        <w:spacing w:after="160"/>
      </w:pPr>
      <w:r>
        <w:rPr>
          <w:rFonts w:ascii="Courier New" w:hAnsi="Courier New"/>
          <w:sz w:val="17"/>
        </w:rPr>
        <w:t># Native Streamlit index=None prevents default pre-selection</w:t>
        <w:br/>
        <w:t>sport_choice = st.selectbox(</w:t>
        <w:br/>
        <w:t xml:space="preserve">    "Sport Focus",</w:t>
        <w:br/>
        <w:t xml:space="preserve">    options=sorted(list(df_all["sport"].unique())),</w:t>
        <w:br/>
        <w:t xml:space="preserve">    index=None,</w:t>
        <w:br/>
        <w:t xml:space="preserve">    placeholder="All Sports",</w:t>
        <w:br/>
        <w:t xml:space="preserve">    key="profile_sport_select"</w:t>
        <w:br/>
        <w:t>)</w:t>
      </w:r>
    </w:p>
    <w:p>
      <w:pPr>
        <w:spacing w:line="276" w:lineRule="auto" w:before="280" w:after="120"/>
      </w:pPr>
      <w:r>
        <w:rPr>
          <w:rFonts w:ascii="Times New Roman" w:hAnsi="Times New Roman"/>
          <w:b/>
          <w:color w:val="1E293B"/>
          <w:sz w:val="26"/>
        </w:rPr>
        <w:t>Annexure C: Application Screenshots &amp; Wireframes Description</w:t>
      </w:r>
    </w:p>
    <w:p>
      <w:pPr>
        <w:spacing w:line="300" w:lineRule="auto" w:after="120"/>
        <w:jc w:val="both"/>
      </w:pPr>
      <w:r>
        <w:rPr>
          <w:rFonts w:ascii="Times New Roman" w:hAnsi="Times New Roman"/>
          <w:i w:val="0"/>
          <w:color w:val="212529"/>
          <w:sz w:val="22"/>
        </w:rPr>
        <w:t>Figure C.1: Pathway Overview Dashboard — Displays the two-column hero landing section, national athletic hierarchy tree, dynamic scale metrics, and the 18-state talent nursery grid with one-click profile routing.</w:t>
      </w:r>
    </w:p>
    <w:p>
      <w:pPr>
        <w:spacing w:line="300" w:lineRule="auto" w:after="120"/>
        <w:jc w:val="both"/>
      </w:pPr>
      <w:r>
        <w:rPr>
          <w:rFonts w:ascii="Times New Roman" w:hAnsi="Times New Roman"/>
          <w:i w:val="0"/>
          <w:color w:val="212529"/>
          <w:sz w:val="22"/>
        </w:rPr>
        <w:t>Figure C.2: Centres &amp; Academies Resource Panel — Illustrates the sport-weighted coach capacity metric card, the 15:1 benchmark health badge, and the bilateral national coach redistribution recommendation table.</w:t>
      </w:r>
    </w:p>
    <w:p>
      <w:pPr>
        <w:spacing w:line="300" w:lineRule="auto" w:after="120"/>
        <w:jc w:val="both"/>
      </w:pPr>
      <w:r>
        <w:rPr>
          <w:rFonts w:ascii="Times New Roman" w:hAnsi="Times New Roman"/>
          <w:i w:val="0"/>
          <w:color w:val="212529"/>
          <w:sz w:val="22"/>
        </w:rPr>
        <w:t>Figure C.3: Profile Directory Master-Detail Inspector — Renders the dual-panel layout showing responsive athlete summary cards on the left and the interactive TOPS career milestone bio inspector on the right.</w:t>
      </w:r>
    </w:p>
    <w:p>
      <w:pPr>
        <w:spacing w:line="300" w:lineRule="auto" w:after="120"/>
        <w:jc w:val="both"/>
      </w:pPr>
      <w:r>
        <w:rPr>
          <w:rFonts w:ascii="Times New Roman" w:hAnsi="Times New Roman"/>
          <w:i w:val="0"/>
          <w:color w:val="212529"/>
          <w:sz w:val="22"/>
        </w:rPr>
        <w:t>Figure C.4: Emerging Women Athletes Directory — Highlights the dedicated 5,000-record scouting interface displaying Opportunity Scores (1.0 to 10.0), performance tiers, and funding statuses.</w:t>
      </w:r>
    </w:p>
    <w:p>
      <w:pPr>
        <w:spacing w:line="276" w:lineRule="auto" w:before="280" w:after="120"/>
      </w:pPr>
      <w:r>
        <w:rPr>
          <w:rFonts w:ascii="Times New Roman" w:hAnsi="Times New Roman"/>
          <w:b/>
          <w:color w:val="1E293B"/>
          <w:sz w:val="26"/>
        </w:rPr>
        <w:t>Annexure D: Environment Configuration &amp; Settings</w:t>
      </w:r>
    </w:p>
    <w:p>
      <w:pPr>
        <w:spacing w:line="300" w:lineRule="auto" w:after="120"/>
        <w:jc w:val="both"/>
      </w:pPr>
      <w:r>
        <w:rPr>
          <w:rFonts w:ascii="Times New Roman" w:hAnsi="Times New Roman"/>
          <w:i w:val="0"/>
          <w:color w:val="212529"/>
          <w:sz w:val="22"/>
        </w:rPr>
        <w:t>Table D.1 details the local environment configuration variables used during execution: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168"/>
            <w:shd w:val="clear" w:color="auto" w:fill="113E21"/>
          </w:tcPr>
          <w:p>
            <w:pPr>
              <w:spacing w:before="80" w:after="80"/>
              <w:jc w:val="left"/>
            </w:pPr>
            <w:r>
              <w:rPr>
                <w:rFonts w:ascii="Times New Roman" w:hAnsi="Times New Roman"/>
                <w:b/>
                <w:color w:val="FFFFFF"/>
                <w:sz w:val="20"/>
              </w:rPr>
              <w:t>Variable / Setting</w:t>
            </w:r>
          </w:p>
        </w:tc>
        <w:tc>
          <w:tcPr>
            <w:tcW w:type="dxa" w:w="6192"/>
            <w:shd w:val="clear" w:color="auto" w:fill="113E21"/>
          </w:tcPr>
          <w:p>
            <w:pPr>
              <w:spacing w:before="80" w:after="80"/>
              <w:jc w:val="left"/>
            </w:pPr>
            <w:r>
              <w:rPr>
                <w:rFonts w:ascii="Times New Roman" w:hAnsi="Times New Roman"/>
                <w:b/>
                <w:color w:val="FFFFFF"/>
                <w:sz w:val="20"/>
              </w:rPr>
              <w:t>Functional Purpose &amp; Configuration Details</w:t>
            </w:r>
          </w:p>
        </w:tc>
      </w:tr>
      <w:tr>
        <w:tc>
          <w:tcPr>
            <w:tcW w:type="dxa" w:w="3168"/>
            <w:shd w:val="clear" w:color="auto" w:fill="FFFFFF"/>
          </w:tcPr>
          <w:p>
            <w:pPr>
              <w:spacing w:before="60" w:after="60"/>
              <w:jc w:val="left"/>
            </w:pPr>
            <w:r>
              <w:rPr>
                <w:rFonts w:ascii="Times New Roman" w:hAnsi="Times New Roman"/>
                <w:color w:val="212529"/>
                <w:sz w:val="19"/>
              </w:rPr>
              <w:t>GEMINI_API_KEY</w:t>
            </w:r>
          </w:p>
        </w:tc>
        <w:tc>
          <w:tcPr>
            <w:tcW w:type="dxa" w:w="6192"/>
            <w:shd w:val="clear" w:color="auto" w:fill="FFFFFF"/>
          </w:tcPr>
          <w:p>
            <w:pPr>
              <w:spacing w:before="60" w:after="60"/>
              <w:jc w:val="left"/>
            </w:pPr>
            <w:r>
              <w:rPr>
                <w:rFonts w:ascii="Times New Roman" w:hAnsi="Times New Roman"/>
                <w:color w:val="212529"/>
                <w:sz w:val="19"/>
              </w:rPr>
              <w:t>Google Gemini API secret key used to execute tool-grounded web searches.</w:t>
            </w:r>
          </w:p>
        </w:tc>
      </w:tr>
      <w:tr>
        <w:tc>
          <w:tcPr>
            <w:tcW w:type="dxa" w:w="3168"/>
            <w:shd w:val="clear" w:color="auto" w:fill="F8FAF9"/>
          </w:tcPr>
          <w:p>
            <w:pPr>
              <w:spacing w:before="60" w:after="60"/>
              <w:jc w:val="left"/>
            </w:pPr>
            <w:r>
              <w:rPr>
                <w:rFonts w:ascii="Times New Roman" w:hAnsi="Times New Roman"/>
                <w:color w:val="212529"/>
                <w:sz w:val="19"/>
              </w:rPr>
              <w:t>STREAMLIT_SERVER_PORT</w:t>
            </w:r>
          </w:p>
        </w:tc>
        <w:tc>
          <w:tcPr>
            <w:tcW w:type="dxa" w:w="6192"/>
            <w:shd w:val="clear" w:color="auto" w:fill="F8FAF9"/>
          </w:tcPr>
          <w:p>
            <w:pPr>
              <w:spacing w:before="60" w:after="60"/>
              <w:jc w:val="left"/>
            </w:pPr>
            <w:r>
              <w:rPr>
                <w:rFonts w:ascii="Times New Roman" w:hAnsi="Times New Roman"/>
                <w:color w:val="212529"/>
                <w:sz w:val="19"/>
              </w:rPr>
              <w:t>Port configuration for local dashboard execution (default: 8501).</w:t>
            </w:r>
          </w:p>
        </w:tc>
      </w:tr>
      <w:tr>
        <w:tc>
          <w:tcPr>
            <w:tcW w:type="dxa" w:w="3168"/>
            <w:shd w:val="clear" w:color="auto" w:fill="FFFFFF"/>
          </w:tcPr>
          <w:p>
            <w:pPr>
              <w:spacing w:before="60" w:after="60"/>
              <w:jc w:val="left"/>
            </w:pPr>
            <w:r>
              <w:rPr>
                <w:rFonts w:ascii="Times New Roman" w:hAnsi="Times New Roman"/>
                <w:color w:val="212529"/>
                <w:sz w:val="19"/>
              </w:rPr>
              <w:t>DATA_DIR_PATH</w:t>
            </w:r>
          </w:p>
        </w:tc>
        <w:tc>
          <w:tcPr>
            <w:tcW w:type="dxa" w:w="6192"/>
            <w:shd w:val="clear" w:color="auto" w:fill="FFFFFF"/>
          </w:tcPr>
          <w:p>
            <w:pPr>
              <w:spacing w:before="60" w:after="60"/>
              <w:jc w:val="left"/>
            </w:pPr>
            <w:r>
              <w:rPr>
                <w:rFonts w:ascii="Times New Roman" w:hAnsi="Times New Roman"/>
                <w:color w:val="212529"/>
                <w:sz w:val="19"/>
              </w:rPr>
              <w:t>Relative filesystem path to CSV and JSON flat-file storage directory.</w:t>
            </w:r>
          </w:p>
        </w:tc>
      </w:tr>
      <w:tr>
        <w:tc>
          <w:tcPr>
            <w:tcW w:type="dxa" w:w="3168"/>
            <w:shd w:val="clear" w:color="auto" w:fill="F8FAF9"/>
          </w:tcPr>
          <w:p>
            <w:pPr>
              <w:spacing w:before="60" w:after="60"/>
              <w:jc w:val="left"/>
            </w:pPr>
            <w:r>
              <w:rPr>
                <w:rFonts w:ascii="Times New Roman" w:hAnsi="Times New Roman"/>
                <w:color w:val="212529"/>
                <w:sz w:val="19"/>
              </w:rPr>
              <w:t>STREAMLIT_THEME_BASE</w:t>
            </w:r>
          </w:p>
        </w:tc>
        <w:tc>
          <w:tcPr>
            <w:tcW w:type="dxa" w:w="6192"/>
            <w:shd w:val="clear" w:color="auto" w:fill="F8FAF9"/>
          </w:tcPr>
          <w:p>
            <w:pPr>
              <w:spacing w:before="60" w:after="60"/>
              <w:jc w:val="left"/>
            </w:pPr>
            <w:r>
              <w:rPr>
                <w:rFonts w:ascii="Times New Roman" w:hAnsi="Times New Roman"/>
                <w:color w:val="212529"/>
                <w:sz w:val="19"/>
              </w:rPr>
              <w:t>Configured to 'light' with custom CSS styling injected dynamically.</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