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345A" w14:textId="77777777" w:rsidR="00BB4E70" w:rsidRDefault="00000000" w:rsidP="00FD45F5">
      <w:pPr>
        <w:spacing w:after="60"/>
        <w:jc w:val="center"/>
      </w:pPr>
      <w:r>
        <w:rPr>
          <w:rFonts w:ascii="Arial" w:eastAsia="Arial" w:hAnsi="Arial" w:cs="Arial"/>
          <w:b/>
          <w:bCs/>
          <w:color w:val="14161A"/>
          <w:sz w:val="52"/>
          <w:szCs w:val="52"/>
        </w:rPr>
        <w:t>LASTMILE DELIVERY TRACKER</w:t>
      </w:r>
    </w:p>
    <w:p w14:paraId="775F2D32" w14:textId="77777777" w:rsidR="00BB4E70" w:rsidRDefault="00000000" w:rsidP="00FD45F5">
      <w:pPr>
        <w:spacing w:after="60"/>
        <w:jc w:val="center"/>
      </w:pPr>
      <w:r>
        <w:rPr>
          <w:rFonts w:ascii="Arial" w:eastAsia="Arial" w:hAnsi="Arial" w:cs="Arial"/>
          <w:color w:val="6B6558"/>
          <w:sz w:val="28"/>
          <w:szCs w:val="28"/>
        </w:rPr>
        <w:t>System Design Write-Up</w:t>
      </w:r>
    </w:p>
    <w:p w14:paraId="1955C277" w14:textId="77777777" w:rsidR="00BB4E70" w:rsidRDefault="00000000" w:rsidP="00FD45F5">
      <w:pPr>
        <w:spacing w:after="320"/>
        <w:jc w:val="center"/>
        <w:rPr>
          <w:rFonts w:ascii="Courier New" w:eastAsia="Courier New" w:hAnsi="Courier New" w:cs="Courier New"/>
          <w:color w:val="6B6558"/>
          <w:sz w:val="20"/>
          <w:szCs w:val="20"/>
        </w:rPr>
      </w:pPr>
      <w:r>
        <w:rPr>
          <w:rFonts w:ascii="Courier New" w:eastAsia="Courier New" w:hAnsi="Courier New" w:cs="Courier New"/>
          <w:color w:val="6B6558"/>
          <w:sz w:val="20"/>
          <w:szCs w:val="20"/>
        </w:rPr>
        <w:t>Node.js · Express · Prisma · PostgreSQL · React</w:t>
      </w:r>
    </w:p>
    <w:p w14:paraId="6122BE66" w14:textId="77777777" w:rsidR="00FD45F5" w:rsidRDefault="00FD45F5" w:rsidP="00FD45F5">
      <w:pPr>
        <w:spacing w:after="320"/>
        <w:jc w:val="center"/>
      </w:pPr>
    </w:p>
    <w:p w14:paraId="0A1206E8" w14:textId="77777777" w:rsidR="00BB4E70" w:rsidRDefault="00000000">
      <w:pPr>
        <w:pStyle w:val="Heading1"/>
        <w:pBdr>
          <w:bottom w:val="single" w:sz="6" w:space="0" w:color="9B3A24"/>
        </w:pBdr>
        <w:spacing w:before="360" w:after="120"/>
        <w:rPr>
          <w:rFonts w:ascii="Arial" w:eastAsia="Arial" w:hAnsi="Arial" w:cs="Arial"/>
          <w:b/>
          <w:bCs/>
          <w:color w:val="14161A"/>
        </w:rPr>
      </w:pPr>
      <w:r>
        <w:t>1. Rate Calculation Engine</w:t>
      </w:r>
    </w:p>
    <w:p w14:paraId="709FA42E" w14:textId="77777777" w:rsidR="00BB4E70" w:rsidRDefault="00000000">
      <w:pPr>
        <w:spacing w:before="60" w:after="80"/>
        <w:jc w:val="both"/>
      </w:pPr>
      <w:r>
        <w:rPr>
          <w:color w:val="14161A"/>
        </w:rPr>
        <w:t>The rate engine is a stateless, config-driven service (</w:t>
      </w:r>
    </w:p>
    <w:p w14:paraId="376A77DD" w14:textId="77777777" w:rsidR="00BB4E70" w:rsidRDefault="00000000">
      <w:pPr>
        <w:spacing w:before="60" w:after="80"/>
        <w:jc w:val="both"/>
      </w:pPr>
      <w:r>
        <w:rPr>
          <w:color w:val="14161A"/>
        </w:rPr>
        <w:t xml:space="preserve">The rate engine is a pure function in </w:t>
      </w:r>
      <w:r>
        <w:rPr>
          <w:rFonts w:ascii="Courier New" w:eastAsia="Courier New" w:hAnsi="Courier New" w:cs="Courier New"/>
          <w:color w:val="9B3A24"/>
          <w:sz w:val="20"/>
          <w:szCs w:val="20"/>
        </w:rPr>
        <w:t>rateEngine.service.js</w:t>
      </w:r>
      <w:r>
        <w:rPr>
          <w:color w:val="14161A"/>
        </w:rPr>
        <w:t xml:space="preserve"> that takes order inputs and returns a fully itemised charge breakdown. No rates are hardcoded — every value is admin-configurable through the </w:t>
      </w:r>
      <w:proofErr w:type="spellStart"/>
      <w:r>
        <w:rPr>
          <w:rFonts w:ascii="Courier New" w:eastAsia="Courier New" w:hAnsi="Courier New" w:cs="Courier New"/>
          <w:color w:val="9B3A24"/>
          <w:sz w:val="20"/>
          <w:szCs w:val="20"/>
        </w:rPr>
        <w:t>RateCard</w:t>
      </w:r>
      <w:proofErr w:type="spellEnd"/>
      <w:r>
        <w:rPr>
          <w:color w:val="14161A"/>
        </w:rPr>
        <w:t xml:space="preserve"> table in the database.</w:t>
      </w:r>
    </w:p>
    <w:p w14:paraId="0A853C92" w14:textId="77777777" w:rsidR="00BB4E70" w:rsidRDefault="00000000">
      <w:pPr>
        <w:spacing w:before="280" w:after="80"/>
      </w:pPr>
      <w:r>
        <w:rPr>
          <w:rFonts w:ascii="Arial" w:eastAsia="Arial" w:hAnsi="Arial" w:cs="Arial"/>
          <w:b/>
          <w:bCs/>
          <w:color w:val="9B3A24"/>
          <w:sz w:val="26"/>
          <w:szCs w:val="26"/>
        </w:rPr>
        <w:t>Calculation Steps</w:t>
      </w:r>
    </w:p>
    <w:tbl>
      <w:tblPr>
        <w:tblW w:w="5000" w:type="pct"/>
        <w:tblCellMar>
          <w:left w:w="10" w:type="dxa"/>
          <w:right w:w="10" w:type="dxa"/>
        </w:tblCellMar>
        <w:tblLook w:val="0000" w:firstRow="0" w:lastRow="0" w:firstColumn="0" w:lastColumn="0" w:noHBand="0" w:noVBand="0"/>
      </w:tblPr>
      <w:tblGrid>
        <w:gridCol w:w="9026"/>
      </w:tblGrid>
      <w:tr w:rsidR="00BB4E70" w14:paraId="58225FD7" w14:textId="77777777">
        <w:tblPrEx>
          <w:tblCellMar>
            <w:top w:w="0" w:type="dxa"/>
            <w:bottom w:w="0" w:type="dxa"/>
          </w:tblCellMar>
        </w:tblPrEx>
        <w:tc>
          <w:tcPr>
            <w:tcW w:w="9360" w:type="dxa"/>
            <w:shd w:val="clear" w:color="auto" w:fill="F6F4EE"/>
            <w:tcMar>
              <w:top w:w="120" w:type="dxa"/>
              <w:left w:w="240" w:type="dxa"/>
              <w:bottom w:w="120" w:type="dxa"/>
              <w:right w:w="240" w:type="dxa"/>
            </w:tcMar>
          </w:tcPr>
          <w:p w14:paraId="34715401" w14:textId="77777777" w:rsidR="00BB4E70" w:rsidRDefault="00000000">
            <w:pPr>
              <w:spacing w:before="40" w:after="40"/>
            </w:pPr>
            <w:r>
              <w:rPr>
                <w:b/>
                <w:bCs/>
                <w:color w:val="9B3A24"/>
              </w:rPr>
              <w:t>Step 1 — Zone Detection</w:t>
            </w:r>
          </w:p>
          <w:p w14:paraId="7AB06F38" w14:textId="77777777" w:rsidR="00BB4E70" w:rsidRDefault="00000000">
            <w:pPr>
              <w:spacing w:after="40"/>
            </w:pPr>
            <w:r>
              <w:rPr>
                <w:color w:val="14161A"/>
              </w:rPr>
              <w:t xml:space="preserve">Look up both </w:t>
            </w:r>
            <w:proofErr w:type="spellStart"/>
            <w:r>
              <w:rPr>
                <w:rFonts w:ascii="Courier New" w:eastAsia="Courier New" w:hAnsi="Courier New" w:cs="Courier New"/>
                <w:color w:val="9B3A24"/>
                <w:sz w:val="20"/>
                <w:szCs w:val="20"/>
              </w:rPr>
              <w:t>pickupPincode</w:t>
            </w:r>
            <w:proofErr w:type="spellEnd"/>
            <w:r>
              <w:rPr>
                <w:color w:val="14161A"/>
              </w:rPr>
              <w:t xml:space="preserve"> and </w:t>
            </w:r>
            <w:proofErr w:type="spellStart"/>
            <w:r>
              <w:rPr>
                <w:rFonts w:ascii="Courier New" w:eastAsia="Courier New" w:hAnsi="Courier New" w:cs="Courier New"/>
                <w:color w:val="9B3A24"/>
                <w:sz w:val="20"/>
                <w:szCs w:val="20"/>
              </w:rPr>
              <w:t>dropPincode</w:t>
            </w:r>
            <w:proofErr w:type="spellEnd"/>
            <w:r>
              <w:rPr>
                <w:color w:val="14161A"/>
              </w:rPr>
              <w:t xml:space="preserve"> in the </w:t>
            </w:r>
            <w:r>
              <w:rPr>
                <w:rFonts w:ascii="Courier New" w:eastAsia="Courier New" w:hAnsi="Courier New" w:cs="Courier New"/>
                <w:color w:val="9B3A24"/>
                <w:sz w:val="20"/>
                <w:szCs w:val="20"/>
              </w:rPr>
              <w:t>Area</w:t>
            </w:r>
            <w:r>
              <w:rPr>
                <w:color w:val="14161A"/>
              </w:rPr>
              <w:t xml:space="preserve"> table. Each </w:t>
            </w:r>
            <w:proofErr w:type="spellStart"/>
            <w:r>
              <w:rPr>
                <w:color w:val="14161A"/>
              </w:rPr>
              <w:t>pincode</w:t>
            </w:r>
            <w:proofErr w:type="spellEnd"/>
            <w:r>
              <w:rPr>
                <w:color w:val="14161A"/>
              </w:rPr>
              <w:t xml:space="preserve"> is mapped to exactly one Zone by the admin. If either </w:t>
            </w:r>
            <w:proofErr w:type="spellStart"/>
            <w:r>
              <w:rPr>
                <w:color w:val="14161A"/>
              </w:rPr>
              <w:t>pincode</w:t>
            </w:r>
            <w:proofErr w:type="spellEnd"/>
            <w:r>
              <w:rPr>
                <w:color w:val="14161A"/>
              </w:rPr>
              <w:t xml:space="preserve"> is unmapped, the order is rejected with a descriptive error before any charge is calculated.</w:t>
            </w:r>
          </w:p>
          <w:p w14:paraId="5DA7B4C6" w14:textId="77777777" w:rsidR="00BB4E70" w:rsidRDefault="00000000">
            <w:pPr>
              <w:spacing w:before="40" w:after="40"/>
            </w:pPr>
            <w:r>
              <w:rPr>
                <w:b/>
                <w:bCs/>
                <w:color w:val="9B3A24"/>
              </w:rPr>
              <w:t>Step 2 — Intra / Inter Zone</w:t>
            </w:r>
          </w:p>
          <w:p w14:paraId="05CEEC78" w14:textId="77777777" w:rsidR="00BB4E70" w:rsidRDefault="00000000">
            <w:pPr>
              <w:spacing w:after="40"/>
            </w:pPr>
            <w:r>
              <w:rPr>
                <w:color w:val="14161A"/>
              </w:rPr>
              <w:t xml:space="preserve">Compare </w:t>
            </w:r>
            <w:r>
              <w:rPr>
                <w:rFonts w:ascii="Courier New" w:eastAsia="Courier New" w:hAnsi="Courier New" w:cs="Courier New"/>
                <w:color w:val="9B3A24"/>
                <w:sz w:val="20"/>
                <w:szCs w:val="20"/>
              </w:rPr>
              <w:t>pickupZone.id === dropZone.id</w:t>
            </w:r>
            <w:r>
              <w:rPr>
                <w:color w:val="14161A"/>
              </w:rPr>
              <w:t>. Intra-zone orders apply the lower "same-zone" rate; inter-zone orders apply the higher cross-zone rate.</w:t>
            </w:r>
          </w:p>
          <w:p w14:paraId="6E527794" w14:textId="77777777" w:rsidR="00BB4E70" w:rsidRDefault="00000000">
            <w:pPr>
              <w:spacing w:before="40" w:after="40"/>
            </w:pPr>
            <w:r>
              <w:rPr>
                <w:b/>
                <w:bCs/>
                <w:color w:val="9B3A24"/>
              </w:rPr>
              <w:t>Step 3 — Volumetric Weight</w:t>
            </w:r>
          </w:p>
          <w:p w14:paraId="6CC26D9C" w14:textId="77777777" w:rsidR="00BB4E70" w:rsidRDefault="00000000">
            <w:pPr>
              <w:spacing w:after="40"/>
            </w:pPr>
            <w:proofErr w:type="spellStart"/>
            <w:r>
              <w:rPr>
                <w:rFonts w:ascii="Courier New" w:eastAsia="Courier New" w:hAnsi="Courier New" w:cs="Courier New"/>
                <w:color w:val="9B3A24"/>
                <w:sz w:val="20"/>
                <w:szCs w:val="20"/>
              </w:rPr>
              <w:t>volumetricWeight</w:t>
            </w:r>
            <w:proofErr w:type="spellEnd"/>
            <w:r>
              <w:rPr>
                <w:rFonts w:ascii="Courier New" w:eastAsia="Courier New" w:hAnsi="Courier New" w:cs="Courier New"/>
                <w:color w:val="9B3A24"/>
                <w:sz w:val="20"/>
                <w:szCs w:val="20"/>
              </w:rPr>
              <w:t xml:space="preserve"> = (L × B × H) / </w:t>
            </w:r>
            <w:proofErr w:type="gramStart"/>
            <w:r>
              <w:rPr>
                <w:rFonts w:ascii="Courier New" w:eastAsia="Courier New" w:hAnsi="Courier New" w:cs="Courier New"/>
                <w:color w:val="9B3A24"/>
                <w:sz w:val="20"/>
                <w:szCs w:val="20"/>
              </w:rPr>
              <w:t>5000</w:t>
            </w:r>
            <w:r>
              <w:rPr>
                <w:color w:val="6B6558"/>
              </w:rPr>
              <w:t xml:space="preserve">  (</w:t>
            </w:r>
            <w:proofErr w:type="gramEnd"/>
            <w:r>
              <w:rPr>
                <w:color w:val="6B6558"/>
              </w:rPr>
              <w:t>industry-standard divisor for cm → kg)</w:t>
            </w:r>
          </w:p>
          <w:p w14:paraId="79F3FBD2" w14:textId="77777777" w:rsidR="00BB4E70" w:rsidRDefault="00000000">
            <w:pPr>
              <w:spacing w:before="40" w:after="40"/>
            </w:pPr>
            <w:r>
              <w:rPr>
                <w:b/>
                <w:bCs/>
                <w:color w:val="9B3A24"/>
              </w:rPr>
              <w:t>Step 4 — Chargeable Weight</w:t>
            </w:r>
          </w:p>
          <w:p w14:paraId="201094C3" w14:textId="77777777" w:rsidR="00BB4E70" w:rsidRDefault="00000000">
            <w:pPr>
              <w:spacing w:after="40"/>
            </w:pPr>
            <w:proofErr w:type="spellStart"/>
            <w:r>
              <w:rPr>
                <w:rFonts w:ascii="Courier New" w:eastAsia="Courier New" w:hAnsi="Courier New" w:cs="Courier New"/>
                <w:color w:val="9B3A24"/>
                <w:sz w:val="20"/>
                <w:szCs w:val="20"/>
              </w:rPr>
              <w:t>chargeableWeight</w:t>
            </w:r>
            <w:proofErr w:type="spellEnd"/>
            <w:r>
              <w:rPr>
                <w:rFonts w:ascii="Courier New" w:eastAsia="Courier New" w:hAnsi="Courier New" w:cs="Courier New"/>
                <w:color w:val="9B3A24"/>
                <w:sz w:val="20"/>
                <w:szCs w:val="20"/>
              </w:rPr>
              <w:t xml:space="preserve"> = </w:t>
            </w:r>
            <w:proofErr w:type="gramStart"/>
            <w:r>
              <w:rPr>
                <w:rFonts w:ascii="Courier New" w:eastAsia="Courier New" w:hAnsi="Courier New" w:cs="Courier New"/>
                <w:color w:val="9B3A24"/>
                <w:sz w:val="20"/>
                <w:szCs w:val="20"/>
              </w:rPr>
              <w:t>max(</w:t>
            </w:r>
            <w:proofErr w:type="spellStart"/>
            <w:proofErr w:type="gramEnd"/>
            <w:r>
              <w:rPr>
                <w:rFonts w:ascii="Courier New" w:eastAsia="Courier New" w:hAnsi="Courier New" w:cs="Courier New"/>
                <w:color w:val="9B3A24"/>
                <w:sz w:val="20"/>
                <w:szCs w:val="20"/>
              </w:rPr>
              <w:t>actualWeight</w:t>
            </w:r>
            <w:proofErr w:type="spellEnd"/>
            <w:r>
              <w:rPr>
                <w:rFonts w:ascii="Courier New" w:eastAsia="Courier New" w:hAnsi="Courier New" w:cs="Courier New"/>
                <w:color w:val="9B3A24"/>
                <w:sz w:val="20"/>
                <w:szCs w:val="20"/>
              </w:rPr>
              <w:t xml:space="preserve">, </w:t>
            </w:r>
            <w:proofErr w:type="spellStart"/>
            <w:r>
              <w:rPr>
                <w:rFonts w:ascii="Courier New" w:eastAsia="Courier New" w:hAnsi="Courier New" w:cs="Courier New"/>
                <w:color w:val="9B3A24"/>
                <w:sz w:val="20"/>
                <w:szCs w:val="20"/>
              </w:rPr>
              <w:t>volumetricWeight</w:t>
            </w:r>
            <w:proofErr w:type="spellEnd"/>
            <w:r>
              <w:rPr>
                <w:rFonts w:ascii="Courier New" w:eastAsia="Courier New" w:hAnsi="Courier New" w:cs="Courier New"/>
                <w:color w:val="9B3A24"/>
                <w:sz w:val="20"/>
                <w:szCs w:val="20"/>
              </w:rPr>
              <w:t>)</w:t>
            </w:r>
          </w:p>
          <w:p w14:paraId="3727BEDA" w14:textId="77777777" w:rsidR="00BB4E70" w:rsidRDefault="00000000">
            <w:pPr>
              <w:spacing w:before="40" w:after="40"/>
            </w:pPr>
            <w:r>
              <w:rPr>
                <w:b/>
                <w:bCs/>
                <w:color w:val="9B3A24"/>
              </w:rPr>
              <w:t>Step 5 — Rate Card Lookup</w:t>
            </w:r>
          </w:p>
          <w:p w14:paraId="0AD18C03" w14:textId="77777777" w:rsidR="00BB4E70" w:rsidRDefault="00000000">
            <w:pPr>
              <w:spacing w:after="40"/>
            </w:pPr>
            <w:r>
              <w:rPr>
                <w:color w:val="14161A"/>
              </w:rPr>
              <w:t>Fetch the unique rate card keyed on (</w:t>
            </w:r>
            <w:proofErr w:type="spellStart"/>
            <w:r>
              <w:rPr>
                <w:rFonts w:ascii="Courier New" w:eastAsia="Courier New" w:hAnsi="Courier New" w:cs="Courier New"/>
                <w:color w:val="9B3A24"/>
                <w:sz w:val="20"/>
                <w:szCs w:val="20"/>
              </w:rPr>
              <w:t>pickupZoneId</w:t>
            </w:r>
            <w:proofErr w:type="spellEnd"/>
            <w:r>
              <w:rPr>
                <w:rFonts w:ascii="Courier New" w:eastAsia="Courier New" w:hAnsi="Courier New" w:cs="Courier New"/>
                <w:color w:val="9B3A24"/>
                <w:sz w:val="20"/>
                <w:szCs w:val="20"/>
              </w:rPr>
              <w:t xml:space="preserve">, </w:t>
            </w:r>
            <w:proofErr w:type="spellStart"/>
            <w:r>
              <w:rPr>
                <w:rFonts w:ascii="Courier New" w:eastAsia="Courier New" w:hAnsi="Courier New" w:cs="Courier New"/>
                <w:color w:val="9B3A24"/>
                <w:sz w:val="20"/>
                <w:szCs w:val="20"/>
              </w:rPr>
              <w:t>orderType</w:t>
            </w:r>
            <w:proofErr w:type="spellEnd"/>
            <w:r>
              <w:rPr>
                <w:rFonts w:ascii="Courier New" w:eastAsia="Courier New" w:hAnsi="Courier New" w:cs="Courier New"/>
                <w:color w:val="9B3A24"/>
                <w:sz w:val="20"/>
                <w:szCs w:val="20"/>
              </w:rPr>
              <w:t xml:space="preserve">, </w:t>
            </w:r>
            <w:proofErr w:type="spellStart"/>
            <w:r>
              <w:rPr>
                <w:rFonts w:ascii="Courier New" w:eastAsia="Courier New" w:hAnsi="Courier New" w:cs="Courier New"/>
                <w:color w:val="9B3A24"/>
                <w:sz w:val="20"/>
                <w:szCs w:val="20"/>
              </w:rPr>
              <w:t>isIntraZone</w:t>
            </w:r>
            <w:proofErr w:type="spellEnd"/>
            <w:r>
              <w:rPr>
                <w:color w:val="14161A"/>
              </w:rPr>
              <w:t xml:space="preserve">). A composite unique constraint in the DB prevents duplicates. Rate cards store </w:t>
            </w:r>
            <w:proofErr w:type="spellStart"/>
            <w:r>
              <w:rPr>
                <w:rFonts w:ascii="Courier New" w:eastAsia="Courier New" w:hAnsi="Courier New" w:cs="Courier New"/>
                <w:color w:val="9B3A24"/>
                <w:sz w:val="20"/>
                <w:szCs w:val="20"/>
              </w:rPr>
              <w:t>baseRate</w:t>
            </w:r>
            <w:proofErr w:type="spellEnd"/>
            <w:r>
              <w:rPr>
                <w:color w:val="14161A"/>
              </w:rPr>
              <w:t xml:space="preserve"> (₹ per kg) and </w:t>
            </w:r>
            <w:proofErr w:type="spellStart"/>
            <w:r>
              <w:rPr>
                <w:rFonts w:ascii="Courier New" w:eastAsia="Courier New" w:hAnsi="Courier New" w:cs="Courier New"/>
                <w:color w:val="9B3A24"/>
                <w:sz w:val="20"/>
                <w:szCs w:val="20"/>
              </w:rPr>
              <w:t>codSurcharge</w:t>
            </w:r>
            <w:proofErr w:type="spellEnd"/>
            <w:r>
              <w:rPr>
                <w:color w:val="14161A"/>
              </w:rPr>
              <w:t xml:space="preserve"> (flat ₹ per order), both admin-editable at any time.</w:t>
            </w:r>
          </w:p>
          <w:p w14:paraId="23F50843" w14:textId="77777777" w:rsidR="00BB4E70" w:rsidRDefault="00000000">
            <w:pPr>
              <w:spacing w:before="40" w:after="40"/>
            </w:pPr>
            <w:r>
              <w:rPr>
                <w:b/>
                <w:bCs/>
                <w:color w:val="9B3A24"/>
              </w:rPr>
              <w:t>Step 6 — Final Charge</w:t>
            </w:r>
          </w:p>
          <w:p w14:paraId="0A4ABC86" w14:textId="77777777" w:rsidR="00BB4E70" w:rsidRDefault="00000000">
            <w:pPr>
              <w:spacing w:after="20"/>
            </w:pPr>
            <w:proofErr w:type="spellStart"/>
            <w:r>
              <w:rPr>
                <w:rFonts w:ascii="Courier New" w:eastAsia="Courier New" w:hAnsi="Courier New" w:cs="Courier New"/>
                <w:color w:val="9B3A24"/>
                <w:sz w:val="20"/>
                <w:szCs w:val="20"/>
              </w:rPr>
              <w:t>baseCharge</w:t>
            </w:r>
            <w:proofErr w:type="spellEnd"/>
            <w:r>
              <w:rPr>
                <w:rFonts w:ascii="Courier New" w:eastAsia="Courier New" w:hAnsi="Courier New" w:cs="Courier New"/>
                <w:color w:val="9B3A24"/>
                <w:sz w:val="20"/>
                <w:szCs w:val="20"/>
              </w:rPr>
              <w:t xml:space="preserve"> = </w:t>
            </w:r>
            <w:proofErr w:type="spellStart"/>
            <w:r>
              <w:rPr>
                <w:rFonts w:ascii="Courier New" w:eastAsia="Courier New" w:hAnsi="Courier New" w:cs="Courier New"/>
                <w:color w:val="9B3A24"/>
                <w:sz w:val="20"/>
                <w:szCs w:val="20"/>
              </w:rPr>
              <w:t>chargeableWeight</w:t>
            </w:r>
            <w:proofErr w:type="spellEnd"/>
            <w:r>
              <w:rPr>
                <w:rFonts w:ascii="Courier New" w:eastAsia="Courier New" w:hAnsi="Courier New" w:cs="Courier New"/>
                <w:color w:val="9B3A24"/>
                <w:sz w:val="20"/>
                <w:szCs w:val="20"/>
              </w:rPr>
              <w:t xml:space="preserve"> × </w:t>
            </w:r>
            <w:proofErr w:type="spellStart"/>
            <w:r>
              <w:rPr>
                <w:rFonts w:ascii="Courier New" w:eastAsia="Courier New" w:hAnsi="Courier New" w:cs="Courier New"/>
                <w:color w:val="9B3A24"/>
                <w:sz w:val="20"/>
                <w:szCs w:val="20"/>
              </w:rPr>
              <w:t>baseRate</w:t>
            </w:r>
            <w:proofErr w:type="spellEnd"/>
          </w:p>
          <w:p w14:paraId="702F0D69" w14:textId="77777777" w:rsidR="00BB4E70" w:rsidRDefault="00000000">
            <w:pPr>
              <w:spacing w:after="60"/>
            </w:pPr>
            <w:proofErr w:type="spellStart"/>
            <w:r>
              <w:rPr>
                <w:rFonts w:ascii="Courier New" w:eastAsia="Courier New" w:hAnsi="Courier New" w:cs="Courier New"/>
                <w:color w:val="9B3A24"/>
                <w:sz w:val="20"/>
                <w:szCs w:val="20"/>
              </w:rPr>
              <w:t>totalCharge</w:t>
            </w:r>
            <w:proofErr w:type="spellEnd"/>
            <w:r>
              <w:rPr>
                <w:rFonts w:ascii="Courier New" w:eastAsia="Courier New" w:hAnsi="Courier New" w:cs="Courier New"/>
                <w:color w:val="9B3A24"/>
                <w:sz w:val="20"/>
                <w:szCs w:val="20"/>
              </w:rPr>
              <w:t xml:space="preserve"> = </w:t>
            </w:r>
            <w:proofErr w:type="spellStart"/>
            <w:r>
              <w:rPr>
                <w:rFonts w:ascii="Courier New" w:eastAsia="Courier New" w:hAnsi="Courier New" w:cs="Courier New"/>
                <w:color w:val="9B3A24"/>
                <w:sz w:val="20"/>
                <w:szCs w:val="20"/>
              </w:rPr>
              <w:t>baseCharge</w:t>
            </w:r>
            <w:proofErr w:type="spellEnd"/>
            <w:r>
              <w:rPr>
                <w:rFonts w:ascii="Courier New" w:eastAsia="Courier New" w:hAnsi="Courier New" w:cs="Courier New"/>
                <w:color w:val="9B3A24"/>
                <w:sz w:val="20"/>
                <w:szCs w:val="20"/>
              </w:rPr>
              <w:t xml:space="preserve"> + (</w:t>
            </w:r>
            <w:proofErr w:type="spellStart"/>
            <w:r>
              <w:rPr>
                <w:rFonts w:ascii="Courier New" w:eastAsia="Courier New" w:hAnsi="Courier New" w:cs="Courier New"/>
                <w:color w:val="9B3A24"/>
                <w:sz w:val="20"/>
                <w:szCs w:val="20"/>
              </w:rPr>
              <w:t>paymentType</w:t>
            </w:r>
            <w:proofErr w:type="spellEnd"/>
            <w:r>
              <w:rPr>
                <w:rFonts w:ascii="Courier New" w:eastAsia="Courier New" w:hAnsi="Courier New" w:cs="Courier New"/>
                <w:color w:val="9B3A24"/>
                <w:sz w:val="20"/>
                <w:szCs w:val="20"/>
              </w:rPr>
              <w:t xml:space="preserve"> === </w:t>
            </w:r>
            <w:proofErr w:type="gramStart"/>
            <w:r>
              <w:rPr>
                <w:rFonts w:ascii="Courier New" w:eastAsia="Courier New" w:hAnsi="Courier New" w:cs="Courier New"/>
                <w:color w:val="9B3A24"/>
                <w:sz w:val="20"/>
                <w:szCs w:val="20"/>
              </w:rPr>
              <w:t>COD ?</w:t>
            </w:r>
            <w:proofErr w:type="gramEnd"/>
            <w:r>
              <w:rPr>
                <w:rFonts w:ascii="Courier New" w:eastAsia="Courier New" w:hAnsi="Courier New" w:cs="Courier New"/>
                <w:color w:val="9B3A24"/>
                <w:sz w:val="20"/>
                <w:szCs w:val="20"/>
              </w:rPr>
              <w:t xml:space="preserve"> </w:t>
            </w:r>
            <w:proofErr w:type="spellStart"/>
            <w:proofErr w:type="gramStart"/>
            <w:r>
              <w:rPr>
                <w:rFonts w:ascii="Courier New" w:eastAsia="Courier New" w:hAnsi="Courier New" w:cs="Courier New"/>
                <w:color w:val="9B3A24"/>
                <w:sz w:val="20"/>
                <w:szCs w:val="20"/>
              </w:rPr>
              <w:t>codSurcharge</w:t>
            </w:r>
            <w:proofErr w:type="spellEnd"/>
            <w:r>
              <w:rPr>
                <w:rFonts w:ascii="Courier New" w:eastAsia="Courier New" w:hAnsi="Courier New" w:cs="Courier New"/>
                <w:color w:val="9B3A24"/>
                <w:sz w:val="20"/>
                <w:szCs w:val="20"/>
              </w:rPr>
              <w:t xml:space="preserve"> :</w:t>
            </w:r>
            <w:proofErr w:type="gramEnd"/>
            <w:r>
              <w:rPr>
                <w:rFonts w:ascii="Courier New" w:eastAsia="Courier New" w:hAnsi="Courier New" w:cs="Courier New"/>
                <w:color w:val="9B3A24"/>
                <w:sz w:val="20"/>
                <w:szCs w:val="20"/>
              </w:rPr>
              <w:t xml:space="preserve"> 0)</w:t>
            </w:r>
          </w:p>
        </w:tc>
      </w:tr>
    </w:tbl>
    <w:p w14:paraId="39C3AE1F" w14:textId="77777777" w:rsidR="00BB4E70" w:rsidRDefault="00000000">
      <w:pPr>
        <w:spacing w:before="60" w:after="80"/>
        <w:jc w:val="both"/>
      </w:pPr>
      <w:r>
        <w:rPr>
          <w:color w:val="14161A"/>
        </w:rPr>
        <w:t>The engine exposes a /orders/preview-charge endpoint that returns the full breakdown before the customer confirms. The confirmed order stores all computed values (</w:t>
      </w:r>
      <w:proofErr w:type="spellStart"/>
      <w:r>
        <w:rPr>
          <w:color w:val="14161A"/>
        </w:rPr>
        <w:t>volumetricWeight</w:t>
      </w:r>
      <w:proofErr w:type="spellEnd"/>
      <w:r>
        <w:rPr>
          <w:color w:val="14161A"/>
        </w:rPr>
        <w:t xml:space="preserve">, </w:t>
      </w:r>
      <w:proofErr w:type="spellStart"/>
      <w:r>
        <w:rPr>
          <w:color w:val="14161A"/>
        </w:rPr>
        <w:t>chargeableWeight</w:t>
      </w:r>
      <w:proofErr w:type="spellEnd"/>
      <w:r>
        <w:rPr>
          <w:color w:val="14161A"/>
        </w:rPr>
        <w:t xml:space="preserve">, </w:t>
      </w:r>
      <w:proofErr w:type="spellStart"/>
      <w:r>
        <w:rPr>
          <w:color w:val="14161A"/>
        </w:rPr>
        <w:t>baseCharge</w:t>
      </w:r>
      <w:proofErr w:type="spellEnd"/>
      <w:r>
        <w:rPr>
          <w:color w:val="14161A"/>
        </w:rPr>
        <w:t xml:space="preserve">, </w:t>
      </w:r>
      <w:proofErr w:type="spellStart"/>
      <w:r>
        <w:rPr>
          <w:color w:val="14161A"/>
        </w:rPr>
        <w:t>codSurcharge</w:t>
      </w:r>
      <w:proofErr w:type="spellEnd"/>
      <w:r>
        <w:rPr>
          <w:color w:val="14161A"/>
        </w:rPr>
        <w:t xml:space="preserve">, </w:t>
      </w:r>
      <w:proofErr w:type="spellStart"/>
      <w:r>
        <w:rPr>
          <w:color w:val="14161A"/>
        </w:rPr>
        <w:t>totalCharge</w:t>
      </w:r>
      <w:proofErr w:type="spellEnd"/>
      <w:r>
        <w:rPr>
          <w:color w:val="14161A"/>
        </w:rPr>
        <w:t>) as immutable snapshots — rate card changes never affect historical orders.</w:t>
      </w:r>
    </w:p>
    <w:p w14:paraId="22FBAE22" w14:textId="77777777" w:rsidR="00BB4E70" w:rsidRDefault="00BB4E70">
      <w:pPr>
        <w:pBdr>
          <w:bottom w:val="single" w:sz="4" w:space="0" w:color="DDDDDD"/>
        </w:pBdr>
        <w:spacing w:before="160" w:after="160"/>
      </w:pPr>
    </w:p>
    <w:p w14:paraId="2C542425" w14:textId="77777777" w:rsidR="00BB4E70" w:rsidRDefault="00000000">
      <w:pPr>
        <w:pStyle w:val="Heading1"/>
        <w:pBdr>
          <w:bottom w:val="single" w:sz="6" w:space="0" w:color="9B3A24"/>
        </w:pBdr>
        <w:spacing w:before="360" w:after="120"/>
        <w:rPr>
          <w:rFonts w:ascii="Arial" w:eastAsia="Arial" w:hAnsi="Arial" w:cs="Arial"/>
          <w:b/>
          <w:bCs/>
          <w:color w:val="14161A"/>
        </w:rPr>
      </w:pPr>
      <w:r>
        <w:t>2. Zone Detection Approach</w:t>
      </w:r>
    </w:p>
    <w:p w14:paraId="32FB7875" w14:textId="77777777" w:rsidR="00BB4E70" w:rsidRDefault="00000000">
      <w:pPr>
        <w:spacing w:before="60" w:after="80"/>
        <w:jc w:val="both"/>
      </w:pPr>
      <w:r>
        <w:rPr>
          <w:color w:val="14161A"/>
        </w:rPr>
        <w:t xml:space="preserve">Zones are admin-defined regions, each containing one or more </w:t>
      </w:r>
      <w:proofErr w:type="spellStart"/>
      <w:r>
        <w:rPr>
          <w:color w:val="14161A"/>
        </w:rPr>
        <w:t>pincodes</w:t>
      </w:r>
      <w:proofErr w:type="spellEnd"/>
      <w:r>
        <w:rPr>
          <w:color w:val="14161A"/>
        </w:rPr>
        <w:t xml:space="preserve"> (Areas). The schema is deliberately simple: a Zone has a name; an Area has a unique </w:t>
      </w:r>
      <w:proofErr w:type="spellStart"/>
      <w:r>
        <w:rPr>
          <w:color w:val="14161A"/>
        </w:rPr>
        <w:t>pincode</w:t>
      </w:r>
      <w:proofErr w:type="spellEnd"/>
      <w:r>
        <w:rPr>
          <w:color w:val="14161A"/>
        </w:rPr>
        <w:t>, city, state, and a foreign key to Zone.</w:t>
      </w:r>
    </w:p>
    <w:p w14:paraId="7448F23F" w14:textId="77777777" w:rsidR="00BB4E70" w:rsidRDefault="00000000">
      <w:pPr>
        <w:spacing w:before="60" w:after="80"/>
        <w:jc w:val="both"/>
      </w:pPr>
      <w:r>
        <w:rPr>
          <w:color w:val="14161A"/>
        </w:rPr>
        <w:t xml:space="preserve">Detection is a single indexed lookup: SELECT * FROM Area WHERE </w:t>
      </w:r>
      <w:proofErr w:type="spellStart"/>
      <w:r>
        <w:rPr>
          <w:color w:val="14161A"/>
        </w:rPr>
        <w:t>pincode</w:t>
      </w:r>
      <w:proofErr w:type="spellEnd"/>
      <w:r>
        <w:rPr>
          <w:color w:val="14161A"/>
        </w:rPr>
        <w:t xml:space="preserve"> = $1. Because the </w:t>
      </w:r>
      <w:proofErr w:type="spellStart"/>
      <w:r>
        <w:rPr>
          <w:color w:val="14161A"/>
        </w:rPr>
        <w:t>pincode</w:t>
      </w:r>
      <w:proofErr w:type="spellEnd"/>
      <w:r>
        <w:rPr>
          <w:color w:val="14161A"/>
        </w:rPr>
        <w:t xml:space="preserve"> column carries a UNIQUE constraint, this is an </w:t>
      </w:r>
      <w:proofErr w:type="gramStart"/>
      <w:r>
        <w:rPr>
          <w:color w:val="14161A"/>
        </w:rPr>
        <w:t>O(</w:t>
      </w:r>
      <w:proofErr w:type="gramEnd"/>
      <w:r>
        <w:rPr>
          <w:color w:val="14161A"/>
        </w:rPr>
        <w:t xml:space="preserve">1) query. No geocoding API is required — the admin </w:t>
      </w:r>
      <w:r>
        <w:rPr>
          <w:color w:val="14161A"/>
        </w:rPr>
        <w:lastRenderedPageBreak/>
        <w:t xml:space="preserve">maps </w:t>
      </w:r>
      <w:proofErr w:type="spellStart"/>
      <w:r>
        <w:rPr>
          <w:color w:val="14161A"/>
        </w:rPr>
        <w:t>pincodes</w:t>
      </w:r>
      <w:proofErr w:type="spellEnd"/>
      <w:r>
        <w:rPr>
          <w:color w:val="14161A"/>
        </w:rPr>
        <w:t xml:space="preserve"> to zones manually, which is standard practice for Indian last-mile operations where courier serviceability is </w:t>
      </w:r>
      <w:proofErr w:type="spellStart"/>
      <w:r>
        <w:rPr>
          <w:color w:val="14161A"/>
        </w:rPr>
        <w:t>pincode</w:t>
      </w:r>
      <w:proofErr w:type="spellEnd"/>
      <w:r>
        <w:rPr>
          <w:color w:val="14161A"/>
        </w:rPr>
        <w:t>-gated.</w:t>
      </w:r>
    </w:p>
    <w:tbl>
      <w:tblPr>
        <w:tblW w:w="5000" w:type="pct"/>
        <w:tblCellMar>
          <w:left w:w="10" w:type="dxa"/>
          <w:right w:w="10" w:type="dxa"/>
        </w:tblCellMar>
        <w:tblLook w:val="0000" w:firstRow="0" w:lastRow="0" w:firstColumn="0" w:lastColumn="0" w:noHBand="0" w:noVBand="0"/>
      </w:tblPr>
      <w:tblGrid>
        <w:gridCol w:w="9026"/>
      </w:tblGrid>
      <w:tr w:rsidR="00BB4E70" w14:paraId="7F206CAC" w14:textId="77777777">
        <w:tblPrEx>
          <w:tblCellMar>
            <w:top w:w="0" w:type="dxa"/>
            <w:bottom w:w="0" w:type="dxa"/>
          </w:tblCellMar>
        </w:tblPrEx>
        <w:tc>
          <w:tcPr>
            <w:tcW w:w="9360" w:type="dxa"/>
            <w:shd w:val="clear" w:color="auto" w:fill="F6F4EE"/>
            <w:tcMar>
              <w:top w:w="120" w:type="dxa"/>
              <w:left w:w="240" w:type="dxa"/>
              <w:bottom w:w="120" w:type="dxa"/>
              <w:right w:w="240" w:type="dxa"/>
            </w:tcMar>
          </w:tcPr>
          <w:p w14:paraId="2D82619C" w14:textId="77777777" w:rsidR="00BB4E70" w:rsidRDefault="00000000">
            <w:pPr>
              <w:spacing w:before="40" w:after="40"/>
            </w:pPr>
            <w:r>
              <w:rPr>
                <w:b/>
                <w:bCs/>
                <w:color w:val="6B6558"/>
              </w:rPr>
              <w:t xml:space="preserve">Zone: </w:t>
            </w:r>
            <w:r>
              <w:rPr>
                <w:color w:val="14161A"/>
              </w:rPr>
              <w:t>North Delhi</w:t>
            </w:r>
          </w:p>
          <w:p w14:paraId="7DE767EC" w14:textId="77777777" w:rsidR="00BB4E70" w:rsidRDefault="00000000">
            <w:pPr>
              <w:spacing w:before="40" w:after="40"/>
            </w:pPr>
            <w:proofErr w:type="spellStart"/>
            <w:r>
              <w:rPr>
                <w:b/>
                <w:bCs/>
                <w:color w:val="6B6558"/>
              </w:rPr>
              <w:t>Pincodes</w:t>
            </w:r>
            <w:proofErr w:type="spellEnd"/>
            <w:r>
              <w:rPr>
                <w:b/>
                <w:bCs/>
                <w:color w:val="6B6558"/>
              </w:rPr>
              <w:t xml:space="preserve">: </w:t>
            </w:r>
            <w:r>
              <w:rPr>
                <w:color w:val="14161A"/>
              </w:rPr>
              <w:t>110001, 110006, 110009</w:t>
            </w:r>
          </w:p>
          <w:p w14:paraId="318AC92A" w14:textId="77777777" w:rsidR="00BB4E70" w:rsidRDefault="00BB4E70">
            <w:pPr>
              <w:spacing w:before="10" w:after="10"/>
            </w:pPr>
          </w:p>
          <w:p w14:paraId="3454109F" w14:textId="77777777" w:rsidR="00BB4E70" w:rsidRDefault="00000000">
            <w:pPr>
              <w:spacing w:before="40" w:after="40"/>
            </w:pPr>
            <w:r>
              <w:rPr>
                <w:b/>
                <w:bCs/>
                <w:color w:val="6B6558"/>
              </w:rPr>
              <w:t xml:space="preserve">Zone: </w:t>
            </w:r>
            <w:r>
              <w:rPr>
                <w:color w:val="14161A"/>
              </w:rPr>
              <w:t>Gurugram</w:t>
            </w:r>
          </w:p>
          <w:p w14:paraId="180E7EBA" w14:textId="77777777" w:rsidR="00BB4E70" w:rsidRDefault="00000000">
            <w:pPr>
              <w:spacing w:before="40" w:after="40"/>
            </w:pPr>
            <w:proofErr w:type="spellStart"/>
            <w:r>
              <w:rPr>
                <w:b/>
                <w:bCs/>
                <w:color w:val="6B6558"/>
              </w:rPr>
              <w:t>Pincodes</w:t>
            </w:r>
            <w:proofErr w:type="spellEnd"/>
            <w:r>
              <w:rPr>
                <w:b/>
                <w:bCs/>
                <w:color w:val="6B6558"/>
              </w:rPr>
              <w:t xml:space="preserve">: </w:t>
            </w:r>
            <w:r>
              <w:rPr>
                <w:color w:val="14161A"/>
              </w:rPr>
              <w:t>122001, 122018, 122022</w:t>
            </w:r>
          </w:p>
        </w:tc>
      </w:tr>
    </w:tbl>
    <w:p w14:paraId="19F61127" w14:textId="77777777" w:rsidR="00BB4E70" w:rsidRDefault="00000000">
      <w:pPr>
        <w:spacing w:before="60" w:after="80"/>
        <w:jc w:val="both"/>
      </w:pPr>
      <w:r>
        <w:rPr>
          <w:color w:val="14161A"/>
        </w:rPr>
        <w:t xml:space="preserve">This approach keeps admin control maximal — serviceability areas can be updated in real time without code changes. If a </w:t>
      </w:r>
      <w:proofErr w:type="spellStart"/>
      <w:r>
        <w:rPr>
          <w:color w:val="14161A"/>
        </w:rPr>
        <w:t>pincode</w:t>
      </w:r>
      <w:proofErr w:type="spellEnd"/>
      <w:r>
        <w:rPr>
          <w:color w:val="14161A"/>
        </w:rPr>
        <w:t xml:space="preserve"> is not found, the API returns a clear error identifying the unmapped </w:t>
      </w:r>
      <w:proofErr w:type="spellStart"/>
      <w:r>
        <w:rPr>
          <w:color w:val="14161A"/>
        </w:rPr>
        <w:t>pincode</w:t>
      </w:r>
      <w:proofErr w:type="spellEnd"/>
      <w:r>
        <w:rPr>
          <w:color w:val="14161A"/>
        </w:rPr>
        <w:t>, so the admin knows exactly what to configure.</w:t>
      </w:r>
    </w:p>
    <w:p w14:paraId="0FFCB2A7" w14:textId="77777777" w:rsidR="00BB4E70" w:rsidRDefault="00BB4E70">
      <w:pPr>
        <w:pBdr>
          <w:bottom w:val="single" w:sz="4" w:space="0" w:color="DDDDDD"/>
        </w:pBdr>
        <w:spacing w:before="160" w:after="160"/>
      </w:pPr>
    </w:p>
    <w:p w14:paraId="6C5E6DF5" w14:textId="77777777" w:rsidR="00BB4E70" w:rsidRDefault="00000000">
      <w:pPr>
        <w:pStyle w:val="Heading1"/>
        <w:pBdr>
          <w:bottom w:val="single" w:sz="6" w:space="0" w:color="9B3A24"/>
        </w:pBdr>
        <w:spacing w:before="360" w:after="120"/>
        <w:rPr>
          <w:rFonts w:ascii="Arial" w:eastAsia="Arial" w:hAnsi="Arial" w:cs="Arial"/>
          <w:b/>
          <w:bCs/>
          <w:color w:val="14161A"/>
        </w:rPr>
      </w:pPr>
      <w:r>
        <w:t>3. Auto-Assignment Logic</w:t>
      </w:r>
    </w:p>
    <w:p w14:paraId="7DAD402B" w14:textId="77777777" w:rsidR="00BB4E70" w:rsidRDefault="00000000">
      <w:pPr>
        <w:spacing w:before="60" w:after="80"/>
        <w:jc w:val="both"/>
      </w:pPr>
      <w:r>
        <w:rPr>
          <w:color w:val="14161A"/>
        </w:rPr>
        <w:t>When an admin triggers auto-assign for an order, the assignment service runs a two-pass selection:</w:t>
      </w:r>
    </w:p>
    <w:p w14:paraId="7A83AEAC" w14:textId="77777777" w:rsidR="00BB4E70" w:rsidRDefault="00000000">
      <w:pPr>
        <w:pStyle w:val="ListParagraph"/>
        <w:numPr>
          <w:ilvl w:val="0"/>
          <w:numId w:val="1"/>
        </w:numPr>
        <w:spacing w:before="40" w:after="40"/>
      </w:pPr>
      <w:r>
        <w:rPr>
          <w:color w:val="14161A"/>
        </w:rPr>
        <w:t xml:space="preserve">Pass 1 — Zone-scoped: Fetch all agents with </w:t>
      </w:r>
      <w:proofErr w:type="spellStart"/>
      <w:r>
        <w:rPr>
          <w:color w:val="14161A"/>
        </w:rPr>
        <w:t>isAvailable</w:t>
      </w:r>
      <w:proofErr w:type="spellEnd"/>
      <w:r>
        <w:rPr>
          <w:color w:val="14161A"/>
        </w:rPr>
        <w:t xml:space="preserve"> = true AND </w:t>
      </w:r>
      <w:proofErr w:type="spellStart"/>
      <w:r>
        <w:rPr>
          <w:color w:val="14161A"/>
        </w:rPr>
        <w:t>zoneId</w:t>
      </w:r>
      <w:proofErr w:type="spellEnd"/>
      <w:r>
        <w:rPr>
          <w:color w:val="14161A"/>
        </w:rPr>
        <w:t xml:space="preserve"> = </w:t>
      </w:r>
      <w:proofErr w:type="spellStart"/>
      <w:r>
        <w:rPr>
          <w:color w:val="14161A"/>
        </w:rPr>
        <w:t>pickupZoneId</w:t>
      </w:r>
      <w:proofErr w:type="spellEnd"/>
      <w:r>
        <w:rPr>
          <w:color w:val="14161A"/>
        </w:rPr>
        <w:t>. Agents in the same zone as the pickup location are preferred because they have the shortest first-mile distance.</w:t>
      </w:r>
    </w:p>
    <w:p w14:paraId="28D102D5" w14:textId="77777777" w:rsidR="00BB4E70" w:rsidRDefault="00000000">
      <w:pPr>
        <w:pStyle w:val="ListParagraph"/>
        <w:numPr>
          <w:ilvl w:val="0"/>
          <w:numId w:val="1"/>
        </w:numPr>
        <w:spacing w:before="40" w:after="40"/>
      </w:pPr>
      <w:r>
        <w:rPr>
          <w:color w:val="14161A"/>
        </w:rPr>
        <w:t xml:space="preserve">Pass 2 — Fallback: If no agents are found in the pickup zone, expand the search to all available </w:t>
      </w:r>
      <w:proofErr w:type="gramStart"/>
      <w:r>
        <w:rPr>
          <w:color w:val="14161A"/>
        </w:rPr>
        <w:t>agents</w:t>
      </w:r>
      <w:proofErr w:type="gramEnd"/>
      <w:r>
        <w:rPr>
          <w:color w:val="14161A"/>
        </w:rPr>
        <w:t xml:space="preserve"> system-wide, ordered by fewest active orders (least busy first).</w:t>
      </w:r>
    </w:p>
    <w:p w14:paraId="75667314" w14:textId="77777777" w:rsidR="00BB4E70" w:rsidRDefault="00000000">
      <w:pPr>
        <w:pStyle w:val="ListParagraph"/>
        <w:numPr>
          <w:ilvl w:val="0"/>
          <w:numId w:val="1"/>
        </w:numPr>
        <w:spacing w:before="40" w:after="40"/>
      </w:pPr>
      <w:r>
        <w:rPr>
          <w:color w:val="14161A"/>
        </w:rPr>
        <w:t>Proximity ranking: If any candidate agents have latitude/longitude recorded, the Haversine formula ranks them by straight-line distance from the pickup coordinates. This is fast — O(n) with small n — and requires no external mapping API.</w:t>
      </w:r>
    </w:p>
    <w:p w14:paraId="7659ADF7" w14:textId="77777777" w:rsidR="00BB4E70" w:rsidRDefault="00000000">
      <w:pPr>
        <w:spacing w:before="60" w:after="80"/>
        <w:jc w:val="both"/>
      </w:pPr>
      <w:r>
        <w:rPr>
          <w:color w:val="14161A"/>
        </w:rPr>
        <w:t xml:space="preserve">On assignment, the agent's </w:t>
      </w:r>
      <w:proofErr w:type="spellStart"/>
      <w:r>
        <w:rPr>
          <w:color w:val="14161A"/>
        </w:rPr>
        <w:t>isAvailable</w:t>
      </w:r>
      <w:proofErr w:type="spellEnd"/>
      <w:r>
        <w:rPr>
          <w:color w:val="14161A"/>
        </w:rPr>
        <w:t xml:space="preserve"> flag is set to false, preventing double-booking. When an order reaches a terminal state (DELIVERED or FAILED), the agent is automatically freed by setting </w:t>
      </w:r>
      <w:proofErr w:type="spellStart"/>
      <w:r>
        <w:rPr>
          <w:color w:val="14161A"/>
        </w:rPr>
        <w:t>isAvailable</w:t>
      </w:r>
      <w:proofErr w:type="spellEnd"/>
      <w:r>
        <w:rPr>
          <w:color w:val="14161A"/>
        </w:rPr>
        <w:t xml:space="preserve"> = true, making them eligible for the next auto-assign cycle.</w:t>
      </w:r>
    </w:p>
    <w:tbl>
      <w:tblPr>
        <w:tblW w:w="5000" w:type="pct"/>
        <w:tblCellMar>
          <w:left w:w="10" w:type="dxa"/>
          <w:right w:w="10" w:type="dxa"/>
        </w:tblCellMar>
        <w:tblLook w:val="0000" w:firstRow="0" w:lastRow="0" w:firstColumn="0" w:lastColumn="0" w:noHBand="0" w:noVBand="0"/>
      </w:tblPr>
      <w:tblGrid>
        <w:gridCol w:w="9026"/>
      </w:tblGrid>
      <w:tr w:rsidR="00BB4E70" w14:paraId="196EB6EC" w14:textId="77777777">
        <w:tblPrEx>
          <w:tblCellMar>
            <w:top w:w="0" w:type="dxa"/>
            <w:bottom w:w="0" w:type="dxa"/>
          </w:tblCellMar>
        </w:tblPrEx>
        <w:tc>
          <w:tcPr>
            <w:tcW w:w="9360" w:type="dxa"/>
            <w:shd w:val="clear" w:color="auto" w:fill="F6F4EE"/>
            <w:tcMar>
              <w:top w:w="120" w:type="dxa"/>
              <w:left w:w="240" w:type="dxa"/>
              <w:bottom w:w="120" w:type="dxa"/>
              <w:right w:w="240" w:type="dxa"/>
            </w:tcMar>
          </w:tcPr>
          <w:p w14:paraId="6973C58E" w14:textId="77777777" w:rsidR="00BB4E70" w:rsidRDefault="00000000">
            <w:pPr>
              <w:spacing w:before="80" w:after="80"/>
            </w:pPr>
            <w:r>
              <w:rPr>
                <w:rFonts w:ascii="Courier New" w:eastAsia="Courier New" w:hAnsi="Courier New" w:cs="Courier New"/>
                <w:b/>
                <w:bCs/>
                <w:color w:val="9B3A24"/>
                <w:sz w:val="21"/>
                <w:szCs w:val="21"/>
              </w:rPr>
              <w:t xml:space="preserve">Haversine formula: </w:t>
            </w:r>
            <w:r>
              <w:rPr>
                <w:rFonts w:ascii="Courier New" w:eastAsia="Courier New" w:hAnsi="Courier New" w:cs="Courier New"/>
                <w:color w:val="14161A"/>
                <w:sz w:val="20"/>
                <w:szCs w:val="20"/>
              </w:rPr>
              <w:t xml:space="preserve">d = 2R × </w:t>
            </w:r>
            <w:proofErr w:type="gramStart"/>
            <w:r>
              <w:rPr>
                <w:rFonts w:ascii="Courier New" w:eastAsia="Courier New" w:hAnsi="Courier New" w:cs="Courier New"/>
                <w:color w:val="14161A"/>
                <w:sz w:val="20"/>
                <w:szCs w:val="20"/>
              </w:rPr>
              <w:t>arctan( √</w:t>
            </w:r>
            <w:proofErr w:type="gramEnd"/>
            <w:r>
              <w:rPr>
                <w:rFonts w:ascii="Courier New" w:eastAsia="Courier New" w:hAnsi="Courier New" w:cs="Courier New"/>
                <w:color w:val="14161A"/>
                <w:sz w:val="20"/>
                <w:szCs w:val="20"/>
              </w:rPr>
              <w:t>(sin²(</w:t>
            </w:r>
            <w:proofErr w:type="spellStart"/>
            <w:r>
              <w:rPr>
                <w:rFonts w:ascii="Courier New" w:eastAsia="Courier New" w:hAnsi="Courier New" w:cs="Courier New"/>
                <w:color w:val="14161A"/>
                <w:sz w:val="20"/>
                <w:szCs w:val="20"/>
              </w:rPr>
              <w:t>Δlat</w:t>
            </w:r>
            <w:proofErr w:type="spellEnd"/>
            <w:r>
              <w:rPr>
                <w:rFonts w:ascii="Courier New" w:eastAsia="Courier New" w:hAnsi="Courier New" w:cs="Courier New"/>
                <w:color w:val="14161A"/>
                <w:sz w:val="20"/>
                <w:szCs w:val="20"/>
              </w:rPr>
              <w:t>/2) + cos(lat</w:t>
            </w:r>
            <w:proofErr w:type="gramStart"/>
            <w:r>
              <w:rPr>
                <w:rFonts w:ascii="Courier New" w:eastAsia="Courier New" w:hAnsi="Courier New" w:cs="Courier New"/>
                <w:color w:val="14161A"/>
                <w:sz w:val="20"/>
                <w:szCs w:val="20"/>
              </w:rPr>
              <w:t>1)·</w:t>
            </w:r>
            <w:proofErr w:type="gramEnd"/>
            <w:r>
              <w:rPr>
                <w:rFonts w:ascii="Courier New" w:eastAsia="Courier New" w:hAnsi="Courier New" w:cs="Courier New"/>
                <w:color w:val="14161A"/>
                <w:sz w:val="20"/>
                <w:szCs w:val="20"/>
              </w:rPr>
              <w:t>cos(lat</w:t>
            </w:r>
            <w:proofErr w:type="gramStart"/>
            <w:r>
              <w:rPr>
                <w:rFonts w:ascii="Courier New" w:eastAsia="Courier New" w:hAnsi="Courier New" w:cs="Courier New"/>
                <w:color w:val="14161A"/>
                <w:sz w:val="20"/>
                <w:szCs w:val="20"/>
              </w:rPr>
              <w:t>2)·</w:t>
            </w:r>
            <w:proofErr w:type="gramEnd"/>
            <w:r>
              <w:rPr>
                <w:rFonts w:ascii="Courier New" w:eastAsia="Courier New" w:hAnsi="Courier New" w:cs="Courier New"/>
                <w:color w:val="14161A"/>
                <w:sz w:val="20"/>
                <w:szCs w:val="20"/>
              </w:rPr>
              <w:t>sin²(</w:t>
            </w:r>
            <w:proofErr w:type="spellStart"/>
            <w:r>
              <w:rPr>
                <w:rFonts w:ascii="Courier New" w:eastAsia="Courier New" w:hAnsi="Courier New" w:cs="Courier New"/>
                <w:color w:val="14161A"/>
                <w:sz w:val="20"/>
                <w:szCs w:val="20"/>
              </w:rPr>
              <w:t>Δlon</w:t>
            </w:r>
            <w:proofErr w:type="spellEnd"/>
            <w:r>
              <w:rPr>
                <w:rFonts w:ascii="Courier New" w:eastAsia="Courier New" w:hAnsi="Courier New" w:cs="Courier New"/>
                <w:color w:val="14161A"/>
                <w:sz w:val="20"/>
                <w:szCs w:val="20"/>
              </w:rPr>
              <w:t xml:space="preserve">/2)) / </w:t>
            </w:r>
            <w:proofErr w:type="gramStart"/>
            <w:r>
              <w:rPr>
                <w:rFonts w:ascii="Courier New" w:eastAsia="Courier New" w:hAnsi="Courier New" w:cs="Courier New"/>
                <w:color w:val="14161A"/>
                <w:sz w:val="20"/>
                <w:szCs w:val="20"/>
              </w:rPr>
              <w:t>√(</w:t>
            </w:r>
            <w:proofErr w:type="gramEnd"/>
            <w:r>
              <w:rPr>
                <w:rFonts w:ascii="Courier New" w:eastAsia="Courier New" w:hAnsi="Courier New" w:cs="Courier New"/>
                <w:color w:val="14161A"/>
                <w:sz w:val="20"/>
                <w:szCs w:val="20"/>
              </w:rPr>
              <w:t>1−...</w:t>
            </w:r>
            <w:proofErr w:type="gramStart"/>
            <w:r>
              <w:rPr>
                <w:rFonts w:ascii="Courier New" w:eastAsia="Courier New" w:hAnsi="Courier New" w:cs="Courier New"/>
                <w:color w:val="14161A"/>
                <w:sz w:val="20"/>
                <w:szCs w:val="20"/>
              </w:rPr>
              <w:t>) )</w:t>
            </w:r>
            <w:proofErr w:type="gramEnd"/>
          </w:p>
        </w:tc>
      </w:tr>
    </w:tbl>
    <w:p w14:paraId="476C4983" w14:textId="77777777" w:rsidR="00BB4E70" w:rsidRDefault="00000000">
      <w:pPr>
        <w:spacing w:before="60" w:after="80"/>
        <w:jc w:val="both"/>
      </w:pPr>
      <w:r>
        <w:rPr>
          <w:color w:val="14161A"/>
        </w:rPr>
        <w:t>Admins can also do manual assignment by selecting any available agent from a dropdown, bypassing auto-assign entirely. Both flows log the assignment event to the immutable tracking history.</w:t>
      </w:r>
    </w:p>
    <w:p w14:paraId="204CEEE6" w14:textId="77777777" w:rsidR="00BB4E70" w:rsidRDefault="00BB4E70">
      <w:pPr>
        <w:pBdr>
          <w:bottom w:val="single" w:sz="4" w:space="0" w:color="DDDDDD"/>
        </w:pBdr>
        <w:spacing w:before="160" w:after="160"/>
      </w:pPr>
    </w:p>
    <w:p w14:paraId="4275ABE5" w14:textId="77777777" w:rsidR="00BB4E70" w:rsidRDefault="00000000">
      <w:pPr>
        <w:pStyle w:val="Heading1"/>
        <w:pBdr>
          <w:bottom w:val="single" w:sz="6" w:space="0" w:color="9B3A24"/>
        </w:pBdr>
        <w:spacing w:before="360" w:after="120"/>
        <w:rPr>
          <w:rFonts w:ascii="Arial" w:eastAsia="Arial" w:hAnsi="Arial" w:cs="Arial"/>
          <w:b/>
          <w:bCs/>
          <w:color w:val="14161A"/>
        </w:rPr>
      </w:pPr>
      <w:r>
        <w:t>4. Failed Delivery Handling</w:t>
      </w:r>
    </w:p>
    <w:p w14:paraId="37504ED4" w14:textId="77777777" w:rsidR="00BB4E70" w:rsidRDefault="00000000">
      <w:pPr>
        <w:spacing w:before="60" w:after="80"/>
        <w:jc w:val="both"/>
      </w:pPr>
      <w:r>
        <w:rPr>
          <w:color w:val="14161A"/>
        </w:rPr>
        <w:t>The order status lifecycle enforces valid transitions through a server-side VALID_TRANSITIONS map. The only way to reach FAILED is from OUT_FOR_DELIVERY — an agent marking the final-mile attempt as failed.</w:t>
      </w:r>
    </w:p>
    <w:p w14:paraId="1EECDE4E" w14:textId="77777777" w:rsidR="00BB4E70" w:rsidRDefault="00000000">
      <w:pPr>
        <w:spacing w:before="280" w:after="80"/>
      </w:pPr>
      <w:r>
        <w:rPr>
          <w:rFonts w:ascii="Arial" w:eastAsia="Arial" w:hAnsi="Arial" w:cs="Arial"/>
          <w:b/>
          <w:bCs/>
          <w:color w:val="9B3A24"/>
          <w:sz w:val="26"/>
          <w:szCs w:val="26"/>
        </w:rPr>
        <w:t>Flow</w:t>
      </w:r>
    </w:p>
    <w:p w14:paraId="00190E29" w14:textId="77777777" w:rsidR="00BB4E70" w:rsidRDefault="00000000">
      <w:pPr>
        <w:pStyle w:val="ListParagraph"/>
        <w:numPr>
          <w:ilvl w:val="0"/>
          <w:numId w:val="1"/>
        </w:numPr>
        <w:spacing w:before="40" w:after="40"/>
      </w:pPr>
      <w:r>
        <w:rPr>
          <w:color w:val="14161A"/>
        </w:rPr>
        <w:t xml:space="preserve">Agent marks order FAILED and provides a </w:t>
      </w:r>
      <w:proofErr w:type="spellStart"/>
      <w:r>
        <w:rPr>
          <w:color w:val="14161A"/>
        </w:rPr>
        <w:t>failureReason</w:t>
      </w:r>
      <w:proofErr w:type="spellEnd"/>
      <w:r>
        <w:rPr>
          <w:color w:val="14161A"/>
        </w:rPr>
        <w:t xml:space="preserve"> (e.g. "Customer unavailable").</w:t>
      </w:r>
    </w:p>
    <w:p w14:paraId="5C40FABB" w14:textId="77777777" w:rsidR="00BB4E70" w:rsidRDefault="00000000">
      <w:pPr>
        <w:pStyle w:val="ListParagraph"/>
        <w:numPr>
          <w:ilvl w:val="0"/>
          <w:numId w:val="1"/>
        </w:numPr>
        <w:spacing w:before="40" w:after="40"/>
      </w:pPr>
      <w:r>
        <w:rPr>
          <w:color w:val="14161A"/>
        </w:rPr>
        <w:t xml:space="preserve">The agent's </w:t>
      </w:r>
      <w:proofErr w:type="spellStart"/>
      <w:r>
        <w:rPr>
          <w:color w:val="14161A"/>
        </w:rPr>
        <w:t>isAvailable</w:t>
      </w:r>
      <w:proofErr w:type="spellEnd"/>
      <w:r>
        <w:rPr>
          <w:color w:val="14161A"/>
        </w:rPr>
        <w:t xml:space="preserve"> flag is immediately reset to true — they should not be blocked by a failed delivery.</w:t>
      </w:r>
    </w:p>
    <w:p w14:paraId="43DFCED9" w14:textId="77777777" w:rsidR="00BB4E70" w:rsidRDefault="00000000">
      <w:pPr>
        <w:pStyle w:val="ListParagraph"/>
        <w:numPr>
          <w:ilvl w:val="0"/>
          <w:numId w:val="1"/>
        </w:numPr>
        <w:spacing w:before="40" w:after="40"/>
      </w:pPr>
      <w:r>
        <w:rPr>
          <w:color w:val="14161A"/>
        </w:rPr>
        <w:t>A FAILED tracking log entry is created with the reason and timestamp.</w:t>
      </w:r>
    </w:p>
    <w:p w14:paraId="7C0F260F" w14:textId="77777777" w:rsidR="00BB4E70" w:rsidRDefault="00000000">
      <w:pPr>
        <w:pStyle w:val="ListParagraph"/>
        <w:numPr>
          <w:ilvl w:val="0"/>
          <w:numId w:val="1"/>
        </w:numPr>
        <w:spacing w:before="40" w:after="40"/>
      </w:pPr>
      <w:r>
        <w:rPr>
          <w:color w:val="14161A"/>
        </w:rPr>
        <w:lastRenderedPageBreak/>
        <w:t>The customer receives an email notification with the failure reason and a prompt to reschedule.</w:t>
      </w:r>
    </w:p>
    <w:p w14:paraId="6C33F55F" w14:textId="77777777" w:rsidR="00BB4E70" w:rsidRDefault="00000000">
      <w:pPr>
        <w:pStyle w:val="ListParagraph"/>
        <w:numPr>
          <w:ilvl w:val="0"/>
          <w:numId w:val="1"/>
        </w:numPr>
        <w:spacing w:before="40" w:after="40"/>
      </w:pPr>
      <w:r>
        <w:rPr>
          <w:color w:val="14161A"/>
        </w:rPr>
        <w:t xml:space="preserve">Customer calls POST /orders/:id/reschedule with a </w:t>
      </w:r>
      <w:proofErr w:type="spellStart"/>
      <w:r>
        <w:rPr>
          <w:color w:val="14161A"/>
        </w:rPr>
        <w:t>rescheduledDate</w:t>
      </w:r>
      <w:proofErr w:type="spellEnd"/>
      <w:r>
        <w:rPr>
          <w:color w:val="14161A"/>
        </w:rPr>
        <w:t>. The system sets status to RESCHEDULED, stores the new date, and auto-assigns a fresh agent using the same zone-first selection logic.</w:t>
      </w:r>
    </w:p>
    <w:p w14:paraId="20593B52" w14:textId="77777777" w:rsidR="00BB4E70" w:rsidRDefault="00000000">
      <w:pPr>
        <w:pStyle w:val="ListParagraph"/>
        <w:numPr>
          <w:ilvl w:val="0"/>
          <w:numId w:val="1"/>
        </w:numPr>
        <w:spacing w:before="40" w:after="40"/>
      </w:pPr>
      <w:r>
        <w:rPr>
          <w:color w:val="14161A"/>
        </w:rPr>
        <w:t>A new ASSIGNED tracking log entry is created for the re-assigned agent.</w:t>
      </w:r>
    </w:p>
    <w:p w14:paraId="1A456B5E" w14:textId="77777777" w:rsidR="00BB4E70" w:rsidRDefault="00000000">
      <w:pPr>
        <w:pStyle w:val="ListParagraph"/>
        <w:numPr>
          <w:ilvl w:val="0"/>
          <w:numId w:val="1"/>
        </w:numPr>
        <w:spacing w:before="40" w:after="40"/>
      </w:pPr>
      <w:r>
        <w:rPr>
          <w:color w:val="14161A"/>
        </w:rPr>
        <w:t>The customer receives a RESCHEDULED notification confirming the new date.</w:t>
      </w:r>
    </w:p>
    <w:p w14:paraId="7434BFED" w14:textId="77777777" w:rsidR="00BB4E70" w:rsidRDefault="00000000">
      <w:pPr>
        <w:spacing w:before="60" w:after="80"/>
        <w:jc w:val="both"/>
      </w:pPr>
      <w:r>
        <w:rPr>
          <w:color w:val="14161A"/>
        </w:rPr>
        <w:t xml:space="preserve">Every state change — including failure and reschedule — is written to the </w:t>
      </w:r>
      <w:proofErr w:type="spellStart"/>
      <w:r>
        <w:rPr>
          <w:color w:val="14161A"/>
        </w:rPr>
        <w:t>TrackingLog</w:t>
      </w:r>
      <w:proofErr w:type="spellEnd"/>
      <w:r>
        <w:rPr>
          <w:color w:val="14161A"/>
        </w:rPr>
        <w:t xml:space="preserve"> table with an immutable timestamp and the actor's ID and role. This creates a full audit trail that neither the customer, agent, nor admin can edit or delete. The admin retains an override endpoint that can force any status directly, also logged as an ADMIN-role action.</w:t>
      </w:r>
    </w:p>
    <w:p w14:paraId="26B3CB94" w14:textId="77777777" w:rsidR="00BB4E70" w:rsidRDefault="00000000">
      <w:pPr>
        <w:spacing w:before="100" w:after="20"/>
      </w:pPr>
      <w:r>
        <w:rPr>
          <w:rFonts w:ascii="Courier New" w:eastAsia="Courier New" w:hAnsi="Courier New" w:cs="Courier New"/>
          <w:color w:val="6B6558"/>
          <w:sz w:val="20"/>
          <w:szCs w:val="20"/>
        </w:rPr>
        <w:t xml:space="preserve">PENDING → CONFIRMED → ASSIGNED → PICKED_UP → IN_TRANSIT → OUT_FOR_DELIVERY → </w:t>
      </w:r>
      <w:r>
        <w:rPr>
          <w:rFonts w:ascii="Courier New" w:eastAsia="Courier New" w:hAnsi="Courier New" w:cs="Courier New"/>
          <w:b/>
          <w:bCs/>
          <w:color w:val="2F6E4F"/>
          <w:sz w:val="20"/>
          <w:szCs w:val="20"/>
        </w:rPr>
        <w:t>DELIVERED</w:t>
      </w:r>
    </w:p>
    <w:p w14:paraId="5A95B692" w14:textId="77777777" w:rsidR="00BB4E70" w:rsidRDefault="00000000">
      <w:pPr>
        <w:spacing w:after="120"/>
      </w:pPr>
      <w:r>
        <w:rPr>
          <w:rFonts w:ascii="Courier New" w:eastAsia="Courier New" w:hAnsi="Courier New" w:cs="Courier New"/>
          <w:color w:val="6B6558"/>
          <w:sz w:val="20"/>
          <w:szCs w:val="20"/>
        </w:rPr>
        <w:t xml:space="preserve">                                                                  ↘ </w:t>
      </w:r>
      <w:r>
        <w:rPr>
          <w:rFonts w:ascii="Courier New" w:eastAsia="Courier New" w:hAnsi="Courier New" w:cs="Courier New"/>
          <w:b/>
          <w:bCs/>
          <w:color w:val="B3402F"/>
          <w:sz w:val="20"/>
          <w:szCs w:val="20"/>
        </w:rPr>
        <w:t>FAILED</w:t>
      </w:r>
      <w:r>
        <w:rPr>
          <w:rFonts w:ascii="Courier New" w:eastAsia="Courier New" w:hAnsi="Courier New" w:cs="Courier New"/>
          <w:color w:val="6B6558"/>
          <w:sz w:val="20"/>
          <w:szCs w:val="20"/>
        </w:rPr>
        <w:t xml:space="preserve"> → RESCHEDULED → ASSIGNED → ...</w:t>
      </w:r>
    </w:p>
    <w:p w14:paraId="3C89D5A8" w14:textId="77777777" w:rsidR="00BB4E70" w:rsidRDefault="00BB4E70">
      <w:pPr>
        <w:pBdr>
          <w:bottom w:val="single" w:sz="4" w:space="0" w:color="DDDDDD"/>
        </w:pBdr>
        <w:spacing w:before="160" w:after="160"/>
      </w:pPr>
    </w:p>
    <w:p w14:paraId="0ED666F9" w14:textId="4328F892" w:rsidR="00BB4E70" w:rsidRDefault="00BB4E70" w:rsidP="00FD45F5">
      <w:pPr>
        <w:spacing w:before="200"/>
      </w:pPr>
    </w:p>
    <w:sectPr w:rsidR="00BB4E70" w:rsidSect="00FD45F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E0021"/>
    <w:multiLevelType w:val="hybridMultilevel"/>
    <w:tmpl w:val="482668D6"/>
    <w:lvl w:ilvl="0" w:tplc="69707256">
      <w:start w:val="1"/>
      <w:numFmt w:val="bullet"/>
      <w:lvlText w:val="●"/>
      <w:lvlJc w:val="left"/>
      <w:pPr>
        <w:ind w:left="720" w:hanging="360"/>
      </w:pPr>
    </w:lvl>
    <w:lvl w:ilvl="1" w:tplc="B3CAF4DE">
      <w:start w:val="1"/>
      <w:numFmt w:val="bullet"/>
      <w:lvlText w:val="○"/>
      <w:lvlJc w:val="left"/>
      <w:pPr>
        <w:ind w:left="1440" w:hanging="360"/>
      </w:pPr>
    </w:lvl>
    <w:lvl w:ilvl="2" w:tplc="8998FEAE">
      <w:start w:val="1"/>
      <w:numFmt w:val="bullet"/>
      <w:lvlText w:val="■"/>
      <w:lvlJc w:val="left"/>
      <w:pPr>
        <w:ind w:left="2160" w:hanging="360"/>
      </w:pPr>
    </w:lvl>
    <w:lvl w:ilvl="3" w:tplc="05B66CA4">
      <w:start w:val="1"/>
      <w:numFmt w:val="bullet"/>
      <w:lvlText w:val="●"/>
      <w:lvlJc w:val="left"/>
      <w:pPr>
        <w:ind w:left="2880" w:hanging="360"/>
      </w:pPr>
    </w:lvl>
    <w:lvl w:ilvl="4" w:tplc="319A4A92">
      <w:start w:val="1"/>
      <w:numFmt w:val="bullet"/>
      <w:lvlText w:val="○"/>
      <w:lvlJc w:val="left"/>
      <w:pPr>
        <w:ind w:left="3600" w:hanging="360"/>
      </w:pPr>
    </w:lvl>
    <w:lvl w:ilvl="5" w:tplc="28EEB340">
      <w:start w:val="1"/>
      <w:numFmt w:val="bullet"/>
      <w:lvlText w:val="■"/>
      <w:lvlJc w:val="left"/>
      <w:pPr>
        <w:ind w:left="4320" w:hanging="360"/>
      </w:pPr>
    </w:lvl>
    <w:lvl w:ilvl="6" w:tplc="48E85076">
      <w:start w:val="1"/>
      <w:numFmt w:val="bullet"/>
      <w:lvlText w:val="●"/>
      <w:lvlJc w:val="left"/>
      <w:pPr>
        <w:ind w:left="5040" w:hanging="360"/>
      </w:pPr>
    </w:lvl>
    <w:lvl w:ilvl="7" w:tplc="2AD6A520">
      <w:start w:val="1"/>
      <w:numFmt w:val="bullet"/>
      <w:lvlText w:val="●"/>
      <w:lvlJc w:val="left"/>
      <w:pPr>
        <w:ind w:left="5760" w:hanging="360"/>
      </w:pPr>
    </w:lvl>
    <w:lvl w:ilvl="8" w:tplc="537E82CC">
      <w:start w:val="1"/>
      <w:numFmt w:val="bullet"/>
      <w:lvlText w:val="●"/>
      <w:lvlJc w:val="left"/>
      <w:pPr>
        <w:ind w:left="6480" w:hanging="360"/>
      </w:pPr>
    </w:lvl>
  </w:abstractNum>
  <w:num w:numId="1" w16cid:durableId="2037268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E70"/>
    <w:rsid w:val="00BB4E70"/>
    <w:rsid w:val="00FD10C9"/>
    <w:rsid w:val="00FD45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BC55"/>
  <w15:docId w15:val="{24AA8824-C0F8-4786-A331-1188B3F7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Amaan</cp:lastModifiedBy>
  <cp:revision>2</cp:revision>
  <dcterms:created xsi:type="dcterms:W3CDTF">2026-07-01T17:19:00Z</dcterms:created>
  <dcterms:modified xsi:type="dcterms:W3CDTF">2026-07-01T17:23:00Z</dcterms:modified>
</cp:coreProperties>
</file>