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both"/>
        <w:rPr>
          <w:highlight w:val="white"/>
        </w:rPr>
      </w:pPr>
      <w:r w:rsidDel="00000000" w:rsidR="00000000" w:rsidRPr="00000000">
        <w:rPr>
          <w:rFonts w:ascii="Calibri" w:cs="Calibri" w:eastAsia="Calibri" w:hAnsi="Calibri"/>
          <w:b w:val="1"/>
          <w:bCs w:val="1"/>
          <w:sz w:val="32"/>
          <w:szCs w:val="32"/>
          <w:highlight w:val="white"/>
          <w:rtl w:val="0"/>
        </w:rPr>
        <w:t xml:space="preserve">Does translation provenance change what a concept direction encodes?</w:t>
      </w:r>
      <w:r w:rsidDel="00000000" w:rsidR="00000000" w:rsidRPr="00000000">
        <w:rPr>
          <w:rtl w:val="0"/>
        </w:rPr>
      </w:r>
    </w:p>
    <w:p w:rsidR="00000000" w:rsidDel="00000000" w:rsidP="00000000" w:rsidRDefault="00000000" w:rsidRPr="00000000" w14:paraId="00000002">
      <w:pPr>
        <w:pBdr>
          <w:bottom w:color="bfbfbf" w:space="8" w:sz="6" w:val="single"/>
        </w:pBdr>
        <w:spacing w:after="200" w:lineRule="auto"/>
        <w:jc w:val="both"/>
        <w:rPr>
          <w:highlight w:val="white"/>
        </w:rPr>
      </w:pPr>
      <w:r w:rsidDel="00000000" w:rsidR="00000000" w:rsidRPr="00000000">
        <w:rPr>
          <w:rFonts w:ascii="Calibri" w:cs="Calibri" w:eastAsia="Calibri" w:hAnsi="Calibri"/>
          <w:sz w:val="24"/>
          <w:szCs w:val="24"/>
          <w:highlight w:val="white"/>
          <w:rtl w:val="0"/>
        </w:rPr>
        <w:t xml:space="preserve">Natively-authored contrast pairs for Hausa and Yoruba</w:t>
      </w:r>
      <w:r w:rsidDel="00000000" w:rsidR="00000000" w:rsidRPr="00000000">
        <w:rPr>
          <w:rtl w:val="0"/>
        </w:rPr>
      </w:r>
    </w:p>
    <w:p w:rsidR="00000000" w:rsidDel="00000000" w:rsidP="00000000" w:rsidRDefault="00000000" w:rsidRPr="00000000" w14:paraId="00000003">
      <w:pPr>
        <w:pStyle w:val="Heading1"/>
        <w:spacing w:after="160" w:before="320" w:lineRule="auto"/>
        <w:jc w:val="both"/>
        <w:rPr>
          <w:color w:val="000000"/>
          <w:highlight w:val="white"/>
        </w:rPr>
      </w:pPr>
      <w:r w:rsidDel="00000000" w:rsidR="00000000" w:rsidRPr="00000000">
        <w:rPr>
          <w:rFonts w:ascii="Calibri" w:cs="Calibri" w:eastAsia="Calibri" w:hAnsi="Calibri"/>
          <w:b w:val="1"/>
          <w:bCs w:val="1"/>
          <w:color w:val="000000"/>
          <w:sz w:val="30"/>
          <w:szCs w:val="30"/>
          <w:highlight w:val="white"/>
          <w:rtl w:val="0"/>
        </w:rPr>
        <w:t xml:space="preserve">What I am asking</w:t>
      </w:r>
      <w:r w:rsidDel="00000000" w:rsidR="00000000" w:rsidRPr="00000000">
        <w:rPr>
          <w:rtl w:val="0"/>
        </w:rPr>
      </w:r>
    </w:p>
    <w:p w:rsidR="00000000" w:rsidDel="00000000" w:rsidP="00000000" w:rsidRDefault="00000000" w:rsidRPr="00000000" w14:paraId="00000004">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Steering vectors and linear probes are built by subtracting the activations of contrastive text pairs: a set of examples that show some property, against a matched set that does not. Anything that systematically differs between those two sets survives the subtraction and ends up inside the extracted direction.</w:t>
      </w:r>
      <w:r w:rsidDel="00000000" w:rsidR="00000000" w:rsidRPr="00000000">
        <w:rPr>
          <w:rtl w:val="0"/>
        </w:rPr>
      </w:r>
    </w:p>
    <w:p w:rsidR="00000000" w:rsidDel="00000000" w:rsidP="00000000" w:rsidRDefault="00000000" w:rsidRPr="00000000" w14:paraId="00000005">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For African languages, almost every contrast set used for this is machine-translated from English, because natively-written ones do not exist. As far as I can tell, nobody has checked whether that matters.</w:t>
      </w:r>
      <w:r w:rsidDel="00000000" w:rsidR="00000000" w:rsidRPr="00000000">
        <w:rPr>
          <w:rtl w:val="0"/>
        </w:rPr>
      </w:r>
    </w:p>
    <w:p w:rsidR="00000000" w:rsidDel="00000000" w:rsidP="00000000" w:rsidRDefault="00000000" w:rsidRPr="00000000" w14:paraId="00000006">
      <w:pPr>
        <w:spacing w:after="160" w:line="276" w:lineRule="auto"/>
        <w:jc w:val="both"/>
        <w:rPr>
          <w:highlight w:val="white"/>
        </w:rPr>
      </w:pPr>
      <w:r w:rsidDel="00000000" w:rsidR="00000000" w:rsidRPr="00000000">
        <w:rPr>
          <w:rFonts w:ascii="Calibri" w:cs="Calibri" w:eastAsia="Calibri" w:hAnsi="Calibri"/>
          <w:b w:val="1"/>
          <w:bCs w:val="1"/>
          <w:sz w:val="22"/>
          <w:szCs w:val="22"/>
          <w:highlight w:val="white"/>
          <w:rtl w:val="0"/>
        </w:rPr>
        <w:t xml:space="preserve">So the question is: do concept directions extracted from machine-translated Hausa and Yoruba differ from directions extracted from text that native speakers actually wrote? And does that difference get worse for the lower-resourced language?</w:t>
      </w:r>
      <w:r w:rsidDel="00000000" w:rsidR="00000000" w:rsidRPr="00000000">
        <w:rPr>
          <w:rtl w:val="0"/>
        </w:rPr>
      </w:r>
    </w:p>
    <w:p w:rsidR="00000000" w:rsidDel="00000000" w:rsidP="00000000" w:rsidRDefault="00000000" w:rsidRPr="00000000" w14:paraId="00000007">
      <w:pPr>
        <w:pStyle w:val="Heading1"/>
        <w:spacing w:after="160" w:before="320" w:lineRule="auto"/>
        <w:jc w:val="both"/>
        <w:rPr>
          <w:color w:val="000000"/>
          <w:highlight w:val="white"/>
        </w:rPr>
      </w:pPr>
      <w:r w:rsidDel="00000000" w:rsidR="00000000" w:rsidRPr="00000000">
        <w:rPr>
          <w:rFonts w:ascii="Calibri" w:cs="Calibri" w:eastAsia="Calibri" w:hAnsi="Calibri"/>
          <w:b w:val="1"/>
          <w:bCs w:val="1"/>
          <w:color w:val="000000"/>
          <w:sz w:val="30"/>
          <w:szCs w:val="30"/>
          <w:highlight w:val="white"/>
          <w:rtl w:val="0"/>
        </w:rPr>
        <w:t xml:space="preserve">Why the question is worth asking</w:t>
      </w:r>
      <w:r w:rsidDel="00000000" w:rsidR="00000000" w:rsidRPr="00000000">
        <w:rPr>
          <w:rtl w:val="0"/>
        </w:rPr>
      </w:r>
    </w:p>
    <w:p w:rsidR="00000000" w:rsidDel="00000000" w:rsidP="00000000" w:rsidRDefault="00000000" w:rsidRPr="00000000" w14:paraId="00000008">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Three things are already known separately, and nobody has put them together.</w:t>
      </w:r>
      <w:r w:rsidDel="00000000" w:rsidR="00000000" w:rsidRPr="00000000">
        <w:rPr>
          <w:rtl w:val="0"/>
        </w:rPr>
      </w:r>
    </w:p>
    <w:p w:rsidR="00000000" w:rsidDel="00000000" w:rsidP="00000000" w:rsidRDefault="00000000" w:rsidRPr="00000000" w14:paraId="00000009">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First, translated text sits somewhere different in a model’s latent space. DIBJudge (arXiv:2603.10351, March 2026) measured this directly and found machine-translated text sits closer to the English manifold than human-written text does, with the gap widening the lower-resourced the language. They used it to explain why multilingual judges prefer machine translation, but the geometric finding is general.</w:t>
      </w:r>
      <w:r w:rsidDel="00000000" w:rsidR="00000000" w:rsidRPr="00000000">
        <w:rPr>
          <w:rtl w:val="0"/>
        </w:rPr>
      </w:r>
    </w:p>
    <w:p w:rsidR="00000000" w:rsidDel="00000000" w:rsidP="00000000" w:rsidRDefault="00000000" w:rsidRPr="00000000" w14:paraId="0000000A">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Second, steering directions are known to be sensitive to the distribution of the data they are extracted from. The multilingual steering papers concede this in their own ablations, and recent work on the non-identifiability of steering vectors tests it explicitly under genre shift. Translationese is a genre shift.</w:t>
      </w:r>
      <w:r w:rsidDel="00000000" w:rsidR="00000000" w:rsidRPr="00000000">
        <w:rPr>
          <w:rtl w:val="0"/>
        </w:rPr>
      </w:r>
    </w:p>
    <w:p w:rsidR="00000000" w:rsidDel="00000000" w:rsidP="00000000" w:rsidRDefault="00000000" w:rsidRPr="00000000" w14:paraId="0000000B">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Third, every African-language concept direction in the literature is built from translated data, and none of the papers flag it as a choice. One learns its steering vectors from Tatoeba and a machine-translated benchmark (arXiv:2505.12584). Another builds language vectors from FLORES on the reasoning that professional translation holds meaning constant while isolating linguistic identity, which is exactly the assumption I want to test.</w:t>
      </w:r>
      <w:r w:rsidDel="00000000" w:rsidR="00000000" w:rsidRPr="00000000">
        <w:rPr>
          <w:rtl w:val="0"/>
        </w:rPr>
      </w:r>
    </w:p>
    <w:p w:rsidR="00000000" w:rsidDel="00000000" w:rsidP="00000000" w:rsidRDefault="00000000" w:rsidRPr="00000000" w14:paraId="0000000C">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Translationese has been known to distort cross-lingual transfer results since Artetxe et al. (2020), and the effect should be stronger when translating into low-resource languages, where the machine translation is weakest. Hausa and Yoruba are at that end.</w:t>
      </w:r>
      <w:r w:rsidDel="00000000" w:rsidR="00000000" w:rsidRPr="00000000">
        <w:rPr>
          <w:rtl w:val="0"/>
        </w:rPr>
      </w:r>
    </w:p>
    <w:p w:rsidR="00000000" w:rsidDel="00000000" w:rsidP="00000000" w:rsidRDefault="00000000" w:rsidRPr="00000000" w14:paraId="0000000D">
      <w:pPr>
        <w:pStyle w:val="Heading1"/>
        <w:spacing w:after="160" w:before="320" w:lineRule="auto"/>
        <w:jc w:val="both"/>
        <w:rPr>
          <w:color w:val="000000"/>
          <w:highlight w:val="white"/>
        </w:rPr>
      </w:pPr>
      <w:r w:rsidDel="00000000" w:rsidR="00000000" w:rsidRPr="00000000">
        <w:rPr>
          <w:rFonts w:ascii="Calibri" w:cs="Calibri" w:eastAsia="Calibri" w:hAnsi="Calibri"/>
          <w:b w:val="1"/>
          <w:bCs w:val="1"/>
          <w:color w:val="000000"/>
          <w:sz w:val="30"/>
          <w:szCs w:val="30"/>
          <w:highlight w:val="white"/>
          <w:rtl w:val="0"/>
        </w:rPr>
        <w:t xml:space="preserve">Why this is a safety question</w:t>
      </w:r>
      <w:r w:rsidDel="00000000" w:rsidR="00000000" w:rsidRPr="00000000">
        <w:rPr>
          <w:rtl w:val="0"/>
        </w:rPr>
      </w:r>
    </w:p>
    <w:p w:rsidR="00000000" w:rsidDel="00000000" w:rsidP="00000000" w:rsidRDefault="00000000" w:rsidRPr="00000000" w14:paraId="0000000E">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Safety evaluation for African languages runs on translated data. AfriMMLU, AfriXNLI and Uhura are all translations from English. A provenance audit published in August 2026 by Black in AI Safety &amp; Ethics (arXiv:2608.13695) looked at 21 Hausa, Swahili and French safety resources and found recurring gaps in provenance, annotation reliability and harm coverage.</w:t>
      </w:r>
      <w:r w:rsidDel="00000000" w:rsidR="00000000" w:rsidRPr="00000000">
        <w:rPr>
          <w:rtl w:val="0"/>
        </w:rPr>
      </w:r>
    </w:p>
    <w:p w:rsidR="00000000" w:rsidDel="00000000" w:rsidP="00000000" w:rsidRDefault="00000000" w:rsidRPr="00000000" w14:paraId="0000000F">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Interpretability work inherits that problem one level deeper. Refusal directions, harmfulness probes and steering interventions for these languages are all extracted from translated contrast data. If those directions are picking up translationese instead of the concept, then we are mismeasuring safety in exactly the languages where models are weakest and where the fewest people are looking.</w:t>
      </w:r>
      <w:r w:rsidDel="00000000" w:rsidR="00000000" w:rsidRPr="00000000">
        <w:rPr>
          <w:rtl w:val="0"/>
        </w:rPr>
      </w:r>
    </w:p>
    <w:p w:rsidR="00000000" w:rsidDel="00000000" w:rsidP="00000000" w:rsidRDefault="00000000" w:rsidRPr="00000000" w14:paraId="00000010">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That audit establishes the problem at the dataset level. My study asks the next question: does it carry through into the model’s internal geometry?</w:t>
      </w:r>
      <w:r w:rsidDel="00000000" w:rsidR="00000000" w:rsidRPr="00000000">
        <w:rPr>
          <w:rtl w:val="0"/>
        </w:rPr>
      </w:r>
    </w:p>
    <w:p w:rsidR="00000000" w:rsidDel="00000000" w:rsidP="00000000" w:rsidRDefault="00000000" w:rsidRPr="00000000" w14:paraId="00000011">
      <w:pPr>
        <w:pStyle w:val="Heading1"/>
        <w:spacing w:after="160" w:before="320" w:lineRule="auto"/>
        <w:jc w:val="both"/>
        <w:rPr>
          <w:color w:val="000000"/>
          <w:highlight w:val="white"/>
        </w:rPr>
      </w:pPr>
      <w:r w:rsidDel="00000000" w:rsidR="00000000" w:rsidRPr="00000000">
        <w:rPr>
          <w:rFonts w:ascii="Calibri" w:cs="Calibri" w:eastAsia="Calibri" w:hAnsi="Calibri"/>
          <w:b w:val="1"/>
          <w:bCs w:val="1"/>
          <w:color w:val="000000"/>
          <w:sz w:val="30"/>
          <w:szCs w:val="30"/>
          <w:highlight w:val="white"/>
          <w:rtl w:val="0"/>
        </w:rPr>
        <w:t xml:space="preserve">How the study works</w:t>
      </w:r>
      <w:r w:rsidDel="00000000" w:rsidR="00000000" w:rsidRPr="00000000">
        <w:rPr>
          <w:rtl w:val="0"/>
        </w:rPr>
      </w:r>
    </w:p>
    <w:p w:rsidR="00000000" w:rsidDel="00000000" w:rsidP="00000000" w:rsidRDefault="00000000" w:rsidRPr="00000000" w14:paraId="00000012">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Four arms, the same 25 subjects throughout, two concepts (sentiment and politeness), two languages.</w:t>
      </w: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500"/>
        <w:tblGridChange w:id="0">
          <w:tblGrid>
            <w:gridCol w:w="900"/>
            <w:gridCol w:w="750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3">
            <w:pPr>
              <w:spacing w:after="0" w:lineRule="auto"/>
              <w:jc w:val="both"/>
              <w:rPr>
                <w:highlight w:val="white"/>
              </w:rPr>
            </w:pPr>
            <w:r w:rsidDel="00000000" w:rsidR="00000000" w:rsidRPr="00000000">
              <w:rPr>
                <w:rFonts w:ascii="Calibri" w:cs="Calibri" w:eastAsia="Calibri" w:hAnsi="Calibri"/>
                <w:b w:val="1"/>
                <w:bCs w:val="1"/>
                <w:sz w:val="20"/>
                <w:szCs w:val="20"/>
                <w:highlight w:val="white"/>
                <w:rtl w:val="0"/>
              </w:rPr>
              <w:t xml:space="preserve">Arm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spacing w:after="0" w:lineRule="auto"/>
              <w:jc w:val="both"/>
              <w:rPr>
                <w:highlight w:val="white"/>
              </w:rPr>
            </w:pPr>
            <w:r w:rsidDel="00000000" w:rsidR="00000000" w:rsidRPr="00000000">
              <w:rPr>
                <w:rFonts w:ascii="Calibri" w:cs="Calibri" w:eastAsia="Calibri" w:hAnsi="Calibri"/>
                <w:b w:val="1"/>
                <w:bCs w:val="1"/>
                <w:sz w:val="20"/>
                <w:szCs w:val="20"/>
                <w:highlight w:val="white"/>
                <w:rtl w:val="0"/>
              </w:rPr>
              <w:t xml:space="preserve">Where the text comes from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Native composition. Speakers write contrast pairs directly in Hausa or Yoruba from a topic prompt in their own language, never seeing English.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7">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Human translation of English seed pairs.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9">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Machine translation of the same seeds, using NLLB-200 at two quality levels.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B">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0" w:lineRule="auto"/>
              <w:jc w:val="both"/>
              <w:rPr>
                <w:highlight w:val="white"/>
              </w:rPr>
            </w:pPr>
            <w:r w:rsidDel="00000000" w:rsidR="00000000" w:rsidRPr="00000000">
              <w:rPr>
                <w:rFonts w:ascii="Calibri" w:cs="Calibri" w:eastAsia="Calibri" w:hAnsi="Calibri"/>
                <w:sz w:val="20"/>
                <w:szCs w:val="20"/>
                <w:highlight w:val="white"/>
                <w:rtl w:val="0"/>
              </w:rPr>
              <w:t xml:space="preserve">Round-trip. Arm A’s own sentences pushed through machine translation and back.</w:t>
            </w:r>
            <w:r w:rsidDel="00000000" w:rsidR="00000000" w:rsidRPr="00000000">
              <w:rPr>
                <w:rtl w:val="0"/>
              </w:rPr>
            </w:r>
          </w:p>
        </w:tc>
      </w:tr>
    </w:tbl>
    <w:p w:rsidR="00000000" w:rsidDel="00000000" w:rsidP="00000000" w:rsidRDefault="00000000" w:rsidRPr="00000000" w14:paraId="0000001D">
      <w:pPr>
        <w:spacing w:after="160" w:line="276" w:lineRule="auto"/>
        <w:jc w:val="both"/>
        <w:rPr>
          <w:highlight w:val="white"/>
        </w:rPr>
      </w:pPr>
      <w:r w:rsidDel="00000000" w:rsidR="00000000" w:rsidRPr="00000000">
        <w:rPr>
          <w:rtl w:val="0"/>
        </w:rPr>
      </w:r>
    </w:p>
    <w:p w:rsidR="00000000" w:rsidDel="00000000" w:rsidP="00000000" w:rsidRDefault="00000000" w:rsidRPr="00000000" w14:paraId="0000001E">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Arm B is the control that makes this hold up. If A and C diverge but A and B do not, the problem is machine translation quality. If A diverges from both, the problem is translation as a process, which would implicate the human-translated benchmarks as well. That is a bigger and less comfortable claim, and it needs the control to support it.</w:t>
      </w:r>
      <w:r w:rsidDel="00000000" w:rsidR="00000000" w:rsidRPr="00000000">
        <w:rPr>
          <w:rtl w:val="0"/>
        </w:rPr>
      </w:r>
    </w:p>
    <w:p w:rsidR="00000000" w:rsidDel="00000000" w:rsidP="00000000" w:rsidRDefault="00000000" w:rsidRPr="00000000" w14:paraId="0000001F">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Arm D holds the content fixed. Same writer, same intent, same subject; the only thing that changes is that the text passed through a translation system. This is the same construction DIBJudge used to induce translationese, so it is not something I invented for the occasion.</w:t>
      </w:r>
      <w:r w:rsidDel="00000000" w:rsidR="00000000" w:rsidRPr="00000000">
        <w:rPr>
          <w:rtl w:val="0"/>
        </w:rPr>
      </w:r>
    </w:p>
    <w:p w:rsidR="00000000" w:rsidDel="00000000" w:rsidP="00000000" w:rsidRDefault="00000000" w:rsidRPr="00000000" w14:paraId="00000020">
      <w:pPr>
        <w:pStyle w:val="Heading2"/>
        <w:spacing w:after="120" w:before="240" w:lineRule="auto"/>
        <w:jc w:val="both"/>
        <w:rPr>
          <w:color w:val="000000"/>
          <w:highlight w:val="white"/>
        </w:rPr>
      </w:pPr>
      <w:r w:rsidDel="00000000" w:rsidR="00000000" w:rsidRPr="00000000">
        <w:rPr>
          <w:rFonts w:ascii="Calibri" w:cs="Calibri" w:eastAsia="Calibri" w:hAnsi="Calibri"/>
          <w:b w:val="1"/>
          <w:bCs w:val="1"/>
          <w:color w:val="000000"/>
          <w:sz w:val="24"/>
          <w:szCs w:val="24"/>
          <w:highlight w:val="white"/>
          <w:rtl w:val="0"/>
        </w:rPr>
        <w:t xml:space="preserve">Controls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highlight w:val="white"/>
        </w:rPr>
      </w:pPr>
      <w:r w:rsidDel="00000000" w:rsidR="00000000" w:rsidRPr="00000000">
        <w:rPr>
          <w:rFonts w:ascii="Calibri" w:cs="Calibri" w:eastAsia="Calibri" w:hAnsi="Calibri"/>
          <w:b w:val="0"/>
          <w:bCs w:val="0"/>
          <w:i w:val="0"/>
          <w:iCs w:val="0"/>
          <w:smallCaps w:val="0"/>
          <w:strike w:val="0"/>
          <w:sz w:val="22"/>
          <w:szCs w:val="22"/>
          <w:highlight w:val="white"/>
          <w:u w:val="none"/>
          <w:vertAlign w:val="baseline"/>
          <w:rtl w:val="0"/>
        </w:rPr>
        <w:t xml:space="preserve">Topic is fixed. One subject list across every arm, and within each pair both messages are about the same subject, so topic largely cancels in the subtraction.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highlight w:val="white"/>
        </w:rPr>
      </w:pPr>
      <w:r w:rsidDel="00000000" w:rsidR="00000000" w:rsidRPr="00000000">
        <w:rPr>
          <w:rFonts w:ascii="Calibri" w:cs="Calibri" w:eastAsia="Calibri" w:hAnsi="Calibri"/>
          <w:b w:val="0"/>
          <w:bCs w:val="0"/>
          <w:i w:val="0"/>
          <w:iCs w:val="0"/>
          <w:smallCaps w:val="0"/>
          <w:strike w:val="0"/>
          <w:sz w:val="22"/>
          <w:szCs w:val="22"/>
          <w:highlight w:val="white"/>
          <w:u w:val="none"/>
          <w:vertAlign w:val="baseline"/>
          <w:rtl w:val="0"/>
        </w:rPr>
        <w:t xml:space="preserve">Length is matched within pairs and audited when the data loads. If the positive side is systematically longer than the negative side, the vector encodes length and I would be calling it a concept. A check on the English seeds caught exactly this in the politeness pairs, and I fixed it before finalising them.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highlight w:val="white"/>
        </w:rPr>
      </w:pPr>
      <w:r w:rsidDel="00000000" w:rsidR="00000000" w:rsidRPr="00000000">
        <w:rPr>
          <w:rFonts w:ascii="Calibri" w:cs="Calibri" w:eastAsia="Calibri" w:hAnsi="Calibri"/>
          <w:b w:val="0"/>
          <w:bCs w:val="0"/>
          <w:i w:val="0"/>
          <w:iCs w:val="0"/>
          <w:smallCaps w:val="0"/>
          <w:strike w:val="0"/>
          <w:sz w:val="22"/>
          <w:szCs w:val="22"/>
          <w:highlight w:val="white"/>
          <w:u w:val="none"/>
          <w:vertAlign w:val="baseline"/>
          <w:rtl w:val="0"/>
        </w:rPr>
        <w:t xml:space="preserve">Orthography is fixed. Full diacritics in every arm. People write unmarked Yoruba in practice while machine translation always marks it, so left alone that difference would look like translationese. Text is NFC-normalised on load, because the two Unicode forms of a tone mark look identical but tokenize differently.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highlight w:val="white"/>
        </w:rPr>
      </w:pPr>
      <w:r w:rsidDel="00000000" w:rsidR="00000000" w:rsidRPr="00000000">
        <w:rPr>
          <w:rFonts w:ascii="Calibri" w:cs="Calibri" w:eastAsia="Calibri" w:hAnsi="Calibri"/>
          <w:b w:val="0"/>
          <w:bCs w:val="0"/>
          <w:i w:val="0"/>
          <w:iCs w:val="0"/>
          <w:smallCaps w:val="0"/>
          <w:strike w:val="0"/>
          <w:sz w:val="22"/>
          <w:szCs w:val="22"/>
          <w:highlight w:val="white"/>
          <w:u w:val="none"/>
          <w:vertAlign w:val="baseline"/>
          <w:rtl w:val="0"/>
        </w:rPr>
        <w:t xml:space="preserve">Dialect and register are fixed to one standard, with writer background recorded row by row.</w:t>
      </w:r>
      <w:r w:rsidDel="00000000" w:rsidR="00000000" w:rsidRPr="00000000">
        <w:rPr>
          <w:rtl w:val="0"/>
        </w:rPr>
      </w:r>
    </w:p>
    <w:p w:rsidR="00000000" w:rsidDel="00000000" w:rsidP="00000000" w:rsidRDefault="00000000" w:rsidRPr="00000000" w14:paraId="00000025">
      <w:pPr>
        <w:pStyle w:val="Heading2"/>
        <w:spacing w:after="120" w:before="240" w:lineRule="auto"/>
        <w:jc w:val="both"/>
        <w:rPr>
          <w:color w:val="000000"/>
          <w:highlight w:val="white"/>
        </w:rPr>
      </w:pPr>
      <w:r w:rsidDel="00000000" w:rsidR="00000000" w:rsidRPr="00000000">
        <w:rPr>
          <w:rFonts w:ascii="Calibri" w:cs="Calibri" w:eastAsia="Calibri" w:hAnsi="Calibri"/>
          <w:b w:val="1"/>
          <w:bCs w:val="1"/>
          <w:color w:val="000000"/>
          <w:sz w:val="24"/>
          <w:szCs w:val="24"/>
          <w:highlight w:val="white"/>
          <w:rtl w:val="0"/>
        </w:rPr>
        <w:t xml:space="preserve">The measurement</w:t>
      </w:r>
      <w:r w:rsidDel="00000000" w:rsidR="00000000" w:rsidRPr="00000000">
        <w:rPr>
          <w:rtl w:val="0"/>
        </w:rPr>
      </w:r>
    </w:p>
    <w:p w:rsidR="00000000" w:rsidDel="00000000" w:rsidP="00000000" w:rsidRDefault="00000000" w:rsidRPr="00000000" w14:paraId="00000026">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Before comparing anything, I split Arm A’s pairs in half at random, build a direction from each half, and measure the cosine between them. Twenty times, with different splits. Both halves are the same provenance, same writers, same subjects, so whatever spread I see is pure sampling noise.</w:t>
      </w:r>
      <w:r w:rsidDel="00000000" w:rsidR="00000000" w:rsidRPr="00000000">
        <w:rPr>
          <w:rtl w:val="0"/>
        </w:rPr>
      </w:r>
    </w:p>
    <w:p w:rsidR="00000000" w:rsidDel="00000000" w:rsidP="00000000" w:rsidRDefault="00000000" w:rsidRPr="00000000" w14:paraId="00000027">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That is the noise floor, and every cross-arm comparison is read against it. A divergence only counts if it falls below the floor’s 2.5th percentile. Without that, a cosine of 0.82 means nothing, because I would have no idea whether two identical arms would give me 0.95 or 0.80.</w:t>
      </w:r>
      <w:r w:rsidDel="00000000" w:rsidR="00000000" w:rsidRPr="00000000">
        <w:rPr>
          <w:rtl w:val="0"/>
        </w:rPr>
      </w:r>
    </w:p>
    <w:p w:rsidR="00000000" w:rsidDel="00000000" w:rsidP="00000000" w:rsidRDefault="00000000" w:rsidRPr="00000000" w14:paraId="00000028">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After that: per-layer cosine between arms, steering success rate using each vector, probe accuracy when trained on one arm and tested on another, and the correlation between per-item naturalness ratings of the machine-translated text and how far its direction has moved. That last one is what turns a difference into a dose-response relationship.</w:t>
      </w:r>
      <w:r w:rsidDel="00000000" w:rsidR="00000000" w:rsidRPr="00000000">
        <w:rPr>
          <w:rtl w:val="0"/>
        </w:rPr>
      </w:r>
    </w:p>
    <w:p w:rsidR="00000000" w:rsidDel="00000000" w:rsidP="00000000" w:rsidRDefault="00000000" w:rsidRPr="00000000" w14:paraId="00000029">
      <w:pPr>
        <w:pStyle w:val="Heading2"/>
        <w:spacing w:after="120" w:before="240" w:lineRule="auto"/>
        <w:jc w:val="both"/>
        <w:rPr>
          <w:color w:val="000000"/>
          <w:highlight w:val="white"/>
        </w:rPr>
      </w:pPr>
      <w:r w:rsidDel="00000000" w:rsidR="00000000" w:rsidRPr="00000000">
        <w:rPr>
          <w:rFonts w:ascii="Calibri" w:cs="Calibri" w:eastAsia="Calibri" w:hAnsi="Calibri"/>
          <w:b w:val="1"/>
          <w:bCs w:val="1"/>
          <w:color w:val="000000"/>
          <w:sz w:val="24"/>
          <w:szCs w:val="24"/>
          <w:highlight w:val="white"/>
          <w:rtl w:val="0"/>
        </w:rPr>
        <w:t xml:space="preserve">Both outcomes are useful</w:t>
      </w:r>
      <w:r w:rsidDel="00000000" w:rsidR="00000000" w:rsidRPr="00000000">
        <w:rPr>
          <w:rtl w:val="0"/>
        </w:rPr>
      </w:r>
    </w:p>
    <w:p w:rsidR="00000000" w:rsidDel="00000000" w:rsidP="00000000" w:rsidRDefault="00000000" w:rsidRPr="00000000" w14:paraId="0000002A">
      <w:pPr>
        <w:spacing w:after="160" w:line="276" w:lineRule="auto"/>
        <w:jc w:val="both"/>
        <w:rPr>
          <w:highlight w:val="white"/>
        </w:rPr>
      </w:pPr>
      <w:r w:rsidDel="00000000" w:rsidR="00000000" w:rsidRPr="00000000">
        <w:rPr>
          <w:rFonts w:ascii="Calibri" w:cs="Calibri" w:eastAsia="Calibri" w:hAnsi="Calibri"/>
          <w:sz w:val="22"/>
          <w:szCs w:val="22"/>
          <w:highlight w:val="white"/>
          <w:rtl w:val="0"/>
        </w:rPr>
        <w:t xml:space="preserve">If the directions diverge, then a body of multilingual interpretability results is measuring a translation artifact rather than the concept it claims to measure. If they converge, then the translate-and-extract shortcut the field already relies on is validated with evidence, which is worth having stated.</w:t>
      </w:r>
      <w:r w:rsidDel="00000000" w:rsidR="00000000" w:rsidRPr="00000000">
        <w:rPr>
          <w:rtl w:val="0"/>
        </w:rPr>
      </w:r>
    </w:p>
    <w:p w:rsidR="00000000" w:rsidDel="00000000" w:rsidP="00000000" w:rsidRDefault="00000000" w:rsidRPr="00000000" w14:paraId="0000002B">
      <w:pPr>
        <w:spacing w:after="160" w:line="276"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Either way the work leaves behind the first natively-authored contrast-pair set for Hausa and Yoruba, released openly.</w:t>
      </w:r>
    </w:p>
    <w:p w:rsidR="00000000" w:rsidDel="00000000" w:rsidP="00000000" w:rsidRDefault="00000000" w:rsidRPr="00000000" w14:paraId="0000002C">
      <w:pPr>
        <w:spacing w:after="160" w:line="276" w:lineRule="auto"/>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2D">
      <w:pPr>
        <w:spacing w:after="160" w:line="276"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References</w:t>
      </w:r>
    </w:p>
    <w:p w:rsidR="00000000" w:rsidDel="00000000" w:rsidP="00000000" w:rsidRDefault="00000000" w:rsidRPr="00000000" w14:paraId="0000002E">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Zhang, H., Chen, K., Bai, X., Pan, Y., Xiang, Y., Wang, J., &amp; Zhang, M. (2026). </w:t>
      </w:r>
      <w:r w:rsidDel="00000000" w:rsidR="00000000" w:rsidRPr="00000000">
        <w:rPr>
          <w:rFonts w:ascii="Calibri" w:cs="Calibri" w:eastAsia="Calibri" w:hAnsi="Calibri"/>
          <w:i w:val="1"/>
          <w:iCs w:val="1"/>
          <w:sz w:val="22"/>
          <w:szCs w:val="22"/>
          <w:rtl w:val="0"/>
        </w:rPr>
        <w:t xml:space="preserve">Mitigating Translationese Bias in Multilingual LLM-as-a-Judge via Disentangled Information Bottleneck.</w:t>
      </w:r>
      <w:r w:rsidDel="00000000" w:rsidR="00000000" w:rsidRPr="00000000">
        <w:rPr>
          <w:rFonts w:ascii="Calibri" w:cs="Calibri" w:eastAsia="Calibri" w:hAnsi="Calibri"/>
          <w:sz w:val="22"/>
          <w:szCs w:val="22"/>
          <w:rtl w:val="0"/>
        </w:rPr>
        <w:t xml:space="preserve"> arXiv:2603.10351, 11 March 2026.</w:t>
      </w:r>
    </w:p>
    <w:p w:rsidR="00000000" w:rsidDel="00000000" w:rsidP="00000000" w:rsidRDefault="00000000" w:rsidRPr="00000000" w14:paraId="0000002F">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Onuoha, C. P.-M., Sunu, B. E., &amp; Sikiru, R. (2026). </w:t>
      </w:r>
      <w:r w:rsidDel="00000000" w:rsidR="00000000" w:rsidRPr="00000000">
        <w:rPr>
          <w:rFonts w:ascii="Calibri" w:cs="Calibri" w:eastAsia="Calibri" w:hAnsi="Calibri"/>
          <w:i w:val="1"/>
          <w:iCs w:val="1"/>
          <w:sz w:val="22"/>
          <w:szCs w:val="22"/>
          <w:rtl w:val="0"/>
        </w:rPr>
        <w:t xml:space="preserve">Language-Specific Gaps in AI Safety Training Datasets.</w:t>
      </w:r>
      <w:r w:rsidDel="00000000" w:rsidR="00000000" w:rsidRPr="00000000">
        <w:rPr>
          <w:rFonts w:ascii="Calibri" w:cs="Calibri" w:eastAsia="Calibri" w:hAnsi="Calibri"/>
          <w:sz w:val="22"/>
          <w:szCs w:val="22"/>
          <w:rtl w:val="0"/>
        </w:rPr>
        <w:t xml:space="preserve"> Black in AI Safety &amp; Ethics (BASE). arXiv:2608.13695, 13 August 2026. </w:t>
      </w:r>
    </w:p>
    <w:p w:rsidR="00000000" w:rsidDel="00000000" w:rsidP="00000000" w:rsidRDefault="00000000" w:rsidRPr="00000000" w14:paraId="00000030">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Artetxe, M., Labaka, G., &amp; Agirre, E. (2020). </w:t>
      </w:r>
      <w:r w:rsidDel="00000000" w:rsidR="00000000" w:rsidRPr="00000000">
        <w:rPr>
          <w:rFonts w:ascii="Calibri" w:cs="Calibri" w:eastAsia="Calibri" w:hAnsi="Calibri"/>
          <w:i w:val="1"/>
          <w:iCs w:val="1"/>
          <w:sz w:val="22"/>
          <w:szCs w:val="22"/>
          <w:rtl w:val="0"/>
        </w:rPr>
        <w:t xml:space="preserve">Translation Artifacts in Cross-lingual Transfer Learning.</w:t>
      </w:r>
      <w:r w:rsidDel="00000000" w:rsidR="00000000" w:rsidRPr="00000000">
        <w:rPr>
          <w:rFonts w:ascii="Calibri" w:cs="Calibri" w:eastAsia="Calibri" w:hAnsi="Calibri"/>
          <w:sz w:val="22"/>
          <w:szCs w:val="22"/>
          <w:rtl w:val="0"/>
        </w:rPr>
        <w:t xml:space="preserve"> EMNLP 2020.</w:t>
      </w:r>
    </w:p>
    <w:p w:rsidR="00000000" w:rsidDel="00000000" w:rsidP="00000000" w:rsidRDefault="00000000" w:rsidRPr="00000000" w14:paraId="00000031">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NLLB Team et al. (2022). </w:t>
      </w:r>
      <w:r w:rsidDel="00000000" w:rsidR="00000000" w:rsidRPr="00000000">
        <w:rPr>
          <w:rFonts w:ascii="Calibri" w:cs="Calibri" w:eastAsia="Calibri" w:hAnsi="Calibri"/>
          <w:i w:val="1"/>
          <w:iCs w:val="1"/>
          <w:sz w:val="22"/>
          <w:szCs w:val="22"/>
          <w:rtl w:val="0"/>
        </w:rPr>
        <w:t xml:space="preserve">No Language Left Behind: Scaling Human-Centered Machine Translation.</w:t>
      </w:r>
      <w:r w:rsidDel="00000000" w:rsidR="00000000" w:rsidRPr="00000000">
        <w:rPr>
          <w:rFonts w:ascii="Calibri" w:cs="Calibri" w:eastAsia="Calibri" w:hAnsi="Calibri"/>
          <w:sz w:val="22"/>
          <w:szCs w:val="22"/>
          <w:rtl w:val="0"/>
        </w:rPr>
        <w:t xml:space="preserve"> arXiv:2207.04672.</w:t>
      </w:r>
    </w:p>
    <w:p w:rsidR="00000000" w:rsidDel="00000000" w:rsidP="00000000" w:rsidRDefault="00000000" w:rsidRPr="00000000" w14:paraId="00000032">
      <w:pPr>
        <w:spacing w:after="160" w:line="276" w:lineRule="auto"/>
        <w:jc w:val="both"/>
        <w:rPr>
          <w:rFonts w:ascii="Calibri" w:cs="Calibri" w:eastAsia="Calibri" w:hAnsi="Calibri"/>
          <w:sz w:val="22"/>
          <w:szCs w:val="22"/>
          <w:highlight w:val="white"/>
        </w:rPr>
      </w:pPr>
      <w:r w:rsidDel="00000000" w:rsidR="00000000" w:rsidRPr="00000000">
        <w:rPr>
          <w:rtl w:val="0"/>
        </w:rPr>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