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63.png" ContentType="image/png"/>
  <Override PartName="/word/media/rId70.png" ContentType="image/png"/>
  <Override PartName="/word/media/rId193.png" ContentType="image/png"/>
  <Override PartName="/word/media/rId198.png" ContentType="image/png"/>
  <Override PartName="/word/media/rId81.png" ContentType="image/png"/>
  <Override PartName="/word/media/rId77.png" ContentType="image/png"/>
  <Override PartName="/word/media/rId186.png" ContentType="image/png"/>
  <Override PartName="/word/media/rId31.jpg" ContentType="image/jpeg"/>
  <Override PartName="/word/media/rId22.jpg" ContentType="image/jpeg"/>
  <Override PartName="/word/media/rId40.png" ContentType="image/png"/>
  <Override PartName="/word/media/rId89.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Dissociated Arousal: Physical Effort Attenuates Task-Evoked Pupil Responses but Preserves Psychometric Sensitivity in Aging</w:t>
      </w:r>
    </w:p>
    <w:p>
      <w:pPr>
        <w:pStyle w:val="Author"/>
      </w:pPr>
      <w:r>
        <w:t xml:space="preserve">Mohammad Dastgheib</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38" w:name="introduction"/>
    <w:p>
      <w:pPr>
        <w:pStyle w:val="Heading1"/>
      </w:pPr>
      <w:r>
        <w:t xml:space="preserve">1. Introduction</w:t>
      </w:r>
    </w:p>
    <w:bookmarkStart w:id="20" w:name="X00a10086b7144ea74b75a86563d27802398d003"/>
    <w:p>
      <w:pPr>
        <w:pStyle w:val="Heading2"/>
      </w:pPr>
      <w:r>
        <w:t xml:space="preserve">1.1 Physical–Cognitive Dual-Task Interactions in Everyday Life and Aging</w:t>
      </w:r>
    </w:p>
    <w:p>
      <w:pPr>
        <w:pStyle w:val="FirstParagraph"/>
      </w:pPr>
      <w:r>
        <w:t xml:space="preserve">Everyday life frequently requires people to perform cognitively demanding tasks while simultaneously exerting physical effort. Surgeons must maintain continuous muscle engagement while making fine perceptual discriminations, athletes coordinate complex motor sequences while monitoring environmental cues, and older adults navigate dual-task situations—such as walking while monitoring traffic or carrying groceries while having a conversation—in which physical and cognitive demands interact dynamically. These real-world scenarios highlight a fundamental challenge: when multiple task domains compete for limited cognitive resources, performance in one or both domains may suffer</w:t>
      </w:r>
      <w:r>
        <w:t xml:space="preserve"> </w:t>
      </w:r>
      <w:r>
        <w:t xml:space="preserve">(Pashler, 1994; Wickens, 2008)</w:t>
      </w:r>
      <w:r>
        <w:t xml:space="preserve">. This challenge takes on particular significance in aging, as older adults face both declining cognitive capacity and increased physiological costs of effortful engagement</w:t>
      </w:r>
      <w:r>
        <w:t xml:space="preserve"> </w:t>
      </w:r>
      <w:r>
        <w:t xml:space="preserve">(Salthouse, 1996; Verhaeghen et al., 2003)</w:t>
      </w:r>
      <w:r>
        <w:t xml:space="preserve">.</w:t>
      </w:r>
    </w:p>
    <w:p>
      <w:pPr>
        <w:pStyle w:val="BodyText"/>
      </w:pPr>
      <w:r>
        <w:t xml:space="preserve">A growing literature suggests that physical–cognitive interactions are mediated by shared arousal systems, particularly the locus coeruleus–noradrenergic (LC–NE) system, which modulates sensory gain, evidence accumulation, and response caution as a function of task demands and internal state</w:t>
      </w:r>
      <w:r>
        <w:t xml:space="preserve"> </w:t>
      </w:r>
      <w:r>
        <w:t xml:space="preserve">(Aston-Jones &amp; Cohen, 2005; Jepma et al., 2012; Mather &amp; Harley, 2016)</w:t>
      </w:r>
      <w:r>
        <w:t xml:space="preserve">. Understanding how physical effort modulates cognitive performance—and how this relationship changes with age—requires moving beyond simple outcome measures (overall accuracy or mean reaction time) to characterize how effort-induced arousal alters the fundamental processes underlying perceptual decision-making. The present study addresses this question by combining a physical–cognitive dual-task paradigm with pupillometry and psychometric function analysis to examine how physical effort–induced arousal relates to perceptual sensitivity in older adults.</w:t>
      </w:r>
    </w:p>
    <w:bookmarkEnd w:id="20"/>
    <w:bookmarkStart w:id="26" w:name="X36137564c020416f06f901972421bd8414bed41"/>
    <w:p>
      <w:pPr>
        <w:pStyle w:val="Heading2"/>
      </w:pPr>
      <w:r>
        <w:t xml:space="preserve">1.2 Psychometric Functions: Quantifying Perceptual Sensitivity</w:t>
      </w:r>
    </w:p>
    <w:p>
      <w:pPr>
        <w:pStyle w:val="FirstParagraph"/>
      </w:pPr>
      <w:r>
        <w:t xml:space="preserve">Psychometric functions (PFs) provide a principled framework for characterizing how continuous stimulus intensity relates to perceptual judgments. Rather than collapsing performance across stimulus levels, PFs model the full intensity–response relationship, revealing how the probability of a given response changes as stimulus differences become more or less discriminable. In the present same–different discrimination paradigm, the PF maps a continuous intensity dimension (e.g., frequency offset or contrast difference) onto the probability of responding</w:t>
      </w:r>
      <w:r>
        <w:t xml:space="preserve"> </w:t>
      </w:r>
      <w:r>
        <w:t xml:space="preserve">“different”</w:t>
      </w:r>
      <w:r>
        <w:t xml:space="preserve"> </w:t>
      </w:r>
      <w:r>
        <w:t xml:space="preserve">(Green et al., 1966; Prins et al., 2016; Wichmann &amp; Hill, 2001)</w:t>
      </w:r>
      <w:r>
        <w:t xml:space="preserve">. This perspective aligns with a measurement-model view of perception: PFs can be derived from latent sensory evidence that is corrupted by internal noise and then transformed into an overt response via a decision rule</w:t>
      </w:r>
      <w:r>
        <w:t xml:space="preserve"> </w:t>
      </w:r>
      <w:r>
        <w:t xml:space="preserve">(Prins et al., 2016)</w:t>
      </w:r>
      <w:r>
        <w:t xml:space="preserve">. Within this framework, changes in PF steepness are typically interpreted as changes in discriminability (signal-to-noise separation), whereas horizontal shifts can reflect changes in response tendency or criterion, and thus require more cautious interpretation when the task permits bias</w:t>
      </w:r>
      <w:r>
        <w:t xml:space="preserve"> </w:t>
      </w:r>
      <w:r>
        <w:t xml:space="preserve">(Macmillan &amp; Creelman, 2005)</w:t>
      </w:r>
      <w:r>
        <w:t xml:space="preserve">.</w:t>
      </w:r>
    </w:p>
    <w:p>
      <w:pPr>
        <w:pStyle w:val="BodyText"/>
      </w:pPr>
      <w:r>
        <w:t xml:space="preserve">Psychometric functions take sigmoidal (S-shaped) forms and can be expressed using several closely related link families, including the cumulative normal (probit), logistic (logit), and Weibull functions. For a binary response model, one common formulation is the probit PF:</w:t>
      </w:r>
    </w:p>
    <w:p>
      <w:pPr>
        <w:pStyle w:val="BodyText"/>
      </w:pPr>
      <w:bookmarkStart w:id="21" w:name="eq-psychometric"/>
      <m:oMathPara>
        <m:oMathParaPr>
          <m:jc m:val="center"/>
        </m:oMathParaPr>
        <m:oMath>
          <m:r>
            <m:t>P</m:t>
          </m:r>
          <m:d>
            <m:dPr>
              <m:begChr m:val="("/>
              <m:sepChr m:val=""/>
              <m:endChr m:val=")"/>
              <m:grow/>
            </m:dPr>
            <m:e>
              <m:r>
                <m:rPr>
                  <m:nor/>
                  <m:sty m:val="p"/>
                </m:rPr>
                <m:t>"different"</m:t>
              </m:r>
              <m:r>
                <m:rPr>
                  <m:sty m:val="p"/>
                </m:rPr>
                <m:t>|</m:t>
              </m:r>
              <m:r>
                <m:t>X</m:t>
              </m:r>
            </m:e>
          </m:d>
          <m:r>
            <m:rPr>
              <m:sty m:val="p"/>
            </m:rPr>
            <m:t>=</m:t>
          </m:r>
          <m:r>
            <m:t>Φ</m:t>
          </m:r>
          <m:d>
            <m:dPr>
              <m:begChr m:val="("/>
              <m:sepChr m:val=""/>
              <m:endChr m:val=")"/>
              <m:grow/>
            </m:dPr>
            <m:e>
              <m:f>
                <m:fPr>
                  <m:type m:val="bar"/>
                </m:fPr>
                <m:num>
                  <m:r>
                    <m:t>X</m:t>
                  </m:r>
                  <m:r>
                    <m:rPr>
                      <m:sty m:val="p"/>
                    </m:rPr>
                    <m:t>−</m:t>
                  </m:r>
                  <m:r>
                    <m:t>α</m:t>
                  </m:r>
                </m:num>
                <m:den>
                  <m:r>
                    <m:t>β</m:t>
                  </m:r>
                </m:den>
              </m:f>
            </m:e>
          </m:d>
          <m:r>
            <m:t>  </m:t>
          </m:r>
          <m:d>
            <m:dPr>
              <m:begChr m:val="("/>
              <m:sepChr m:val=""/>
              <m:endChr m:val=")"/>
              <m:grow/>
            </m:dPr>
            <m:e>
              <m:r>
                <m:t>1</m:t>
              </m:r>
            </m:e>
          </m:d>
        </m:oMath>
      </m:oMathPara>
      <w:bookmarkEnd w:id="21"/>
    </w:p>
    <w:p>
      <w:pPr>
        <w:pStyle w:val="FirstParagraph"/>
      </w:pPr>
      <w:r>
        <w:t xml:space="preserve">where</w:t>
      </w:r>
      <w:r>
        <w:t xml:space="preserve"> </w:t>
      </w:r>
      <m:oMath>
        <m:r>
          <m:t>X</m:t>
        </m:r>
      </m:oMath>
      <w:r>
        <w:t xml:space="preserve"> </w:t>
      </w:r>
      <w:r>
        <w:t xml:space="preserve">denotes stimulus intensity,</w:t>
      </w:r>
      <w:r>
        <w:t xml:space="preserve"> </w:t>
      </w:r>
      <m:oMath>
        <m:r>
          <m:t>Φ</m:t>
        </m:r>
        <m:d>
          <m:dPr>
            <m:begChr m:val="("/>
            <m:sepChr m:val=""/>
            <m:endChr m:val=")"/>
            <m:grow/>
          </m:dPr>
          <m:e>
            <m:r>
              <m:rPr>
                <m:sty m:val="p"/>
              </m:rPr>
              <m:t>⋅</m:t>
            </m:r>
          </m:e>
        </m:d>
      </m:oMath>
      <w:r>
        <w:t xml:space="preserve"> </w:t>
      </w:r>
      <w:r>
        <w:t xml:space="preserve">is the cumulative standard normal distribution,</w:t>
      </w:r>
      <w:r>
        <w:t xml:space="preserve"> </w:t>
      </w:r>
      <m:oMath>
        <m:r>
          <m:t>α</m:t>
        </m:r>
      </m:oMath>
      <w:r>
        <w:t xml:space="preserve"> </w:t>
      </w:r>
      <w:r>
        <w:t xml:space="preserve">is a location parameter corresponding to the stimulus intensity at which responding reaches a criterion level (often defined at a midpoint between asymptotes), and</w:t>
      </w:r>
      <w:r>
        <w:t xml:space="preserve"> </w:t>
      </w:r>
      <m:oMath>
        <m:r>
          <m:t>β</m:t>
        </m:r>
      </m:oMath>
      <w:r>
        <w:t xml:space="preserve"> </w:t>
      </w:r>
      <w:r>
        <w:t xml:space="preserve">is a scale/spread parameter. Under this parameterization, PF steepness is inversely related to</w:t>
      </w:r>
      <w:r>
        <w:t xml:space="preserve"> </w:t>
      </w:r>
      <m:oMath>
        <m:r>
          <m:t>β</m:t>
        </m:r>
      </m:oMath>
      <w:r>
        <w:t xml:space="preserve">: smaller</w:t>
      </w:r>
      <w:r>
        <w:t xml:space="preserve"> </w:t>
      </w:r>
      <m:oMath>
        <m:r>
          <m:t>β</m:t>
        </m:r>
      </m:oMath>
      <w:r>
        <w:t xml:space="preserve"> </w:t>
      </w:r>
      <w:r>
        <w:t xml:space="preserve">values yield steeper functions (higher discriminability), whereas larger</w:t>
      </w:r>
      <w:r>
        <w:t xml:space="preserve"> </w:t>
      </w:r>
      <m:oMath>
        <m:r>
          <m:t>β</m:t>
        </m:r>
      </m:oMath>
      <w:r>
        <w:t xml:space="preserve"> </w:t>
      </w:r>
      <w:r>
        <w:t xml:space="preserve">values yield shallower functions (lower discriminability). The steepness directly reflects discriminability—how rapidly the probability of choosing</w:t>
      </w:r>
      <w:r>
        <w:t xml:space="preserve"> </w:t>
      </w:r>
      <w:r>
        <w:t xml:space="preserve">“different”</w:t>
      </w:r>
      <w:r>
        <w:t xml:space="preserve"> </w:t>
      </w:r>
      <w:r>
        <w:t xml:space="preserve">changes as stimulus intensity increases. Under the probit parameterization, the standard deviation of the underlying sensory noise distribution is</w:t>
      </w:r>
      <w:r>
        <w:t xml:space="preserve"> </w:t>
      </w:r>
      <m:oMath>
        <m:r>
          <m:t>σ</m:t>
        </m:r>
        <m:r>
          <m:rPr>
            <m:sty m:val="p"/>
          </m:rPr>
          <m:t>=</m:t>
        </m:r>
        <m:r>
          <m:t>β</m:t>
        </m:r>
      </m:oMath>
      <w:r>
        <w:t xml:space="preserve"> </w:t>
      </w:r>
      <w:r>
        <w:t xml:space="preserve">(the scale parameter directly corresponds to the noise SD). An analogous logit specification replaces</w:t>
      </w:r>
      <w:r>
        <w:t xml:space="preserve"> </w:t>
      </w:r>
      <m:oMath>
        <m:r>
          <m:t>Φ</m:t>
        </m:r>
        <m:d>
          <m:dPr>
            <m:begChr m:val="("/>
            <m:sepChr m:val=""/>
            <m:endChr m:val=")"/>
            <m:grow/>
          </m:dPr>
          <m:e>
            <m:r>
              <m:rPr>
                <m:sty m:val="p"/>
              </m:rPr>
              <m:t>⋅</m:t>
            </m:r>
          </m:e>
        </m:d>
      </m:oMath>
      <w:r>
        <w:t xml:space="preserve"> </w:t>
      </w:r>
      <w:r>
        <w:t xml:space="preserve">with the logistic function, and in practice different sigmoid families typically yield very similar fits, with differences primarily reflecting parameterization and threshold conventions</w:t>
      </w:r>
      <w:r>
        <w:t xml:space="preserve"> </w:t>
      </w:r>
      <w:r>
        <w:t xml:space="preserve">(Prins et al., 2016)</w:t>
      </w:r>
      <w:r>
        <w:t xml:space="preserve">. For example, the Weibull’s conventional threshold parameter corresponds to approximately 0.632 on the cumulative response scale, whereas Quick/log-Quick formulations correspond to 0.5; therefore, threshold values should always be interpreted relative to the criterion at which they are defined</w:t>
      </w:r>
      <w:r>
        <w:t xml:space="preserve"> </w:t>
      </w:r>
      <w:r>
        <w:t xml:space="preserve">(Prins et al., 2016)</w:t>
      </w:r>
      <w:r>
        <w:t xml:space="preserve">.</w:t>
      </w:r>
    </w:p>
    <w:p>
      <w:pPr>
        <w:pStyle w:val="BodyText"/>
      </w:pPr>
      <w:r>
        <w:t xml:space="preserve">In many psychophysical applications, PFs include asymptotes: a guess rate (</w:t>
      </w:r>
      <m:oMath>
        <m:r>
          <m:t>γ</m:t>
        </m:r>
      </m:oMath>
      <w:r>
        <w:t xml:space="preserve">) and a lapse rate (</w:t>
      </w:r>
      <m:oMath>
        <m:r>
          <m:t>λ</m:t>
        </m:r>
      </m:oMath>
      <w:r>
        <w:t xml:space="preserve">) that capture stimulus-independent errors; assuming</w:t>
      </w:r>
      <w:r>
        <w:t xml:space="preserve"> </w:t>
      </w:r>
      <m:oMath>
        <m:r>
          <m:t>λ</m:t>
        </m:r>
        <m:r>
          <m:rPr>
            <m:sty m:val="p"/>
          </m:rPr>
          <m:t>=</m:t>
        </m:r>
        <m:r>
          <m:t>0</m:t>
        </m:r>
      </m:oMath>
      <w:r>
        <w:t xml:space="preserve"> </w:t>
      </w:r>
      <w:r>
        <w:t xml:space="preserve">when lapses are present can bias threshold and slope estimates</w:t>
      </w:r>
      <w:r>
        <w:t xml:space="preserve"> </w:t>
      </w:r>
      <w:r>
        <w:t xml:space="preserve">(Prins et al., 2016; Wichmann &amp; Hill, 2001)</w:t>
      </w:r>
      <w:r>
        <w:t xml:space="preserve">. The four-parameter formulation is:</w:t>
      </w:r>
    </w:p>
    <w:p>
      <w:pPr>
        <w:pStyle w:val="BodyText"/>
      </w:pPr>
      <m:oMathPara>
        <m:oMathParaPr>
          <m:jc m:val="center"/>
        </m:oMathParaPr>
        <m:oMath>
          <m:r>
            <m:t>P</m:t>
          </m:r>
          <m:d>
            <m:dPr>
              <m:begChr m:val="("/>
              <m:sepChr m:val=""/>
              <m:endChr m:val=")"/>
              <m:grow/>
            </m:dPr>
            <m:e>
              <m:r>
                <m:rPr>
                  <m:nor/>
                  <m:sty m:val="p"/>
                </m:rPr>
                <m:t>"different"</m:t>
              </m:r>
              <m:r>
                <m:rPr>
                  <m:sty m:val="p"/>
                </m:rPr>
                <m:t>|</m:t>
              </m:r>
              <m:r>
                <m:t>X</m:t>
              </m:r>
            </m:e>
          </m:d>
          <m:r>
            <m:rPr>
              <m:sty m:val="p"/>
            </m:rPr>
            <m:t>=</m:t>
          </m:r>
          <m:r>
            <m:t>γ</m:t>
          </m:r>
          <m:r>
            <m:rPr>
              <m:sty m:val="p"/>
            </m:rPr>
            <m:t>+</m:t>
          </m:r>
          <m:d>
            <m:dPr>
              <m:begChr m:val="("/>
              <m:sepChr m:val=""/>
              <m:endChr m:val=")"/>
              <m:grow/>
            </m:dPr>
            <m:e>
              <m:r>
                <m:t>1</m:t>
              </m:r>
              <m:r>
                <m:rPr>
                  <m:sty m:val="p"/>
                </m:rPr>
                <m:t>−</m:t>
              </m:r>
              <m:r>
                <m:t>γ</m:t>
              </m:r>
              <m:r>
                <m:rPr>
                  <m:sty m:val="p"/>
                </m:rPr>
                <m:t>−</m:t>
              </m:r>
              <m:r>
                <m:t>λ</m:t>
              </m:r>
            </m:e>
          </m:d>
          <m:r>
            <m:rPr>
              <m:sty m:val="p"/>
            </m:rPr>
            <m:t>⋅</m:t>
          </m:r>
          <m:r>
            <m:t>Φ</m:t>
          </m:r>
          <m:d>
            <m:dPr>
              <m:begChr m:val="("/>
              <m:sepChr m:val=""/>
              <m:endChr m:val=")"/>
              <m:grow/>
            </m:dPr>
            <m:e>
              <m:f>
                <m:fPr>
                  <m:type m:val="bar"/>
                </m:fPr>
                <m:num>
                  <m:r>
                    <m:t>X</m:t>
                  </m:r>
                  <m:r>
                    <m:rPr>
                      <m:sty m:val="p"/>
                    </m:rPr>
                    <m:t>−</m:t>
                  </m:r>
                  <m:r>
                    <m:t>α</m:t>
                  </m:r>
                </m:num>
                <m:den>
                  <m:r>
                    <m:t>β</m:t>
                  </m:r>
                </m:den>
              </m:f>
            </m:e>
          </m:d>
        </m:oMath>
      </m:oMathPara>
    </w:p>
    <w:p>
      <w:pPr>
        <w:pStyle w:val="FirstParagraph"/>
      </w:pPr>
      <w:r>
        <w:rPr>
          <w:b/>
          <w:bCs/>
        </w:rPr>
        <w:t xml:space="preserve">Location</w:t>
      </w:r>
      <w:r>
        <w:t xml:space="preserve"> </w:t>
      </w:r>
      <w:r>
        <w:t xml:space="preserve">(</w:t>
      </w:r>
      <m:oMath>
        <m:r>
          <m:t>α</m:t>
        </m:r>
      </m:oMath>
      <w:r>
        <w:t xml:space="preserve">) and</w:t>
      </w:r>
      <w:r>
        <w:t xml:space="preserve"> </w:t>
      </w:r>
      <w:r>
        <w:rPr>
          <w:b/>
          <w:bCs/>
        </w:rPr>
        <w:t xml:space="preserve">steepness</w:t>
      </w:r>
      <w:r>
        <w:t xml:space="preserve"> </w:t>
      </w:r>
      <w:r>
        <w:t xml:space="preserve">(inverse of scale) must be distinguished: in same–different tasks, shifts in</w:t>
      </w:r>
      <w:r>
        <w:t xml:space="preserve"> </w:t>
      </w:r>
      <m:oMath>
        <m:r>
          <m:t>α</m:t>
        </m:r>
      </m:oMath>
      <w:r>
        <w:t xml:space="preserve"> </w:t>
      </w:r>
      <w:r>
        <w:t xml:space="preserve">can reflect criterion/bias as well as sensitivity, whereas steepness indexes how rapidly response probability changes with intensity and is the cleaner sensitivity index</w:t>
      </w:r>
      <w:r>
        <w:t xml:space="preserve"> </w:t>
      </w:r>
      <w:r>
        <w:t xml:space="preserve">(Macmillan &amp; Creelman, 2005; Prins et al., 2016)</w:t>
      </w:r>
      <w:r>
        <w:t xml:space="preserve">. This contrast is illustrated in</w:t>
      </w:r>
      <w:r>
        <w:t xml:space="preserve"> </w:t>
      </w:r>
      <w:hyperlink w:anchor="fig-pf-location-vs-sensitivity">
        <w:r>
          <w:rPr>
            <w:rStyle w:val="Hyperlink"/>
          </w:rPr>
          <w:t xml:space="preserve">Figure 1</w:t>
        </w:r>
      </w:hyperlink>
      <w:r>
        <w:t xml:space="preserve">.</w:t>
      </w:r>
    </w:p>
    <w:p>
      <w:pPr>
        <w:pStyle w:val="BodyText"/>
      </w:pPr>
      <w:r>
        <w:t xml:space="preserve">These considerations connect directly to signal detection theory: location shifts can reflect criterion changes (response bias), while changes in steepness reflect true sensitivity changes</w:t>
      </w:r>
      <w:r>
        <w:t xml:space="preserve"> </w:t>
      </w:r>
      <w:r>
        <w:t xml:space="preserve">(Macmillan &amp; Creelman, 2005)</w:t>
      </w:r>
      <w:r>
        <w:t xml:space="preserve">. In the present same–different judgment task, the GLMM includes random intercepts to absorb individual differences in response criterion, while the intensity × pupil-state interaction term targets sensitivity (steepness) rather than bias.</w:t>
      </w:r>
    </w:p>
    <w:tbl>
      <w:tblPr>
        <w:tblStyle w:val="Table"/>
        <w:tblW w:type="pct" w:w="5000"/>
        <w:tblLayout w:type="fixed"/>
        <w:tblLook w:firstRow="0" w:lastRow="0" w:firstColumn="0" w:lastColumn="0" w:noHBand="0" w:noVBand="0" w:val="0000"/>
      </w:tblPr>
      <w:tblGrid>
        <w:gridCol w:w="7920"/>
      </w:tblGrid>
      <w:tr>
        <w:tc>
          <w:tcPr/>
          <w:bookmarkStart w:id="25" w:name="fig-pf-location-vs-sensitivity"/>
          <w:p>
            <w:pPr>
              <w:pStyle w:val="Compact"/>
              <w:jc w:val="center"/>
            </w:pPr>
            <w:r>
              <w:drawing>
                <wp:inline>
                  <wp:extent cx="5334000" cy="2977116"/>
                  <wp:effectExtent b="0" l="0" r="0" t="0"/>
                  <wp:docPr descr="" title="" id="23" name="Picture"/>
                  <a:graphic>
                    <a:graphicData uri="http://schemas.openxmlformats.org/drawingml/2006/picture">
                      <pic:pic>
                        <pic:nvPicPr>
                          <pic:cNvPr descr="../output/figures/PF.jpg" id="24" name="Picture"/>
                          <pic:cNvPicPr>
                            <a:picLocks noChangeArrowheads="1" noChangeAspect="1"/>
                          </pic:cNvPicPr>
                        </pic:nvPicPr>
                        <pic:blipFill>
                          <a:blip r:embed="rId22"/>
                          <a:stretch>
                            <a:fillRect/>
                          </a:stretch>
                        </pic:blipFill>
                        <pic:spPr bwMode="auto">
                          <a:xfrm>
                            <a:off x="0" y="0"/>
                            <a:ext cx="5334000" cy="297711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Psychometric function parameters: location vs sensitivity</w:t>
            </w:r>
          </w:p>
          <w:bookmarkEnd w:id="25"/>
        </w:tc>
      </w:tr>
    </w:tbl>
    <w:p>
      <w:pPr>
        <w:pStyle w:val="BodyText"/>
      </w:pPr>
      <w:r>
        <w:t xml:space="preserve">This chapter leverages two complementary PF approaches that serve distinct purposes. First, descriptive PF parameters (thresholds and slopes) that provide the behavioral backbone for Chapter 2 were estimated previously using Psignifit 4 in MATLAB</w:t>
      </w:r>
      <w:r>
        <w:t xml:space="preserve"> </w:t>
      </w:r>
      <w:r>
        <w:t xml:space="preserve">(Schütt et al., 2016)</w:t>
      </w:r>
      <w:r>
        <w:t xml:space="preserve">, which supports robust estimation and can account for overdispersion. A Weibull PF was fit to each participant’s proportion of</w:t>
      </w:r>
      <w:r>
        <w:t xml:space="preserve"> </w:t>
      </w:r>
      <w:r>
        <w:t xml:space="preserve">“different”</w:t>
      </w:r>
      <w:r>
        <w:t xml:space="preserve"> </w:t>
      </w:r>
      <w:r>
        <w:t xml:space="preserve">responses across stimulus levels within each task and effort condition. Because the Weibull function is undefined at zero,</w:t>
      </w:r>
      <w:r>
        <w:t xml:space="preserve"> </w:t>
      </w:r>
      <w:r>
        <w:rPr>
          <w:b/>
          <w:bCs/>
        </w:rPr>
        <w:t xml:space="preserve">0-offset</w:t>
      </w:r>
      <w:r>
        <w:t xml:space="preserve"> </w:t>
      </w:r>
      <w:r>
        <w:t xml:space="preserve">trials (physically identical standard and probe) were assigned intensities of</w:t>
      </w:r>
      <w:r>
        <w:t xml:space="preserve"> </w:t>
      </w:r>
      <w:r>
        <w:rPr>
          <w:b/>
          <w:bCs/>
        </w:rPr>
        <w:t xml:space="preserve">4 Hz</w:t>
      </w:r>
      <w:r>
        <w:t xml:space="preserve"> </w:t>
      </w:r>
      <w:r>
        <w:t xml:space="preserve">(</w:t>
      </w:r>
      <w:r>
        <w:rPr>
          <w:b/>
          <w:bCs/>
        </w:rPr>
        <w:t xml:space="preserve">ADT</w:t>
      </w:r>
      <w:r>
        <w:t xml:space="preserve">) and</w:t>
      </w:r>
      <w:r>
        <w:t xml:space="preserve"> </w:t>
      </w:r>
      <w:r>
        <w:rPr>
          <w:b/>
          <w:bCs/>
        </w:rPr>
        <w:t xml:space="preserve">0.0075</w:t>
      </w:r>
      <w:r>
        <w:t xml:space="preserve"> </w:t>
      </w:r>
      <w:r>
        <w:t xml:space="preserve">Michelson contrast (</w:t>
      </w:r>
      <w:r>
        <w:rPr>
          <w:b/>
          <w:bCs/>
        </w:rPr>
        <w:t xml:space="preserve">VDT</w:t>
      </w:r>
      <w:r>
        <w:t xml:space="preserve">)—each</w:t>
      </w:r>
      <w:r>
        <w:t xml:space="preserve"> </w:t>
      </w:r>
      <w:r>
        <w:rPr>
          <w:b/>
          <w:bCs/>
        </w:rPr>
        <w:t xml:space="preserve">half of the smallest non-zero stimulus level</w:t>
      </w:r>
      <w:r>
        <w:t xml:space="preserve"> </w:t>
      </w:r>
      <w:r>
        <w:t xml:space="preserve">in that modality—preserving the full difficulty ladder while satisfying the fitting engine. Guess and lapse parameters were allowed to vary freely during fitting, and threshold and slope were derived at the effective midpoint—halfway between the estimated guess rate</w:t>
      </w:r>
      <w:r>
        <w:t xml:space="preserve"> </w:t>
      </w:r>
      <m:oMath>
        <m:r>
          <m:t>γ</m:t>
        </m:r>
      </m:oMath>
      <w:r>
        <w:t xml:space="preserve"> </w:t>
      </w:r>
      <w:r>
        <w:t xml:space="preserve">and</w:t>
      </w:r>
      <w:r>
        <w:t xml:space="preserve"> </w:t>
      </w:r>
      <m:oMath>
        <m:r>
          <m:t>1</m:t>
        </m:r>
        <m:r>
          <m:rPr>
            <m:sty m:val="p"/>
          </m:rPr>
          <m:t>−</m:t>
        </m:r>
        <m:r>
          <m:t>λ</m:t>
        </m:r>
      </m:oMath>
      <w:r>
        <w:t xml:space="preserve">—yielding a criterion comparable to a 50% point on the effective response scale.</w:t>
      </w:r>
    </w:p>
    <w:p>
      <w:pPr>
        <w:pStyle w:val="BodyText"/>
      </w:pPr>
      <w:r>
        <w:t xml:space="preserve">Second, the primary inferential analyses in the present chapter use a hierarchical generalized linear mixed model (GLMM) with a probit link to model trialwise</w:t>
      </w:r>
      <w:r>
        <w:t xml:space="preserve"> </w:t>
      </w:r>
      <m:oMath>
        <m:r>
          <m:t>P</m:t>
        </m:r>
        <m:d>
          <m:dPr>
            <m:begChr m:val="("/>
            <m:sepChr m:val=""/>
            <m:endChr m:val=")"/>
            <m:grow/>
          </m:dPr>
          <m:e>
            <m:r>
              <m:rPr>
                <m:nor/>
                <m:sty m:val="p"/>
              </m:rPr>
              <m:t>"different"</m:t>
            </m:r>
            <m:r>
              <m:rPr>
                <m:sty m:val="p"/>
              </m:rPr>
              <m:t>∣</m:t>
            </m:r>
            <m:r>
              <m:t>X</m:t>
            </m:r>
          </m:e>
        </m:d>
      </m:oMath>
      <w:r>
        <w:t xml:space="preserve">. In a probit-link GLMM, the linear predictor operates on a latent standard-normal (</w:t>
      </w:r>
      <m:oMath>
        <m:r>
          <m:t>z</m:t>
        </m:r>
      </m:oMath>
      <w:r>
        <w:t xml:space="preserve">) evidence scale, and the intensity coefficient governs the steepness of the intensity–response relationship in that latent space. The critical interaction between stimulus intensity and within-person pupil state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therefore tests whether moment-to-moment arousal modulates sensitivity (steepness) rather than merely shifting response tendency (criterion). Although the trial-level GLMM does not explicitly estimate lapse parameters, lapse-like contamination is minimized through stringent pupil quality tiers and robustness checks, preserving statistical efficiency while addressing psychophysical concerns about stimulus-independent error. The probit link function is used in the GLMM for consistency with the latent evidence interpretation in signal detection theory, where the cumulative normal distribution naturally maps onto</w:t>
      </w:r>
      <w:r>
        <w:t xml:space="preserve"> </w:t>
      </w:r>
      <m:oMath>
        <m:r>
          <m:t>z</m:t>
        </m:r>
      </m:oMath>
      <w:r>
        <w:t xml:space="preserve">-scaled evidence. In the present study, stimulus intensity is modeled on its original scale (frequency offset in Hz for auditory, contrast difference for visual), and the continuous-intensity GLMM framework avoids binning regardless of the underlying scale—preserving information and statistical efficiency relative to collapsing trials into coarse difficulty bins. Continuous modeling preserves the full intensity–response relationship and tests whether arousal alters the rate of evidence accumulation (sensitivity), not only response tendency.</w:t>
      </w:r>
    </w:p>
    <w:bookmarkEnd w:id="26"/>
    <w:bookmarkStart w:id="27" w:name="X2b885e8bd30074a7865a1b223dc0e8b0ef072dc"/>
    <w:p>
      <w:pPr>
        <w:pStyle w:val="Heading2"/>
      </w:pPr>
      <w:r>
        <w:t xml:space="preserve">1.3 Arousal, Effort, and Perceptual Sensitivity</w:t>
      </w:r>
    </w:p>
    <w:p>
      <w:pPr>
        <w:pStyle w:val="FirstParagraph"/>
      </w:pPr>
      <w:r>
        <w:t xml:space="preserve">The relationship between arousal and cognitive performance has been formalized in several influential frameworks. The Yerkes–Dodson law proposes an inverted-U function in which performance improves with increasing arousal up to an optimal point, beyond which additional arousal—particularly when experienced as stress or anxiety—impairs performance</w:t>
      </w:r>
      <w:r>
        <w:t xml:space="preserve"> </w:t>
      </w:r>
      <w:r>
        <w:t xml:space="preserve">(Yerkes &amp; Dodson, 1908)</w:t>
      </w:r>
      <w:r>
        <w:t xml:space="preserve">. Adaptive Gain Theory (AGT) provides a mechanistic account centered on the locus coeruleus–norepinephrine (LC–NE) system, linking tonic (baseline) and phasic (event-evoked) LC activity to shifts in neural gain and, ultimately, task performance</w:t>
      </w:r>
      <w:r>
        <w:t xml:space="preserve"> </w:t>
      </w:r>
      <w:r>
        <w:t xml:space="preserve">(Aston-Jones &amp; Cohen, 2005)</w:t>
      </w:r>
      <w:r>
        <w:t xml:space="preserve">. Under AGT, optimal performance is expected when tonic LC activity is moderate and phasic responses to task-relevant events are robust, supporting focused attention and efficient responding.</w:t>
      </w:r>
    </w:p>
    <w:p>
      <w:pPr>
        <w:pStyle w:val="BodyText"/>
      </w:pPr>
      <w:r>
        <w:t xml:space="preserve">In aging, arousal–performance relationships may be altered in ways that complicate these canonical predictions. Evidence suggests that older adults may exhibit a leftward shift or compression of the inverted-U curve, such that peak performance occurs at lower levels of objective demand relative to younger adults</w:t>
      </w:r>
      <w:r>
        <w:t xml:space="preserve"> </w:t>
      </w:r>
      <w:r>
        <w:t xml:space="preserve">(Mather &amp; Harley, 2016; Mikneviciute et al., 2022)</w:t>
      </w:r>
      <w:r>
        <w:t xml:space="preserve">. As a result, conditions that are neutral or even beneficial for younger adults may push older adults into supra-optimal arousal states, placing them on the descending limb of the curve and producing performance decrements</w:t>
      </w:r>
      <w:r>
        <w:t xml:space="preserve"> </w:t>
      </w:r>
      <w:r>
        <w:t xml:space="preserve">(Huang &amp; Clewett, 2024; Mather &amp; Harley, 2016)</w:t>
      </w:r>
      <w:r>
        <w:t xml:space="preserve">. This aging-related vulnerability motivates testing whether experimentally induced arousal—here, physical effort—selectively disrupts the quality of perceptual evidence and the sensitivity of discrimination.</w:t>
      </w:r>
    </w:p>
    <w:p>
      <w:pPr>
        <w:pStyle w:val="BodyText"/>
      </w:pPr>
      <w:r>
        <w:t xml:space="preserve">Physical effort provides a controlled method for manipulating arousal state in a way that is experimentally separable from stimulus difficulty. Sustained isometric handgrip at moderate-to-high intensities (e.g., ~30–40% MVC) elicits a robust pressor and sympathoexcitatory response—raising arterial pressure and heart rate and increasing sympathetic outflow—whose magnitude scales with contraction intensity and remains present in older adults. At the neural level, static handgrip and post-exercise ischemia recruit brainstem and cortical regions involved in autonomic control and effort, offering a plausible central substrate for effort-induced arousal shifts that may interact with perceptual decision processes</w:t>
      </w:r>
      <w:r>
        <w:t xml:space="preserve"> </w:t>
      </w:r>
      <w:r>
        <w:t xml:space="preserve">(Lalande et al., 2014; Mark et al., 1985; Sander et al., 2010; Toska, 2010)</w:t>
      </w:r>
      <w:r>
        <w:t xml:space="preserve">. This provides an experimentally useful perturbation of arousal-related physiology, but it should not be treated as isomorphic with tonic LC firing: handgrip-induced sympathoexcitation is only an indirect route into the LC-linked mechanisms emphasized by AGT.</w:t>
      </w:r>
    </w:p>
    <w:p>
      <w:pPr>
        <w:pStyle w:val="BodyText"/>
      </w:pPr>
      <w:r>
        <w:t xml:space="preserve">At the same time, physical effort may influence performance through mechanisms that are not purely</w:t>
      </w:r>
      <w:r>
        <w:t xml:space="preserve"> </w:t>
      </w:r>
      <w:r>
        <w:t xml:space="preserve">“arousal,”</w:t>
      </w:r>
      <w:r>
        <w:t xml:space="preserve"> </w:t>
      </w:r>
      <w:r>
        <w:t xml:space="preserve">including resource-based interference. Limited-capacity and multiple-resource accounts predict that concurrent physical effort can compete with cognitive task performance when total demands exceed available capacity or when tasks draw on overlapping resource pools</w:t>
      </w:r>
      <w:r>
        <w:t xml:space="preserve"> </w:t>
      </w:r>
      <w:r>
        <w:t xml:space="preserve">(Wickens, 2008)</w:t>
      </w:r>
      <w:r>
        <w:t xml:space="preserve">. Supporting this possibility, Azer et al.</w:t>
      </w:r>
      <w:r>
        <w:t xml:space="preserve"> </w:t>
      </w:r>
      <w:r>
        <w:t xml:space="preserve">(2023)</w:t>
      </w:r>
      <w:r>
        <w:t xml:space="preserve"> </w:t>
      </w:r>
      <w:r>
        <w:t xml:space="preserve">reported that older adults showed reduced accuracy in a visual working memory task while maintaining moderate handgrip (30% MVC), whereas younger adults were relatively unaffected. This pattern is consistent with the idea that older adults may be more susceptible to combined physical-cognitive demands, either because resources are depleted more readily or because arousal becomes dysregulated under challenge</w:t>
      </w:r>
      <w:r>
        <w:t xml:space="preserve"> </w:t>
      </w:r>
      <w:r>
        <w:t xml:space="preserve">(Verhaeghen et al., 2003)</w:t>
      </w:r>
      <w:r>
        <w:t xml:space="preserve">. Importantly, these</w:t>
      </w:r>
      <w:r>
        <w:t xml:space="preserve"> </w:t>
      </w:r>
      <w:r>
        <w:t xml:space="preserve">“resource competition”</w:t>
      </w:r>
      <w:r>
        <w:t xml:space="preserve"> </w:t>
      </w:r>
      <w:r>
        <w:t xml:space="preserve">and</w:t>
      </w:r>
      <w:r>
        <w:t xml:space="preserve"> </w:t>
      </w:r>
      <w:r>
        <w:t xml:space="preserve">“arousal regulation”</w:t>
      </w:r>
      <w:r>
        <w:t xml:space="preserve"> </w:t>
      </w:r>
      <w:r>
        <w:t xml:space="preserve">perspectives are not mutually exclusive, and the present study is designed to adjudicate between them by modeling trialwise arousal (pupil state) alongside effort condition.</w:t>
      </w:r>
    </w:p>
    <w:p>
      <w:pPr>
        <w:pStyle w:val="BodyText"/>
      </w:pPr>
      <w:r>
        <w:t xml:space="preserve">These frameworks motivate specific predictions for psychometric sensitivity. Location (midpoint) shifts can reflect criterion/bias in same–different tasks and are interpreted cautiously (see</w:t>
      </w:r>
      <w:r>
        <w:t xml:space="preserve"> </w:t>
      </w:r>
      <w:hyperlink w:anchor="fig-pf-location-vs-sensitivity">
        <w:r>
          <w:rPr>
            <w:rStyle w:val="Hyperlink"/>
          </w:rPr>
          <w:t xml:space="preserve">Figure 1</w:t>
        </w:r>
      </w:hyperlink>
      <w:r>
        <w:t xml:space="preserve">); steepness provides the primary index of discriminability. If effort-induced arousal degrades signal quality or increases noise, functions should become shallower; moderate arousal could steepen them. Supra-optimal arousal may be more likely in older adults, motivating emphasis on steepness and its modulation by pupil-indexed arousal rather than on threshold alone.</w:t>
      </w:r>
    </w:p>
    <w:bookmarkEnd w:id="27"/>
    <w:bookmarkStart w:id="28" w:name="X75f3a553e00627dd28218825eeb1a728bccac00"/>
    <w:p>
      <w:pPr>
        <w:pStyle w:val="Heading2"/>
      </w:pPr>
      <w:r>
        <w:t xml:space="preserve">1.4 Pupillometry as a Window into Arousal Dynamics</w:t>
      </w:r>
    </w:p>
    <w:p>
      <w:pPr>
        <w:pStyle w:val="FirstParagraph"/>
      </w:pPr>
      <w:r>
        <w:t xml:space="preserve">The LC–NE system is a central regulator of arousal and cognitive state. As the primary source of norepinephrine to the forebrain, LC–NE projections modulate neural gain and the signal-to-noise ratio of cortical processing</w:t>
      </w:r>
      <w:r>
        <w:t xml:space="preserve"> </w:t>
      </w:r>
      <w:r>
        <w:t xml:space="preserve">(Aston-Jones &amp; Cohen, 2005)</w:t>
      </w:r>
      <w:r>
        <w:t xml:space="preserve">. AGT posits that task performance depends on a balance between tonic LC activity and phasic LC bursts, such that moderate tonic baseline paired with strong phasic responses supports focused attention and effective behavioral control</w:t>
      </w:r>
      <w:r>
        <w:t xml:space="preserve"> </w:t>
      </w:r>
      <w:r>
        <w:t xml:space="preserve">(Gilzenrat et al., 2010)</w:t>
      </w:r>
      <w:r>
        <w:t xml:space="preserve">.</w:t>
      </w:r>
    </w:p>
    <w:p>
      <w:pPr>
        <w:pStyle w:val="BodyText"/>
      </w:pPr>
      <w:r>
        <w:t xml:space="preserve">Pupillometry provides a practical, noninvasive index of arousal dynamics that is often linked to LC–NE activity. Pupil diameter covaries with arousal-related neuromodulatory activity and can be characterized at two levels. First, baseline (tonic) pupil diameter reflects relatively sustained arousal state and has been associated with tonic LC activity and general alertness</w:t>
      </w:r>
      <w:r>
        <w:t xml:space="preserve"> </w:t>
      </w:r>
      <w:r>
        <w:t xml:space="preserve">(Alnæs et al., 2014; Gilzenrat et al., 2010)</w:t>
      </w:r>
      <w:r>
        <w:t xml:space="preserve">. Second, task-evoked pupil responses (TEPRs) reflect event-linked changes often interpreted as phasic arousal and mobilization of mental effort during task execution</w:t>
      </w:r>
      <w:r>
        <w:t xml:space="preserve"> </w:t>
      </w:r>
      <w:r>
        <w:t xml:space="preserve">(Beatty, 1982; Kahneman &amp; Beatty, 1966)</w:t>
      </w:r>
      <w:r>
        <w:t xml:space="preserve">. TEPRs typically peak on the order of 1–2 seconds after stimulus onset and can be quantified using peak amplitude, mean dilation over a defined epoch, or the area under the curve (AUC) of the baseline-corrected signal, which jointly captures amplitude and duration. TEPR magnitude has been linked to task difficulty, cognitive load, surprise, and decision confidence, and in discrimination contexts larger TEPRs often accompany more difficult decisions, consistent with increased recruitment of control resources</w:t>
      </w:r>
      <w:r>
        <w:t xml:space="preserve"> </w:t>
      </w:r>
      <w:r>
        <w:t xml:space="preserve">(Duchowski et al., 2018; Preuschoff et al., 2011)</w:t>
      </w:r>
      <w:r>
        <w:t xml:space="preserve">. The neural pathway linking LC to pupil diameter involves direct projections from LC to the Edinger–Westphal nucleus, which controls pupil constriction/dilation via parasympathetic and sympathetic pathways</w:t>
      </w:r>
      <w:r>
        <w:t xml:space="preserve"> </w:t>
      </w:r>
      <w:r>
        <w:t xml:space="preserve">(Joshi et al., 2016; McDougal &amp; Gamlin, 2010; Murphy et al., 2014)</w:t>
      </w:r>
      <w:r>
        <w:t xml:space="preserve">.</w:t>
      </w:r>
    </w:p>
    <w:p>
      <w:pPr>
        <w:pStyle w:val="BodyText"/>
      </w:pPr>
      <w:r>
        <w:t xml:space="preserve">Interpretation of pupil diameter nevertheless requires care because pupillometry is a multi-determined signal shaped by interacting neural and autonomic pathways. While LC–NE contributions to pupil fluctuations are central to the present theoretical framing, other structures and pathways can also influence pupil dynamics, and measurement artifacts can distort pupil estimates</w:t>
      </w:r>
      <w:r>
        <w:t xml:space="preserve"> </w:t>
      </w:r>
      <w:r>
        <w:t xml:space="preserve">(Papesh &amp; Goldinger, 2024)</w:t>
      </w:r>
      <w:r>
        <w:t xml:space="preserve">. In particular, eye position and saccade-related effects can alter apparent pupil size (e.g., pupil foreshortening error and post-saccadic pupil constrictions), and blink-related missingness can bias mean or baseline estimates if not handled carefully</w:t>
      </w:r>
      <w:r>
        <w:t xml:space="preserve"> </w:t>
      </w:r>
      <w:r>
        <w:t xml:space="preserve">(Hershman et al., 2024; Laeng &amp; Mathôt, 2024)</w:t>
      </w:r>
      <w:r>
        <w:t xml:space="preserve">. In cognitive tasks, TEPRs reflect event-linked changes that unfold with a physiological delay rather than instantaneously; pupil changes are typically detectable approximately 200–250 ms after task events, with responses tied to specific events such as stimulus presentation, response execution, or feedback</w:t>
      </w:r>
      <w:r>
        <w:t xml:space="preserve"> </w:t>
      </w:r>
      <w:r>
        <w:t xml:space="preserve">(Hershman et al., 2024)</w:t>
      </w:r>
      <w:r>
        <w:t xml:space="preserve">. This temporal delay justifies the use of epoch-based analysis windows and AUC metrics that capture the full time course of the response. These considerations motivate pairing theory-driven pupil metrics with explicit preprocessing and data-quality procedures designed to minimize artifactual variance and ensure that observed effects reflect task-evoked physiology rather than measurement confounds. In the present chapter, that means the primary GLMM should be interpreted as a test of</w:t>
      </w:r>
      <w:r>
        <w:t xml:space="preserve"> </w:t>
      </w:r>
      <w:r>
        <w:rPr>
          <w:b/>
          <w:bCs/>
        </w:rPr>
        <w:t xml:space="preserve">phasic</w:t>
      </w:r>
      <w:r>
        <w:t xml:space="preserve">, stimulus-locked pupil coupling with psychometric sensitivity; tonic pupil state is addressed only indirectly via the effort manipulation checks.</w:t>
      </w:r>
    </w:p>
    <w:p>
      <w:pPr>
        <w:pStyle w:val="BodyText"/>
      </w:pPr>
      <w:r>
        <w:t xml:space="preserve">In aging, LC–NE regulation may change in ways that are directly relevant to arousal–performance coupling. Structural degradation of the LC has been observed in older adults</w:t>
      </w:r>
      <w:r>
        <w:t xml:space="preserve"> </w:t>
      </w:r>
      <w:r>
        <w:t xml:space="preserve">(Mather &amp; Harley, 2016)</w:t>
      </w:r>
      <w:r>
        <w:t xml:space="preserve">, and functional compensatory patterns may emerge, including chronically elevated tonic arousal or altered phasic responsiveness to challenge</w:t>
      </w:r>
      <w:r>
        <w:t xml:space="preserve"> </w:t>
      </w:r>
      <w:r>
        <w:t xml:space="preserve">(Lee et al., 2018; Mather et al., 2016)</w:t>
      </w:r>
      <w:r>
        <w:t xml:space="preserve">. Such compensatory dynamics may support performance up to a point, but could also increase vulnerability to supra-optimal arousal, leading to distractibility and degraded information processing under high demand</w:t>
      </w:r>
      <w:r>
        <w:t xml:space="preserve"> </w:t>
      </w:r>
      <w:r>
        <w:t xml:space="preserve">(Aston-Jones &amp; Cohen, 2005; Eldar et al., 2013)</w:t>
      </w:r>
      <w:r>
        <w:t xml:space="preserve">. Pupillometry studies in aging report heterogeneous patterns—often larger baseline pupils coupled with reduced task-evoked responses—suggesting altered tonic-phasic balance</w:t>
      </w:r>
      <w:r>
        <w:t xml:space="preserve"> </w:t>
      </w:r>
      <w:r>
        <w:t xml:space="preserve">(Granholm et al., 2007)</w:t>
      </w:r>
      <w:r>
        <w:t xml:space="preserve">. Physical effort manipulations therefore provide an opportunity to test whether externally induced arousal shifts pupil dynamics and whether trialwise pupil state predicts changes in psychometric sensitivity.</w:t>
      </w:r>
    </w:p>
    <w:bookmarkEnd w:id="28"/>
    <w:bookmarkStart w:id="29" w:name="X9129bc0ca0d45972f4329ddbe1f3e483bf44801"/>
    <w:p>
      <w:pPr>
        <w:pStyle w:val="Heading2"/>
      </w:pPr>
      <w:r>
        <w:t xml:space="preserve">1.5 Dual-Task Context and Competing Mechanisms</w:t>
      </w:r>
    </w:p>
    <w:p>
      <w:pPr>
        <w:pStyle w:val="FirstParagraph"/>
      </w:pPr>
      <w:r>
        <w:t xml:space="preserve">Dual-task paradigms have long been used to understand limits of attention and performance under concurrent demands. Limited-capacity and resource-competition accounts propose that performance decrements arise when combined task demands exceed available resources, particularly when tasks draw on overlapping pools of attention or executive control</w:t>
      </w:r>
      <w:r>
        <w:t xml:space="preserve"> </w:t>
      </w:r>
      <w:r>
        <w:t xml:space="preserve">(Kahneman, 1973; Navon, 1984, 1985; Wickens, 2008)</w:t>
      </w:r>
      <w:r>
        <w:t xml:space="preserve">. Multiple Resource Theory further predicts that interference depends on similarity across resource dimensions (e.g., spatial vs. verbal demands), such that tasks that share processing channels are more likely to interfere</w:t>
      </w:r>
      <w:r>
        <w:t xml:space="preserve"> </w:t>
      </w:r>
      <w:r>
        <w:t xml:space="preserve">(Wickens, 2008)</w:t>
      </w:r>
      <w:r>
        <w:t xml:space="preserve">. Applied to physical–cognitive dual tasks, interference may arise through sustained attentional requirements for maintaining force, physiological arousal effects that can help or harm performance depending on state, and motor–cognitive competition that affects response selection and execution</w:t>
      </w:r>
      <w:r>
        <w:t xml:space="preserve"> </w:t>
      </w:r>
      <w:r>
        <w:t xml:space="preserve">(Proctor, 2012; Woollacott &amp; Shumway-Cook, 2002)</w:t>
      </w:r>
      <w:r>
        <w:t xml:space="preserve">. Age-related increases in dual-task costs are well documented and may reflect reduced reserve, altered executive control, or changes in arousal regulation</w:t>
      </w:r>
      <w:r>
        <w:t xml:space="preserve"> </w:t>
      </w:r>
      <w:r>
        <w:t xml:space="preserve">(Beurskens et al., 2014; Verhaeghen et al., 2003)</w:t>
      </w:r>
      <w:r>
        <w:t xml:space="preserve">.</w:t>
      </w:r>
    </w:p>
    <w:p>
      <w:pPr>
        <w:pStyle w:val="BodyText"/>
      </w:pPr>
      <w:r>
        <w:t xml:space="preserve">The present study explicitly recognizes that effort effects may reflect both generic resource competition and arousal-mediated mechanisms. Resource-competition models predict effort-related performance decrements as demands rise, whereas arousal-based accounts (including LC–NE mechanisms) predict that the quality of information processing may change as a function of arousal state, potentially independent of capacity limits. The key advantage of pairing pupillometry with psychometric modeling is that it allows these mechanisms to be separated empirically: effort condition provides an experimental manipulation, while trialwise pupil state indexes moment-to-moment arousal, and the psychometric framework distinguishes sensitivity changes (steepness) from criterion shifts (intercept/location). Accordingly, effort main effects in the GLMM may reflect a mixture of resource and arousal influences, whereas a significant stimulus intensity × pupil-state interaction would more specifically support arousal-linked modulation of sensitivity.</w:t>
      </w:r>
    </w:p>
    <w:bookmarkEnd w:id="29"/>
    <w:bookmarkStart w:id="36" w:name="X2084a3f669487ad591eff278ade7efb3e90d8a7"/>
    <w:p>
      <w:pPr>
        <w:pStyle w:val="Heading2"/>
      </w:pPr>
      <w:r>
        <w:t xml:space="preserve">1.6 Linking Arousal to Psychometric Sensitivity: Analytic Strategy</w:t>
      </w:r>
    </w:p>
    <w:p>
      <w:pPr>
        <w:pStyle w:val="FirstParagraph"/>
      </w:pPr>
      <w:r>
        <w:t xml:space="preserve">A central methodological challenge in pupil–behavior analyses is separating within-person</w:t>
      </w:r>
      <w:r>
        <w:t xml:space="preserve"> </w:t>
      </w:r>
      <w:r>
        <w:t xml:space="preserve">“state”</w:t>
      </w:r>
      <w:r>
        <w:t xml:space="preserve"> </w:t>
      </w:r>
      <w:r>
        <w:t xml:space="preserve">fluctuations from between-person</w:t>
      </w:r>
      <w:r>
        <w:t xml:space="preserve"> </w:t>
      </w:r>
      <w:r>
        <w:t xml:space="preserve">“trait”</w:t>
      </w:r>
      <w:r>
        <w:t xml:space="preserve"> </w:t>
      </w:r>
      <w:r>
        <w:t xml:space="preserve">differences. To do so, each pupil metric (</w:t>
      </w:r>
      <m:oMath>
        <m:sSub>
          <m:e>
            <m:r>
              <m:t>P</m:t>
            </m:r>
          </m:e>
          <m:sub>
            <m:r>
              <m:t>i</m:t>
            </m:r>
            <m:r>
              <m:t>j</m:t>
            </m:r>
          </m:sub>
        </m:sSub>
      </m:oMath>
      <w:r>
        <w:t xml:space="preserve">) is decomposed into a subject-mean component and a trial-wise deviation using within-subject centering:</w:t>
      </w:r>
    </w:p>
    <w:p>
      <w:pPr>
        <w:pStyle w:val="BodyText"/>
      </w:pPr>
      <w:bookmarkStart w:id="30" w:name="eq-state-trait"/>
      <m:oMathPara>
        <m:oMathParaPr>
          <m:jc m:val="center"/>
        </m:oMathParaPr>
        <m:oMath>
          <m:sSubSup>
            <m:e>
              <m:r>
                <m:t>P</m:t>
              </m:r>
            </m:e>
            <m:sub>
              <m:r>
                <m:t>j</m:t>
              </m:r>
            </m:sub>
            <m:sup>
              <m:d>
                <m:dPr>
                  <m:begChr m:val="("/>
                  <m:sepChr m:val=""/>
                  <m:endChr m:val=")"/>
                  <m:grow/>
                </m:dPr>
                <m:e>
                  <m:r>
                    <m:rPr>
                      <m:nor/>
                      <m:sty m:val="p"/>
                    </m:rPr>
                    <m:t>trait</m:t>
                  </m:r>
                </m:e>
              </m:d>
            </m:sup>
          </m:sSubSup>
          <m:r>
            <m:rPr>
              <m:sty m:val="p"/>
            </m:rPr>
            <m:t>=</m:t>
          </m:r>
          <m:sSub>
            <m:e>
              <m:bar>
                <m:barPr>
                  <m:pos m:val="top"/>
                </m:barPr>
                <m:e>
                  <m:r>
                    <m:t>P</m:t>
                  </m:r>
                </m:e>
              </m:bar>
            </m:e>
            <m:sub>
              <m:r>
                <m:t>j</m:t>
              </m:r>
            </m:sub>
          </m:sSub>
          <m:r>
            <m:rPr>
              <m:sty m:val="p"/>
            </m:rPr>
            <m:t>,</m:t>
          </m:r>
          <m:r>
            <m:t>  </m:t>
          </m:r>
          <m:sSubSup>
            <m:e>
              <m:r>
                <m:t>P</m:t>
              </m:r>
            </m:e>
            <m:sub>
              <m:r>
                <m:t>i</m:t>
              </m:r>
              <m:r>
                <m:t>j</m:t>
              </m:r>
            </m:sub>
            <m:sup>
              <m:d>
                <m:dPr>
                  <m:begChr m:val="("/>
                  <m:sepChr m:val=""/>
                  <m:endChr m:val=")"/>
                  <m:grow/>
                </m:dPr>
                <m:e>
                  <m:r>
                    <m:rPr>
                      <m:nor/>
                      <m:sty m:val="p"/>
                    </m:rPr>
                    <m:t>state</m:t>
                  </m:r>
                </m:e>
              </m:d>
            </m:sup>
          </m:sSubSup>
          <m:r>
            <m:rPr>
              <m:sty m:val="p"/>
            </m:rPr>
            <m:t>=</m:t>
          </m:r>
          <m:sSub>
            <m:e>
              <m:r>
                <m:t>P</m:t>
              </m:r>
            </m:e>
            <m:sub>
              <m:r>
                <m:t>i</m:t>
              </m:r>
              <m:r>
                <m:t>j</m:t>
              </m:r>
            </m:sub>
          </m:sSub>
          <m:r>
            <m:rPr>
              <m:sty m:val="p"/>
            </m:rPr>
            <m:t>−</m:t>
          </m:r>
          <m:sSub>
            <m:e>
              <m:bar>
                <m:barPr>
                  <m:pos m:val="top"/>
                </m:barPr>
                <m:e>
                  <m:r>
                    <m:t>P</m:t>
                  </m:r>
                </m:e>
              </m:bar>
            </m:e>
            <m:sub>
              <m:r>
                <m:t>j</m:t>
              </m:r>
            </m:sub>
          </m:sSub>
          <m:r>
            <m:t>  </m:t>
          </m:r>
          <m:d>
            <m:dPr>
              <m:begChr m:val="("/>
              <m:sepChr m:val=""/>
              <m:endChr m:val=")"/>
              <m:grow/>
            </m:dPr>
            <m:e>
              <m:r>
                <m:t>2</m:t>
              </m:r>
            </m:e>
          </m:d>
        </m:oMath>
      </m:oMathPara>
      <w:bookmarkEnd w:id="30"/>
    </w:p>
    <w:p>
      <w:pPr>
        <w:pStyle w:val="FirstParagraph"/>
      </w:pPr>
      <w:r>
        <w:t xml:space="preserve">This decomposition enables two distinct questions to be tested in the same model: whether individuals with higher average arousal differ in sensitivity (trait effects), and whether trials on which an individual is more aroused than usual show altered sensitivity (state effects). Importantly, this approach prevents conflating between- and within-person patterns—an especially relevant concern in aging where trait differences may be influenced by health or cognitive reserve</w:t>
      </w:r>
      <w:r>
        <w:t xml:space="preserve"> </w:t>
      </w:r>
      <w:r>
        <w:t xml:space="preserve">(Enders, 2013; Hoffman, 2015)</w:t>
      </w:r>
      <w:r>
        <w:t xml:space="preserve">. For example, if high-arousal individuals tend to have poorer performance for reasons unrelated to trial-wise fluctuations (e.g., chronic health conditions or comorbidities), that pattern will be captured at the trait level rather than falsely attributed to trial-wise changes in arousal.</w:t>
      </w:r>
      <w:r>
        <w:t xml:space="preserve"> </w:t>
      </w:r>
      <w:hyperlink w:anchor="fig-decompose-state-trait">
        <w:r>
          <w:rPr>
            <w:rStyle w:val="Hyperlink"/>
          </w:rPr>
          <w:t xml:space="preserve">Figure 2</w:t>
        </w:r>
      </w:hyperlink>
      <w:r>
        <w:t xml:space="preserve"> </w:t>
      </w:r>
      <w:r>
        <w:t xml:space="preserve">illustrates this decomposition visually, showing how raw pupil metrics are separated into trait (between-person) and state (within-person) components.</w:t>
      </w:r>
    </w:p>
    <w:tbl>
      <w:tblPr>
        <w:tblStyle w:val="Table"/>
        <w:tblW w:type="pct" w:w="5000"/>
        <w:tblLayout w:type="fixed"/>
        <w:tblLook w:firstRow="0" w:lastRow="0" w:firstColumn="0" w:lastColumn="0" w:noHBand="0" w:noVBand="0" w:val="0000"/>
      </w:tblPr>
      <w:tblGrid>
        <w:gridCol w:w="7920"/>
      </w:tblGrid>
      <w:tr>
        <w:tc>
          <w:tcPr/>
          <w:bookmarkStart w:id="34" w:name="fig-decompose-state-trait"/>
          <w:p>
            <w:pPr>
              <w:pStyle w:val="Compact"/>
              <w:jc w:val="center"/>
            </w:pPr>
            <w:r>
              <w:drawing>
                <wp:inline>
                  <wp:extent cx="5334000" cy="2701119"/>
                  <wp:effectExtent b="0" l="0" r="0" t="0"/>
                  <wp:docPr descr="" title="" id="32" name="Picture"/>
                  <a:graphic>
                    <a:graphicData uri="http://schemas.openxmlformats.org/drawingml/2006/picture">
                      <pic:pic>
                        <pic:nvPicPr>
                          <pic:cNvPr descr="../output/figures/Decompose.jpg" id="33" name="Picture"/>
                          <pic:cNvPicPr>
                            <a:picLocks noChangeArrowheads="1" noChangeAspect="1"/>
                          </pic:cNvPicPr>
                        </pic:nvPicPr>
                        <pic:blipFill>
                          <a:blip r:embed="rId31"/>
                          <a:stretch>
                            <a:fillRect/>
                          </a:stretch>
                        </pic:blipFill>
                        <pic:spPr bwMode="auto">
                          <a:xfrm>
                            <a:off x="0" y="0"/>
                            <a:ext cx="5334000" cy="270111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Integrated schematic: within-subject arousal and psychometric sensitivity.</w:t>
            </w:r>
            <w:r>
              <w:t xml:space="preserve"> </w:t>
            </w:r>
            <w:r>
              <w:rPr>
                <w:b/>
                <w:bCs/>
              </w:rPr>
              <w:t xml:space="preserve">(A)</w:t>
            </w:r>
            <w:r>
              <w:t xml:space="preserve"> </w:t>
            </w:r>
            <w:r>
              <w:t xml:space="preserve">Raw pupil problem. Baseline pupil diameter differs between people, so the same raw value can mean high arousal for one participant and low arousal for another; raw values are therefore misleading for cross-person comparisons.</w:t>
            </w:r>
            <w:r>
              <w:t xml:space="preserve"> </w:t>
            </w:r>
            <w:r>
              <w:rPr>
                <w:b/>
                <w:bCs/>
              </w:rPr>
              <w:t xml:space="preserve">(B)</w:t>
            </w:r>
            <w:r>
              <w:t xml:space="preserve"> </w:t>
            </w:r>
            <w:r>
              <w:t xml:space="preserve">Trait versus state decomposition. Each trial-level pupil metric</w:t>
            </w:r>
            <w:r>
              <w:t xml:space="preserve"> </w:t>
            </w:r>
            <m:oMath>
              <m:sSub>
                <m:e>
                  <m:r>
                    <m:t>P</m:t>
                  </m:r>
                </m:e>
                <m:sub>
                  <m:r>
                    <m:t>i</m:t>
                  </m:r>
                  <m:r>
                    <m:t>j</m:t>
                  </m:r>
                </m:sub>
              </m:sSub>
            </m:oMath>
            <w:r>
              <w:t xml:space="preserve"> </w:t>
            </w:r>
            <w:r>
              <w:t xml:space="preserve">splits into a</w:t>
            </w:r>
            <w:r>
              <w:t xml:space="preserve"> </w:t>
            </w:r>
            <w:r>
              <w:rPr>
                <w:b/>
                <w:bCs/>
              </w:rPr>
              <w:t xml:space="preserve">trait</w:t>
            </w:r>
            <w:r>
              <w:t xml:space="preserve"> </w:t>
            </w:r>
            <w:r>
              <w:t xml:space="preserve">component, the subject mean</w:t>
            </w:r>
            <w:r>
              <w:t xml:space="preserve"> </w:t>
            </w:r>
            <m:oMath>
              <m:sSub>
                <m:e>
                  <m:bar>
                    <m:barPr>
                      <m:pos m:val="top"/>
                    </m:barPr>
                    <m:e>
                      <m:r>
                        <m:t>P</m:t>
                      </m:r>
                    </m:e>
                  </m:bar>
                </m:e>
                <m:sub>
                  <m:r>
                    <m:t>j</m:t>
                  </m:r>
                </m:sub>
              </m:sSub>
            </m:oMath>
            <w:r>
              <w:t xml:space="preserve">, and a</w:t>
            </w:r>
            <w:r>
              <w:t xml:space="preserve"> </w:t>
            </w:r>
            <w:r>
              <w:rPr>
                <w:b/>
                <w:bCs/>
              </w:rPr>
              <w:t xml:space="preserve">state</w:t>
            </w:r>
            <w:r>
              <w:t xml:space="preserve"> </w:t>
            </w:r>
            <w:r>
              <w:t xml:space="preserve">component, the deviation from that mean,</w:t>
            </w:r>
            <w:r>
              <w:t xml:space="preserve"> </w:t>
            </w:r>
            <m:oMath>
              <m:sSub>
                <m:e>
                  <m:r>
                    <m:t>P</m:t>
                  </m:r>
                </m:e>
                <m:sub>
                  <m:r>
                    <m:t>i</m:t>
                  </m:r>
                  <m:r>
                    <m:t>j</m:t>
                  </m:r>
                </m:sub>
              </m:sSub>
              <m:r>
                <m:rPr>
                  <m:sty m:val="p"/>
                </m:rPr>
                <m:t>−</m:t>
              </m:r>
              <m:sSub>
                <m:e>
                  <m:bar>
                    <m:barPr>
                      <m:pos m:val="top"/>
                    </m:barPr>
                    <m:e>
                      <m:r>
                        <m:t>P</m:t>
                      </m:r>
                    </m:e>
                  </m:bar>
                </m:e>
                <m:sub>
                  <m:r>
                    <m:t>j</m:t>
                  </m:r>
                </m:sub>
              </m:sSub>
              <m:r>
                <m:rPr>
                  <m:sty m:val="p"/>
                </m:rPr>
                <m:t>=</m:t>
              </m:r>
              <m:sSubSup>
                <m:e>
                  <m:r>
                    <m:t>P</m:t>
                  </m:r>
                </m:e>
                <m:sub>
                  <m:r>
                    <m:t>i</m:t>
                  </m:r>
                  <m:r>
                    <m:t>j</m:t>
                  </m:r>
                </m:sub>
                <m:sup>
                  <m:d>
                    <m:dPr>
                      <m:begChr m:val="("/>
                      <m:sepChr m:val=""/>
                      <m:endChr m:val=")"/>
                      <m:grow/>
                    </m:dPr>
                    <m:e>
                      <m:r>
                        <m:rPr>
                          <m:nor/>
                          <m:sty m:val="p"/>
                        </m:rPr>
                        <m:t>state</m:t>
                      </m:r>
                    </m:e>
                  </m:d>
                </m:sup>
              </m:sSubSup>
            </m:oMath>
            <w:r>
              <w:t xml:space="preserve">.</w:t>
            </w:r>
            <w:r>
              <w:t xml:space="preserve"> </w:t>
            </w:r>
            <w:r>
              <w:rPr>
                <w:b/>
                <w:bCs/>
              </w:rPr>
              <w:t xml:space="preserve">(C)</w:t>
            </w:r>
            <w:r>
              <w:t xml:space="preserve"> </w:t>
            </w:r>
            <w:r>
              <w:t xml:space="preserve">Inferential goal: slope modulation. The primary interaction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tests whether moment-to-moment arousal changes the steepness (sensitivity) of the psychometric function, not only intercept or criterion.</w:t>
            </w:r>
            <w:r>
              <w:t xml:space="preserve"> </w:t>
            </w:r>
            <w:r>
              <w:rPr>
                <w:b/>
                <w:bCs/>
              </w:rPr>
              <w:t xml:space="preserve">(D)</w:t>
            </w:r>
            <w:r>
              <w:t xml:space="preserve"> </w:t>
            </w:r>
            <w:r>
              <w:t xml:space="preserve">Measurement window and model. The timeline shows squeeze onset through trial end; the shaded</w:t>
            </w:r>
            <w:r>
              <w:t xml:space="preserve"> </w:t>
            </w:r>
            <w:r>
              <w:rPr>
                <w:b/>
                <w:bCs/>
              </w:rPr>
              <w:t xml:space="preserve">Cognitive AUC</w:t>
            </w:r>
            <w:r>
              <w:t xml:space="preserve"> </w:t>
            </w:r>
            <w:r>
              <w:t xml:space="preserve">window (4.85–6.05 s from squeeze onset) captures task-evoked pupil response. The equation summarizes the probit-link GLMM used for inference (full specification in text).</w:t>
            </w:r>
          </w:p>
          <w:bookmarkEnd w:id="34"/>
        </w:tc>
      </w:tr>
    </w:tbl>
    <w:p>
      <w:pPr>
        <w:pStyle w:val="BodyText"/>
      </w:pPr>
      <w:r>
        <w:t xml:space="preserve">Primary inference is implemented using hierarchical generalized linear mixed models (GLMMs) with a probit link, modeling trialwise</w:t>
      </w:r>
      <w:r>
        <w:t xml:space="preserve"> </w:t>
      </w:r>
      <m:oMath>
        <m:r>
          <m:t>P</m:t>
        </m:r>
        <m:d>
          <m:dPr>
            <m:begChr m:val="("/>
            <m:sepChr m:val=""/>
            <m:endChr m:val=")"/>
            <m:grow/>
          </m:dPr>
          <m:e>
            <m:sSub>
              <m:e>
                <m:r>
                  <m:t>Y</m:t>
                </m:r>
              </m:e>
              <m:sub>
                <m:r>
                  <m:t>i</m:t>
                </m:r>
                <m:r>
                  <m:t>j</m:t>
                </m:r>
              </m:sub>
            </m:sSub>
            <m:r>
              <m:rPr>
                <m:sty m:val="p"/>
              </m:rPr>
              <m:t>=</m:t>
            </m:r>
            <m:r>
              <m:t>1</m:t>
            </m:r>
          </m:e>
        </m:d>
      </m:oMath>
      <w:r>
        <w:t xml:space="preserve"> </w:t>
      </w:r>
      <w:r>
        <w:t xml:space="preserve">as a function of continuous stimulus intensity, effort condition, modality, and pupil-indexed arousal while accounting for individual differences via random effects:</w:t>
      </w:r>
    </w:p>
    <w:p>
      <w:pPr>
        <w:pStyle w:val="BodyText"/>
      </w:pPr>
      <w:bookmarkStart w:id="35" w:name="eq-primary-glmm"/>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sSub>
                  <m:e>
                    <m:r>
                      <m:rPr>
                        <m:nor/>
                        <m:sty m:val="p"/>
                      </m:rPr>
                      <m:t>RT</m:t>
                    </m:r>
                  </m:e>
                  <m:sub>
                    <m:r>
                      <m:t>i</m:t>
                    </m:r>
                    <m:r>
                      <m:t>j</m:t>
                    </m:r>
                  </m:sub>
                </m:sSub>
                <m:r>
                  <m:rPr>
                    <m:sty m:val="p"/>
                  </m:rPr>
                  <m:t>+</m:t>
                </m:r>
                <m:sSub>
                  <m:e>
                    <m:r>
                      <m:t>β</m:t>
                    </m:r>
                  </m:e>
                  <m:sub>
                    <m:r>
                      <m:t>6</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7</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r>
            <m:t>  </m:t>
          </m:r>
          <m:d>
            <m:dPr>
              <m:begChr m:val="("/>
              <m:sepChr m:val=""/>
              <m:endChr m:val=")"/>
              <m:grow/>
            </m:dPr>
            <m:e>
              <m:r>
                <m:t>3</m:t>
              </m:r>
            </m:e>
          </m:d>
        </m:oMath>
      </m:oMathPara>
      <w:bookmarkEnd w:id="35"/>
    </w:p>
    <w:p>
      <w:pPr>
        <w:pStyle w:val="FirstParagraph"/>
      </w:pPr>
      <w:r>
        <w:rPr>
          <w:i/>
          <w:iCs/>
        </w:rPr>
        <w:t xml:space="preserve">Note:</w:t>
      </w:r>
      <w:r>
        <w:t xml:space="preserve"> </w:t>
      </w:r>
      <w:r>
        <w:t xml:space="preserve">The full model additionally includes reaction time (RT</w:t>
      </w:r>
      <m:oMath>
        <m:sSub>
          <m:e>
            <m:r>
              <m:t>​</m:t>
            </m:r>
          </m:e>
          <m:sub>
            <m:r>
              <m:t>i</m:t>
            </m:r>
            <m:r>
              <m:t>j</m:t>
            </m:r>
          </m:sub>
        </m:sSub>
      </m:oMath>
      <w:r>
        <w:t xml:space="preserve">) as a covariate (</w:t>
      </w:r>
      <m:oMath>
        <m:sSub>
          <m:e>
            <m:r>
              <m:t>β</m:t>
            </m:r>
          </m:e>
          <m:sub>
            <m:r>
              <m:t>5</m:t>
            </m:r>
          </m:sub>
        </m:sSub>
      </m:oMath>
      <w:r>
        <w:t xml:space="preserve">) to control for decision-state confounds in the pupil metric; the complete specification is given in</w:t>
      </w:r>
      <w:r>
        <w:t xml:space="preserve"> </w:t>
      </w:r>
      <w:hyperlink w:anchor="sec-glmm">
        <w:r>
          <w:rPr>
            <w:rStyle w:val="Hyperlink"/>
          </w:rPr>
          <w:t xml:space="preserve">Section 2.4.3</w:t>
        </w:r>
      </w:hyperlink>
      <w:r>
        <w:t xml:space="preserve">.</w:t>
      </w:r>
    </w:p>
    <w:p>
      <w:pPr>
        <w:pStyle w:val="BodyText"/>
      </w:pPr>
      <w:r>
        <w:t xml:space="preserve">where</w:t>
      </w:r>
      <w:r>
        <w:t xml:space="preserve"> </w:t>
      </w:r>
      <m:oMath>
        <m:sSub>
          <m:e>
            <m:r>
              <m:t>Y</m:t>
            </m:r>
          </m:e>
          <m:sub>
            <m:r>
              <m:t>i</m:t>
            </m:r>
            <m:r>
              <m:t>j</m:t>
            </m:r>
          </m:sub>
        </m:sSub>
      </m:oMath>
      <w:r>
        <w:t xml:space="preserve"> </w:t>
      </w:r>
      <w:r>
        <w:t xml:space="preserve">is the binary outcome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the continuous stimulus intensity,</w:t>
      </w:r>
      <w:r>
        <w:t xml:space="preserve"> </w:t>
      </w:r>
      <m:oMath>
        <m:sSub>
          <m:e>
            <m:r>
              <m:rPr>
                <m:nor/>
                <m:sty m:val="p"/>
              </m:rPr>
              <m:t>Effort</m:t>
            </m:r>
          </m:e>
          <m:sub>
            <m:r>
              <m:t>i</m:t>
            </m:r>
            <m:r>
              <m:t>j</m:t>
            </m:r>
          </m:sub>
        </m:sSub>
      </m:oMath>
      <w:r>
        <w:t xml:space="preserve"> </w:t>
      </w:r>
      <w:r>
        <w:t xml:space="preserve">codes the handgrip effort condition (High vs. Low), and</w:t>
      </w:r>
      <w:r>
        <w:t xml:space="preserve"> </w:t>
      </w:r>
      <m:oMath>
        <m:sSub>
          <m:e>
            <m:r>
              <m:rPr>
                <m:nor/>
                <m:sty m:val="p"/>
              </m:rPr>
              <m:t>Modality</m:t>
            </m:r>
          </m:e>
          <m:sub>
            <m:r>
              <m:t>i</m:t>
            </m:r>
            <m:r>
              <m:t>j</m:t>
            </m:r>
          </m:sub>
        </m:sSub>
      </m:oMath>
      <w:r>
        <w:t xml:space="preserve"> </w:t>
      </w:r>
      <w:r>
        <w:t xml:space="preserve">codes the sensory modality (auditory vs. visual).</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are the state and trait components of the pupil metric, respectively, and</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are subject-specific random intercepts and random slopes on</w:t>
      </w:r>
      <w:r>
        <w:t xml:space="preserve"> </w:t>
      </w:r>
      <m:oMath>
        <m:sSub>
          <m:e>
            <m:r>
              <m:t>X</m:t>
            </m:r>
          </m:e>
          <m:sub>
            <m:r>
              <m:t>i</m:t>
            </m:r>
            <m:r>
              <m:t>j</m:t>
            </m:r>
          </m:sub>
        </m:sSub>
      </m:oMath>
      <w:r>
        <w:t xml:space="preserve">, allowing each participant to have their own baseline performance level and intensity sensitivity.</w:t>
      </w:r>
    </w:p>
    <w:p>
      <w:pPr>
        <w:pStyle w:val="BodyText"/>
      </w:pPr>
      <w:r>
        <w:t xml:space="preserve">In this framework, the key parameter is the stimulus intensity × pupil-state interaction (</w:t>
      </w:r>
      <m:oMath>
        <m:sSub>
          <m:e>
            <m:r>
              <m:t>β</m:t>
            </m:r>
          </m:e>
          <m:sub>
            <m:r>
              <m:t>6</m:t>
            </m:r>
          </m:sub>
        </m:sSub>
      </m:oMath>
      <w:r>
        <w:t xml:space="preserve">), which tests whether moment-to-moment arousal modulates psychometric sensitivity. A significant interaction indicates that the intensity–response slope differs as a function of trialwise arousal—consistent with arousal-linked changes in sensitivity—whereas changes limited to intercept/location terms would be more consistent with shifts in response tendency or criterion.</w:t>
      </w:r>
    </w:p>
    <w:bookmarkEnd w:id="36"/>
    <w:bookmarkStart w:id="37" w:name="research-questions-and-hypotheses"/>
    <w:p>
      <w:pPr>
        <w:pStyle w:val="Heading2"/>
      </w:pPr>
      <w:r>
        <w:t xml:space="preserve">1.7 Research Questions and Hypotheses</w:t>
      </w:r>
    </w:p>
    <w:p>
      <w:pPr>
        <w:pStyle w:val="FirstParagraph"/>
      </w:pPr>
      <w:r>
        <w:t xml:space="preserve">Based on the theoretical rationale above, the present study addresses four research questions. First, we test how high (40% MVC) versus low (5% MVC) effort affects behavioral psychometric function parameters (thresholds and slopes) in older adults performing auditory and visual same–different discrimination. We expect midpoint thresholds to be higher under high effort, acknowledging that threshold shifts may reflect sensitivity and/or criterion changes, and we predict shallower slopes under high effort, consistent with reduced discriminability under elevated arousal.</w:t>
      </w:r>
    </w:p>
    <w:p>
      <w:pPr>
        <w:pStyle w:val="BodyText"/>
      </w:pPr>
      <w:r>
        <w:t xml:space="preserve">Second, we test whether high effort increases tonic and task-evoked pupil dynamics relative to low effort. We predict larger baseline pupil diameter and larger TEPR (AUC) under high effort, indicating elevated tonic and phasic arousal, respectively.</w:t>
      </w:r>
    </w:p>
    <w:p>
      <w:pPr>
        <w:pStyle w:val="BodyText"/>
      </w:pPr>
      <w:r>
        <w:t xml:space="preserve">Third, we test whether trialwise phasic arousal predicts psychometric sensitivity when intensity is modeled continuously. The primary hypothesis is that the stimulus intensity × pupil-state interaction will be negative (shallower slopes on higher-arousal trials), consistent with supra-optimal arousal increasing noise or degrading signal quality; an alternative hypothesis is that moderate arousal could enhance sensitivity, yielding a positive interaction. We also expect weaker or null associations for pupil-trait predictors, given that trait effects may be confounded with other individual differences such as cognitive reserve.</w:t>
      </w:r>
    </w:p>
    <w:p>
      <w:pPr>
        <w:pStyle w:val="BodyText"/>
      </w:pPr>
      <w:r>
        <w:t xml:space="preserve">Finally, we test whether individuals with larger effort-evoked arousal changes (Δpupil) exhibit larger effort-related changes in psychometric parameters (Δthreshold, Δslope), predicting that stronger physiological reactivity is associated with larger behavioral decrements.</w:t>
      </w:r>
    </w:p>
    <w:bookmarkEnd w:id="37"/>
    <w:bookmarkEnd w:id="38"/>
    <w:bookmarkStart w:id="49" w:name="methods"/>
    <w:p>
      <w:pPr>
        <w:pStyle w:val="Heading1"/>
      </w:pPr>
      <w:r>
        <w:t xml:space="preserve">2. Methods</w:t>
      </w:r>
    </w:p>
    <w:bookmarkStart w:id="39" w:name="participants"/>
    <w:p>
      <w:pPr>
        <w:pStyle w:val="Heading2"/>
      </w:pPr>
      <w:r>
        <w:t xml:space="preserve">2.1 Participants</w:t>
      </w:r>
    </w:p>
    <w:p>
      <w:pPr>
        <w:pStyle w:val="FirstParagraph"/>
      </w:pPr>
      <w:r>
        <w:t xml:space="preserve">Older adults (</w:t>
      </w:r>
      <w:r>
        <w:rPr>
          <w:i/>
          <w:iCs/>
        </w:rPr>
        <w:t xml:space="preserve">M</w:t>
      </w:r>
      <w:r>
        <w:t xml:space="preserve"> </w:t>
      </w:r>
      <w:r>
        <w:t xml:space="preserve">= 69.1 years,</w:t>
      </w:r>
      <w:r>
        <w:t xml:space="preserve"> </w:t>
      </w:r>
      <w:r>
        <w:rPr>
          <w:i/>
          <w:iCs/>
        </w:rPr>
        <w:t xml:space="preserve">SD</w:t>
      </w:r>
      <w:r>
        <w:t xml:space="preserve"> </w:t>
      </w:r>
      <w:r>
        <w:t xml:space="preserve">= 6.0, range 60–83; 33 women, 28 men) were enrolled through the LC Aging study behavioral cohort (community-dwelling volunteers enrolled for combined behavioral and neuroimaging protocols). Task-specific recruitment and final analytic sample sizes are summarized in</w:t>
      </w:r>
      <w:r>
        <w:t xml:space="preserve"> </w:t>
      </w:r>
      <w:hyperlink w:anchor="tbl-sample-flow">
        <w:r>
          <w:rPr>
            <w:rStyle w:val="Hyperlink"/>
          </w:rPr>
          <w:t xml:space="preserve">Table 1</w:t>
        </w:r>
      </w:hyperlink>
      <w:r>
        <w:t xml:space="preserve"> </w:t>
      </w:r>
      <w:r>
        <w:t xml:space="preserve">(Section 3.1):</w:t>
      </w:r>
      <w:r>
        <w:t xml:space="preserve"> </w:t>
      </w:r>
      <w:r>
        <w:rPr>
          <w:b/>
          <w:bCs/>
        </w:rPr>
        <w:t xml:space="preserve">64</w:t>
      </w:r>
      <w:r>
        <w:t xml:space="preserve"> </w:t>
      </w:r>
      <w:r>
        <w:t xml:space="preserve">participants were recruited for the</w:t>
      </w:r>
      <w:r>
        <w:t xml:space="preserve"> </w:t>
      </w:r>
      <w:r>
        <w:rPr>
          <w:b/>
          <w:bCs/>
        </w:rPr>
        <w:t xml:space="preserve">auditory</w:t>
      </w:r>
      <w:r>
        <w:t xml:space="preserve"> </w:t>
      </w:r>
      <w:r>
        <w:t xml:space="preserve">task (ADT) and</w:t>
      </w:r>
      <w:r>
        <w:t xml:space="preserve"> </w:t>
      </w:r>
      <w:r>
        <w:rPr>
          <w:b/>
          <w:bCs/>
        </w:rPr>
        <w:t xml:space="preserve">65</w:t>
      </w:r>
      <w:r>
        <w:t xml:space="preserve"> </w:t>
      </w:r>
      <w:r>
        <w:t xml:space="preserve">for the</w:t>
      </w:r>
      <w:r>
        <w:t xml:space="preserve"> </w:t>
      </w:r>
      <w:r>
        <w:rPr>
          <w:b/>
          <w:bCs/>
        </w:rPr>
        <w:t xml:space="preserve">visual</w:t>
      </w:r>
      <w:r>
        <w:t xml:space="preserve"> </w:t>
      </w:r>
      <w:r>
        <w:t xml:space="preserve">task (VDT), with</w:t>
      </w:r>
      <w:r>
        <w:t xml:space="preserve"> </w:t>
      </w:r>
      <w:r>
        <w:rPr>
          <w:b/>
          <w:bCs/>
        </w:rPr>
        <w:t xml:space="preserve">54</w:t>
      </w:r>
      <w:r>
        <w:t xml:space="preserve"> </w:t>
      </w:r>
      <w:r>
        <w:t xml:space="preserve">and</w:t>
      </w:r>
      <w:r>
        <w:t xml:space="preserve"> </w:t>
      </w:r>
      <w:r>
        <w:rPr>
          <w:b/>
          <w:bCs/>
        </w:rPr>
        <w:t xml:space="preserve">56</w:t>
      </w:r>
      <w:r>
        <w:t xml:space="preserve"> </w:t>
      </w:r>
      <w:r>
        <w:t xml:space="preserve">participants, respectively, retained for final analysis after psychometric and pupil-quality exclusions (Section 2.3.3).</w:t>
      </w:r>
      <w:r>
        <w:t xml:space="preserve"> </w:t>
      </w:r>
      <w:r>
        <w:rPr>
          <w:b/>
          <w:bCs/>
        </w:rPr>
        <w:t xml:space="preserve">Sixty-one</w:t>
      </w:r>
      <w:r>
        <w:t xml:space="preserve"> </w:t>
      </w:r>
      <w:r>
        <w:t xml:space="preserve">unique participants contributed overlapping trial-level data to the merged behavioral–pupil file. Consistent with the final per-task analytic</w:t>
      </w:r>
      <w:r>
        <w:t xml:space="preserve"> </w:t>
      </w:r>
      <w:r>
        <w:rPr>
          <w:i/>
          <w:iCs/>
        </w:rPr>
        <w:t xml:space="preserve">N</w:t>
      </w:r>
      <w:r>
        <w:t xml:space="preserve"> </w:t>
      </w:r>
      <w:r>
        <w:t xml:space="preserve">in</w:t>
      </w:r>
      <w:r>
        <w:t xml:space="preserve"> </w:t>
      </w:r>
      <w:hyperlink w:anchor="tbl-sample-flow">
        <w:r>
          <w:rPr>
            <w:rStyle w:val="Hyperlink"/>
          </w:rPr>
          <w:t xml:space="preserve">Table 1</w:t>
        </w:r>
      </w:hyperlink>
      <w:r>
        <w:t xml:space="preserve"> </w:t>
      </w:r>
      <w:r>
        <w:t xml:space="preserve">(</w:t>
      </w:r>
      <w:r>
        <w:rPr>
          <w:b/>
          <w:bCs/>
        </w:rPr>
        <w:t xml:space="preserve">54</w:t>
      </w:r>
      <w:r>
        <w:t xml:space="preserve"> </w:t>
      </w:r>
      <w:r>
        <w:t xml:space="preserve">ADT;</w:t>
      </w:r>
      <w:r>
        <w:t xml:space="preserve"> </w:t>
      </w:r>
      <w:r>
        <w:rPr>
          <w:b/>
          <w:bCs/>
        </w:rPr>
        <w:t xml:space="preserve">56</w:t>
      </w:r>
      <w:r>
        <w:t xml:space="preserve"> </w:t>
      </w:r>
      <w:r>
        <w:t xml:space="preserve">VDT),</w:t>
      </w:r>
      <w:r>
        <w:t xml:space="preserve"> </w:t>
      </w:r>
      <w:r>
        <w:rPr>
          <w:b/>
          <w:bCs/>
        </w:rPr>
        <w:t xml:space="preserve">49</w:t>
      </w:r>
      <w:r>
        <w:t xml:space="preserve"> </w:t>
      </w:r>
      <w:r>
        <w:t xml:space="preserve">participants met inclusion criteria for</w:t>
      </w:r>
      <w:r>
        <w:t xml:space="preserve"> </w:t>
      </w:r>
      <w:r>
        <w:rPr>
          <w:b/>
          <w:bCs/>
        </w:rPr>
        <w:t xml:space="preserve">both</w:t>
      </w:r>
      <w:r>
        <w:t xml:space="preserve"> </w:t>
      </w:r>
      <w:r>
        <w:t xml:space="preserve">modalities,</w:t>
      </w:r>
      <w:r>
        <w:t xml:space="preserve"> </w:t>
      </w:r>
      <w:r>
        <w:rPr>
          <w:b/>
          <w:bCs/>
        </w:rPr>
        <w:t xml:space="preserve">5</w:t>
      </w:r>
      <w:r>
        <w:t xml:space="preserve"> </w:t>
      </w:r>
      <w:r>
        <w:t xml:space="preserve">for</w:t>
      </w:r>
      <w:r>
        <w:t xml:space="preserve"> </w:t>
      </w:r>
      <w:r>
        <w:rPr>
          <w:b/>
          <w:bCs/>
        </w:rPr>
        <w:t xml:space="preserve">ADT</w:t>
      </w:r>
      <w:r>
        <w:t xml:space="preserve"> </w:t>
      </w:r>
      <w:r>
        <w:t xml:space="preserve">only, and</w:t>
      </w:r>
      <w:r>
        <w:t xml:space="preserve"> </w:t>
      </w:r>
      <w:r>
        <w:rPr>
          <w:b/>
          <w:bCs/>
        </w:rPr>
        <w:t xml:space="preserve">7</w:t>
      </w:r>
      <w:r>
        <w:t xml:space="preserve"> </w:t>
      </w:r>
      <w:r>
        <w:t xml:space="preserve">for</w:t>
      </w:r>
      <w:r>
        <w:t xml:space="preserve"> </w:t>
      </w:r>
      <w:r>
        <w:rPr>
          <w:b/>
          <w:bCs/>
        </w:rPr>
        <w:t xml:space="preserve">VDT</w:t>
      </w:r>
      <w:r>
        <w:t xml:space="preserve"> </w:t>
      </w:r>
      <w:r>
        <w:t xml:space="preserve">only. Reported years of formal education averaged 15.9 (</w:t>
      </w:r>
      <w:r>
        <w:rPr>
          <w:i/>
          <w:iCs/>
        </w:rPr>
        <w:t xml:space="preserve">SD</w:t>
      </w:r>
      <w:r>
        <w:t xml:space="preserve"> </w:t>
      </w:r>
      <w:r>
        <w:t xml:space="preserve">= 2.6;</w:t>
      </w:r>
      <w:r>
        <w:t xml:space="preserve"> </w:t>
      </w:r>
      <w:r>
        <w:rPr>
          <w:i/>
          <w:iCs/>
        </w:rPr>
        <w:t xml:space="preserve">n</w:t>
      </w:r>
      <w:r>
        <w:t xml:space="preserve"> </w:t>
      </w:r>
      <w:r>
        <w:t xml:space="preserve">= 57 with non-missing values in the study database). Participants with trial-level data in the present analysis were right-handed per eligibility records. Participants were included if they were aged 60 years or older, had normal or corrected-to-normal vision, reported no significant hearing loss that would preclude tone discrimination, and were free of neurological, psychiatric, or cardiovascular conditions that could affect arousal regulation or pupil dynamics. Participants taking medications known to affect pupil diameter (e.g., anticholinergics, opioids, alpha-adrenergic agents) were excluded, as were individuals who could not safely sustain the required isometric grip forces (5% and 40% maximum voluntary contraction [MVC]) or had other contraindications to the effort manipulation. Cognitive screening used the Montreal Cognitive Assessment (MoCA) administered by phone (scored out of 22); among participants with scores in the research database (</w:t>
      </w:r>
      <w:r>
        <w:rPr>
          <w:i/>
          <w:iCs/>
        </w:rPr>
        <w:t xml:space="preserve">n</w:t>
      </w:r>
      <w:r>
        <w:t xml:space="preserve"> </w:t>
      </w:r>
      <w:r>
        <w:t xml:space="preserve">= 57), MoCA ranged from 17 to 22 (</w:t>
      </w:r>
      <w:r>
        <w:rPr>
          <w:i/>
          <w:iCs/>
        </w:rPr>
        <w:t xml:space="preserve">M</w:t>
      </w:r>
      <w:r>
        <w:t xml:space="preserve"> </w:t>
      </w:r>
      <w:r>
        <w:t xml:space="preserve">= 19.8,</w:t>
      </w:r>
      <w:r>
        <w:t xml:space="preserve"> </w:t>
      </w:r>
      <w:r>
        <w:rPr>
          <w:i/>
          <w:iCs/>
        </w:rPr>
        <w:t xml:space="preserve">SD</w:t>
      </w:r>
      <w:r>
        <w:t xml:space="preserve"> </w:t>
      </w:r>
      <w:r>
        <w:t xml:space="preserve">= 1.6), consistent with study criteria for excluding significant cognitive impairment. All participants provided written informed consent. The research protocol was reviewed and approved by an institutional review board before enrollment, and participants received compensation for their participation according to study policy.</w:t>
      </w:r>
    </w:p>
    <w:p>
      <w:pPr>
        <w:pStyle w:val="BodyText"/>
      </w:pPr>
      <w:r>
        <w:t xml:space="preserve">Trial-level analyses use the merged behavioral–pupil file;</w:t>
      </w:r>
      <w:r>
        <w:t xml:space="preserve"> </w:t>
      </w:r>
      <w:r>
        <w:rPr>
          <w:b/>
          <w:bCs/>
        </w:rPr>
        <w:t xml:space="preserve">primary-tier</w:t>
      </w:r>
      <w:r>
        <w:t xml:space="preserve"> </w:t>
      </w:r>
      <w:r>
        <w:t xml:space="preserve">sample sizes for retained trials and the participant-flow accounting are reported in Section 3.1 (</w:t>
      </w:r>
      <w:hyperlink w:anchor="tbl-sample-flow">
        <w:r>
          <w:rPr>
            <w:rStyle w:val="Hyperlink"/>
          </w:rPr>
          <w:t xml:space="preserve">Table 1</w:t>
        </w:r>
      </w:hyperlink>
      <w:r>
        <w:t xml:space="preserve">).</w:t>
      </w:r>
    </w:p>
    <w:bookmarkEnd w:id="39"/>
    <w:bookmarkStart w:id="44" w:name="task-paradigm"/>
    <w:p>
      <w:pPr>
        <w:pStyle w:val="Heading2"/>
      </w:pPr>
      <w:r>
        <w:t xml:space="preserve">2.2 Task Paradigm</w:t>
      </w:r>
    </w:p>
    <w:p>
      <w:pPr>
        <w:pStyle w:val="FirstParagraph"/>
      </w:pPr>
      <w:r>
        <w:rPr>
          <w:b/>
          <w:bCs/>
        </w:rPr>
        <w:t xml:space="preserve">Task overview.</w:t>
      </w:r>
      <w:r>
        <w:t xml:space="preserve"> </w:t>
      </w:r>
      <w:r>
        <w:t xml:space="preserve">Participants completed two</w:t>
      </w:r>
      <w:r>
        <w:t xml:space="preserve"> </w:t>
      </w:r>
      <w:r>
        <w:rPr>
          <w:b/>
          <w:bCs/>
        </w:rPr>
        <w:t xml:space="preserve">same–different discrimination</w:t>
      </w:r>
      <w:r>
        <w:t xml:space="preserve"> </w:t>
      </w:r>
      <w:r>
        <w:t xml:space="preserve">tasks—an Auditory Discrimination Task (ADT) and a Visual Discrimination Task (VDT)—while maintaining concurrent isometric hand-grip on a dynamometer. On each trial, a</w:t>
      </w:r>
      <w:r>
        <w:t xml:space="preserve"> </w:t>
      </w:r>
      <w:r>
        <w:rPr>
          <w:i/>
          <w:iCs/>
        </w:rPr>
        <w:t xml:space="preserve">standard</w:t>
      </w:r>
      <w:r>
        <w:t xml:space="preserve"> </w:t>
      </w:r>
      <w:r>
        <w:t xml:space="preserve">and</w:t>
      </w:r>
      <w:r>
        <w:t xml:space="preserve"> </w:t>
      </w:r>
      <w:r>
        <w:rPr>
          <w:i/>
          <w:iCs/>
        </w:rPr>
        <w:t xml:space="preserve">probe</w:t>
      </w:r>
      <w:r>
        <w:t xml:space="preserve"> </w:t>
      </w:r>
      <w:r>
        <w:t xml:space="preserve">stimulus were presented in sequence; participants judged whether the two were the same or different, then rated their confidence. Both tasks used the same response-signal timeline and effort manipulation (</w:t>
      </w:r>
      <w:hyperlink w:anchor="fig-paradigm">
        <w:r>
          <w:rPr>
            <w:rStyle w:val="Hyperlink"/>
          </w:rPr>
          <w:t xml:space="preserve">Figure 3</w:t>
        </w:r>
      </w:hyperlink>
      <w:r>
        <w:t xml:space="preserve">).</w:t>
      </w:r>
    </w:p>
    <w:p>
      <w:pPr>
        <w:pStyle w:val="BodyText"/>
      </w:pPr>
      <w:r>
        <w:rPr>
          <w:b/>
          <w:bCs/>
        </w:rPr>
        <w:t xml:space="preserve">Trial timeline and effort.</w:t>
      </w:r>
      <w:r>
        <w:t xml:space="preserve"> </w:t>
      </w:r>
      <w:r>
        <w:t xml:space="preserve">Each trial began with a</w:t>
      </w:r>
      <w:r>
        <w:t xml:space="preserve"> </w:t>
      </w:r>
      <w:r>
        <w:rPr>
          <w:b/>
          <w:bCs/>
        </w:rPr>
        <w:t xml:space="preserve">jittered</w:t>
      </w:r>
      <w:r>
        <w:t xml:space="preserve"> </w:t>
      </w:r>
      <w:r>
        <w:t xml:space="preserve">blank interval (1.5–4.5 s) on a gray background. Participants then saw a</w:t>
      </w:r>
      <w:r>
        <w:t xml:space="preserve"> </w:t>
      </w:r>
      <w:r>
        <w:rPr>
          <w:b/>
          <w:bCs/>
        </w:rPr>
        <w:t xml:space="preserve">3 s</w:t>
      </w:r>
      <w:r>
        <w:t xml:space="preserve"> </w:t>
      </w:r>
      <w:r>
        <w:t xml:space="preserve">rectangular grip gauge whose marker indicated the target force—either</w:t>
      </w:r>
      <w:r>
        <w:t xml:space="preserve"> </w:t>
      </w:r>
      <w:r>
        <w:rPr>
          <w:b/>
          <w:bCs/>
        </w:rPr>
        <w:t xml:space="preserve">5%</w:t>
      </w:r>
      <w:r>
        <w:t xml:space="preserve"> </w:t>
      </w:r>
      <w:r>
        <w:t xml:space="preserve">or</w:t>
      </w:r>
      <w:r>
        <w:t xml:space="preserve"> </w:t>
      </w:r>
      <w:r>
        <w:rPr>
          <w:b/>
          <w:bCs/>
        </w:rPr>
        <w:t xml:space="preserve">40%</w:t>
      </w:r>
      <w:r>
        <w:t xml:space="preserve"> </w:t>
      </w:r>
      <w:r>
        <w:t xml:space="preserve">of maximum voluntary contraction (MVC)—to be held with the left hand on a handheld dynamometer. MVC was assessed in a short calibration before each task. Participants were instructed to maintain force near the marker until the response screens appeared (see schematic). After the grip period came a</w:t>
      </w:r>
      <w:r>
        <w:t xml:space="preserve"> </w:t>
      </w:r>
      <w:r>
        <w:rPr>
          <w:b/>
          <w:bCs/>
        </w:rPr>
        <w:t xml:space="preserve">0.25 s</w:t>
      </w:r>
      <w:r>
        <w:t xml:space="preserve"> </w:t>
      </w:r>
      <w:r>
        <w:t xml:space="preserve">blank, a</w:t>
      </w:r>
      <w:r>
        <w:t xml:space="preserve"> </w:t>
      </w:r>
      <w:r>
        <w:rPr>
          <w:b/>
          <w:bCs/>
        </w:rPr>
        <w:t xml:space="preserve">0.5 s</w:t>
      </w:r>
      <w:r>
        <w:t xml:space="preserve"> </w:t>
      </w:r>
      <w:r>
        <w:t xml:space="preserve">fixation dot, the two-stimulus sequence (standard →</w:t>
      </w:r>
      <w:r>
        <w:t xml:space="preserve"> </w:t>
      </w:r>
      <w:r>
        <w:rPr>
          <w:b/>
          <w:bCs/>
        </w:rPr>
        <w:t xml:space="preserve">0.5 s</w:t>
      </w:r>
      <w:r>
        <w:t xml:space="preserve"> </w:t>
      </w:r>
      <w:r>
        <w:t xml:space="preserve">ISI → probe), a</w:t>
      </w:r>
      <w:r>
        <w:t xml:space="preserve"> </w:t>
      </w:r>
      <w:r>
        <w:rPr>
          <w:b/>
          <w:bCs/>
        </w:rPr>
        <w:t xml:space="preserve">0.25 s</w:t>
      </w:r>
      <w:r>
        <w:t xml:space="preserve"> </w:t>
      </w:r>
      <w:r>
        <w:t xml:space="preserve">blank, a</w:t>
      </w:r>
      <w:r>
        <w:t xml:space="preserve"> </w:t>
      </w:r>
      <w:r>
        <w:rPr>
          <w:b/>
          <w:bCs/>
        </w:rPr>
        <w:t xml:space="preserve">3 s</w:t>
      </w:r>
      <w:r>
        <w:t xml:space="preserve"> </w:t>
      </w:r>
      <w:r>
        <w:t xml:space="preserve">same/different response window, and a</w:t>
      </w:r>
      <w:r>
        <w:t xml:space="preserve"> </w:t>
      </w:r>
      <w:r>
        <w:rPr>
          <w:b/>
          <w:bCs/>
        </w:rPr>
        <w:t xml:space="preserve">3 s</w:t>
      </w:r>
      <w:r>
        <w:t xml:space="preserve"> </w:t>
      </w:r>
      <w:r>
        <w:t xml:space="preserve">four-point confidence rating. From</w:t>
      </w:r>
      <w:r>
        <w:t xml:space="preserve"> </w:t>
      </w:r>
      <w:r>
        <w:rPr>
          <w:b/>
          <w:bCs/>
        </w:rPr>
        <w:t xml:space="preserve">squeeze onset</w:t>
      </w:r>
      <w:r>
        <w:t xml:space="preserve"> </w:t>
      </w:r>
      <w:r>
        <w:t xml:space="preserve">through the end of the confidence period, the fixed portion of the timeline lasted</w:t>
      </w:r>
      <w:r>
        <w:t xml:space="preserve"> </w:t>
      </w:r>
      <w:r>
        <w:rPr>
          <w:b/>
          <w:bCs/>
        </w:rPr>
        <w:t xml:space="preserve">10.7 s</w:t>
      </w:r>
      <w:r>
        <w:t xml:space="preserve">; including the pre-trial jitter and the preprocessed pre-squeeze baseline used for pupil segmentation, the full trial epoch matches the</w:t>
      </w:r>
      <w:r>
        <w:t xml:space="preserve"> </w:t>
      </w:r>
      <w:r>
        <w:rPr>
          <w:b/>
          <w:bCs/>
        </w:rPr>
        <w:t xml:space="preserve">13.7 s</w:t>
      </w:r>
      <w:r>
        <w:t xml:space="preserve"> </w:t>
      </w:r>
      <w:r>
        <w:t xml:space="preserve">timeline used in the MATLAB preprocessing pipeline.</w:t>
      </w:r>
    </w:p>
    <w:tbl>
      <w:tblPr>
        <w:tblStyle w:val="Table"/>
        <w:tblW w:type="pct" w:w="5000"/>
        <w:tblLayout w:type="fixed"/>
        <w:tblLook w:firstRow="0" w:lastRow="0" w:firstColumn="0" w:lastColumn="0" w:noHBand="0" w:noVBand="0" w:val="0000"/>
      </w:tblPr>
      <w:tblGrid>
        <w:gridCol w:w="7920"/>
      </w:tblGrid>
      <w:tr>
        <w:tc>
          <w:tcPr/>
          <w:bookmarkStart w:id="43" w:name="fig-paradigm"/>
          <w:p>
            <w:pPr>
              <w:pStyle w:val="Compact"/>
              <w:jc w:val="center"/>
            </w:pPr>
            <w:r>
              <w:drawing>
                <wp:inline>
                  <wp:extent cx="4000500" cy="4121511"/>
                  <wp:effectExtent b="0" l="0" r="0" t="0"/>
                  <wp:docPr descr="" title="" id="41" name="Picture"/>
                  <a:graphic>
                    <a:graphicData uri="http://schemas.openxmlformats.org/drawingml/2006/picture">
                      <pic:pic>
                        <pic:nvPicPr>
                          <pic:cNvPr descr="../output/figures/Paradigm.png" id="42" name="Picture"/>
                          <pic:cNvPicPr>
                            <a:picLocks noChangeArrowheads="1" noChangeAspect="1"/>
                          </pic:cNvPicPr>
                        </pic:nvPicPr>
                        <pic:blipFill>
                          <a:blip r:embed="rId40"/>
                          <a:stretch>
                            <a:fillRect/>
                          </a:stretch>
                        </pic:blipFill>
                        <pic:spPr bwMode="auto">
                          <a:xfrm>
                            <a:off x="0" y="0"/>
                            <a:ext cx="4000500" cy="41215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Experimental paradigm (response-signal design). Jittered pre-trial interval followed by a 3 s grip-gauge period (Low vs. High effort), fixation and standard–probe sequence, then 3 s same/different and 3 s confidence. Auditory and visual stimulus classes are summarized in the task sections below; timing follows the schematic.</w:t>
            </w:r>
          </w:p>
          <w:bookmarkEnd w:id="43"/>
        </w:tc>
      </w:tr>
    </w:tbl>
    <w:p>
      <w:pPr>
        <w:pStyle w:val="BodyText"/>
      </w:pPr>
      <w:r>
        <w:rPr>
          <w:b/>
          <w:bCs/>
        </w:rPr>
        <w:t xml:space="preserve">Auditory task (ADT).</w:t>
      </w:r>
      <w:r>
        <w:t xml:space="preserve"> </w:t>
      </w:r>
      <w:r>
        <w:t xml:space="preserve">The standard was a</w:t>
      </w:r>
      <w:r>
        <w:t xml:space="preserve"> </w:t>
      </w:r>
      <w:r>
        <w:rPr>
          <w:b/>
          <w:bCs/>
        </w:rPr>
        <w:t xml:space="preserve">0.1 s</w:t>
      </w:r>
      <w:r>
        <w:t xml:space="preserve"> </w:t>
      </w:r>
      <w:r>
        <w:t xml:space="preserve">sinusoidal tone at</w:t>
      </w:r>
      <w:r>
        <w:t xml:space="preserve"> </w:t>
      </w:r>
      <w:r>
        <w:rPr>
          <w:b/>
          <w:bCs/>
        </w:rPr>
        <w:t xml:space="preserve">1000 Hz</w:t>
      </w:r>
      <w:r>
        <w:t xml:space="preserve">. After a</w:t>
      </w:r>
      <w:r>
        <w:t xml:space="preserve"> </w:t>
      </w:r>
      <w:r>
        <w:rPr>
          <w:b/>
          <w:bCs/>
        </w:rPr>
        <w:t xml:space="preserve">0.5 s</w:t>
      </w:r>
      <w:r>
        <w:t xml:space="preserve"> </w:t>
      </w:r>
      <w:r>
        <w:t xml:space="preserve">ISI, the probe was a</w:t>
      </w:r>
      <w:r>
        <w:t xml:space="preserve"> </w:t>
      </w:r>
      <w:r>
        <w:rPr>
          <w:b/>
          <w:bCs/>
        </w:rPr>
        <w:t xml:space="preserve">0.1 s</w:t>
      </w:r>
      <w:r>
        <w:t xml:space="preserve"> </w:t>
      </w:r>
      <w:r>
        <w:t xml:space="preserve">tone identical to the standard (</w:t>
      </w:r>
      <w:r>
        <w:rPr>
          <w:b/>
          <w:bCs/>
        </w:rPr>
        <w:t xml:space="preserve">Δfrequency</w:t>
      </w:r>
      <w:r>
        <w:t xml:space="preserve"> </w:t>
      </w:r>
      <w:r>
        <w:t xml:space="preserve">= 0) or frequency-incremented by</w:t>
      </w:r>
      <w:r>
        <w:t xml:space="preserve"> </w:t>
      </w:r>
      <w:r>
        <w:rPr>
          <w:b/>
          <w:bCs/>
        </w:rPr>
        <w:t xml:space="preserve">8, 16, 32, or 64 Hz</w:t>
      </w:r>
      <w:r>
        <w:t xml:space="preserve">.</w:t>
      </w:r>
    </w:p>
    <w:p>
      <w:pPr>
        <w:pStyle w:val="BodyText"/>
      </w:pPr>
      <w:r>
        <w:rPr>
          <w:b/>
          <w:bCs/>
        </w:rPr>
        <w:t xml:space="preserve">Visual task (VDT).</w:t>
      </w:r>
      <w:r>
        <w:t xml:space="preserve"> </w:t>
      </w:r>
      <w:r>
        <w:t xml:space="preserve">The standard was a foveal sinusoidal Gabor patch (</w:t>
      </w:r>
      <w:r>
        <w:rPr>
          <w:b/>
          <w:bCs/>
        </w:rPr>
        <w:t xml:space="preserve">1.5</w:t>
      </w:r>
      <w:r>
        <w:t xml:space="preserve"> </w:t>
      </w:r>
      <w:r>
        <w:t xml:space="preserve">cycles/°, Michelson contrast</w:t>
      </w:r>
      <w:r>
        <w:t xml:space="preserve"> </w:t>
      </w:r>
      <w:r>
        <w:rPr>
          <w:b/>
          <w:bCs/>
        </w:rPr>
        <w:t xml:space="preserve">0.20</w:t>
      </w:r>
      <w:r>
        <w:t xml:space="preserve">, diameter</w:t>
      </w:r>
      <w:r>
        <w:t xml:space="preserve"> </w:t>
      </w:r>
      <w:r>
        <w:rPr>
          <w:b/>
          <w:bCs/>
        </w:rPr>
        <w:t xml:space="preserve">4°</w:t>
      </w:r>
      <w:r>
        <w:t xml:space="preserve">, duration</w:t>
      </w:r>
      <w:r>
        <w:t xml:space="preserve"> </w:t>
      </w:r>
      <w:r>
        <w:rPr>
          <w:b/>
          <w:bCs/>
        </w:rPr>
        <w:t xml:space="preserve">0.1 s</w:t>
      </w:r>
      <w:r>
        <w:t xml:space="preserve">). The probe matched the standard (</w:t>
      </w:r>
      <w:r>
        <w:rPr>
          <w:b/>
          <w:bCs/>
        </w:rPr>
        <w:t xml:space="preserve">Δcontrast</w:t>
      </w:r>
      <w:r>
        <w:t xml:space="preserve"> </w:t>
      </w:r>
      <w:r>
        <w:t xml:space="preserve">= 0) or increased in contrast by</w:t>
      </w:r>
      <w:r>
        <w:t xml:space="preserve"> </w:t>
      </w:r>
      <w:r>
        <w:rPr>
          <w:b/>
          <w:bCs/>
        </w:rPr>
        <w:t xml:space="preserve">0.06, 0.12, 0.24, or 0.48</w:t>
      </w:r>
      <w:r>
        <w:t xml:space="preserve"> </w:t>
      </w:r>
      <w:r>
        <w:t xml:space="preserve">with other parameters fixed.</w:t>
      </w:r>
    </w:p>
    <w:p>
      <w:pPr>
        <w:pStyle w:val="BodyText"/>
      </w:pPr>
      <w:r>
        <w:rPr>
          <w:b/>
          <w:bCs/>
        </w:rPr>
        <w:t xml:space="preserve">Responses.</w:t>
      </w:r>
      <w:r>
        <w:t xml:space="preserve"> </w:t>
      </w:r>
      <w:r>
        <w:t xml:space="preserve">After stimulus offset, participants released the grip and used the</w:t>
      </w:r>
      <w:r>
        <w:t xml:space="preserve"> </w:t>
      </w:r>
      <w:r>
        <w:rPr>
          <w:b/>
          <w:bCs/>
        </w:rPr>
        <w:t xml:space="preserve">right</w:t>
      </w:r>
      <w:r>
        <w:t xml:space="preserve"> </w:t>
      </w:r>
      <w:r>
        <w:t xml:space="preserve">hand to respond within</w:t>
      </w:r>
      <w:r>
        <w:t xml:space="preserve"> </w:t>
      </w:r>
      <w:r>
        <w:rPr>
          <w:b/>
          <w:bCs/>
        </w:rPr>
        <w:t xml:space="preserve">3 s</w:t>
      </w:r>
      <w:r>
        <w:t xml:space="preserve"> </w:t>
      </w:r>
      <w:r>
        <w:t xml:space="preserve">(index finger =</w:t>
      </w:r>
      <w:r>
        <w:t xml:space="preserve"> </w:t>
      </w:r>
      <w:r>
        <w:t xml:space="preserve">“different,”</w:t>
      </w:r>
      <w:r>
        <w:t xml:space="preserve"> </w:t>
      </w:r>
      <w:r>
        <w:t xml:space="preserve">middle finger =</w:t>
      </w:r>
      <w:r>
        <w:t xml:space="preserve"> </w:t>
      </w:r>
      <w:r>
        <w:t xml:space="preserve">“same”</w:t>
      </w:r>
      <w:r>
        <w:t xml:space="preserve">). A</w:t>
      </w:r>
      <w:r>
        <w:t xml:space="preserve"> </w:t>
      </w:r>
      <w:r>
        <w:rPr>
          <w:b/>
          <w:bCs/>
        </w:rPr>
        <w:t xml:space="preserve">3 s</w:t>
      </w:r>
      <w:r>
        <w:t xml:space="preserve"> </w:t>
      </w:r>
      <w:r>
        <w:t xml:space="preserve">confidence screen followed (four levels, 1 = lowest to 4 = highest confidence).</w:t>
      </w:r>
    </w:p>
    <w:p>
      <w:pPr>
        <w:pStyle w:val="BodyText"/>
      </w:pPr>
      <w:r>
        <w:rPr>
          <w:b/>
          <w:bCs/>
        </w:rPr>
        <w:t xml:space="preserve">Scheduling and feedback.</w:t>
      </w:r>
      <w:r>
        <w:t xml:space="preserve"> </w:t>
      </w:r>
      <w:r>
        <w:t xml:space="preserve">Each task comprised</w:t>
      </w:r>
      <w:r>
        <w:t xml:space="preserve"> </w:t>
      </w:r>
      <w:r>
        <w:rPr>
          <w:b/>
          <w:bCs/>
        </w:rPr>
        <w:t xml:space="preserve">150</w:t>
      </w:r>
      <w:r>
        <w:t xml:space="preserve"> </w:t>
      </w:r>
      <w:r>
        <w:t xml:space="preserve">trials per full set (</w:t>
      </w:r>
      <w:r>
        <w:rPr>
          <w:b/>
          <w:bCs/>
        </w:rPr>
        <w:t xml:space="preserve">five</w:t>
      </w:r>
      <w:r>
        <w:t xml:space="preserve"> </w:t>
      </w:r>
      <w:r>
        <w:t xml:space="preserve">blocks of</w:t>
      </w:r>
      <w:r>
        <w:t xml:space="preserve"> </w:t>
      </w:r>
      <w:r>
        <w:rPr>
          <w:b/>
          <w:bCs/>
        </w:rPr>
        <w:t xml:space="preserve">30</w:t>
      </w:r>
      <w:r>
        <w:t xml:space="preserve">), crossing the five stimulus levels (standard plus four offsets) with the two effort conditions in pseudorandom order with equal allocation (three trials per stimulus × effort combination per block when the full schedule was collected). Grip performance was reviewed between blocks; participants received corrective feedback if force was repeatedly off-target or not maintained through the probe as required. Task runs were acquired in-scanner (</w:t>
      </w:r>
      <w:r>
        <w:rPr>
          <w:b/>
          <w:bCs/>
        </w:rPr>
        <w:t xml:space="preserve">Session 2</w:t>
      </w:r>
      <w:r>
        <w:t xml:space="preserve"> </w:t>
      </w:r>
      <w:r>
        <w:t xml:space="preserve">and</w:t>
      </w:r>
      <w:r>
        <w:t xml:space="preserve"> </w:t>
      </w:r>
      <w:r>
        <w:rPr>
          <w:b/>
          <w:bCs/>
        </w:rPr>
        <w:t xml:space="preserve">Session 3</w:t>
      </w:r>
      <w:r>
        <w:t xml:space="preserve"> </w:t>
      </w:r>
      <w:r>
        <w:t xml:space="preserve">in the study database; practice and Session 1 were excluded from analysis files). Low- and high-effort trials were</w:t>
      </w:r>
      <w:r>
        <w:t xml:space="preserve"> </w:t>
      </w:r>
      <w:r>
        <w:rPr>
          <w:b/>
          <w:bCs/>
        </w:rPr>
        <w:t xml:space="preserve">intermixed within runs</w:t>
      </w:r>
      <w:r>
        <w:t xml:space="preserve"> </w:t>
      </w:r>
      <w:r>
        <w:t xml:space="preserve">rather than blocked by session. Realized trial counts vary when runs were omitted (Section 3.1).</w:t>
      </w:r>
    </w:p>
    <w:p>
      <w:pPr>
        <w:pStyle w:val="BodyText"/>
      </w:pPr>
      <w:r>
        <w:t xml:space="preserve">Stimuli were presented and responses collected using the LC Aging in-scanner setup: visual stimulation via a PROPixx-class projector (VPixx Technologies; high refresh rate, HD resolution) viewed through a head-coil mirror at approximately</w:t>
      </w:r>
      <w:r>
        <w:t xml:space="preserve"> </w:t>
      </w:r>
      <w:r>
        <w:rPr>
          <w:b/>
          <w:bCs/>
        </w:rPr>
        <w:t xml:space="preserve">12 cm</w:t>
      </w:r>
      <w:r>
        <w:t xml:space="preserve"> </w:t>
      </w:r>
      <w:r>
        <w:t xml:space="preserve">effective viewing distance; auditory stimulation through MRI-compatible earphones; fiber-optic response hardware for choices; MRI-compatible dynamometer for grip force; and binocular eye tracking for pupil diameter (</w:t>
      </w:r>
      <w:r>
        <w:rPr>
          <w:b/>
          <w:bCs/>
        </w:rPr>
        <w:t xml:space="preserve">250 Hz</w:t>
      </w:r>
      <w:r>
        <w:t xml:space="preserve"> </w:t>
      </w:r>
      <w:r>
        <w:t xml:space="preserve">in the processed data used here; see Pupillometry). Stimulus delivery and timing used Psychophysics Toolbox in MATLAB; neuroimaging results are reported elsewhere.</w:t>
      </w:r>
    </w:p>
    <w:bookmarkEnd w:id="44"/>
    <w:bookmarkStart w:id="46" w:name="pupillometry"/>
    <w:p>
      <w:pPr>
        <w:pStyle w:val="Heading2"/>
      </w:pPr>
      <w:r>
        <w:t xml:space="preserve">2.3 Pupillometry</w:t>
      </w:r>
    </w:p>
    <w:p>
      <w:pPr>
        <w:pStyle w:val="FirstParagraph"/>
      </w:pPr>
      <w:r>
        <w:t xml:space="preserve">Pupil diameter was recorded continuously throughout each trial at</w:t>
      </w:r>
      <w:r>
        <w:t xml:space="preserve"> </w:t>
      </w:r>
      <w:r>
        <w:rPr>
          <w:b/>
          <w:bCs/>
        </w:rPr>
        <w:t xml:space="preserve">250 Hz</w:t>
      </w:r>
      <w:r>
        <w:t xml:space="preserve"> </w:t>
      </w:r>
      <w:r>
        <w:t xml:space="preserve">and processed using a MATLAB preprocessing pipeline that segments trials relative to squeeze onset, flags blinks and track loss events, computes window-specific validity metrics, and implements subtractive baseline correction using pre-event windows.</w:t>
      </w:r>
    </w:p>
    <w:p>
      <w:pPr>
        <w:pStyle w:val="BodyText"/>
      </w:pPr>
      <w:r>
        <w:rPr>
          <w:b/>
          <w:bCs/>
        </w:rPr>
        <w:t xml:space="preserve">Metrics and preprocessing.</w:t>
      </w:r>
      <w:r>
        <w:t xml:space="preserve"> </w:t>
      </w:r>
      <w:r>
        <w:t xml:space="preserve">The first derived measure was</w:t>
      </w:r>
      <w:r>
        <w:t xml:space="preserve"> </w:t>
      </w:r>
      <w:r>
        <w:rPr>
          <w:b/>
          <w:bCs/>
        </w:rPr>
        <w:t xml:space="preserve">Total AUC</w:t>
      </w:r>
      <w:r>
        <w:t xml:space="preserve">: baseline-corrected area under the pupil curve over a global trial window, indexing overall arousal during concurrent physical effort. The second, which served as the primary predictor in trial-level models, was the</w:t>
      </w:r>
      <w:r>
        <w:t xml:space="preserve"> </w:t>
      </w:r>
      <w:r>
        <w:rPr>
          <w:b/>
          <w:bCs/>
        </w:rPr>
        <w:t xml:space="preserve">cognitive pupil metric</w:t>
      </w:r>
      <w:r>
        <w:t xml:space="preserve">: a baseline-corrected, task-evoked summary from a fixed</w:t>
      </w:r>
      <w:r>
        <w:t xml:space="preserve"> </w:t>
      </w:r>
      <w:r>
        <w:rPr>
          <w:b/>
          <w:bCs/>
        </w:rPr>
        <w:t xml:space="preserve">1.20 s</w:t>
      </w:r>
      <w:r>
        <w:t xml:space="preserve"> </w:t>
      </w:r>
      <w:r>
        <w:t xml:space="preserve">stimulus-locked window spanning 4.85–6.05 s (target onset + 0.50 s through +1.70 s relative to squeeze onset). That window targets the task-evoked pupil response (TEPR) peak, which typically occurs about one second after stimulus onset</w:t>
      </w:r>
      <w:r>
        <w:t xml:space="preserve"> </w:t>
      </w:r>
      <w:r>
        <w:t xml:space="preserve">(Mathôt &amp; Vilotijević, 2023)</w:t>
      </w:r>
      <w:r>
        <w:t xml:space="preserve">, while limiting early reflex contributions and RT-driven confounds. Analyses used</w:t>
      </w:r>
      <w:r>
        <w:t xml:space="preserve"> </w:t>
      </w:r>
      <w:r>
        <w:rPr>
          <w:b/>
          <w:bCs/>
        </w:rPr>
        <w:t xml:space="preserve">mean dilation</w:t>
      </w:r>
      <w:r>
        <w:t xml:space="preserve"> </w:t>
      </w:r>
      <w:r>
        <w:t xml:space="preserve">(AUC divided by window duration) rather than raw AUC, which removes duration confounds and is the preferred summary for this window. The distribution of Cognitive AUC was checked against a physiological-ceiling interpretation; results of that check are reported in Section 3.3 with the effort–pupil manipulation.</w:t>
      </w:r>
    </w:p>
    <w:p>
      <w:pPr>
        <w:pStyle w:val="BodyText"/>
      </w:pPr>
      <w:r>
        <w:t xml:space="preserve">Baseline correction was implemented subtractively (</w:t>
      </w:r>
      <w:r>
        <w:rPr>
          <w:i/>
          <w:iCs/>
        </w:rPr>
        <w:t xml:space="preserve">pupil</w:t>
      </w:r>
      <w:r>
        <w:t xml:space="preserve"> </w:t>
      </w:r>
      <w:r>
        <w:t xml:space="preserve">- baseline mean). For</w:t>
      </w:r>
      <w:r>
        <w:t xml:space="preserve"> </w:t>
      </w:r>
      <w:r>
        <w:rPr>
          <w:b/>
          <w:bCs/>
        </w:rPr>
        <w:t xml:space="preserve">Total AUC</w:t>
      </w:r>
      <w:r>
        <w:t xml:space="preserve">, the baseline window was the pre-squeeze interval from</w:t>
      </w:r>
      <w:r>
        <w:t xml:space="preserve"> </w:t>
      </w:r>
      <w:r>
        <w:rPr>
          <w:b/>
          <w:bCs/>
        </w:rPr>
        <w:t xml:space="preserve">−0.5 s to 0.0 s</w:t>
      </w:r>
      <w:r>
        <w:t xml:space="preserve"> </w:t>
      </w:r>
      <w:r>
        <w:t xml:space="preserve">relative to squeeze onset (B0 baseline). For the</w:t>
      </w:r>
      <w:r>
        <w:t xml:space="preserve"> </w:t>
      </w:r>
      <w:r>
        <w:rPr>
          <w:b/>
          <w:bCs/>
        </w:rPr>
        <w:t xml:space="preserve">cognitive pupil metric</w:t>
      </w:r>
      <w:r>
        <w:t xml:space="preserve">, the baseline window was the pre-target interval from</w:t>
      </w:r>
      <w:r>
        <w:t xml:space="preserve"> </w:t>
      </w:r>
      <w:r>
        <w:rPr>
          <w:b/>
          <w:bCs/>
        </w:rPr>
        <w:t xml:space="preserve">3.85 s to 4.35 s</w:t>
      </w:r>
      <w:r>
        <w:t xml:space="preserve"> </w:t>
      </w:r>
      <w:r>
        <w:t xml:space="preserve">relative to squeeze onset (B1 baseline). This target-proximal baseline was chosen so that the cognitive window reflects event-linked dilation relative to the immediately preceding pre-target pupil level, while the global Total AUC reflects overall dilation across the sustained effort epoch.</w:t>
      </w:r>
    </w:p>
    <w:p>
      <w:pPr>
        <w:pStyle w:val="BodyText"/>
      </w:pPr>
      <w:r>
        <w:rPr>
          <w:b/>
          <w:bCs/>
        </w:rPr>
        <w:t xml:space="preserve">Quality control and confound mitigation.</w:t>
      </w:r>
      <w:r>
        <w:t xml:space="preserve"> </w:t>
      </w:r>
      <w:r>
        <w:t xml:space="preserve">Gap-aware quality control metrics were developed following</w:t>
      </w:r>
      <w:r>
        <w:t xml:space="preserve"> </w:t>
      </w:r>
      <w:r>
        <w:t xml:space="preserve">Kret &amp; Sjak-Shie (2019)</w:t>
      </w:r>
      <w:r>
        <w:t xml:space="preserve"> </w:t>
      </w:r>
      <w:r>
        <w:t xml:space="preserve">to distinguish genuine low pupil dilation from data quality artifacts arising from fragmented missing-data segments. A trial can have acceptable overall validity (e.g., 60%) yet contain a large contiguous gap that distorts AUC estimates; percentage-validity thresholds are therefore not always sufficient for quality screening. Full metric specifications are given in</w:t>
      </w:r>
      <w:r>
        <w:t xml:space="preserve"> </w:t>
      </w:r>
      <w:hyperlink w:anchor="sec-appendix-a">
        <w:r>
          <w:rPr>
            <w:rStyle w:val="Hyperlink"/>
          </w:rPr>
          <w:t xml:space="preserve">Appendix A</w:t>
        </w:r>
      </w:hyperlink>
      <w:r>
        <w:t xml:space="preserve">, but the saved model objects reported in this chapter were fit using the processed dataset’s</w:t>
      </w:r>
      <w:r>
        <w:t xml:space="preserve"> </w:t>
      </w:r>
      <w:r>
        <w:rPr>
          <w:rStyle w:val="VerbatimChar"/>
        </w:rPr>
        <w:t xml:space="preserve">quality_primary</w:t>
      </w:r>
      <w:r>
        <w:t xml:space="preserve">,</w:t>
      </w:r>
      <w:r>
        <w:t xml:space="preserve"> </w:t>
      </w:r>
      <w:r>
        <w:rPr>
          <w:rStyle w:val="VerbatimChar"/>
        </w:rPr>
        <w:t xml:space="preserve">quality_lenient</w:t>
      </w:r>
      <w:r>
        <w:t xml:space="preserve">, and</w:t>
      </w:r>
      <w:r>
        <w:t xml:space="preserve"> </w:t>
      </w:r>
      <w:r>
        <w:rPr>
          <w:rStyle w:val="VerbatimChar"/>
        </w:rPr>
        <w:t xml:space="preserve">quality_strict</w:t>
      </w:r>
      <w:r>
        <w:t xml:space="preserve"> </w:t>
      </w:r>
      <w:r>
        <w:t xml:space="preserve">flags.</w:t>
      </w:r>
    </w:p>
    <w:p>
      <w:pPr>
        <w:pStyle w:val="BodyText"/>
      </w:pPr>
      <w:r>
        <w:t xml:space="preserve">Pupil-based analyses used three pre-defined percentage-validity tiers from the processed dataset. The</w:t>
      </w:r>
      <w:r>
        <w:t xml:space="preserve"> </w:t>
      </w:r>
      <w:r>
        <w:rPr>
          <w:b/>
          <w:bCs/>
        </w:rPr>
        <w:t xml:space="preserve">primary</w:t>
      </w:r>
      <w:r>
        <w:t xml:space="preserve"> </w:t>
      </w:r>
      <w:r>
        <w:t xml:space="preserve">tier required</w:t>
      </w:r>
      <w:r>
        <w:t xml:space="preserve"> </w:t>
      </w:r>
      <w:r>
        <w:rPr>
          <w:rStyle w:val="VerbatimChar"/>
        </w:rPr>
        <w:t xml:space="preserve">baseline_quality &gt;= 0.60</w:t>
      </w:r>
      <w:r>
        <w:t xml:space="preserve"> </w:t>
      </w:r>
      <w:r>
        <w:t xml:space="preserve">and</w:t>
      </w:r>
      <w:r>
        <w:t xml:space="preserve"> </w:t>
      </w:r>
      <w:r>
        <w:rPr>
          <w:rStyle w:val="VerbatimChar"/>
        </w:rPr>
        <w:t xml:space="preserve">cog_quality &gt;= 0.60</w:t>
      </w:r>
      <w:r>
        <w:t xml:space="preserve">; the</w:t>
      </w:r>
      <w:r>
        <w:t xml:space="preserve"> </w:t>
      </w:r>
      <w:r>
        <w:rPr>
          <w:b/>
          <w:bCs/>
        </w:rPr>
        <w:t xml:space="preserve">lenient</w:t>
      </w:r>
      <w:r>
        <w:t xml:space="preserve"> </w:t>
      </w:r>
      <w:r>
        <w:t xml:space="preserve">tier used thresholds of 0.50 for both; the</w:t>
      </w:r>
      <w:r>
        <w:t xml:space="preserve"> </w:t>
      </w:r>
      <w:r>
        <w:rPr>
          <w:b/>
          <w:bCs/>
        </w:rPr>
        <w:t xml:space="preserve">strict</w:t>
      </w:r>
      <w:r>
        <w:t xml:space="preserve"> </w:t>
      </w:r>
      <w:r>
        <w:t xml:space="preserve">tier required 0.70 for both. An expanded B1/gap-aware screening framework was developed in parallel preprocessing documentation, but those thresholds were not the operative inclusion flags for the saved analysis objects summarized here. Accordingly, the reported results should be interpreted as reflecting the simpler percentage-validity tiers above.</w:t>
      </w:r>
    </w:p>
    <w:p>
      <w:pPr>
        <w:pStyle w:val="BodyText"/>
      </w:pPr>
      <w:r>
        <w:t xml:space="preserve">Psychophysical modeling guidance emphasizes that</w:t>
      </w:r>
      <w:r>
        <w:t xml:space="preserve"> </w:t>
      </w:r>
      <w:r>
        <w:rPr>
          <w:b/>
          <w:bCs/>
        </w:rPr>
        <w:t xml:space="preserve">assuming lapse rate (</w:t>
      </w:r>
      <m:oMath>
        <m:r>
          <m:t>λ</m:t>
        </m:r>
      </m:oMath>
      <w:r>
        <w:rPr>
          <w:b/>
          <w:bCs/>
        </w:rPr>
        <w:t xml:space="preserve">) = 0 can distort threshold and slope estimates</w:t>
      </w:r>
      <w:r>
        <w:t xml:space="preserve"> </w:t>
      </w:r>
      <w:r>
        <w:t xml:space="preserve">if lapses are present but unaccounted for</w:t>
      </w:r>
      <w:r>
        <w:t xml:space="preserve"> </w:t>
      </w:r>
      <w:r>
        <w:t xml:space="preserve">(Prins et al., 2016)</w:t>
      </w:r>
      <w:r>
        <w:t xml:space="preserve">. This concern is particularly relevant in older adult populations, where attentional lapses, track loss events, and data quality issues may be more frequent. The quality-tier strategy addresses this by excluding trials with poorer pupil validity, thereby reducing lapse-like contamination in the psychometric function estimates. The tiering approach tests robustness of conclusions across stricter inclusion criteria: if key effects (e.g., the stimulus intensity × pupil state interaction) are consistent across lenient, primary, and strict quality tiers, this provides evidence that findings are not driven solely by the specific validity threshold used. This strategy is consistent with psychophysical best practices for handling stimulus-independent errors without explicitly estimating lapse parameters in the primary model</w:t>
      </w:r>
      <w:r>
        <w:t xml:space="preserve"> </w:t>
      </w:r>
      <w:r>
        <w:t xml:space="preserve">(Prins et al., 2016)</w:t>
      </w:r>
      <w:r>
        <w:t xml:space="preserve">.</w:t>
      </w:r>
    </w:p>
    <w:p>
      <w:pPr>
        <w:pStyle w:val="BodyText"/>
      </w:pPr>
      <w:r>
        <w:t xml:space="preserve">The cognitive AUC window unavoidably overlaps task events that can contaminate pupil measurements: the target appears at 4.35 s (relative to squeeze onset), the response screen at 4.70 s (350 ms after target), and the button press at a variable time (typically near 5.3–5.4 s for median RTs around 0.6–0.7 s). The analytic goal is not to eliminate these confounds—which is impossible—but to limit their impact, acknowledge what remains, and support conclusions with sensitivity analyses.</w:t>
      </w:r>
    </w:p>
    <w:p>
      <w:pPr>
        <w:pStyle w:val="BodyText"/>
      </w:pPr>
      <w:r>
        <w:t xml:space="preserve">Accordingly, the primary cognitive window (4.85–6.05 s) was</w:t>
      </w:r>
      <w:r>
        <w:t xml:space="preserve"> </w:t>
      </w:r>
      <w:r>
        <w:rPr>
          <w:b/>
          <w:bCs/>
        </w:rPr>
        <w:t xml:space="preserve">stimulus-locked and of fixed duration</w:t>
      </w:r>
      <w:r>
        <w:t xml:space="preserve">, and the pupil summary was</w:t>
      </w:r>
      <w:r>
        <w:t xml:space="preserve"> </w:t>
      </w:r>
      <w:r>
        <w:rPr>
          <w:b/>
          <w:bCs/>
        </w:rPr>
        <w:t xml:space="preserve">mean dilation</w:t>
      </w:r>
      <w:r>
        <w:t xml:space="preserve"> </w:t>
      </w:r>
      <w:r>
        <w:t xml:space="preserve">(AUC divided by duration), which together reduce mechanical coupling of RT to AUC and duration-related artifacts relative to raw AUC. Motor-buffered and pre-response window definitions were also pre-computed (truncating the primary window 150 ms before button press, and a decision-aligned window excluding the final 150 ms before response, respectively); full AUC computation for those windows requires re-processing and is reserved for future sensitivity analyses (</w:t>
      </w:r>
      <w:hyperlink w:anchor="sec-appendix-e">
        <w:r>
          <w:rPr>
            <w:rStyle w:val="Hyperlink"/>
          </w:rPr>
          <w:t xml:space="preserve">Appendix E</w:t>
        </w:r>
      </w:hyperlink>
      <w:r>
        <w:t xml:space="preserve">). Finally, a</w:t>
      </w:r>
      <w:r>
        <w:t xml:space="preserve"> </w:t>
      </w:r>
      <w:r>
        <w:rPr>
          <w:b/>
          <w:bCs/>
        </w:rPr>
        <w:t xml:space="preserve">slow-RT</w:t>
      </w:r>
      <w:r>
        <w:t xml:space="preserve"> </w:t>
      </w:r>
      <w:r>
        <w:t xml:space="preserve">sensitivity subset flags trials where the button press falls after the cognitive window (RT &gt; 1.5 s, press after 6.20 s), so motor execution cannot overlap the pupil epoch; that subset feeds the analysis in Section 3.5.1 and</w:t>
      </w:r>
      <w:r>
        <w:t xml:space="preserve"> </w:t>
      </w:r>
      <w:hyperlink w:anchor="sec-appendix-b">
        <w:r>
          <w:rPr>
            <w:rStyle w:val="Hyperlink"/>
          </w:rPr>
          <w:t xml:space="preserve">Appendix B</w:t>
        </w:r>
      </w:hyperlink>
      <w:r>
        <w:t xml:space="preserve">.</w:t>
      </w:r>
    </w:p>
    <w:bookmarkStart w:id="45" w:name="sec-sample-retention"/>
    <w:p>
      <w:pPr>
        <w:pStyle w:val="Heading3"/>
      </w:pPr>
      <w:r>
        <w:t xml:space="preserve">2.3.1 Sample retention and exclusions by task</w:t>
      </w:r>
    </w:p>
    <w:p>
      <w:pPr>
        <w:pStyle w:val="FirstParagraph"/>
      </w:pPr>
      <w:r>
        <w:t xml:space="preserve">Participant flow was evaluated</w:t>
      </w:r>
      <w:r>
        <w:t xml:space="preserve"> </w:t>
      </w:r>
      <w:r>
        <w:rPr>
          <w:b/>
          <w:bCs/>
        </w:rPr>
        <w:t xml:space="preserve">separately by modality</w:t>
      </w:r>
      <w:r>
        <w:t xml:space="preserve"> </w:t>
      </w:r>
      <w:r>
        <w:t xml:space="preserve">because psychometric validity and pupil-data quality were gated independently for ADT and VDT. Of</w:t>
      </w:r>
      <w:r>
        <w:t xml:space="preserve"> </w:t>
      </w:r>
      <w:r>
        <w:rPr>
          <w:b/>
          <w:bCs/>
        </w:rPr>
        <w:t xml:space="preserve">64</w:t>
      </w:r>
      <w:r>
        <w:t xml:space="preserve"> </w:t>
      </w:r>
      <w:r>
        <w:t xml:space="preserve">participants recruited for the</w:t>
      </w:r>
      <w:r>
        <w:t xml:space="preserve"> </w:t>
      </w:r>
      <w:r>
        <w:rPr>
          <w:b/>
          <w:bCs/>
        </w:rPr>
        <w:t xml:space="preserve">auditory</w:t>
      </w:r>
      <w:r>
        <w:t xml:space="preserve"> </w:t>
      </w:r>
      <w:r>
        <w:t xml:space="preserve">task,</w:t>
      </w:r>
      <w:r>
        <w:t xml:space="preserve"> </w:t>
      </w:r>
      <w:r>
        <w:rPr>
          <w:b/>
          <w:bCs/>
        </w:rPr>
        <w:t xml:space="preserve">54</w:t>
      </w:r>
      <w:r>
        <w:t xml:space="preserve"> </w:t>
      </w:r>
      <w:r>
        <w:t xml:space="preserve">entered the</w:t>
      </w:r>
      <w:r>
        <w:t xml:space="preserve"> </w:t>
      </w:r>
      <w:r>
        <w:rPr>
          <w:b/>
          <w:bCs/>
        </w:rPr>
        <w:t xml:space="preserve">final analysis</w:t>
      </w:r>
      <w:r>
        <w:t xml:space="preserve"> </w:t>
      </w:r>
      <w:r>
        <w:t xml:space="preserve">(</w:t>
      </w:r>
      <w:r>
        <w:rPr>
          <w:b/>
          <w:bCs/>
        </w:rPr>
        <w:t xml:space="preserve">10</w:t>
      </w:r>
      <w:r>
        <w:t xml:space="preserve"> </w:t>
      </w:r>
      <w:r>
        <w:t xml:space="preserve">excluded). Of those</w:t>
      </w:r>
      <w:r>
        <w:t xml:space="preserve"> </w:t>
      </w:r>
      <w:r>
        <w:rPr>
          <w:b/>
          <w:bCs/>
        </w:rPr>
        <w:t xml:space="preserve">10</w:t>
      </w:r>
      <w:r>
        <w:t xml:space="preserve">,</w:t>
      </w:r>
      <w:r>
        <w:t xml:space="preserve"> </w:t>
      </w:r>
      <w:r>
        <w:rPr>
          <w:b/>
          <w:bCs/>
        </w:rPr>
        <w:t xml:space="preserve">3</w:t>
      </w:r>
      <w:r>
        <w:t xml:space="preserve"> </w:t>
      </w:r>
      <w:r>
        <w:t xml:space="preserve">were excluded because</w:t>
      </w:r>
      <w:r>
        <w:t xml:space="preserve"> </w:t>
      </w:r>
      <w:r>
        <w:rPr>
          <w:b/>
          <w:bCs/>
        </w:rPr>
        <w:t xml:space="preserve">Psignifit</w:t>
      </w:r>
      <w:r>
        <w:t xml:space="preserve"> </w:t>
      </w:r>
      <w:r>
        <w:t xml:space="preserve">produced psychometric</w:t>
      </w:r>
      <w:r>
        <w:t xml:space="preserve"> </w:t>
      </w:r>
      <w:r>
        <w:rPr>
          <w:b/>
          <w:bCs/>
        </w:rPr>
        <w:t xml:space="preserve">thresholds</w:t>
      </w:r>
      <w:r>
        <w:t xml:space="preserve"> </w:t>
      </w:r>
      <w:r>
        <w:t xml:space="preserve">above</w:t>
      </w:r>
      <w:r>
        <w:t xml:space="preserve"> </w:t>
      </w:r>
      <w:r>
        <w:rPr>
          <w:b/>
          <w:bCs/>
        </w:rPr>
        <w:t xml:space="preserve">64 Hz</w:t>
      </w:r>
      <w:r>
        <w:t xml:space="preserve"> </w:t>
      </w:r>
      <w:r>
        <w:t xml:space="preserve">(prespecified invalidity relative to the stimulus range), and</w:t>
      </w:r>
      <w:r>
        <w:t xml:space="preserve"> </w:t>
      </w:r>
      <w:r>
        <w:rPr>
          <w:b/>
          <w:bCs/>
        </w:rPr>
        <w:t xml:space="preserve">7</w:t>
      </w:r>
      <w:r>
        <w:t xml:space="preserve"> </w:t>
      </w:r>
      <w:r>
        <w:t xml:space="preserve">were excluded for</w:t>
      </w:r>
      <w:r>
        <w:t xml:space="preserve"> </w:t>
      </w:r>
      <w:r>
        <w:rPr>
          <w:b/>
          <w:bCs/>
        </w:rPr>
        <w:t xml:space="preserve">excessive eye-track loss</w:t>
      </w:r>
      <w:r>
        <w:t xml:space="preserve"> </w:t>
      </w:r>
      <w:r>
        <w:t xml:space="preserve">(greater than</w:t>
      </w:r>
      <w:r>
        <w:t xml:space="preserve"> </w:t>
      </w:r>
      <w:r>
        <w:rPr>
          <w:b/>
          <w:bCs/>
        </w:rPr>
        <w:t xml:space="preserve">50%</w:t>
      </w:r>
      <w:r>
        <w:t xml:space="preserve"> </w:t>
      </w:r>
      <w:r>
        <w:t xml:space="preserve">invalid samples) or other</w:t>
      </w:r>
      <w:r>
        <w:t xml:space="preserve"> </w:t>
      </w:r>
      <w:r>
        <w:rPr>
          <w:b/>
          <w:bCs/>
        </w:rPr>
        <w:t xml:space="preserve">pupil QC failures</w:t>
      </w:r>
      <w:r>
        <w:t xml:space="preserve">. Of</w:t>
      </w:r>
      <w:r>
        <w:t xml:space="preserve"> </w:t>
      </w:r>
      <w:r>
        <w:rPr>
          <w:b/>
          <w:bCs/>
        </w:rPr>
        <w:t xml:space="preserve">65</w:t>
      </w:r>
      <w:r>
        <w:t xml:space="preserve"> </w:t>
      </w:r>
      <w:r>
        <w:t xml:space="preserve">participants recruited for the</w:t>
      </w:r>
      <w:r>
        <w:t xml:space="preserve"> </w:t>
      </w:r>
      <w:r>
        <w:rPr>
          <w:b/>
          <w:bCs/>
        </w:rPr>
        <w:t xml:space="preserve">visual</w:t>
      </w:r>
      <w:r>
        <w:t xml:space="preserve"> </w:t>
      </w:r>
      <w:r>
        <w:t xml:space="preserve">task,</w:t>
      </w:r>
      <w:r>
        <w:t xml:space="preserve"> </w:t>
      </w:r>
      <w:r>
        <w:rPr>
          <w:b/>
          <w:bCs/>
        </w:rPr>
        <w:t xml:space="preserve">56</w:t>
      </w:r>
      <w:r>
        <w:t xml:space="preserve"> </w:t>
      </w:r>
      <w:r>
        <w:t xml:space="preserve">entered the</w:t>
      </w:r>
      <w:r>
        <w:t xml:space="preserve"> </w:t>
      </w:r>
      <w:r>
        <w:rPr>
          <w:b/>
          <w:bCs/>
        </w:rPr>
        <w:t xml:space="preserve">final analysis</w:t>
      </w:r>
      <w:r>
        <w:t xml:space="preserve"> </w:t>
      </w:r>
      <w:r>
        <w:t xml:space="preserve">(</w:t>
      </w:r>
      <w:r>
        <w:rPr>
          <w:b/>
          <w:bCs/>
        </w:rPr>
        <w:t xml:space="preserve">9</w:t>
      </w:r>
      <w:r>
        <w:t xml:space="preserve"> </w:t>
      </w:r>
      <w:r>
        <w:t xml:space="preserve">excluded).</w:t>
      </w:r>
      <w:r>
        <w:t xml:space="preserve"> </w:t>
      </w:r>
      <w:r>
        <w:rPr>
          <w:b/>
          <w:bCs/>
        </w:rPr>
        <w:t xml:space="preserve">None</w:t>
      </w:r>
      <w:r>
        <w:t xml:space="preserve"> </w:t>
      </w:r>
      <w:r>
        <w:t xml:space="preserve">of the</w:t>
      </w:r>
      <w:r>
        <w:t xml:space="preserve"> </w:t>
      </w:r>
      <w:r>
        <w:rPr>
          <w:b/>
          <w:bCs/>
        </w:rPr>
        <w:t xml:space="preserve">visual</w:t>
      </w:r>
      <w:r>
        <w:t xml:space="preserve"> </w:t>
      </w:r>
      <w:r>
        <w:t xml:space="preserve">exclusions were attributed to PF</w:t>
      </w:r>
      <w:r>
        <w:t xml:space="preserve"> </w:t>
      </w:r>
      <w:r>
        <w:rPr>
          <w:b/>
          <w:bCs/>
        </w:rPr>
        <w:t xml:space="preserve">threshold</w:t>
      </w:r>
      <w:r>
        <w:t xml:space="preserve"> </w:t>
      </w:r>
      <w:r>
        <w:t xml:space="preserve">estimates;</w:t>
      </w:r>
      <w:r>
        <w:t xml:space="preserve"> </w:t>
      </w:r>
      <w:r>
        <w:rPr>
          <w:b/>
          <w:bCs/>
        </w:rPr>
        <w:t xml:space="preserve">all nine</w:t>
      </w:r>
      <w:r>
        <w:t xml:space="preserve"> </w:t>
      </w:r>
      <w:r>
        <w:t xml:space="preserve">reflected</w:t>
      </w:r>
      <w:r>
        <w:t xml:space="preserve"> </w:t>
      </w:r>
      <w:r>
        <w:rPr>
          <w:b/>
          <w:bCs/>
        </w:rPr>
        <w:t xml:space="preserve">track loss</w:t>
      </w:r>
      <w:r>
        <w:t xml:space="preserve"> </w:t>
      </w:r>
      <w:r>
        <w:t xml:space="preserve">or</w:t>
      </w:r>
      <w:r>
        <w:t xml:space="preserve"> </w:t>
      </w:r>
      <w:r>
        <w:rPr>
          <w:b/>
          <w:bCs/>
        </w:rPr>
        <w:t xml:space="preserve">QC failures</w:t>
      </w:r>
      <w:r>
        <w:t xml:space="preserve">. These counts align with</w:t>
      </w:r>
      <w:r>
        <w:t xml:space="preserve"> </w:t>
      </w:r>
      <w:hyperlink w:anchor="tbl-sample-flow">
        <w:r>
          <w:rPr>
            <w:rStyle w:val="Hyperlink"/>
          </w:rPr>
          <w:t xml:space="preserve">Table 1</w:t>
        </w:r>
      </w:hyperlink>
      <w:r>
        <w:t xml:space="preserve"> </w:t>
      </w:r>
      <w:r>
        <w:t xml:space="preserve">(Section 3.1) and with the</w:t>
      </w:r>
      <w:r>
        <w:t xml:space="preserve"> </w:t>
      </w:r>
      <w:r>
        <w:rPr>
          <w:b/>
          <w:bCs/>
        </w:rPr>
        <w:t xml:space="preserve">Final N</w:t>
      </w:r>
      <w:r>
        <w:t xml:space="preserve"> </w:t>
      </w:r>
      <w:r>
        <w:t xml:space="preserve">column reported there.</w:t>
      </w:r>
    </w:p>
    <w:bookmarkEnd w:id="45"/>
    <w:bookmarkEnd w:id="46"/>
    <w:bookmarkStart w:id="48" w:name="statistical-analysis"/>
    <w:p>
      <w:pPr>
        <w:pStyle w:val="Heading2"/>
      </w:pPr>
      <w:r>
        <w:t xml:space="preserve">2.4 Statistical Analysis</w:t>
      </w:r>
    </w:p>
    <w:p>
      <w:pPr>
        <w:pStyle w:val="FirstParagraph"/>
      </w:pPr>
      <w:r>
        <w:rPr>
          <w:b/>
          <w:bCs/>
        </w:rPr>
        <w:t xml:space="preserve">Psychometric function fitting.</w:t>
      </w:r>
      <w:r>
        <w:t xml:space="preserve"> </w:t>
      </w:r>
      <w:r>
        <w:t xml:space="preserve">Behavioral data were fit in</w:t>
      </w:r>
      <w:r>
        <w:t xml:space="preserve"> </w:t>
      </w:r>
      <w:r>
        <w:rPr>
          <w:b/>
          <w:bCs/>
        </w:rPr>
        <w:t xml:space="preserve">Psignifit 4</w:t>
      </w:r>
      <w:r>
        <w:t xml:space="preserve"> </w:t>
      </w:r>
      <w:r>
        <w:t xml:space="preserve">(MATLAB;</w:t>
      </w:r>
      <w:r>
        <w:t xml:space="preserve"> </w:t>
      </w:r>
      <w:r>
        <w:t xml:space="preserve">Schütt et al. (2016)</w:t>
      </w:r>
      <w:r>
        <w:t xml:space="preserve">) using a</w:t>
      </w:r>
      <w:r>
        <w:t xml:space="preserve"> </w:t>
      </w:r>
      <w:r>
        <w:rPr>
          <w:b/>
          <w:bCs/>
        </w:rPr>
        <w:t xml:space="preserve">beta-binomial</w:t>
      </w:r>
      <w:r>
        <w:t xml:space="preserve"> </w:t>
      </w:r>
      <w:r>
        <w:t xml:space="preserve">observation model for the counts of</w:t>
      </w:r>
      <w:r>
        <w:t xml:space="preserve"> </w:t>
      </w:r>
      <w:r>
        <w:t xml:space="preserve">“different”</w:t>
      </w:r>
      <w:r>
        <w:t xml:space="preserve"> </w:t>
      </w:r>
      <w:r>
        <w:t xml:space="preserve">responses at each stimulus level. This choice was motivated by</w:t>
      </w:r>
      <w:r>
        <w:t xml:space="preserve"> </w:t>
      </w:r>
      <w:r>
        <w:rPr>
          <w:b/>
          <w:bCs/>
        </w:rPr>
        <w:t xml:space="preserve">overdispersion</w:t>
      </w:r>
      <w:r>
        <w:t xml:space="preserve">: at a given intensity, empirical variability in binary outcomes can exceed the variance implied by a standard binomial model, which assumes independent Bernoulli trials with a single underlying probability. The beta-binomial formulation relaxes that assumption by introducing a</w:t>
      </w:r>
      <w:r>
        <w:t xml:space="preserve"> </w:t>
      </w:r>
      <w:r>
        <w:rPr>
          <w:b/>
          <w:bCs/>
        </w:rPr>
        <w:t xml:space="preserve">dispersion metric</w:t>
      </w:r>
      <w:r>
        <w:t xml:space="preserve"> </w:t>
      </w:r>
      <m:oMath>
        <m:r>
          <m:t>η</m:t>
        </m:r>
      </m:oMath>
      <w:r>
        <w:t xml:space="preserve"> </w:t>
      </w:r>
      <w:r>
        <w:t xml:space="preserve">(eta), estimated jointly with the psychometric function parameters. Together with threshold and slope (and asymptotic parameters),</w:t>
      </w:r>
      <w:r>
        <w:t xml:space="preserve"> </w:t>
      </w:r>
      <m:oMath>
        <m:r>
          <m:t>η</m:t>
        </m:r>
      </m:oMath>
      <w:r>
        <w:t xml:space="preserve"> </w:t>
      </w:r>
      <w:r>
        <w:t xml:space="preserve">indexes extra-binomial variability and supports more robust parameter recovery when performance fluctuates beyond simple binomial sampling error.</w:t>
      </w:r>
    </w:p>
    <w:p>
      <w:pPr>
        <w:pStyle w:val="BodyText"/>
      </w:pPr>
      <w:r>
        <w:t xml:space="preserve">Psychometric function parameters (thresholds and slopes) used as the behavioral backbone were taken from these fits. A</w:t>
      </w:r>
      <w:r>
        <w:t xml:space="preserve"> </w:t>
      </w:r>
      <w:r>
        <w:rPr>
          <w:b/>
          <w:bCs/>
        </w:rPr>
        <w:t xml:space="preserve">Weibull psychometric function</w:t>
      </w:r>
      <w:r>
        <w:t xml:space="preserve"> </w:t>
      </w:r>
      <w:r>
        <w:t xml:space="preserve">was fit to the proportion of</w:t>
      </w:r>
      <w:r>
        <w:t xml:space="preserve"> </w:t>
      </w:r>
      <w:r>
        <w:t xml:space="preserve">“different”</w:t>
      </w:r>
      <w:r>
        <w:t xml:space="preserve"> </w:t>
      </w:r>
      <w:r>
        <w:t xml:space="preserve">responses across continuous stimulus intensity levels, separately for each participant × task/modality × effort condition.</w:t>
      </w:r>
    </w:p>
    <w:p>
      <w:pPr>
        <w:pStyle w:val="BodyText"/>
      </w:pPr>
      <w:r>
        <w:rPr>
          <w:b/>
          <w:bCs/>
        </w:rPr>
        <w:t xml:space="preserve">Zero-intensity replacement (Weibull compatibility).</w:t>
      </w:r>
      <w:r>
        <w:t xml:space="preserve"> </w:t>
      </w:r>
      <w:r>
        <w:t xml:space="preserve">The</w:t>
      </w:r>
      <w:r>
        <w:t xml:space="preserve"> </w:t>
      </w:r>
      <w:r>
        <w:rPr>
          <w:b/>
          <w:bCs/>
        </w:rPr>
        <w:t xml:space="preserve">Weibull</w:t>
      </w:r>
      <w:r>
        <w:t xml:space="preserve"> </w:t>
      </w:r>
      <w:r>
        <w:t xml:space="preserve">link is</w:t>
      </w:r>
      <w:r>
        <w:t xml:space="preserve"> </w:t>
      </w:r>
      <w:r>
        <w:rPr>
          <w:b/>
          <w:bCs/>
        </w:rPr>
        <w:t xml:space="preserve">undefined</w:t>
      </w:r>
      <w:r>
        <w:t xml:space="preserve"> </w:t>
      </w:r>
      <w:r>
        <w:t xml:space="preserve">at a stimulus intensity of</w:t>
      </w:r>
      <w:r>
        <w:t xml:space="preserve"> </w:t>
      </w:r>
      <w:r>
        <w:rPr>
          <w:b/>
          <w:bCs/>
        </w:rPr>
        <w:t xml:space="preserve">0</w:t>
      </w:r>
      <w:r>
        <w:t xml:space="preserve">. Because trials with</w:t>
      </w:r>
      <w:r>
        <w:t xml:space="preserve"> </w:t>
      </w:r>
      <w:r>
        <w:rPr>
          <w:b/>
          <w:bCs/>
        </w:rPr>
        <w:t xml:space="preserve">physically identical</w:t>
      </w:r>
      <w:r>
        <w:t xml:space="preserve"> </w:t>
      </w:r>
      <w:r>
        <w:t xml:space="preserve">standard and probe stimuli (</w:t>
      </w:r>
      <w:r>
        <w:rPr>
          <w:b/>
          <w:bCs/>
        </w:rPr>
        <w:t xml:space="preserve">0-offset</w:t>
      </w:r>
      <w:r>
        <w:t xml:space="preserve"> </w:t>
      </w:r>
      <w:r>
        <w:t xml:space="preserve">conditions) would otherwise require a numerical intensity of</w:t>
      </w:r>
      <w:r>
        <w:t xml:space="preserve"> </w:t>
      </w:r>
      <w:r>
        <w:rPr>
          <w:b/>
          <w:bCs/>
        </w:rPr>
        <w:t xml:space="preserve">0</w:t>
      </w:r>
      <w:r>
        <w:t xml:space="preserve">, a</w:t>
      </w:r>
      <w:r>
        <w:t xml:space="preserve"> </w:t>
      </w:r>
      <w:r>
        <w:rPr>
          <w:b/>
          <w:bCs/>
        </w:rPr>
        <w:t xml:space="preserve">systematic replacement</w:t>
      </w:r>
      <w:r>
        <w:t xml:space="preserve"> </w:t>
      </w:r>
      <w:r>
        <w:t xml:space="preserve">was applied: the</w:t>
      </w:r>
      <w:r>
        <w:t xml:space="preserve"> </w:t>
      </w:r>
      <w:r>
        <w:rPr>
          <w:b/>
          <w:bCs/>
        </w:rPr>
        <w:t xml:space="preserve">0-offset</w:t>
      </w:r>
      <w:r>
        <w:t xml:space="preserve"> </w:t>
      </w:r>
      <w:r>
        <w:t xml:space="preserve">level was coded as</w:t>
      </w:r>
      <w:r>
        <w:t xml:space="preserve"> </w:t>
      </w:r>
      <w:r>
        <w:rPr>
          <w:b/>
          <w:bCs/>
        </w:rPr>
        <w:t xml:space="preserve">half of the smallest non-zero stimulus level</w:t>
      </w:r>
      <w:r>
        <w:t xml:space="preserve"> </w:t>
      </w:r>
      <w:r>
        <w:t xml:space="preserve">tested in each modality—the same</w:t>
      </w:r>
      <w:r>
        <w:t xml:space="preserve"> </w:t>
      </w:r>
      <w:r>
        <w:rPr>
          <w:b/>
          <w:bCs/>
        </w:rPr>
        <w:t xml:space="preserve">anchor</w:t>
      </w:r>
      <w:r>
        <w:t xml:space="preserve"> </w:t>
      </w:r>
      <w:r>
        <w:t xml:space="preserve">convention used to generate the descriptive psychometric summaries in</w:t>
      </w:r>
      <w:r>
        <w:t xml:space="preserve"> </w:t>
      </w:r>
      <w:hyperlink w:anchor="tbl-pf-params">
        <w:r>
          <w:rPr>
            <w:rStyle w:val="Hyperlink"/>
          </w:rPr>
          <w:t xml:space="preserve">Table 2</w:t>
        </w:r>
      </w:hyperlink>
      <w:r>
        <w:t xml:space="preserve">. For the</w:t>
      </w:r>
      <w:r>
        <w:t xml:space="preserve"> </w:t>
      </w:r>
      <w:r>
        <w:rPr>
          <w:b/>
          <w:bCs/>
        </w:rPr>
        <w:t xml:space="preserve">auditory</w:t>
      </w:r>
      <w:r>
        <w:t xml:space="preserve"> </w:t>
      </w:r>
      <w:r>
        <w:t xml:space="preserve">task, the smallest non-zero</w:t>
      </w:r>
      <w:r>
        <w:t xml:space="preserve"> </w:t>
      </w:r>
      <w:r>
        <w:rPr>
          <w:b/>
          <w:bCs/>
        </w:rPr>
        <w:t xml:space="preserve">frequency offset</w:t>
      </w:r>
      <w:r>
        <w:t xml:space="preserve"> </w:t>
      </w:r>
      <w:r>
        <w:t xml:space="preserve">was</w:t>
      </w:r>
      <w:r>
        <w:t xml:space="preserve"> </w:t>
      </w:r>
      <w:r>
        <w:rPr>
          <w:b/>
          <w:bCs/>
        </w:rPr>
        <w:t xml:space="preserve">8 Hz</w:t>
      </w:r>
      <w:r>
        <w:t xml:space="preserve">, so the</w:t>
      </w:r>
      <w:r>
        <w:t xml:space="preserve"> </w:t>
      </w:r>
      <w:r>
        <w:rPr>
          <w:b/>
          <w:bCs/>
        </w:rPr>
        <w:t xml:space="preserve">0-offset</w:t>
      </w:r>
      <w:r>
        <w:t xml:space="preserve"> </w:t>
      </w:r>
      <w:r>
        <w:t xml:space="preserve">condition was assigned</w:t>
      </w:r>
      <w:r>
        <w:t xml:space="preserve"> </w:t>
      </w:r>
      <w:r>
        <w:rPr>
          <w:b/>
          <w:bCs/>
        </w:rPr>
        <w:t xml:space="preserve">4 Hz</w:t>
      </w:r>
      <w:r>
        <w:t xml:space="preserve">. For the</w:t>
      </w:r>
      <w:r>
        <w:t xml:space="preserve"> </w:t>
      </w:r>
      <w:r>
        <w:rPr>
          <w:b/>
          <w:bCs/>
        </w:rPr>
        <w:t xml:space="preserve">visual</w:t>
      </w:r>
      <w:r>
        <w:t xml:space="preserve"> </w:t>
      </w:r>
      <w:r>
        <w:t xml:space="preserve">task, the</w:t>
      </w:r>
      <w:r>
        <w:t xml:space="preserve"> </w:t>
      </w:r>
      <w:r>
        <w:rPr>
          <w:b/>
          <w:bCs/>
        </w:rPr>
        <w:t xml:space="preserve">0-offset</w:t>
      </w:r>
      <w:r>
        <w:t xml:space="preserve"> </w:t>
      </w:r>
      <w:r>
        <w:t xml:space="preserve">condition was assigned</w:t>
      </w:r>
      <w:r>
        <w:t xml:space="preserve"> </w:t>
      </w:r>
      <w:r>
        <w:rPr>
          <w:b/>
          <w:bCs/>
        </w:rPr>
        <w:t xml:space="preserve">0.0075</w:t>
      </w:r>
      <w:r>
        <w:t xml:space="preserve"> </w:t>
      </w:r>
      <w:r>
        <w:rPr>
          <w:b/>
          <w:bCs/>
        </w:rPr>
        <w:t xml:space="preserve">Michelson</w:t>
      </w:r>
      <w:r>
        <w:t xml:space="preserve"> </w:t>
      </w:r>
      <w:r>
        <w:t xml:space="preserve">contrast units. This procedure</w:t>
      </w:r>
      <w:r>
        <w:t xml:space="preserve"> </w:t>
      </w:r>
      <w:r>
        <w:rPr>
          <w:b/>
          <w:bCs/>
        </w:rPr>
        <w:t xml:space="preserve">retains the full range of difficulty levels</w:t>
      </w:r>
      <w:r>
        <w:t xml:space="preserve"> </w:t>
      </w:r>
      <w:r>
        <w:t xml:space="preserve">(including the physically identical pair) while ensuring</w:t>
      </w:r>
      <w:r>
        <w:t xml:space="preserve"> </w:t>
      </w:r>
      <w:r>
        <w:rPr>
          <w:b/>
          <w:bCs/>
        </w:rPr>
        <w:t xml:space="preserve">mathematical compatibility</w:t>
      </w:r>
      <w:r>
        <w:t xml:space="preserve"> </w:t>
      </w:r>
      <w:r>
        <w:t xml:space="preserve">with the</w:t>
      </w:r>
      <w:r>
        <w:t xml:space="preserve"> </w:t>
      </w:r>
      <w:r>
        <w:rPr>
          <w:b/>
          <w:bCs/>
        </w:rPr>
        <w:t xml:space="preserve">Psignifit 4</w:t>
      </w:r>
      <w:r>
        <w:t xml:space="preserve"> </w:t>
      </w:r>
      <w:r>
        <w:t xml:space="preserve">fitting engine.</w:t>
      </w:r>
    </w:p>
    <w:p>
      <w:pPr>
        <w:pStyle w:val="BodyText"/>
      </w:pPr>
      <w:r>
        <w:rPr>
          <w:b/>
          <w:bCs/>
        </w:rPr>
        <w:t xml:space="preserve">Guess and lapse parameters were allowed to vary freely</w:t>
      </w:r>
      <w:r>
        <w:t xml:space="preserve"> </w:t>
      </w:r>
      <w:r>
        <w:t xml:space="preserve">during fitting (i.e.,</w:t>
      </w:r>
      <w:r>
        <w:t xml:space="preserve"> </w:t>
      </w:r>
      <m:oMath>
        <m:r>
          <m:t>γ</m:t>
        </m:r>
      </m:oMath>
      <w:r>
        <w:t xml:space="preserve"> </w:t>
      </w:r>
      <w:r>
        <w:t xml:space="preserve">and</w:t>
      </w:r>
      <w:r>
        <w:t xml:space="preserve"> </w:t>
      </w:r>
      <m:oMath>
        <m:r>
          <m:t>λ</m:t>
        </m:r>
      </m:oMath>
      <w:r>
        <w:t xml:space="preserve"> </w:t>
      </w:r>
      <w:r>
        <w:t xml:space="preserve">were free parameters), consistent with psychophysical guidance that fixing lapse at zero can bias threshold and slope estimates when lapses are present</w:t>
      </w:r>
      <w:r>
        <w:t xml:space="preserve"> </w:t>
      </w:r>
      <w:r>
        <w:t xml:space="preserve">(Prins et al., 2016; Wichmann &amp; Hill, 2001)</w:t>
      </w:r>
      <w:r>
        <w:t xml:space="preserve">.</w:t>
      </w:r>
    </w:p>
    <w:p>
      <w:pPr>
        <w:pStyle w:val="BodyText"/>
      </w:pPr>
      <w:r>
        <w:rPr>
          <w:b/>
          <w:bCs/>
        </w:rPr>
        <w:t xml:space="preserve">Threshold and slope (effective midpoint).</w:t>
      </w:r>
      <w:r>
        <w:t xml:space="preserve"> </w:t>
      </w:r>
      <w:r>
        <w:t xml:space="preserve">Reported</w:t>
      </w:r>
      <w:r>
        <w:t xml:space="preserve"> </w:t>
      </w:r>
      <w:r>
        <w:rPr>
          <w:b/>
          <w:bCs/>
        </w:rPr>
        <w:t xml:space="preserve">thresholds</w:t>
      </w:r>
      <w:r>
        <w:t xml:space="preserve"> </w:t>
      </w:r>
      <w:r>
        <w:t xml:space="preserve">and</w:t>
      </w:r>
      <w:r>
        <w:t xml:space="preserve"> </w:t>
      </w:r>
      <w:r>
        <w:rPr>
          <w:b/>
          <w:bCs/>
        </w:rPr>
        <w:t xml:space="preserve">slopes</w:t>
      </w:r>
      <w:r>
        <w:t xml:space="preserve"> </w:t>
      </w:r>
      <w:r>
        <w:t xml:space="preserve">were defined at the psychometric function’s</w:t>
      </w:r>
      <w:r>
        <w:t xml:space="preserve"> </w:t>
      </w:r>
      <w:r>
        <w:rPr>
          <w:b/>
          <w:bCs/>
        </w:rPr>
        <w:t xml:space="preserve">effective midpoint</w:t>
      </w:r>
      <w:r>
        <w:t xml:space="preserve">: the operating point located halfway between the</w:t>
      </w:r>
      <w:r>
        <w:t xml:space="preserve"> </w:t>
      </w:r>
      <w:r>
        <w:rPr>
          <w:b/>
          <w:bCs/>
        </w:rPr>
        <w:t xml:space="preserve">guess rate</w:t>
      </w:r>
      <w:r>
        <w:t xml:space="preserve"> </w:t>
      </w:r>
      <m:oMath>
        <m:r>
          <m:t>γ</m:t>
        </m:r>
      </m:oMath>
      <w:r>
        <w:t xml:space="preserve"> </w:t>
      </w:r>
      <w:r>
        <w:t xml:space="preserve">(lower asymptote) and the</w:t>
      </w:r>
      <w:r>
        <w:t xml:space="preserve"> </w:t>
      </w:r>
      <w:r>
        <w:rPr>
          <w:b/>
          <w:bCs/>
        </w:rPr>
        <w:t xml:space="preserve">upper asymptote</w:t>
      </w:r>
      <w:r>
        <w:t xml:space="preserve"> </w:t>
      </w:r>
      <m:oMath>
        <m:r>
          <m:t>1</m:t>
        </m:r>
        <m:r>
          <m:rPr>
            <m:sty m:val="p"/>
          </m:rPr>
          <m:t>−</m:t>
        </m:r>
        <m:r>
          <m:t>λ</m:t>
        </m:r>
      </m:oMath>
      <w:r>
        <w:t xml:space="preserve">. The response probability at that midpoint is therefore</w:t>
      </w:r>
    </w:p>
    <w:p>
      <w:pPr>
        <w:pStyle w:val="BodyText"/>
      </w:pPr>
      <m:oMathPara>
        <m:oMathParaPr>
          <m:jc m:val="center"/>
        </m:oMathParaPr>
        <m:oMath>
          <m:r>
            <m:rPr>
              <m:nor/>
              <m:sty m:val="p"/>
            </m:rPr>
            <m:t>Threshold</m:t>
          </m:r>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r>
            <m:rPr>
              <m:sty m:val="p"/>
            </m:rPr>
            <m:t>.</m:t>
          </m:r>
        </m:oMath>
      </m:oMathPara>
    </w:p>
    <w:p>
      <w:pPr>
        <w:pStyle w:val="FirstParagraph"/>
      </w:pPr>
      <w:r>
        <w:t xml:space="preserve">The left-hand side denotes this</w:t>
      </w:r>
      <w:r>
        <w:t xml:space="preserve"> </w:t>
      </w:r>
      <w:r>
        <w:rPr>
          <w:b/>
          <w:bCs/>
        </w:rPr>
        <w:t xml:space="preserve">midpoint response probability</w:t>
      </w:r>
      <w:r>
        <w:t xml:space="preserve"> </w:t>
      </w:r>
      <w:r>
        <w:t xml:space="preserve">(on the [0, 1] scale). The</w:t>
      </w:r>
      <w:r>
        <w:t xml:space="preserve"> </w:t>
      </w:r>
      <w:r>
        <w:rPr>
          <w:b/>
          <w:bCs/>
        </w:rPr>
        <w:t xml:space="preserve">psychometric threshold</w:t>
      </w:r>
      <w:r>
        <w:t xml:space="preserve"> </w:t>
      </w:r>
      <w:r>
        <w:t xml:space="preserve">values used in subsequent analyses are the</w:t>
      </w:r>
      <w:r>
        <w:t xml:space="preserve"> </w:t>
      </w:r>
      <w:r>
        <w:rPr>
          <w:b/>
          <w:bCs/>
        </w:rPr>
        <w:t xml:space="preserve">stimulus intensities</w:t>
      </w:r>
      <w:r>
        <w:t xml:space="preserve"> </w:t>
      </w:r>
      <m:oMath>
        <m:r>
          <m:t>x</m:t>
        </m:r>
      </m:oMath>
      <w:r>
        <w:t xml:space="preserve"> </w:t>
      </w:r>
      <w:r>
        <w:t xml:space="preserve">at which the fitted Weibull attains that probability—i.e., the intensity solving</w:t>
      </w:r>
      <w:r>
        <w:t xml:space="preserve"> </w:t>
      </w:r>
      <m:oMath>
        <m:r>
          <m:t>Ψ</m:t>
        </m:r>
        <m:d>
          <m:dPr>
            <m:begChr m:val="("/>
            <m:sepChr m:val=""/>
            <m:endChr m:val=")"/>
            <m:grow/>
          </m:dPr>
          <m:e>
            <m:r>
              <m:t>x</m:t>
            </m:r>
          </m:e>
        </m:d>
        <m:r>
          <m:rPr>
            <m:sty m:val="p"/>
          </m:rPr>
          <m:t>=</m:t>
        </m:r>
        <m:r>
          <m:t>γ</m:t>
        </m:r>
        <m:r>
          <m:rPr>
            <m:sty m:val="p"/>
          </m:rPr>
          <m:t>+</m:t>
        </m:r>
        <m:f>
          <m:fPr>
            <m:type m:val="bar"/>
          </m:fPr>
          <m:num>
            <m:d>
              <m:dPr>
                <m:begChr m:val="("/>
                <m:sepChr m:val=""/>
                <m:endChr m:val=")"/>
                <m:grow/>
              </m:dPr>
              <m:e>
                <m:r>
                  <m:t>1</m:t>
                </m:r>
                <m:r>
                  <m:rPr>
                    <m:sty m:val="p"/>
                  </m:rPr>
                  <m:t>−</m:t>
                </m:r>
                <m:r>
                  <m:t>λ</m:t>
                </m:r>
              </m:e>
            </m:d>
            <m:r>
              <m:rPr>
                <m:sty m:val="p"/>
              </m:rPr>
              <m:t>−</m:t>
            </m:r>
            <m:r>
              <m:t>γ</m:t>
            </m:r>
          </m:num>
          <m:den>
            <m:r>
              <m:t>2</m:t>
            </m:r>
          </m:den>
        </m:f>
      </m:oMath>
      <w:r>
        <w:t xml:space="preserve"> </w:t>
      </w:r>
      <w:r>
        <w:t xml:space="preserve">for the fitted psychometric function</w:t>
      </w:r>
      <w:r>
        <w:t xml:space="preserve"> </w:t>
      </w:r>
      <m:oMath>
        <m:r>
          <m:t>Ψ</m:t>
        </m:r>
      </m:oMath>
      <w:r>
        <w:t xml:space="preserve">.</w:t>
      </w:r>
      <w:r>
        <w:t xml:space="preserve"> </w:t>
      </w:r>
      <w:r>
        <w:rPr>
          <w:b/>
          <w:bCs/>
        </w:rPr>
        <w:t xml:space="preserve">Slope</w:t>
      </w:r>
      <w:r>
        <w:t xml:space="preserve"> </w:t>
      </w:r>
      <w:r>
        <w:t xml:space="preserve">was evaluated at that same effective midpoint (local steepness of</w:t>
      </w:r>
      <w:r>
        <w:t xml:space="preserve"> </w:t>
      </w:r>
      <m:oMath>
        <m:r>
          <m:t>Ψ</m:t>
        </m:r>
      </m:oMath>
      <w:r>
        <w:t xml:space="preserve"> </w:t>
      </w:r>
      <w:r>
        <w:t xml:space="preserve">with respect to stimulus intensity at the threshold stimulus). In substantive terms, this stimulus-level definition indexes the intensity at which the probability of a</w:t>
      </w:r>
      <w:r>
        <w:t xml:space="preserve"> </w:t>
      </w:r>
      <w:r>
        <w:t xml:space="preserve">“different”</w:t>
      </w:r>
      <w:r>
        <w:t xml:space="preserve"> </w:t>
      </w:r>
      <w:r>
        <w:t xml:space="preserve">response is approximately</w:t>
      </w:r>
      <w:r>
        <w:t xml:space="preserve"> </w:t>
      </w:r>
      <w:r>
        <w:rPr>
          <w:b/>
          <w:bCs/>
        </w:rPr>
        <w:t xml:space="preserve">0.5</w:t>
      </w:r>
      <w:r>
        <w:t xml:space="preserve"> </w:t>
      </w:r>
      <w:r>
        <w:t xml:space="preserve">on an</w:t>
      </w:r>
      <w:r>
        <w:t xml:space="preserve"> </w:t>
      </w:r>
      <w:r>
        <w:rPr>
          <w:b/>
          <w:bCs/>
        </w:rPr>
        <w:t xml:space="preserve">effective</w:t>
      </w:r>
      <w:r>
        <w:t xml:space="preserve"> </w:t>
      </w:r>
      <w:r>
        <w:t xml:space="preserve">scale that adjusts for individual guess and lapse rates—namely, halfway between</w:t>
      </w:r>
      <w:r>
        <w:t xml:space="preserve"> </w:t>
      </w:r>
      <m:oMath>
        <m:r>
          <m:t>γ</m:t>
        </m:r>
      </m:oMath>
      <w:r>
        <w:t xml:space="preserve"> </w:t>
      </w:r>
      <w:r>
        <w:t xml:space="preserve">and</w:t>
      </w:r>
      <w:r>
        <w:t xml:space="preserve"> </w:t>
      </w:r>
      <m:oMath>
        <m:r>
          <m:t>1</m:t>
        </m:r>
        <m:r>
          <m:rPr>
            <m:sty m:val="p"/>
          </m:rPr>
          <m:t>−</m:t>
        </m:r>
        <m:r>
          <m:t>λ</m:t>
        </m:r>
      </m:oMath>
      <w:r>
        <w:t xml:space="preserve"> </w:t>
      </w:r>
      <w:r>
        <w:t xml:space="preserve">rather than halfway between 0 and 1. This convention yields a criterion comparable to a 50% point on the effective response scale while remaining robust to variation in</w:t>
      </w:r>
      <w:r>
        <w:t xml:space="preserve"> </w:t>
      </w:r>
      <m:oMath>
        <m:r>
          <m:t>γ</m:t>
        </m:r>
      </m:oMath>
      <w:r>
        <w:t xml:space="preserve"> </w:t>
      </w:r>
      <w:r>
        <w:t xml:space="preserve">and</w:t>
      </w:r>
      <w:r>
        <w:t xml:space="preserve"> </w:t>
      </w:r>
      <m:oMath>
        <m:r>
          <m:t>λ</m:t>
        </m:r>
      </m:oMath>
      <w:r>
        <w:t xml:space="preserve"> </w:t>
      </w:r>
      <w:r>
        <w:t xml:space="preserve">across participants and conditions.</w:t>
      </w:r>
    </w:p>
    <w:bookmarkStart w:id="47" w:name="sec-glmm"/>
    <w:p>
      <w:pPr>
        <w:pStyle w:val="Heading3"/>
      </w:pPr>
      <w:r>
        <w:t xml:space="preserve">2.4.1 Trial-level GLMM (primary model)</w:t>
      </w:r>
    </w:p>
    <w:p>
      <w:pPr>
        <w:pStyle w:val="FirstParagraph"/>
      </w:pPr>
      <w:r>
        <w:t xml:space="preserve">The primary model used a probit link function to link phasic arousal to psychometric sensitivity:</w:t>
      </w:r>
    </w:p>
    <w:p>
      <w:pPr>
        <w:pStyle w:val="BodyText"/>
      </w:pPr>
      <m:oMathPara>
        <m:oMathParaPr>
          <m:jc m:val="center"/>
        </m:oMathParaPr>
        <m:oMath>
          <m:m>
            <m:mPr>
              <m:baseJc m:val="center"/>
              <m:plcHide m:val="on"/>
              <m:mcs>
                <m:mc>
                  <m:mcPr>
                    <m:mcJc m:val="right"/>
                    <m:count m:val="1"/>
                  </m:mcPr>
                </m:mc>
                <m:mc>
                  <m:mcPr>
                    <m:mcJc m:val="left"/>
                    <m:count m:val="1"/>
                  </m:mcPr>
                </m:mc>
              </m:mcs>
            </m:mPr>
            <m:mr>
              <m:e>
                <m:r>
                  <m:rPr>
                    <m:nor/>
                    <m:sty m:val="p"/>
                  </m:rPr>
                  <m:t>probit</m:t>
                </m:r>
                <m:d>
                  <m:dPr>
                    <m:begChr m:val="("/>
                    <m:sepChr m:val=""/>
                    <m:endChr m:val=")"/>
                    <m:grow/>
                  </m:dPr>
                  <m:e>
                    <m:r>
                      <m:t>P</m:t>
                    </m:r>
                    <m:d>
                      <m:dPr>
                        <m:begChr m:val="("/>
                        <m:sepChr m:val=""/>
                        <m:endChr m:val=")"/>
                        <m:grow/>
                      </m:dPr>
                      <m:e>
                        <m:sSub>
                          <m:e>
                            <m:r>
                              <m:t>Y</m:t>
                            </m:r>
                          </m:e>
                          <m:sub>
                            <m:r>
                              <m:t>i</m:t>
                            </m:r>
                            <m:r>
                              <m:t>j</m:t>
                            </m:r>
                          </m:sub>
                        </m:sSub>
                        <m:r>
                          <m:rPr>
                            <m:sty m:val="p"/>
                          </m:rPr>
                          <m:t>=</m:t>
                        </m:r>
                        <m:r>
                          <m:t>1</m:t>
                        </m:r>
                      </m:e>
                    </m:d>
                  </m:e>
                </m:d>
              </m:e>
              <m:e>
                <m:r>
                  <m:rPr>
                    <m:sty m:val="p"/>
                  </m:rPr>
                  <m:t>=</m:t>
                </m:r>
                <m:sSub>
                  <m:e>
                    <m:r>
                      <m:t>β</m:t>
                    </m:r>
                  </m:e>
                  <m:sub>
                    <m:r>
                      <m:t>0</m:t>
                    </m:r>
                  </m:sub>
                </m:sSub>
                <m:r>
                  <m:rPr>
                    <m:sty m:val="p"/>
                  </m:rPr>
                  <m:t>+</m:t>
                </m:r>
                <m:sSub>
                  <m:e>
                    <m:r>
                      <m:t>β</m:t>
                    </m:r>
                  </m:e>
                  <m:sub>
                    <m:r>
                      <m:t>1</m:t>
                    </m:r>
                  </m:sub>
                </m:sSub>
                <m:sSub>
                  <m:e>
                    <m:r>
                      <m:t>X</m:t>
                    </m:r>
                  </m:e>
                  <m:sub>
                    <m:r>
                      <m:t>i</m:t>
                    </m:r>
                    <m:r>
                      <m:t>j</m:t>
                    </m:r>
                  </m:sub>
                </m:sSub>
                <m:r>
                  <m:rPr>
                    <m:sty m:val="p"/>
                  </m:rPr>
                  <m:t>+</m:t>
                </m:r>
                <m:sSub>
                  <m:e>
                    <m:r>
                      <m:t>β</m:t>
                    </m:r>
                  </m:e>
                  <m:sub>
                    <m:r>
                      <m:t>2</m:t>
                    </m:r>
                  </m:sub>
                </m:sSub>
                <m:sSub>
                  <m:e>
                    <m:r>
                      <m:rPr>
                        <m:nor/>
                        <m:sty m:val="p"/>
                      </m:rPr>
                      <m:t>Effort</m:t>
                    </m:r>
                  </m:e>
                  <m:sub>
                    <m:r>
                      <m:t>i</m:t>
                    </m:r>
                    <m:r>
                      <m:t>j</m:t>
                    </m:r>
                  </m:sub>
                </m:sSub>
                <m:r>
                  <m:rPr>
                    <m:sty m:val="p"/>
                  </m:rPr>
                  <m:t>+</m:t>
                </m:r>
                <m:sSub>
                  <m:e>
                    <m:r>
                      <m:t>β</m:t>
                    </m:r>
                  </m:e>
                  <m:sub>
                    <m:r>
                      <m:t>3</m:t>
                    </m:r>
                  </m:sub>
                </m:sSub>
                <m:sSub>
                  <m:e>
                    <m:r>
                      <m:rPr>
                        <m:nor/>
                        <m:sty m:val="p"/>
                      </m:rPr>
                      <m:t>Modality</m:t>
                    </m:r>
                  </m:e>
                  <m:sub>
                    <m:r>
                      <m:t>i</m:t>
                    </m:r>
                    <m:r>
                      <m:t>j</m:t>
                    </m:r>
                  </m:sub>
                </m:sSub>
                <m:r>
                  <m:rPr>
                    <m:sty m:val="p"/>
                  </m:rPr>
                  <m:t>+</m:t>
                </m:r>
                <m:sSub>
                  <m:e>
                    <m:r>
                      <m:t>β</m:t>
                    </m:r>
                  </m:e>
                  <m:sub>
                    <m:r>
                      <m:t>4</m:t>
                    </m:r>
                  </m:sub>
                </m:sSub>
                <m:sSubSup>
                  <m:e>
                    <m:r>
                      <m:t>P</m:t>
                    </m:r>
                  </m:e>
                  <m:sub>
                    <m:r>
                      <m:t>i</m:t>
                    </m:r>
                    <m:r>
                      <m:t>j</m:t>
                    </m:r>
                  </m:sub>
                  <m:sup>
                    <m:d>
                      <m:dPr>
                        <m:begChr m:val="("/>
                        <m:sepChr m:val=""/>
                        <m:endChr m:val=")"/>
                        <m:grow/>
                      </m:dPr>
                      <m:e>
                        <m:r>
                          <m:rPr>
                            <m:nor/>
                            <m:sty m:val="p"/>
                          </m:rPr>
                          <m:t>state</m:t>
                        </m:r>
                      </m:e>
                    </m:d>
                  </m:sup>
                </m:sSubSup>
              </m:e>
            </m:mr>
            <m:mr>
              <m:e/>
              <m:e>
                <m:r>
                  <m:t> </m:t>
                </m:r>
                <m:r>
                  <m:rPr>
                    <m:sty m:val="p"/>
                  </m:rPr>
                  <m:t>+</m:t>
                </m:r>
                <m:sSub>
                  <m:e>
                    <m:r>
                      <m:t>β</m:t>
                    </m:r>
                  </m:e>
                  <m:sub>
                    <m:r>
                      <m:t>5</m:t>
                    </m:r>
                  </m:sub>
                </m:sSub>
                <m:d>
                  <m:dPr>
                    <m:begChr m:val="("/>
                    <m:sepChr m:val=""/>
                    <m:endChr m:val=")"/>
                    <m:grow/>
                  </m:dPr>
                  <m:e>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e>
                </m:d>
                <m:r>
                  <m:rPr>
                    <m:sty m:val="p"/>
                  </m:rPr>
                  <m:t>+</m:t>
                </m:r>
                <m:sSub>
                  <m:e>
                    <m:r>
                      <m:t>β</m:t>
                    </m:r>
                  </m:e>
                  <m:sub>
                    <m:r>
                      <m:t>6</m:t>
                    </m:r>
                  </m:sub>
                </m:sSub>
                <m:sSubSup>
                  <m:e>
                    <m:r>
                      <m:t>P</m:t>
                    </m:r>
                  </m:e>
                  <m:sub>
                    <m:r>
                      <m:t>j</m:t>
                    </m:r>
                  </m:sub>
                  <m:sup>
                    <m:d>
                      <m:dPr>
                        <m:begChr m:val="("/>
                        <m:sepChr m:val=""/>
                        <m:endChr m:val=")"/>
                        <m:grow/>
                      </m:dPr>
                      <m:e>
                        <m:r>
                          <m:rPr>
                            <m:nor/>
                            <m:sty m:val="p"/>
                          </m:rPr>
                          <m:t>trait</m:t>
                        </m:r>
                      </m:e>
                    </m:d>
                  </m:sup>
                </m:sSubSup>
                <m:r>
                  <m:rPr>
                    <m:sty m:val="p"/>
                  </m:rPr>
                  <m:t>+</m:t>
                </m:r>
                <m:sSub>
                  <m:e>
                    <m:r>
                      <m:t>u</m:t>
                    </m:r>
                  </m:e>
                  <m:sub>
                    <m:r>
                      <m:t>0</m:t>
                    </m:r>
                    <m:r>
                      <m:t>j</m:t>
                    </m:r>
                  </m:sub>
                </m:sSub>
                <m:r>
                  <m:rPr>
                    <m:sty m:val="p"/>
                  </m:rPr>
                  <m:t>+</m:t>
                </m:r>
                <m:sSub>
                  <m:e>
                    <m:r>
                      <m:t>u</m:t>
                    </m:r>
                  </m:e>
                  <m:sub>
                    <m:r>
                      <m:t>1</m:t>
                    </m:r>
                    <m:r>
                      <m:t>j</m:t>
                    </m:r>
                  </m:sub>
                </m:sSub>
                <m:sSub>
                  <m:e>
                    <m:r>
                      <m:t>X</m:t>
                    </m:r>
                  </m:e>
                  <m:sub>
                    <m:r>
                      <m:t>i</m:t>
                    </m:r>
                    <m:r>
                      <m:t>j</m:t>
                    </m:r>
                  </m:sub>
                </m:sSub>
              </m:e>
            </m:mr>
          </m:m>
        </m:oMath>
      </m:oMathPara>
    </w:p>
    <w:p>
      <w:pPr>
        <w:pStyle w:val="FirstParagraph"/>
      </w:pPr>
      <w:r>
        <w:t xml:space="preserve">where</w:t>
      </w:r>
      <w:r>
        <w:t xml:space="preserve"> </w:t>
      </w:r>
      <m:oMath>
        <m:sSub>
          <m:e>
            <m:r>
              <m:t>Y</m:t>
            </m:r>
          </m:e>
          <m:sub>
            <m:r>
              <m:t>i</m:t>
            </m:r>
            <m:r>
              <m:t>j</m:t>
            </m:r>
          </m:sub>
        </m:sSub>
      </m:oMath>
      <w:r>
        <w:t xml:space="preserve"> </w:t>
      </w:r>
      <w:r>
        <w:t xml:space="preserve">is the binary choice on trial</w:t>
      </w:r>
      <w:r>
        <w:t xml:space="preserve"> </w:t>
      </w:r>
      <m:oMath>
        <m:r>
          <m:t>i</m:t>
        </m:r>
      </m:oMath>
      <w:r>
        <w:t xml:space="preserve"> </w:t>
      </w:r>
      <w:r>
        <w:t xml:space="preserve">for subject</w:t>
      </w:r>
      <w:r>
        <w:t xml:space="preserve"> </w:t>
      </w:r>
      <m:oMath>
        <m:r>
          <m:t>j</m:t>
        </m:r>
      </m:oMath>
      <w:r>
        <w:t xml:space="preserve">,</w:t>
      </w:r>
      <w:r>
        <w:t xml:space="preserve"> </w:t>
      </w:r>
      <m:oMath>
        <m:sSub>
          <m:e>
            <m:r>
              <m:t>X</m:t>
            </m:r>
          </m:e>
          <m:sub>
            <m:r>
              <m:t>i</m:t>
            </m:r>
            <m:r>
              <m:t>j</m:t>
            </m:r>
          </m:sub>
        </m:sSub>
      </m:oMath>
      <w:r>
        <w:t xml:space="preserve"> </w:t>
      </w:r>
      <w:r>
        <w:t xml:space="preserve">is continuous stimulus intensity,</w:t>
      </w:r>
      <w:r>
        <w:t xml:space="preserve"> </w:t>
      </w:r>
      <m:oMath>
        <m:sSubSup>
          <m:e>
            <m:r>
              <m:t>P</m:t>
            </m:r>
          </m:e>
          <m:sub>
            <m:r>
              <m:t>i</m:t>
            </m:r>
            <m:r>
              <m:t>j</m:t>
            </m:r>
          </m:sub>
          <m:sup>
            <m:d>
              <m:dPr>
                <m:begChr m:val="("/>
                <m:sepChr m:val=""/>
                <m:endChr m:val=")"/>
                <m:grow/>
              </m:dPr>
              <m:e>
                <m:r>
                  <m:rPr>
                    <m:nor/>
                    <m:sty m:val="p"/>
                  </m:rPr>
                  <m:t>state</m:t>
                </m:r>
              </m:e>
            </m:d>
          </m:sup>
        </m:sSubSup>
      </m:oMath>
      <w:r>
        <w:t xml:space="preserve"> </w:t>
      </w:r>
      <w:r>
        <w:t xml:space="preserve">is the within-subject centered pupil metric (mean dilation, trial value - subject mean), and</w:t>
      </w:r>
      <w:r>
        <w:t xml:space="preserve"> </w:t>
      </w:r>
      <m:oMath>
        <m:sSubSup>
          <m:e>
            <m:r>
              <m:t>P</m:t>
            </m:r>
          </m:e>
          <m:sub>
            <m:r>
              <m:t>j</m:t>
            </m:r>
          </m:sub>
          <m:sup>
            <m:d>
              <m:dPr>
                <m:begChr m:val="("/>
                <m:sepChr m:val=""/>
                <m:endChr m:val=")"/>
                <m:grow/>
              </m:dPr>
              <m:e>
                <m:r>
                  <m:rPr>
                    <m:nor/>
                    <m:sty m:val="p"/>
                  </m:rPr>
                  <m:t>trait</m:t>
                </m:r>
              </m:e>
            </m:d>
          </m:sup>
        </m:sSubSup>
      </m:oMath>
      <w:r>
        <w:t xml:space="preserve"> </w:t>
      </w:r>
      <w:r>
        <w:t xml:space="preserve">is the between-subject pupil metric (subject mean). The key interaction term</w:t>
      </w:r>
      <w:r>
        <w:t xml:space="preserve"> </w:t>
      </w:r>
      <m:oMath>
        <m:sSub>
          <m:e>
            <m:r>
              <m:t>X</m:t>
            </m:r>
          </m:e>
          <m:sub>
            <m:r>
              <m:t>i</m:t>
            </m:r>
            <m:r>
              <m:t>j</m:t>
            </m:r>
          </m:sub>
        </m:sSub>
        <m:r>
          <m:rPr>
            <m:sty m:val="p"/>
          </m:rPr>
          <m:t>×</m:t>
        </m:r>
        <m:sSubSup>
          <m:e>
            <m:r>
              <m:t>P</m:t>
            </m:r>
          </m:e>
          <m:sub>
            <m:r>
              <m:t>i</m:t>
            </m:r>
            <m:r>
              <m:t>j</m:t>
            </m:r>
          </m:sub>
          <m:sup>
            <m:d>
              <m:dPr>
                <m:begChr m:val="("/>
                <m:sepChr m:val=""/>
                <m:endChr m:val=")"/>
                <m:grow/>
              </m:dPr>
              <m:e>
                <m:r>
                  <m:rPr>
                    <m:nor/>
                    <m:sty m:val="p"/>
                  </m:rPr>
                  <m:t>state</m:t>
                </m:r>
              </m:e>
            </m:d>
          </m:sup>
        </m:sSubSup>
      </m:oMath>
      <w:r>
        <w:t xml:space="preserve"> </w:t>
      </w:r>
      <w:r>
        <w:t xml:space="preserve">(coefficient</w:t>
      </w:r>
      <w:r>
        <w:t xml:space="preserve"> </w:t>
      </w:r>
      <m:oMath>
        <m:sSub>
          <m:e>
            <m:r>
              <m:t>β</m:t>
            </m:r>
          </m:e>
          <m:sub>
            <m:r>
              <m:t>5</m:t>
            </m:r>
          </m:sub>
        </m:sSub>
      </m:oMath>
      <w:r>
        <w:t xml:space="preserve">) tests whether within-person fluctuations in arousal are associated with changes in psychometric sensitivity. The term</w:t>
      </w:r>
      <w:r>
        <w:t xml:space="preserve"> </w:t>
      </w:r>
      <m:oMath>
        <m:sSub>
          <m:e>
            <m:r>
              <m:t>β</m:t>
            </m:r>
          </m:e>
          <m:sub>
            <m:r>
              <m:t>6</m:t>
            </m:r>
          </m:sub>
        </m:sSub>
        <m:sSubSup>
          <m:e>
            <m:r>
              <m:t>P</m:t>
            </m:r>
          </m:e>
          <m:sub>
            <m:r>
              <m:t>j</m:t>
            </m:r>
          </m:sub>
          <m:sup>
            <m:d>
              <m:dPr>
                <m:begChr m:val="("/>
                <m:sepChr m:val=""/>
                <m:endChr m:val=")"/>
                <m:grow/>
              </m:dPr>
              <m:e>
                <m:r>
                  <m:rPr>
                    <m:nor/>
                    <m:sty m:val="p"/>
                  </m:rPr>
                  <m:t>trait</m:t>
                </m:r>
              </m:e>
            </m:d>
          </m:sup>
        </m:sSubSup>
      </m:oMath>
      <w:r>
        <w:t xml:space="preserve"> </w:t>
      </w:r>
      <w:r>
        <w:t xml:space="preserve">tests whether between-subject differences in average arousal relate to sensitivity, while controlling for state-level effects. The random effects</w:t>
      </w:r>
      <w:r>
        <w:t xml:space="preserve"> </w:t>
      </w:r>
      <m:oMath>
        <m:sSub>
          <m:e>
            <m:r>
              <m:t>u</m:t>
            </m:r>
          </m:e>
          <m:sub>
            <m:r>
              <m:t>0</m:t>
            </m:r>
            <m:r>
              <m:t>j</m:t>
            </m:r>
          </m:sub>
        </m:sSub>
      </m:oMath>
      <w:r>
        <w:t xml:space="preserve"> </w:t>
      </w:r>
      <w:r>
        <w:t xml:space="preserve">and</w:t>
      </w:r>
      <w:r>
        <w:t xml:space="preserve"> </w:t>
      </w:r>
      <m:oMath>
        <m:sSub>
          <m:e>
            <m:r>
              <m:t>u</m:t>
            </m:r>
          </m:e>
          <m:sub>
            <m:r>
              <m:t>1</m:t>
            </m:r>
            <m:r>
              <m:t>j</m:t>
            </m:r>
          </m:sub>
        </m:sSub>
      </m:oMath>
      <w:r>
        <w:t xml:space="preserve"> </w:t>
      </w:r>
      <w:r>
        <w:t xml:space="preserve">allow each participant to have their own baseline performance level and intensity sensitivity, respectively.</w:t>
      </w:r>
    </w:p>
    <w:p>
      <w:pPr>
        <w:pStyle w:val="BodyText"/>
      </w:pPr>
      <w:r>
        <w:t xml:space="preserve">For model fitting,</w:t>
      </w:r>
      <w:r>
        <w:t xml:space="preserve"> </w:t>
      </w:r>
      <w:r>
        <w:rPr>
          <w:b/>
          <w:bCs/>
        </w:rPr>
        <w:t xml:space="preserve">stimulus intensity was standardized within task</w:t>
      </w:r>
      <w:r>
        <w:t xml:space="preserve">, and the pupil state and trait components were</w:t>
      </w:r>
      <w:r>
        <w:t xml:space="preserve"> </w:t>
      </w:r>
      <w:r>
        <w:rPr>
          <w:b/>
          <w:bCs/>
        </w:rPr>
        <w:t xml:space="preserve">z-scored across retained trials</w:t>
      </w:r>
      <w:r>
        <w:t xml:space="preserve"> </w:t>
      </w:r>
      <w:r>
        <w:t xml:space="preserve">before estimation, so fixed-effect coefficients are interpretable on a standardized latent scale. The probit link was chosen for consistency with signal-detection-style latent evidence formulations; for response probabilities in the present range, probit and logit links would be expected to yield qualitatively similar conclusions. The reported model includes random intercepts and by-subject slopes for stimulus intensity. Exploratory refits that additionally allowed by-subject random slopes for effort and pupil state produced singular fits; those extended specifications were not used for primary inference (see Results).</w:t>
      </w:r>
    </w:p>
    <w:p>
      <w:pPr>
        <w:pStyle w:val="BodyText"/>
      </w:pPr>
      <w:r>
        <w:t xml:space="preserve">All GLMMs were estimated using the</w:t>
      </w:r>
      <w:r>
        <w:t xml:space="preserve"> </w:t>
      </w:r>
      <w:r>
        <w:rPr>
          <w:b/>
          <w:bCs/>
        </w:rPr>
        <w:t xml:space="preserve">lme4</w:t>
      </w:r>
      <w:r>
        <w:t xml:space="preserve"> </w:t>
      </w:r>
      <w:r>
        <w:t xml:space="preserve">package</w:t>
      </w:r>
      <w:r>
        <w:t xml:space="preserve"> </w:t>
      </w:r>
      <w:r>
        <w:t xml:space="preserve">(Bates et al., 2015)</w:t>
      </w:r>
      <w:r>
        <w:t xml:space="preserve"> </w:t>
      </w:r>
      <w:r>
        <w:t xml:space="preserve">in R (version 4.5.3;</w:t>
      </w:r>
      <w:r>
        <w:t xml:space="preserve"> </w:t>
      </w:r>
      <w:r>
        <w:t xml:space="preserve">R Core Team (2025)</w:t>
      </w:r>
      <w:r>
        <w:t xml:space="preserve">). Models were fit with</w:t>
      </w:r>
      <w:r>
        <w:t xml:space="preserve"> </w:t>
      </w:r>
      <w:r>
        <w:rPr>
          <w:rStyle w:val="VerbatimChar"/>
        </w:rPr>
        <w:t xml:space="preserve">glmer</w:t>
      </w:r>
      <w:r>
        <w:t xml:space="preserve"> </w:t>
      </w:r>
      <w:r>
        <w:t xml:space="preserve">using</w:t>
      </w:r>
      <w:r>
        <w:t xml:space="preserve"> </w:t>
      </w:r>
      <w:r>
        <w:rPr>
          <w:b/>
          <w:bCs/>
        </w:rPr>
        <w:t xml:space="preserve">lme4</w:t>
      </w:r>
      <w:r>
        <w:t xml:space="preserve"> </w:t>
      </w:r>
      <w:r>
        <w:t xml:space="preserve">defaults for primary and tiered analyses; the slow-RT sensitivity refit used</w:t>
      </w:r>
      <w:r>
        <w:t xml:space="preserve"> </w:t>
      </w:r>
      <w:r>
        <w:rPr>
          <w:rStyle w:val="VerbatimChar"/>
        </w:rPr>
        <w:t xml:space="preserve">glmerControl(optimizer = "bobyqa", optCtrl = list(maxfun = 200000))</w:t>
      </w:r>
      <w:r>
        <w:t xml:space="preserve"> </w:t>
      </w:r>
      <w:r>
        <w:t xml:space="preserve">to stabilize optimization with the reduced trial count. Convergence was assessed by inspecting gradient norms, optimizer warnings, and singular-fit diagnostics. Parameter estimates and standard errors were extracted using the</w:t>
      </w:r>
      <w:r>
        <w:t xml:space="preserve"> </w:t>
      </w:r>
      <w:r>
        <w:rPr>
          <w:b/>
          <w:bCs/>
        </w:rPr>
        <w:t xml:space="preserve">broom.mixed</w:t>
      </w:r>
      <w:r>
        <w:t xml:space="preserve"> </w:t>
      </w:r>
      <w:r>
        <w:t xml:space="preserve">package;</w:t>
      </w:r>
      <w:r>
        <w:t xml:space="preserve"> </w:t>
      </w:r>
      <w:r>
        <w:rPr>
          <w:i/>
          <w:iCs/>
        </w:rPr>
        <w:t xml:space="preserve">p</w:t>
      </w:r>
      <w:r>
        <w:t xml:space="preserve">-values are based on the normal approximation to the</w:t>
      </w:r>
      <w:r>
        <w:t xml:space="preserve"> </w:t>
      </w:r>
      <w:r>
        <w:rPr>
          <w:i/>
          <w:iCs/>
        </w:rPr>
        <w:t xml:space="preserve">z</w:t>
      </w:r>
      <w:r>
        <w:t xml:space="preserve">-distribution, which is appropriate for large trial-level sample sizes. 95% confidence intervals for fixed effects were computed using the Wald method.</w:t>
      </w:r>
    </w:p>
    <w:p>
      <w:pPr>
        <w:pStyle w:val="BodyText"/>
      </w:pPr>
      <w:r>
        <w:rPr>
          <w:b/>
          <w:bCs/>
        </w:rPr>
        <w:t xml:space="preserve">Robustness, power, and analysis classification.</w:t>
      </w:r>
      <w:r>
        <w:t xml:space="preserve"> </w:t>
      </w:r>
      <w:r>
        <w:t xml:space="preserve">Trial-level analyses use all available older-adult participants and trials in the LC Aging behavioral–pupil database after preprocessing (see Section 2.1 and Section 3.1); the sample was not sized</w:t>
      </w:r>
      <w:r>
        <w:t xml:space="preserve"> </w:t>
      </w:r>
      <w:r>
        <w:rPr>
          <w:i/>
          <w:iCs/>
        </w:rPr>
        <w:t xml:space="preserve">de novo</w:t>
      </w:r>
      <w:r>
        <w:t xml:space="preserve"> </w:t>
      </w:r>
      <w:r>
        <w:t xml:space="preserve">for the continuous-intensity GLMM reported here. The study was designed as a multimodal protocol in which these tasks were embedded alongside imaging and other measures, so the effective</w:t>
      </w:r>
      <w:r>
        <w:t xml:space="preserve"> </w:t>
      </w:r>
      <w:r>
        <w:rPr>
          <w:i/>
          <w:iCs/>
        </w:rPr>
        <w:t xml:space="preserve">N</w:t>
      </w:r>
      <w:r>
        <w:t xml:space="preserve"> </w:t>
      </w:r>
      <w:r>
        <w:t xml:space="preserve">reflects recruitment and retention in that broader study rather than a standalone power calculation for the pupil</w:t>
      </w:r>
      <w:r>
        <w:t xml:space="preserve"> </w:t>
      </w:r>
      <m:oMath>
        <m:r>
          <m:rPr>
            <m:sty m:val="p"/>
          </m:rPr>
          <m:t>×</m:t>
        </m:r>
      </m:oMath>
      <w:r>
        <w:t xml:space="preserve"> </w:t>
      </w:r>
      <w:r>
        <w:t xml:space="preserve">intensity interaction.</w:t>
      </w:r>
      <w:r>
        <w:t xml:space="preserve"> </w:t>
      </w:r>
      <w:r>
        <w:rPr>
          <w:b/>
          <w:bCs/>
        </w:rPr>
        <w:t xml:space="preserve">Prospective</w:t>
      </w:r>
      <w:r>
        <w:t xml:space="preserve"> </w:t>
      </w:r>
      <w:r>
        <w:t xml:space="preserve">power for that interaction was therefore limited</w:t>
      </w:r>
      <w:r>
        <w:t xml:space="preserve"> </w:t>
      </w:r>
      <w:r>
        <w:rPr>
          <w:i/>
          <w:iCs/>
        </w:rPr>
        <w:t xml:space="preserve">a priori</w:t>
      </w:r>
      <w:r>
        <w:t xml:space="preserve">. A post-hoc sensitivity power analysis was conducted to estimate the minimum detectable effect size for the primary interaction and realized power from the final sample and design;</w:t>
      </w:r>
      <w:r>
        <w:t xml:space="preserve"> </w:t>
      </w:r>
      <w:r>
        <w:rPr>
          <w:b/>
          <w:bCs/>
        </w:rPr>
        <w:t xml:space="preserve">numerical results</w:t>
      </w:r>
      <w:r>
        <w:t xml:space="preserve"> </w:t>
      </w:r>
      <w:r>
        <w:t xml:space="preserve">of that analysis are reported in Section 4.3.3.</w:t>
      </w:r>
    </w:p>
    <w:p>
      <w:pPr>
        <w:pStyle w:val="BodyText"/>
      </w:pPr>
      <w:r>
        <w:t xml:space="preserve">Several pre-specified checks supported interpretation of the primary GLMM.</w:t>
      </w:r>
      <w:r>
        <w:t xml:space="preserve"> </w:t>
      </w:r>
      <w:r>
        <w:rPr>
          <w:b/>
          <w:bCs/>
        </w:rPr>
        <w:t xml:space="preserve">Quality-tier robustness</w:t>
      </w:r>
      <w:r>
        <w:t xml:space="preserve"> </w:t>
      </w:r>
      <w:r>
        <w:t xml:space="preserve">re-fit the model under</w:t>
      </w:r>
      <w:r>
        <w:t xml:space="preserve"> </w:t>
      </w:r>
      <w:r>
        <w:rPr>
          <w:rStyle w:val="VerbatimChar"/>
        </w:rPr>
        <w:t xml:space="preserve">quality_lenient</w:t>
      </w:r>
      <w:r>
        <w:t xml:space="preserve"> </w:t>
      </w:r>
      <w:r>
        <w:t xml:space="preserve">(more permissive validity:</w:t>
      </w:r>
      <w:r>
        <w:t xml:space="preserve"> </w:t>
      </w:r>
      <w:r>
        <w:rPr>
          <w:rStyle w:val="VerbatimChar"/>
        </w:rPr>
        <w:t xml:space="preserve">baseline_quality</w:t>
      </w:r>
      <w:r>
        <w:t xml:space="preserve"> </w:t>
      </w:r>
      <w:r>
        <w:t xml:space="preserve">and</w:t>
      </w:r>
      <w:r>
        <w:t xml:space="preserve"> </w:t>
      </w:r>
      <w:r>
        <w:rPr>
          <w:rStyle w:val="VerbatimChar"/>
        </w:rPr>
        <w:t xml:space="preserve">cog_quality</w:t>
      </w:r>
      <w:r>
        <w:t xml:space="preserve"> </w:t>
      </w:r>
      <w:r>
        <w:t xml:space="preserve">each</w:t>
      </w:r>
      <w:r>
        <w:t xml:space="preserve"> </w:t>
      </w:r>
      <m:oMath>
        <m:r>
          <m:rPr>
            <m:sty m:val="p"/>
          </m:rPr>
          <m:t>≥</m:t>
        </m:r>
      </m:oMath>
      <w:r>
        <w:t xml:space="preserve"> </w:t>
      </w:r>
      <w:r>
        <w:t xml:space="preserve">0.50) and</w:t>
      </w:r>
      <w:r>
        <w:t xml:space="preserve"> </w:t>
      </w:r>
      <w:r>
        <w:rPr>
          <w:rStyle w:val="VerbatimChar"/>
        </w:rPr>
        <w:t xml:space="preserve">quality_strict</w:t>
      </w:r>
      <w:r>
        <w:t xml:space="preserve"> </w:t>
      </w:r>
      <w:r>
        <w:t xml:space="preserve">(stricter: each</w:t>
      </w:r>
      <w:r>
        <w:t xml:space="preserve"> </w:t>
      </w:r>
      <m:oMath>
        <m:r>
          <m:rPr>
            <m:sty m:val="p"/>
          </m:rPr>
          <m:t>≥</m:t>
        </m:r>
      </m:oMath>
      <w:r>
        <w:t xml:space="preserve"> </w:t>
      </w:r>
      <w:r>
        <w:t xml:space="preserve">0.70), in addition to the primary</w:t>
      </w:r>
      <w:r>
        <w:t xml:space="preserve"> </w:t>
      </w:r>
      <w:r>
        <w:rPr>
          <w:rStyle w:val="VerbatimChar"/>
        </w:rPr>
        <w:t xml:space="preserve">quality_primary</w:t>
      </w:r>
      <w:r>
        <w:t xml:space="preserve"> </w:t>
      </w:r>
      <w:r>
        <w:t xml:space="preserve">flag (both</w:t>
      </w:r>
      <w:r>
        <w:t xml:space="preserve"> </w:t>
      </w:r>
      <m:oMath>
        <m:r>
          <m:rPr>
            <m:sty m:val="p"/>
          </m:rPr>
          <m:t>≥</m:t>
        </m:r>
      </m:oMath>
      <w:r>
        <w:t xml:space="preserve"> </w:t>
      </w:r>
      <w:r>
        <w:t xml:space="preserve">0.60), to assess whether inferences about the stimulus intensity × pupil state interaction depended on inclusion stringency. A</w:t>
      </w:r>
      <w:r>
        <w:t xml:space="preserve"> </w:t>
      </w:r>
      <w:r>
        <w:rPr>
          <w:b/>
          <w:bCs/>
        </w:rPr>
        <w:t xml:space="preserve">slow-RT subset</w:t>
      </w:r>
      <w:r>
        <w:t xml:space="preserve"> </w:t>
      </w:r>
      <w:r>
        <w:t xml:space="preserve">restricted analysis to trials with button press after the cognitive window (RT &gt; 1.5 s), to limit motor overlap with the pupil epoch.</w:t>
      </w:r>
      <w:r>
        <w:t xml:space="preserve"> </w:t>
      </w:r>
      <w:r>
        <w:rPr>
          <w:b/>
          <w:bCs/>
        </w:rPr>
        <w:t xml:space="preserve">Model comparison</w:t>
      </w:r>
      <w:r>
        <w:t xml:space="preserve"> </w:t>
      </w:r>
      <w:r>
        <w:t xml:space="preserve">contrasted the primary model with a nested model omitting the interaction, using Akaike’s information criterion (AIC), where a meaningful improvement (e.g.,</w:t>
      </w:r>
      <w:r>
        <w:t xml:space="preserve"> </w:t>
      </w:r>
      <m:oMath>
        <m:r>
          <m:t>Δ</m:t>
        </m:r>
      </m:oMath>
      <w:r>
        <w:t xml:space="preserve">AIC &gt; 2) would favor retaining the interaction.</w:t>
      </w:r>
      <w:r>
        <w:t xml:space="preserve"> </w:t>
      </w:r>
      <w:r>
        <w:rPr>
          <w:b/>
          <w:bCs/>
        </w:rPr>
        <w:t xml:space="preserve">Missingness diagnostics</w:t>
      </w:r>
      <w:r>
        <w:t xml:space="preserve"> </w:t>
      </w:r>
      <w:r>
        <w:t xml:space="preserve">tested whether pupil loss related to effort, intensity, task, or RT (Section 3.4; quality-tier robustness in Section 3.5.1; supplementary tables in</w:t>
      </w:r>
      <w:r>
        <w:t xml:space="preserve"> </w:t>
      </w:r>
      <w:r>
        <w:rPr>
          <w:b/>
          <w:bCs/>
        </w:rPr>
        <w:t xml:space="preserve">Appendix B</w:t>
      </w:r>
      <w:r>
        <w:t xml:space="preserve">). Finally,</w:t>
      </w:r>
      <w:r>
        <w:t xml:space="preserve"> </w:t>
      </w:r>
      <w:r>
        <w:rPr>
          <w:b/>
          <w:bCs/>
        </w:rPr>
        <w:t xml:space="preserve">equivalence testing</w:t>
      </w:r>
      <w:r>
        <w:t xml:space="preserve"> </w:t>
      </w:r>
      <w:r>
        <w:t xml:space="preserve">(two one-sided tests;</w:t>
      </w:r>
      <w:r>
        <w:t xml:space="preserve"> </w:t>
      </w:r>
      <w:r>
        <w:t xml:space="preserve">(Lakens, 2017)</w:t>
      </w:r>
      <w:r>
        <w:t xml:space="preserve">) evaluated the interaction against a pre-specified smallest effect size of interest (SESOI) on the probit scale; the chosen bound, test intervals, and outcome are summarized in Section 4.3.3 alongside the power analysis.</w:t>
      </w:r>
    </w:p>
    <w:p>
      <w:pPr>
        <w:pStyle w:val="BodyText"/>
      </w:pPr>
      <w:r>
        <w:t xml:space="preserve">The prospectus-defined</w:t>
      </w:r>
      <w:r>
        <w:t xml:space="preserve"> </w:t>
      </w:r>
      <w:r>
        <w:rPr>
          <w:b/>
          <w:bCs/>
        </w:rPr>
        <w:t xml:space="preserve">confirmatory</w:t>
      </w:r>
      <w:r>
        <w:t xml:space="preserve"> </w:t>
      </w:r>
      <w:r>
        <w:t xml:space="preserve">targets were effort effects on psychometric parameters (RQ1), the effort–pupil manipulation check (RQ2), trial-level pupil–psychometric coupling (RQ3), and subject-level PF–pupil coupling (RQ4).</w:t>
      </w:r>
      <w:r>
        <w:t xml:space="preserve"> </w:t>
      </w:r>
      <w:r>
        <w:rPr>
          <w:b/>
          <w:bCs/>
        </w:rPr>
        <w:t xml:space="preserve">Pre-specified sensitivity analyses</w:t>
      </w:r>
      <w:r>
        <w:t xml:space="preserve"> </w:t>
      </w:r>
      <w:r>
        <w:t xml:space="preserve">(quality tiers, model comparison, slow-RT subset, equivalence) were used to stress-test those inferences, not to add new hypotheses.</w:t>
      </w:r>
      <w:r>
        <w:t xml:space="preserve"> </w:t>
      </w:r>
      <w:r>
        <w:rPr>
          <w:b/>
          <w:bCs/>
        </w:rPr>
        <w:t xml:space="preserve">Exploratory</w:t>
      </w:r>
      <w:r>
        <w:t xml:space="preserve"> </w:t>
      </w:r>
      <w:r>
        <w:t xml:space="preserve">analyses would have been any post-hoc tests outside the prospectus; none were run beyond what is reported, and all reported statistics correspond to the pre-registered plan.</w:t>
      </w:r>
    </w:p>
    <w:bookmarkEnd w:id="47"/>
    <w:bookmarkEnd w:id="48"/>
    <w:bookmarkEnd w:id="49"/>
    <w:bookmarkStart w:id="88" w:name="results"/>
    <w:p>
      <w:pPr>
        <w:pStyle w:val="Heading1"/>
      </w:pPr>
      <w:r>
        <w:t xml:space="preserve">3. Results</w:t>
      </w:r>
    </w:p>
    <w:p>
      <w:pPr>
        <w:pStyle w:val="FirstParagraph"/>
      </w:pPr>
      <w:r>
        <w:t xml:space="preserve">Results below follow the pre-registered pipeline: psychometric parameters, effort–pupil manipulation checks, missingness, trial-level coupling, subject-level coupling, and a hypothesis summary. Unless noted otherwise, models use the primary pupil-quality tier (baseline and cognitive window validity</w:t>
      </w:r>
      <w:r>
        <w:t xml:space="preserve"> </w:t>
      </w:r>
      <m:oMath>
        <m:r>
          <m:rPr>
            <m:sty m:val="p"/>
          </m:rPr>
          <m:t>≥</m:t>
        </m:r>
      </m:oMath>
      <w:r>
        <w:t xml:space="preserve"> </w:t>
      </w:r>
      <w:r>
        <w:t xml:space="preserve">0.60).</w:t>
      </w:r>
    </w:p>
    <w:bookmarkStart w:id="51" w:name="data-quality-and-sample-sizes"/>
    <w:p>
      <w:pPr>
        <w:pStyle w:val="Heading2"/>
      </w:pPr>
      <w:r>
        <w:t xml:space="preserve">3.1 Data Quality and Sample Sizes</w:t>
      </w:r>
    </w:p>
    <w:tbl>
      <w:tblPr>
        <w:tblStyle w:val="Table"/>
        <w:tblW w:type="pct" w:w="5000"/>
        <w:tblLayout w:type="fixed"/>
        <w:tblLook w:firstRow="0" w:lastRow="0" w:firstColumn="0" w:lastColumn="0" w:noHBand="0" w:noVBand="0" w:val="0000"/>
      </w:tblPr>
      <w:tblGrid>
        <w:gridCol w:w="7920"/>
      </w:tblGrid>
      <w:tr>
        <w:tc>
          <w:tcPr/>
          <w:bookmarkStart w:id="50" w:name="tbl-sample-flow"/>
          <w:p>
            <w:pPr>
              <w:jc w:val="center"/>
            </w:pPr>
            <w:pPr>
              <w:jc w:val="start"/>
              <w:spacing w:before="200"/>
              <w:pStyle w:val="ImageCaption"/>
            </w:pPr>
            <w:r>
              <w:t xml:space="preserve">Table 1: Recruitment, exclusions, and final analytic sample by task. Exclusions: ADT (3 PF, 7 QC); VDT (0 PF, 9 QC). PF = psychometric threshold greater than 64 Hz (Psignifit validity criteria for the auditory stimulus range); QC = excessive eye-track loss (greater than 50% invalid samples) or other pupil quality-control 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Task</w:t>
                  </w:r>
                </w:p>
              </w:tc>
              <w:tc>
                <w:tcPr/>
                <w:p>
                  <w:pPr>
                    <w:pStyle w:val="Compact"/>
                    <w:jc w:val="right"/>
                    <w:jc w:val="center"/>
                  </w:pPr>
                  <w:r>
                    <w:t xml:space="preserve">Recruited (N)</w:t>
                  </w:r>
                </w:p>
              </w:tc>
              <w:tc>
                <w:tcPr/>
                <w:p>
                  <w:pPr>
                    <w:pStyle w:val="Compact"/>
                    <w:jc w:val="right"/>
                    <w:jc w:val="center"/>
                  </w:pPr>
                  <w:r>
                    <w:t xml:space="preserve">Final N</w:t>
                  </w:r>
                </w:p>
              </w:tc>
            </w:tr>
            <w:tr>
              <w:tc>
                <w:tcPr/>
                <w:p>
                  <w:pPr>
                    <w:pStyle w:val="Compact"/>
                    <w:jc w:val="left"/>
                    <w:jc w:val="center"/>
                  </w:pPr>
                  <w:r>
                    <w:t xml:space="preserve">Auditory (ADT)</w:t>
                  </w:r>
                </w:p>
              </w:tc>
              <w:tc>
                <w:tcPr/>
                <w:p>
                  <w:pPr>
                    <w:pStyle w:val="Compact"/>
                    <w:jc w:val="right"/>
                    <w:jc w:val="center"/>
                  </w:pPr>
                  <w:r>
                    <w:t xml:space="preserve">64</w:t>
                  </w:r>
                </w:p>
              </w:tc>
              <w:tc>
                <w:tcPr/>
                <w:p>
                  <w:pPr>
                    <w:pStyle w:val="Compact"/>
                    <w:jc w:val="right"/>
                    <w:jc w:val="center"/>
                  </w:pPr>
                  <w:r>
                    <w:t xml:space="preserve">54</w:t>
                  </w:r>
                </w:p>
              </w:tc>
            </w:tr>
            <w:tr>
              <w:tc>
                <w:tcPr/>
                <w:p>
                  <w:pPr>
                    <w:pStyle w:val="Compact"/>
                    <w:jc w:val="left"/>
                    <w:jc w:val="center"/>
                  </w:pPr>
                  <w:r>
                    <w:t xml:space="preserve">Visual (VDT)</w:t>
                  </w:r>
                </w:p>
              </w:tc>
              <w:tc>
                <w:tcPr/>
                <w:p>
                  <w:pPr>
                    <w:pStyle w:val="Compact"/>
                    <w:jc w:val="right"/>
                    <w:jc w:val="center"/>
                  </w:pPr>
                  <w:r>
                    <w:t xml:space="preserve">65</w:t>
                  </w:r>
                </w:p>
              </w:tc>
              <w:tc>
                <w:tcPr/>
                <w:p>
                  <w:pPr>
                    <w:pStyle w:val="Compact"/>
                    <w:jc w:val="right"/>
                    <w:jc w:val="center"/>
                  </w:pPr>
                  <w:r>
                    <w:t xml:space="preserve">56</w:t>
                  </w:r>
                </w:p>
              </w:tc>
            </w:tr>
          </w:tbl>
          <w:bookmarkEnd w:id="50"/>
          <w:p/>
        </w:tc>
      </w:tr>
    </w:tbl>
    <w:p>
      <w:pPr>
        <w:pStyle w:val="BodyText"/>
      </w:pPr>
      <w:r>
        <w:t xml:space="preserve">Final per-task participant counts follow Section 2.3.3 and</w:t>
      </w:r>
      <w:r>
        <w:t xml:space="preserve"> </w:t>
      </w:r>
      <w:hyperlink w:anchor="tbl-sample-flow">
        <w:r>
          <w:rPr>
            <w:rStyle w:val="Hyperlink"/>
          </w:rPr>
          <w:t xml:space="preserve">Table 1</w:t>
        </w:r>
      </w:hyperlink>
      <w:r>
        <w:t xml:space="preserve"> </w:t>
      </w:r>
      <w:r>
        <w:t xml:space="preserve">(</w:t>
      </w:r>
      <w:r>
        <w:rPr>
          <w:b/>
          <w:bCs/>
        </w:rPr>
        <w:t xml:space="preserve">54</w:t>
      </w:r>
      <w:r>
        <w:t xml:space="preserve"> </w:t>
      </w:r>
      <w:r>
        <w:t xml:space="preserve">ADT;</w:t>
      </w:r>
      <w:r>
        <w:t xml:space="preserve"> </w:t>
      </w:r>
      <w:r>
        <w:rPr>
          <w:b/>
          <w:bCs/>
        </w:rPr>
        <w:t xml:space="preserve">56</w:t>
      </w:r>
      <w:r>
        <w:t xml:space="preserve"> </w:t>
      </w:r>
      <w:r>
        <w:t xml:space="preserve">VDT). After applying the primary pupil-quality tier (</w:t>
      </w:r>
      <w:r>
        <w:rPr>
          <w:rStyle w:val="VerbatimChar"/>
        </w:rPr>
        <w:t xml:space="preserve">quality_primary</w:t>
      </w:r>
      <w:r>
        <w:t xml:space="preserve">; Section 2.3.2), 2,900 ADT trials and 3,440 VDT trials in the merged file met</w:t>
      </w:r>
      <w:r>
        <w:t xml:space="preserve"> </w:t>
      </w:r>
      <w:r>
        <w:rPr>
          <w:rStyle w:val="VerbatimChar"/>
        </w:rPr>
        <w:t xml:space="preserve">quality_primary</w:t>
      </w:r>
      <w:r>
        <w:t xml:space="preserve"> </w:t>
      </w:r>
      <w:r>
        <w:t xml:space="preserve">and entered trial-level models (participant overlap across tasks is described in Section 2.1).</w:t>
      </w:r>
    </w:p>
    <w:bookmarkEnd w:id="51"/>
    <w:bookmarkStart w:id="58" w:name="behavioral-backbone-pf-outcomes"/>
    <w:p>
      <w:pPr>
        <w:pStyle w:val="Heading2"/>
      </w:pPr>
      <w:r>
        <w:t xml:space="preserve">3.2 Behavioral Backbone (PF Outcomes)</w:t>
      </w:r>
    </w:p>
    <w:tbl>
      <w:tblPr>
        <w:tblStyle w:val="Table"/>
        <w:tblW w:type="pct" w:w="5000"/>
        <w:tblLayout w:type="fixed"/>
        <w:tblLook w:firstRow="0" w:lastRow="0" w:firstColumn="0" w:lastColumn="0" w:noHBand="0" w:noVBand="0" w:val="0000"/>
      </w:tblPr>
      <w:tblGrid>
        <w:gridCol w:w="7920"/>
      </w:tblGrid>
      <w:tr>
        <w:tc>
          <w:tcPr/>
          <w:bookmarkStart w:id="52" w:name="tbl-pf-params"/>
          <w:p>
            <w:pPr>
              <w:jc w:val="center"/>
            </w:pPr>
            <w:pPr>
              <w:jc w:val="start"/>
              <w:spacing w:before="200"/>
              <w:pStyle w:val="ImageCaption"/>
            </w:pPr>
            <w:r>
              <w:t xml:space="preserve">Table 2: Psychometric Function Parameters by Task and Effort (descriptive means and SDs)</w:t>
            </w:r>
          </w:p>
          <w:tbl>
            <w:tblPr>
              <w:tblStyle w:val="Table"/>
              <w:tblW w:type="pct" w:w="5000"/>
              <w:tblLayout w:type="fixed"/>
              <w:tblLook w:firstRow="1" w:lastRow="0" w:firstColumn="0" w:lastColumn="0" w:noHBand="0" w:noVBand="0" w:val="0020"/>
            </w:tblPr>
            <w:tblGrid>
              <w:gridCol w:w="609"/>
              <w:gridCol w:w="852"/>
              <w:gridCol w:w="365"/>
              <w:gridCol w:w="1705"/>
              <w:gridCol w:w="1827"/>
              <w:gridCol w:w="1218"/>
              <w:gridCol w:w="1340"/>
            </w:tblGrid>
            <w:tr>
              <w:trPr>
                <w:tblHeader w:val="on"/>
              </w:trPr>
              <w:tc>
                <w:tcPr/>
                <w:p>
                  <w:pPr>
                    <w:pStyle w:val="Compact"/>
                    <w:jc w:val="left"/>
                    <w:jc w:val="center"/>
                  </w:pPr>
                  <w:r>
                    <w:t xml:space="preserve">Task</w:t>
                  </w:r>
                </w:p>
              </w:tc>
              <w:tc>
                <w:tcPr/>
                <w:p>
                  <w:pPr>
                    <w:pStyle w:val="Compact"/>
                    <w:jc w:val="left"/>
                    <w:jc w:val="center"/>
                  </w:pPr>
                  <w:r>
                    <w:t xml:space="preserve">Effort</w:t>
                  </w:r>
                </w:p>
              </w:tc>
              <w:tc>
                <w:tcPr/>
                <w:p>
                  <w:pPr>
                    <w:pStyle w:val="Compact"/>
                    <w:jc w:val="right"/>
                    <w:jc w:val="center"/>
                  </w:pPr>
                  <w:r>
                    <w:t xml:space="preserve">N</w:t>
                  </w:r>
                </w:p>
              </w:tc>
              <w:tc>
                <w:tcPr/>
                <w:p>
                  <w:pPr>
                    <w:pStyle w:val="Compact"/>
                    <w:jc w:val="right"/>
                    <w:jc w:val="center"/>
                  </w:pPr>
                  <w:r>
                    <w:t xml:space="preserve">Threshold (M)</w:t>
                  </w:r>
                </w:p>
              </w:tc>
              <w:tc>
                <w:tcPr/>
                <w:p>
                  <w:pPr>
                    <w:pStyle w:val="Compact"/>
                    <w:jc w:val="right"/>
                    <w:jc w:val="center"/>
                  </w:pPr>
                  <w:r>
                    <w:t xml:space="preserve">Threshold (SD)</w:t>
                  </w:r>
                </w:p>
              </w:tc>
              <w:tc>
                <w:tcPr/>
                <w:p>
                  <w:pPr>
                    <w:pStyle w:val="Compact"/>
                    <w:jc w:val="right"/>
                    <w:jc w:val="center"/>
                  </w:pPr>
                  <w:r>
                    <w:t xml:space="preserve">Slope (M)</w:t>
                  </w:r>
                </w:p>
              </w:tc>
              <w:tc>
                <w:tcPr/>
                <w:p>
                  <w:pPr>
                    <w:pStyle w:val="Compact"/>
                    <w:jc w:val="right"/>
                    <w:jc w:val="center"/>
                  </w:pPr>
                  <w:r>
                    <w:t xml:space="preserve">Slope (SD)</w:t>
                  </w:r>
                </w:p>
              </w:tc>
            </w:tr>
            <w:tr>
              <w:tc>
                <w:tcPr/>
                <w:p>
                  <w:pPr>
                    <w:pStyle w:val="Compact"/>
                    <w:jc w:val="left"/>
                    <w:jc w:val="center"/>
                  </w:pPr>
                  <w:r>
                    <w:t xml:space="preserve">ADT</w:t>
                  </w:r>
                </w:p>
              </w:tc>
              <w:tc>
                <w:tcPr/>
                <w:p>
                  <w:pPr>
                    <w:pStyle w:val="Compact"/>
                    <w:jc w:val="left"/>
                    <w:jc w:val="center"/>
                  </w:pPr>
                  <w:r>
                    <w:t xml:space="preserve">High</w:t>
                  </w:r>
                </w:p>
              </w:tc>
              <w:tc>
                <w:tcPr/>
                <w:p>
                  <w:pPr>
                    <w:pStyle w:val="Compact"/>
                    <w:jc w:val="right"/>
                    <w:jc w:val="center"/>
                  </w:pPr>
                  <w:r>
                    <w:t xml:space="preserve">64</w:t>
                  </w:r>
                </w:p>
              </w:tc>
              <w:tc>
                <w:tcPr/>
                <w:p>
                  <w:pPr>
                    <w:pStyle w:val="Compact"/>
                    <w:jc w:val="right"/>
                    <w:jc w:val="center"/>
                  </w:pPr>
                  <w:r>
                    <w:t xml:space="preserve">26.942</w:t>
                  </w:r>
                </w:p>
              </w:tc>
              <w:tc>
                <w:tcPr/>
                <w:p>
                  <w:pPr>
                    <w:pStyle w:val="Compact"/>
                    <w:jc w:val="right"/>
                    <w:jc w:val="center"/>
                  </w:pPr>
                  <w:r>
                    <w:t xml:space="preserve">18.405</w:t>
                  </w:r>
                </w:p>
              </w:tc>
              <w:tc>
                <w:tcPr/>
                <w:p>
                  <w:pPr>
                    <w:pStyle w:val="Compact"/>
                    <w:jc w:val="right"/>
                    <w:jc w:val="center"/>
                  </w:pPr>
                  <w:r>
                    <w:t xml:space="preserve">0.039</w:t>
                  </w:r>
                </w:p>
              </w:tc>
              <w:tc>
                <w:tcPr/>
                <w:p>
                  <w:pPr>
                    <w:pStyle w:val="Compact"/>
                    <w:jc w:val="right"/>
                    <w:jc w:val="center"/>
                  </w:pPr>
                  <w:r>
                    <w:t xml:space="preserve">0.025</w:t>
                  </w:r>
                </w:p>
              </w:tc>
            </w:tr>
            <w:tr>
              <w:tc>
                <w:tcPr/>
                <w:p>
                  <w:pPr>
                    <w:pStyle w:val="Compact"/>
                    <w:jc w:val="left"/>
                    <w:jc w:val="center"/>
                  </w:pPr>
                  <w:r>
                    <w:t xml:space="preserve">ADT</w:t>
                  </w:r>
                </w:p>
              </w:tc>
              <w:tc>
                <w:tcPr/>
                <w:p>
                  <w:pPr>
                    <w:pStyle w:val="Compact"/>
                    <w:jc w:val="left"/>
                    <w:jc w:val="center"/>
                  </w:pPr>
                  <w:r>
                    <w:t xml:space="preserve">Low</w:t>
                  </w:r>
                </w:p>
              </w:tc>
              <w:tc>
                <w:tcPr/>
                <w:p>
                  <w:pPr>
                    <w:pStyle w:val="Compact"/>
                    <w:jc w:val="right"/>
                    <w:jc w:val="center"/>
                  </w:pPr>
                  <w:r>
                    <w:t xml:space="preserve">64</w:t>
                  </w:r>
                </w:p>
              </w:tc>
              <w:tc>
                <w:tcPr/>
                <w:p>
                  <w:pPr>
                    <w:pStyle w:val="Compact"/>
                    <w:jc w:val="right"/>
                    <w:jc w:val="center"/>
                  </w:pPr>
                  <w:r>
                    <w:t xml:space="preserve">25.207</w:t>
                  </w:r>
                </w:p>
              </w:tc>
              <w:tc>
                <w:tcPr/>
                <w:p>
                  <w:pPr>
                    <w:pStyle w:val="Compact"/>
                    <w:jc w:val="right"/>
                    <w:jc w:val="center"/>
                  </w:pPr>
                  <w:r>
                    <w:t xml:space="preserve">17.646</w:t>
                  </w:r>
                </w:p>
              </w:tc>
              <w:tc>
                <w:tcPr/>
                <w:p>
                  <w:pPr>
                    <w:pStyle w:val="Compact"/>
                    <w:jc w:val="right"/>
                    <w:jc w:val="center"/>
                  </w:pPr>
                  <w:r>
                    <w:t xml:space="preserve">0.041</w:t>
                  </w:r>
                </w:p>
              </w:tc>
              <w:tc>
                <w:tcPr/>
                <w:p>
                  <w:pPr>
                    <w:pStyle w:val="Compact"/>
                    <w:jc w:val="right"/>
                    <w:jc w:val="center"/>
                  </w:pPr>
                  <w:r>
                    <w:t xml:space="preserve">0.024</w:t>
                  </w:r>
                </w:p>
              </w:tc>
            </w:tr>
            <w:tr>
              <w:tc>
                <w:tcPr/>
                <w:p>
                  <w:pPr>
                    <w:pStyle w:val="Compact"/>
                    <w:jc w:val="left"/>
                    <w:jc w:val="center"/>
                  </w:pPr>
                  <w:r>
                    <w:t xml:space="preserve">VDT</w:t>
                  </w:r>
                </w:p>
              </w:tc>
              <w:tc>
                <w:tcPr/>
                <w:p>
                  <w:pPr>
                    <w:pStyle w:val="Compact"/>
                    <w:jc w:val="left"/>
                    <w:jc w:val="center"/>
                  </w:pPr>
                  <w:r>
                    <w:t xml:space="preserve">High</w:t>
                  </w:r>
                </w:p>
              </w:tc>
              <w:tc>
                <w:tcPr/>
                <w:p>
                  <w:pPr>
                    <w:pStyle w:val="Compact"/>
                    <w:jc w:val="right"/>
                    <w:jc w:val="center"/>
                  </w:pPr>
                  <w:r>
                    <w:t xml:space="preserve">65</w:t>
                  </w:r>
                </w:p>
              </w:tc>
              <w:tc>
                <w:tcPr/>
                <w:p>
                  <w:pPr>
                    <w:pStyle w:val="Compact"/>
                    <w:jc w:val="right"/>
                    <w:jc w:val="center"/>
                  </w:pPr>
                  <w:r>
                    <w:t xml:space="preserve">0.145</w:t>
                  </w:r>
                </w:p>
              </w:tc>
              <w:tc>
                <w:tcPr/>
                <w:p>
                  <w:pPr>
                    <w:pStyle w:val="Compact"/>
                    <w:jc w:val="right"/>
                    <w:jc w:val="center"/>
                  </w:pPr>
                  <w:r>
                    <w:t xml:space="preserve">0.066</w:t>
                  </w:r>
                </w:p>
              </w:tc>
              <w:tc>
                <w:tcPr/>
                <w:p>
                  <w:pPr>
                    <w:pStyle w:val="Compact"/>
                    <w:jc w:val="right"/>
                    <w:jc w:val="center"/>
                  </w:pPr>
                  <w:r>
                    <w:t xml:space="preserve">6.630</w:t>
                  </w:r>
                </w:p>
              </w:tc>
              <w:tc>
                <w:tcPr/>
                <w:p>
                  <w:pPr>
                    <w:pStyle w:val="Compact"/>
                    <w:jc w:val="right"/>
                    <w:jc w:val="center"/>
                  </w:pPr>
                  <w:r>
                    <w:t xml:space="preserve">3.081</w:t>
                  </w:r>
                </w:p>
              </w:tc>
            </w:tr>
            <w:tr>
              <w:tc>
                <w:tcPr/>
                <w:p>
                  <w:pPr>
                    <w:pStyle w:val="Compact"/>
                    <w:jc w:val="left"/>
                    <w:jc w:val="center"/>
                  </w:pPr>
                  <w:r>
                    <w:t xml:space="preserve">VDT</w:t>
                  </w:r>
                </w:p>
              </w:tc>
              <w:tc>
                <w:tcPr/>
                <w:p>
                  <w:pPr>
                    <w:pStyle w:val="Compact"/>
                    <w:jc w:val="left"/>
                    <w:jc w:val="center"/>
                  </w:pPr>
                  <w:r>
                    <w:t xml:space="preserve">Low</w:t>
                  </w:r>
                </w:p>
              </w:tc>
              <w:tc>
                <w:tcPr/>
                <w:p>
                  <w:pPr>
                    <w:pStyle w:val="Compact"/>
                    <w:jc w:val="right"/>
                    <w:jc w:val="center"/>
                  </w:pPr>
                  <w:r>
                    <w:t xml:space="preserve">65</w:t>
                  </w:r>
                </w:p>
              </w:tc>
              <w:tc>
                <w:tcPr/>
                <w:p>
                  <w:pPr>
                    <w:pStyle w:val="Compact"/>
                    <w:jc w:val="right"/>
                    <w:jc w:val="center"/>
                  </w:pPr>
                  <w:r>
                    <w:t xml:space="preserve">0.139</w:t>
                  </w:r>
                </w:p>
              </w:tc>
              <w:tc>
                <w:tcPr/>
                <w:p>
                  <w:pPr>
                    <w:pStyle w:val="Compact"/>
                    <w:jc w:val="right"/>
                    <w:jc w:val="center"/>
                  </w:pPr>
                  <w:r>
                    <w:t xml:space="preserve">0.065</w:t>
                  </w:r>
                </w:p>
              </w:tc>
              <w:tc>
                <w:tcPr/>
                <w:p>
                  <w:pPr>
                    <w:pStyle w:val="Compact"/>
                    <w:jc w:val="right"/>
                    <w:jc w:val="center"/>
                  </w:pPr>
                  <w:r>
                    <w:t xml:space="preserve">7.129</w:t>
                  </w:r>
                </w:p>
              </w:tc>
              <w:tc>
                <w:tcPr/>
                <w:p>
                  <w:pPr>
                    <w:pStyle w:val="Compact"/>
                    <w:jc w:val="right"/>
                    <w:jc w:val="center"/>
                  </w:pPr>
                  <w:r>
                    <w:t xml:space="preserve">4.211</w:t>
                  </w:r>
                </w:p>
              </w:tc>
            </w:tr>
          </w:tbl>
          <w:bookmarkEnd w:id="52"/>
          <w:p/>
        </w:tc>
      </w:tr>
    </w:tbl>
    <w:p>
      <w:pPr>
        <w:pStyle w:val="BodyText"/>
      </w:pPr>
      <w:r>
        <w:t xml:space="preserve">Psychometric function parameters for each modality and effort condition are summarized in</w:t>
      </w:r>
      <w:r>
        <w:t xml:space="preserve"> </w:t>
      </w:r>
      <w:hyperlink w:anchor="tbl-pf-params">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 w:name="tbl-pf-effort-test"/>
          <w:p>
            <w:pPr>
              <w:jc w:val="center"/>
            </w:pPr>
            <w:pPr>
              <w:jc w:val="start"/>
              <w:spacing w:before="200"/>
              <w:pStyle w:val="ImageCaption"/>
            </w:pPr>
            <w:r>
              <w:t xml:space="preserve">Table 3: Within-Subject Tests of Effort on PF Threshold and Slope (High − Low)</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Task</w:t>
                  </w:r>
                </w:p>
              </w:tc>
              <w:tc>
                <w:tcPr/>
                <w:p>
                  <w:pPr>
                    <w:pStyle w:val="Compact"/>
                    <w:jc w:val="left"/>
                    <w:jc w:val="center"/>
                  </w:pPr>
                  <w:r>
                    <w:t xml:space="preserve">PF Parameter</w:t>
                  </w:r>
                </w:p>
              </w:tc>
              <w:tc>
                <w:tcPr/>
                <w:p>
                  <w:pPr>
                    <w:pStyle w:val="Compact"/>
                    <w:jc w:val="right"/>
                    <w:jc w:val="center"/>
                  </w:pPr>
                  <w:r>
                    <w:t xml:space="preserve">Est. (High − Low)</w:t>
                  </w:r>
                </w:p>
              </w:tc>
              <w:tc>
                <w:tcPr/>
                <w:p>
                  <w:pPr>
                    <w:pStyle w:val="Compact"/>
                    <w:jc w:val="right"/>
                    <w:jc w:val="center"/>
                  </w:pPr>
                  <w:r>
                    <w:t xml:space="preserve">SE</w:t>
                  </w:r>
                </w:p>
              </w:tc>
              <w:tc>
                <w:tcPr/>
                <w:p>
                  <w:pPr>
                    <w:pStyle w:val="Compact"/>
                    <w:jc w:val="right"/>
                    <w:jc w:val="center"/>
                  </w:pPr>
                  <w:r>
                    <w:t xml:space="preserve">t</w:t>
                  </w:r>
                </w:p>
              </w:tc>
              <w:tc>
                <w:tcPr/>
                <w:p>
                  <w:pPr>
                    <w:pStyle w:val="Compact"/>
                    <w:jc w:val="right"/>
                    <w:jc w:val="center"/>
                  </w:pPr>
                  <w:r>
                    <w:t xml:space="preserve">df</w:t>
                  </w:r>
                </w:p>
              </w:tc>
              <w:tc>
                <w:tcPr/>
                <w:p>
                  <w:pPr>
                    <w:pStyle w:val="Compact"/>
                    <w:jc w:val="right"/>
                    <w:jc w:val="center"/>
                  </w:pPr>
                  <w:r>
                    <w:t xml:space="preserve">p</w:t>
                  </w:r>
                </w:p>
              </w:tc>
            </w:tr>
            <w:tr>
              <w:tc>
                <w:tcPr/>
                <w:p>
                  <w:pPr>
                    <w:pStyle w:val="Compact"/>
                    <w:jc w:val="left"/>
                    <w:jc w:val="center"/>
                  </w:pPr>
                  <w:r>
                    <w:t xml:space="preserve">ADT</w:t>
                  </w:r>
                </w:p>
              </w:tc>
              <w:tc>
                <w:tcPr/>
                <w:p>
                  <w:pPr>
                    <w:pStyle w:val="Compact"/>
                    <w:jc w:val="left"/>
                    <w:jc w:val="center"/>
                  </w:pPr>
                  <w:r>
                    <w:t xml:space="preserve">Threshold</w:t>
                  </w:r>
                </w:p>
              </w:tc>
              <w:tc>
                <w:tcPr/>
                <w:p>
                  <w:pPr>
                    <w:pStyle w:val="Compact"/>
                    <w:jc w:val="right"/>
                    <w:jc w:val="center"/>
                  </w:pPr>
                  <w:r>
                    <w:t xml:space="preserve">1.735</w:t>
                  </w:r>
                </w:p>
              </w:tc>
              <w:tc>
                <w:tcPr/>
                <w:p>
                  <w:pPr>
                    <w:pStyle w:val="Compact"/>
                    <w:jc w:val="right"/>
                    <w:jc w:val="center"/>
                  </w:pPr>
                  <w:r>
                    <w:t xml:space="preserve">0.774</w:t>
                  </w:r>
                </w:p>
              </w:tc>
              <w:tc>
                <w:tcPr/>
                <w:p>
                  <w:pPr>
                    <w:pStyle w:val="Compact"/>
                    <w:jc w:val="right"/>
                    <w:jc w:val="center"/>
                  </w:pPr>
                  <w:r>
                    <w:t xml:space="preserve">2.242</w:t>
                  </w:r>
                </w:p>
              </w:tc>
              <w:tc>
                <w:tcPr/>
                <w:p>
                  <w:pPr>
                    <w:pStyle w:val="Compact"/>
                    <w:jc w:val="right"/>
                    <w:jc w:val="center"/>
                  </w:pPr>
                  <w:r>
                    <w:t xml:space="preserve">63</w:t>
                  </w:r>
                </w:p>
              </w:tc>
              <w:tc>
                <w:tcPr/>
                <w:p>
                  <w:pPr>
                    <w:pStyle w:val="Compact"/>
                    <w:jc w:val="right"/>
                    <w:jc w:val="center"/>
                  </w:pPr>
                  <w:r>
                    <w:t xml:space="preserve">0.028</w:t>
                  </w:r>
                </w:p>
              </w:tc>
            </w:tr>
            <w:tr>
              <w:tc>
                <w:tcPr/>
                <w:p>
                  <w:pPr>
                    <w:pStyle w:val="Compact"/>
                    <w:jc w:val="left"/>
                    <w:jc w:val="center"/>
                  </w:pPr>
                  <w:r>
                    <w:t xml:space="preserve">ADT</w:t>
                  </w:r>
                </w:p>
              </w:tc>
              <w:tc>
                <w:tcPr/>
                <w:p>
                  <w:pPr>
                    <w:pStyle w:val="Compact"/>
                    <w:jc w:val="left"/>
                    <w:jc w:val="center"/>
                  </w:pPr>
                  <w:r>
                    <w:t xml:space="preserve">Slope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-1.369</w:t>
                  </w:r>
                </w:p>
              </w:tc>
              <w:tc>
                <w:tcPr/>
                <w:p>
                  <w:pPr>
                    <w:pStyle w:val="Compact"/>
                    <w:jc w:val="right"/>
                    <w:jc w:val="center"/>
                  </w:pPr>
                  <w:r>
                    <w:t xml:space="preserve">63</w:t>
                  </w:r>
                </w:p>
              </w:tc>
              <w:tc>
                <w:tcPr/>
                <w:p>
                  <w:pPr>
                    <w:pStyle w:val="Compact"/>
                    <w:jc w:val="right"/>
                    <w:jc w:val="center"/>
                  </w:pPr>
                  <w:r>
                    <w:t xml:space="preserve">0.176</w:t>
                  </w:r>
                </w:p>
              </w:tc>
            </w:tr>
            <w:tr>
              <w:tc>
                <w:tcPr/>
                <w:p>
                  <w:pPr>
                    <w:pStyle w:val="Compact"/>
                    <w:jc w:val="left"/>
                    <w:jc w:val="center"/>
                  </w:pPr>
                  <w:r>
                    <w:t xml:space="preserve">VDT</w:t>
                  </w:r>
                </w:p>
              </w:tc>
              <w:tc>
                <w:tcPr/>
                <w:p>
                  <w:pPr>
                    <w:pStyle w:val="Compact"/>
                    <w:jc w:val="left"/>
                    <w:jc w:val="center"/>
                  </w:pPr>
                  <w:r>
                    <w:t xml:space="preserve">Threshold</w:t>
                  </w:r>
                </w:p>
              </w:tc>
              <w:tc>
                <w:tcPr/>
                <w:p>
                  <w:pPr>
                    <w:pStyle w:val="Compact"/>
                    <w:jc w:val="right"/>
                    <w:jc w:val="center"/>
                  </w:pPr>
                  <w:r>
                    <w:t xml:space="preserve">0.005</w:t>
                  </w:r>
                </w:p>
              </w:tc>
              <w:tc>
                <w:tcPr/>
                <w:p>
                  <w:pPr>
                    <w:pStyle w:val="Compact"/>
                    <w:jc w:val="right"/>
                    <w:jc w:val="center"/>
                  </w:pPr>
                  <w:r>
                    <w:t xml:space="preserve">0.003</w:t>
                  </w:r>
                </w:p>
              </w:tc>
              <w:tc>
                <w:tcPr/>
                <w:p>
                  <w:pPr>
                    <w:pStyle w:val="Compact"/>
                    <w:jc w:val="right"/>
                    <w:jc w:val="center"/>
                  </w:pPr>
                  <w:r>
                    <w:t xml:space="preserve">1.540</w:t>
                  </w:r>
                </w:p>
              </w:tc>
              <w:tc>
                <w:tcPr/>
                <w:p>
                  <w:pPr>
                    <w:pStyle w:val="Compact"/>
                    <w:jc w:val="right"/>
                    <w:jc w:val="center"/>
                  </w:pPr>
                  <w:r>
                    <w:t xml:space="preserve">64</w:t>
                  </w:r>
                </w:p>
              </w:tc>
              <w:tc>
                <w:tcPr/>
                <w:p>
                  <w:pPr>
                    <w:pStyle w:val="Compact"/>
                    <w:jc w:val="right"/>
                    <w:jc w:val="center"/>
                  </w:pPr>
                  <w:r>
                    <w:t xml:space="preserve">0.128</w:t>
                  </w:r>
                </w:p>
              </w:tc>
            </w:tr>
            <w:tr>
              <w:tc>
                <w:tcPr/>
                <w:p>
                  <w:pPr>
                    <w:pStyle w:val="Compact"/>
                    <w:jc w:val="left"/>
                    <w:jc w:val="center"/>
                  </w:pPr>
                  <w:r>
                    <w:t xml:space="preserve">VDT</w:t>
                  </w:r>
                </w:p>
              </w:tc>
              <w:tc>
                <w:tcPr/>
                <w:p>
                  <w:pPr>
                    <w:pStyle w:val="Compact"/>
                    <w:jc w:val="left"/>
                    <w:jc w:val="center"/>
                  </w:pPr>
                  <w:r>
                    <w:t xml:space="preserve">Slope</w:t>
                  </w:r>
                </w:p>
              </w:tc>
              <w:tc>
                <w:tcPr/>
                <w:p>
                  <w:pPr>
                    <w:pStyle w:val="Compact"/>
                    <w:jc w:val="right"/>
                    <w:jc w:val="center"/>
                  </w:pPr>
                  <w:r>
                    <w:t xml:space="preserve">-0.499</w:t>
                  </w:r>
                </w:p>
              </w:tc>
              <w:tc>
                <w:tcPr/>
                <w:p>
                  <w:pPr>
                    <w:pStyle w:val="Compact"/>
                    <w:jc w:val="right"/>
                    <w:jc w:val="center"/>
                  </w:pPr>
                  <w:r>
                    <w:t xml:space="preserve">0.364</w:t>
                  </w:r>
                </w:p>
              </w:tc>
              <w:tc>
                <w:tcPr/>
                <w:p>
                  <w:pPr>
                    <w:pStyle w:val="Compact"/>
                    <w:jc w:val="right"/>
                    <w:jc w:val="center"/>
                  </w:pPr>
                  <w:r>
                    <w:t xml:space="preserve">-1.372</w:t>
                  </w:r>
                </w:p>
              </w:tc>
              <w:tc>
                <w:tcPr/>
                <w:p>
                  <w:pPr>
                    <w:pStyle w:val="Compact"/>
                    <w:jc w:val="right"/>
                    <w:jc w:val="center"/>
                  </w:pPr>
                  <w:r>
                    <w:t xml:space="preserve">64</w:t>
                  </w:r>
                </w:p>
              </w:tc>
              <w:tc>
                <w:tcPr/>
                <w:p>
                  <w:pPr>
                    <w:pStyle w:val="Compact"/>
                    <w:jc w:val="right"/>
                    <w:jc w:val="center"/>
                  </w:pPr>
                  <w:r>
                    <w:t xml:space="preserve">0.175</w:t>
                  </w:r>
                </w:p>
              </w:tc>
            </w:tr>
          </w:tbl>
          <w:bookmarkEnd w:id="53"/>
          <w:p/>
        </w:tc>
      </w:tr>
    </w:tbl>
    <w:p>
      <w:pPr>
        <w:pStyle w:val="BodyText"/>
      </w:pPr>
      <w:hyperlink w:anchor="tbl-pf-effort-test">
        <w:r>
          <w:rPr>
            <w:rStyle w:val="Hyperlink"/>
          </w:rPr>
          <w:t xml:space="preserve">Table 3</w:t>
        </w:r>
      </w:hyperlink>
      <w:r>
        <w:t xml:space="preserve"> </w:t>
      </w:r>
      <w:r>
        <w:t xml:space="preserve">summarizes within-subject High vs. Low effort contrasts on threshold and slope.</w:t>
      </w:r>
      <w:r>
        <w:t xml:space="preserve"> </w:t>
      </w:r>
      <w:r>
        <w:rPr>
          <w:b/>
          <w:bCs/>
        </w:rPr>
        <w:t xml:space="preserve">Auditory (ADT).</w:t>
      </w:r>
      <w:r>
        <w:t xml:space="preserve"> </w:t>
      </w:r>
      <w:r>
        <w:t xml:space="preserve">Threshold increased under High effort (estimate = 1.734835,</w:t>
      </w:r>
      <w:r>
        <w:t xml:space="preserve"> </w:t>
      </w:r>
      <w:r>
        <w:rPr>
          <w:i/>
          <w:iCs/>
        </w:rPr>
        <w:t xml:space="preserve">t</w:t>
      </w:r>
      <w:r>
        <w:t xml:space="preserve">(63) = 2.242,</w:t>
      </w:r>
      <w:r>
        <w:t xml:space="preserve"> </w:t>
      </w:r>
      <w:r>
        <w:rPr>
          <w:i/>
          <w:iCs/>
        </w:rPr>
        <w:t xml:space="preserve">p</w:t>
      </w:r>
      <w:r>
        <w:t xml:space="preserve"> </w:t>
      </w:r>
      <w:r>
        <w:t xml:space="preserve">= 0.028), consistent with H1a. Slope was slightly lower under High effort (estimate = -0.002495422,</w:t>
      </w:r>
      <w:r>
        <w:t xml:space="preserve"> </w:t>
      </w:r>
      <w:r>
        <w:rPr>
          <w:i/>
          <w:iCs/>
        </w:rPr>
        <w:t xml:space="preserve">t</w:t>
      </w:r>
      <w:r>
        <w:t xml:space="preserve">(63) = -1.369,</w:t>
      </w:r>
      <w:r>
        <w:t xml:space="preserve"> </w:t>
      </w:r>
      <w:r>
        <w:rPr>
          <w:i/>
          <w:iCs/>
        </w:rPr>
        <w:t xml:space="preserve">p</w:t>
      </w:r>
      <w:r>
        <w:t xml:space="preserve"> </w:t>
      </w:r>
      <w:r>
        <w:t xml:space="preserve">= 0.176); the shallowing predicted by H1b was in the expected direction but not statistically reliable.</w:t>
      </w:r>
      <w:r>
        <w:t xml:space="preserve"> </w:t>
      </w:r>
      <w:r>
        <w:rPr>
          <w:b/>
          <w:bCs/>
        </w:rPr>
        <w:t xml:space="preserve">Visual (VDT).</w:t>
      </w:r>
      <w:r>
        <w:t xml:space="preserve"> </w:t>
      </w:r>
      <w:r>
        <w:t xml:space="preserve">Threshold did not differ reliably between effort conditions (estimate = 0.005276338,</w:t>
      </w:r>
      <w:r>
        <w:t xml:space="preserve"> </w:t>
      </w:r>
      <w:r>
        <w:rPr>
          <w:i/>
          <w:iCs/>
        </w:rPr>
        <w:t xml:space="preserve">t</w:t>
      </w:r>
      <w:r>
        <w:t xml:space="preserve">(64) = 1.54,</w:t>
      </w:r>
      <w:r>
        <w:t xml:space="preserve"> </w:t>
      </w:r>
      <w:r>
        <w:rPr>
          <w:i/>
          <w:iCs/>
        </w:rPr>
        <w:t xml:space="preserve">p</w:t>
      </w:r>
      <w:r>
        <w:t xml:space="preserve"> </w:t>
      </w:r>
      <w:r>
        <w:t xml:space="preserve">= 0.129). Slopes were lower under High effort (estimate = -0.4987978,</w:t>
      </w:r>
      <w:r>
        <w:t xml:space="preserve"> </w:t>
      </w:r>
      <w:r>
        <w:rPr>
          <w:i/>
          <w:iCs/>
        </w:rPr>
        <w:t xml:space="preserve">t</w:t>
      </w:r>
      <w:r>
        <w:t xml:space="preserve">(64) = -1.372,</w:t>
      </w:r>
      <w:r>
        <w:t xml:space="preserve"> </w:t>
      </w:r>
      <w:r>
        <w:rPr>
          <w:i/>
          <w:iCs/>
        </w:rPr>
        <w:t xml:space="preserve">p</w:t>
      </w:r>
      <w:r>
        <w:t xml:space="preserve"> </w:t>
      </w:r>
      <w:r>
        <w:t xml:space="preserve">= 0.175), again matching the direction of H1b without statistical support at conventional levels.</w:t>
      </w:r>
    </w:p>
    <w:p>
      <w:pPr>
        <w:pStyle w:val="BodyText"/>
      </w:pPr>
      <w:r>
        <w:rPr>
          <w:b/>
          <w:bCs/>
        </w:rPr>
        <w:t xml:space="preserve">Auditory slope variance (high-precision PF estimates).</w:t>
      </w:r>
      <w:r>
        <w:t xml:space="preserve"> </w:t>
      </w:r>
      <w:r>
        <w:t xml:space="preserve">Descriptive slopes in</w:t>
      </w:r>
      <w:r>
        <w:t xml:space="preserve"> </w:t>
      </w:r>
      <w:hyperlink w:anchor="tbl-pf-params">
        <w:r>
          <w:rPr>
            <w:rStyle w:val="Hyperlink"/>
          </w:rPr>
          <w:t xml:space="preserve">Table 2</w:t>
        </w:r>
      </w:hyperlink>
      <w:r>
        <w:t xml:space="preserve"> </w:t>
      </w:r>
      <w:r>
        <w:t xml:space="preserve">are based on full-precision Psignifit parameters (no rounding-induced compression). For</w:t>
      </w:r>
      <w:r>
        <w:t xml:space="preserve"> </w:t>
      </w:r>
      <w:r>
        <w:rPr>
          <w:b/>
          <w:bCs/>
        </w:rPr>
        <w:t xml:space="preserve">ADT</w:t>
      </w:r>
      <w:r>
        <w:t xml:space="preserve">, participant-level slopes showed</w:t>
      </w:r>
      <w:r>
        <w:t xml:space="preserve"> </w:t>
      </w:r>
      <w:r>
        <w:rPr>
          <w:b/>
          <w:bCs/>
        </w:rPr>
        <w:t xml:space="preserve">healthy, biologically plausible</w:t>
      </w:r>
      <w:r>
        <w:t xml:space="preserve"> </w:t>
      </w:r>
      <w:r>
        <w:t xml:space="preserve">spread: pooled across effort conditions,</w:t>
      </w:r>
      <w:r>
        <w:t xml:space="preserve"> </w:t>
      </w:r>
      <w:r>
        <w:rPr>
          <w:b/>
          <w:bCs/>
        </w:rPr>
        <w:t xml:space="preserve">M</w:t>
      </w:r>
      <w:r>
        <w:t xml:space="preserve"> </w:t>
      </w:r>
      <w:r>
        <w:t xml:space="preserve">=</w:t>
      </w:r>
      <w:r>
        <w:t xml:space="preserve"> </w:t>
      </w:r>
      <w:r>
        <w:rPr>
          <w:b/>
          <w:bCs/>
        </w:rPr>
        <w:t xml:space="preserve">0.040</w:t>
      </w:r>
      <w:r>
        <w:t xml:space="preserve">,</w:t>
      </w:r>
      <w:r>
        <w:t xml:space="preserve"> </w:t>
      </w:r>
      <w:r>
        <w:rPr>
          <w:b/>
          <w:bCs/>
        </w:rPr>
        <w:t xml:space="preserve">SD</w:t>
      </w:r>
      <w:r>
        <w:t xml:space="preserve"> </w:t>
      </w:r>
      <w:r>
        <w:t xml:space="preserve">=</w:t>
      </w:r>
      <w:r>
        <w:t xml:space="preserve"> </w:t>
      </w:r>
      <w:r>
        <w:rPr>
          <w:b/>
          <w:bCs/>
        </w:rPr>
        <w:t xml:space="preserve">0.025</w:t>
      </w:r>
      <w:r>
        <w:t xml:space="preserve">; by condition, means were</w:t>
      </w:r>
      <w:r>
        <w:t xml:space="preserve"> </w:t>
      </w:r>
      <w:r>
        <w:rPr>
          <w:b/>
          <w:bCs/>
        </w:rPr>
        <w:t xml:space="preserve">0.041</w:t>
      </w:r>
      <w:r>
        <w:t xml:space="preserve"> </w:t>
      </w:r>
      <w:r>
        <w:t xml:space="preserve">(Low) and</w:t>
      </w:r>
      <w:r>
        <w:t xml:space="preserve"> </w:t>
      </w:r>
      <w:r>
        <w:rPr>
          <w:b/>
          <w:bCs/>
        </w:rPr>
        <w:t xml:space="preserve">0.039</w:t>
      </w:r>
      <w:r>
        <w:t xml:space="preserve"> </w:t>
      </w:r>
      <w:r>
        <w:t xml:space="preserve">(High), with SDs</w:t>
      </w:r>
      <w:r>
        <w:t xml:space="preserve"> </w:t>
      </w:r>
      <w:r>
        <w:rPr>
          <w:b/>
          <w:bCs/>
        </w:rPr>
        <w:t xml:space="preserve">0.024</w:t>
      </w:r>
      <w:r>
        <w:t xml:space="preserve"> </w:t>
      </w:r>
      <w:r>
        <w:t xml:space="preserve">and</w:t>
      </w:r>
      <w:r>
        <w:t xml:space="preserve"> </w:t>
      </w:r>
      <w:r>
        <w:rPr>
          <w:b/>
          <w:bCs/>
        </w:rPr>
        <w:t xml:space="preserve">0.025</w:t>
      </w:r>
      <w:r>
        <w:t xml:space="preserve">, matching</w:t>
      </w:r>
      <w:r>
        <w:t xml:space="preserve"> </w:t>
      </w:r>
      <w:hyperlink w:anchor="tbl-pf-params">
        <w:r>
          <w:rPr>
            <w:rStyle w:val="Hyperlink"/>
          </w:rPr>
          <w:t xml:space="preserve">Table 2</w:t>
        </w:r>
      </w:hyperlink>
      <w:r>
        <w:t xml:space="preserve">. Despite this informative between-person variance, the within-subject effort contrast on</w:t>
      </w:r>
      <w:r>
        <w:t xml:space="preserve"> </w:t>
      </w:r>
      <w:r>
        <w:rPr>
          <w:b/>
          <w:bCs/>
        </w:rPr>
        <w:t xml:space="preserve">slope</w:t>
      </w:r>
      <w:r>
        <w:t xml:space="preserve"> </w:t>
      </w:r>
      <w:r>
        <w:t xml:space="preserve">was</w:t>
      </w:r>
      <w:r>
        <w:t xml:space="preserve"> </w:t>
      </w:r>
      <w:r>
        <w:rPr>
          <w:b/>
          <w:bCs/>
        </w:rPr>
        <w:t xml:space="preserve">not significant</w:t>
      </w:r>
      <w:r>
        <w:t xml:space="preserve"> </w:t>
      </w:r>
      <w:r>
        <w:t xml:space="preserve">for</w:t>
      </w:r>
      <w:r>
        <w:t xml:space="preserve"> </w:t>
      </w:r>
      <w:r>
        <w:rPr>
          <w:b/>
          <w:bCs/>
        </w:rPr>
        <w:t xml:space="preserve">ADT</w:t>
      </w:r>
      <w:r>
        <w:t xml:space="preserve"> </w:t>
      </w:r>
      <w:r>
        <w:t xml:space="preserve">(</w:t>
      </w:r>
      <w:r>
        <w:rPr>
          <w:i/>
          <w:iCs/>
        </w:rPr>
        <w:t xml:space="preserve">p</w:t>
      </w:r>
      <w:r>
        <w:t xml:space="preserve"> </w:t>
      </w:r>
      <w:r>
        <w:t xml:space="preserve">= 0.176) or</w:t>
      </w:r>
      <w:r>
        <w:t xml:space="preserve"> </w:t>
      </w:r>
      <w:r>
        <w:rPr>
          <w:b/>
          <w:bCs/>
        </w:rPr>
        <w:t xml:space="preserve">VDT</w:t>
      </w:r>
      <w:r>
        <w:t xml:space="preserve"> </w:t>
      </w:r>
      <w:r>
        <w:t xml:space="preserve">(</w:t>
      </w:r>
      <w:r>
        <w:rPr>
          <w:i/>
          <w:iCs/>
        </w:rPr>
        <w:t xml:space="preserve">p</w:t>
      </w:r>
      <w:r>
        <w:t xml:space="preserve"> </w:t>
      </w:r>
      <w:r>
        <w:t xml:space="preserve">= 0.175;</w:t>
      </w:r>
      <w:r>
        <w:t xml:space="preserve"> </w:t>
      </w:r>
      <w:hyperlink w:anchor="tbl-pf-effort-test">
        <w:r>
          <w:rPr>
            <w:rStyle w:val="Hyperlink"/>
          </w:rPr>
          <w:t xml:space="preserve">Table 3</w:t>
        </w:r>
      </w:hyperlink>
      <w:r>
        <w:t xml:space="preserve">). Together with the</w:t>
      </w:r>
      <w:r>
        <w:t xml:space="preserve"> </w:t>
      </w:r>
      <w:r>
        <w:rPr>
          <w:b/>
          <w:bCs/>
        </w:rPr>
        <w:t xml:space="preserve">null</w:t>
      </w:r>
      <w:r>
        <w:t xml:space="preserve"> </w:t>
      </w:r>
      <w:r>
        <w:t xml:space="preserve">slope effects in</w:t>
      </w:r>
      <w:r>
        <w:t xml:space="preserve"> </w:t>
      </w:r>
      <w:r>
        <w:rPr>
          <w:b/>
          <w:bCs/>
        </w:rPr>
        <w:t xml:space="preserve">both</w:t>
      </w:r>
      <w:r>
        <w:t xml:space="preserve"> </w:t>
      </w:r>
      <w:r>
        <w:t xml:space="preserve">modalities, this pattern supports treating the grip manipulation as a</w:t>
      </w:r>
      <w:r>
        <w:t xml:space="preserve"> </w:t>
      </w:r>
      <w:r>
        <w:rPr>
          <w:b/>
          <w:bCs/>
        </w:rPr>
        <w:t xml:space="preserve">physiological stressor</w:t>
      </w:r>
      <w:r>
        <w:t xml:space="preserve"> </w:t>
      </w:r>
      <w:r>
        <w:t xml:space="preserve">that</w:t>
      </w:r>
      <w:r>
        <w:t xml:space="preserve"> </w:t>
      </w:r>
      <w:r>
        <w:rPr>
          <w:b/>
          <w:bCs/>
        </w:rPr>
        <w:t xml:space="preserve">did not</w:t>
      </w:r>
      <w:r>
        <w:t xml:space="preserve"> </w:t>
      </w:r>
      <w:r>
        <w:t xml:space="preserve">reliably impair</w:t>
      </w:r>
      <w:r>
        <w:t xml:space="preserve"> </w:t>
      </w:r>
      <w:r>
        <w:rPr>
          <w:b/>
          <w:bCs/>
        </w:rPr>
        <w:t xml:space="preserve">perceptual</w:t>
      </w:r>
      <w:r>
        <w:t xml:space="preserve"> </w:t>
      </w:r>
      <w:r>
        <w:t xml:space="preserve">discrimination slopes—arguing against a simple confound of effort with psychometric sensitivity at the PF level.</w:t>
      </w:r>
    </w:p>
    <w:p>
      <w:pPr>
        <w:pStyle w:val="BodyText"/>
      </w:pPr>
      <w:r>
        <w:rPr>
          <w:b/>
          <w:bCs/>
        </w:rPr>
        <w:t xml:space="preserve">Hypothesis Testing (H1a &amp; H1b):</w:t>
      </w:r>
      <w:r>
        <w:t xml:space="preserve"> </w:t>
      </w:r>
      <w:r>
        <w:t xml:space="preserve">Hypothesis 1a predicted higher midpoint thresholds under High effort. This pattern received</w:t>
      </w:r>
      <w:r>
        <w:t xml:space="preserve"> </w:t>
      </w:r>
      <w:r>
        <w:rPr>
          <w:b/>
          <w:bCs/>
        </w:rPr>
        <w:t xml:space="preserve">partial support</w:t>
      </w:r>
      <w:r>
        <w:t xml:space="preserve">: the increase was</w:t>
      </w:r>
      <w:r>
        <w:t xml:space="preserve"> </w:t>
      </w:r>
      <w:r>
        <w:rPr>
          <w:b/>
          <w:bCs/>
        </w:rPr>
        <w:t xml:space="preserve">statistically significant for ADT</w:t>
      </w:r>
      <w:r>
        <w:t xml:space="preserve"> </w:t>
      </w:r>
      <w:r>
        <w:t xml:space="preserve">(</w:t>
      </w:r>
      <w:r>
        <w:rPr>
          <w:i/>
          <w:iCs/>
        </w:rPr>
        <w:t xml:space="preserve">p</w:t>
      </w:r>
      <w:r>
        <w:t xml:space="preserve"> </w:t>
      </w:r>
      <w:r>
        <w:t xml:space="preserve">&lt; .05) but</w:t>
      </w:r>
      <w:r>
        <w:t xml:space="preserve"> </w:t>
      </w:r>
      <w:r>
        <w:rPr>
          <w:b/>
          <w:bCs/>
        </w:rPr>
        <w:t xml:space="preserve">not for VDT</w:t>
      </w:r>
      <w:r>
        <w:t xml:space="preserve">. Because multiple confirmatory tests were evaluated across H1/H2, this isolated ADT threshold effect should be treated as fragile rather than definitive on its own. Hypothesis 1b predicted shallower PF slopes under High effort;</w:t>
      </w:r>
      <w:r>
        <w:t xml:space="preserve"> </w:t>
      </w:r>
      <w:r>
        <w:rPr>
          <w:b/>
          <w:bCs/>
        </w:rPr>
        <w:t xml:space="preserve">slopes were numerically shallower</w:t>
      </w:r>
      <w:r>
        <w:t xml:space="preserve"> </w:t>
      </w:r>
      <w:r>
        <w:t xml:space="preserve">(negative High − Low estimates) in</w:t>
      </w:r>
      <w:r>
        <w:t xml:space="preserve"> </w:t>
      </w:r>
      <w:r>
        <w:rPr>
          <w:b/>
          <w:bCs/>
        </w:rPr>
        <w:t xml:space="preserve">both</w:t>
      </w:r>
      <w:r>
        <w:t xml:space="preserve"> </w:t>
      </w:r>
      <w:r>
        <w:t xml:space="preserve">modalities, but</w:t>
      </w:r>
      <w:r>
        <w:t xml:space="preserve"> </w:t>
      </w:r>
      <w:r>
        <w:rPr>
          <w:b/>
          <w:bCs/>
        </w:rPr>
        <w:t xml:space="preserve">neither</w:t>
      </w:r>
      <w:r>
        <w:t xml:space="preserve"> </w:t>
      </w:r>
      <w:r>
        <w:t xml:space="preserve">slope contrast reached significance (</w:t>
      </w:r>
      <w:hyperlink w:anchor="tbl-pf-effort-test">
        <w:r>
          <w:rPr>
            <w:rStyle w:val="Hyperlink"/>
          </w:rPr>
          <w:t xml:space="preserve">Table 3</w:t>
        </w:r>
      </w:hyperlink>
      <w:r>
        <w:t xml:space="preserve">). Thus H1b was</w:t>
      </w:r>
      <w:r>
        <w:t xml:space="preserve"> </w:t>
      </w:r>
      <w:r>
        <w:rPr>
          <w:b/>
          <w:bCs/>
        </w:rPr>
        <w:t xml:space="preserve">not supported</w:t>
      </w:r>
      <w:r>
        <w:t xml:space="preserve"> </w:t>
      </w:r>
      <w:r>
        <w:t xml:space="preserve">as a confirmatory inference. The</w:t>
      </w:r>
      <w:r>
        <w:t xml:space="preserve"> </w:t>
      </w:r>
      <w:r>
        <w:rPr>
          <w:b/>
          <w:bCs/>
        </w:rPr>
        <w:t xml:space="preserve">cross-modal</w:t>
      </w:r>
      <w:r>
        <w:t xml:space="preserve"> </w:t>
      </w:r>
      <w:r>
        <w:t xml:space="preserve">consistency of the slope null (see paragraph above) reinforces that the behavioral pattern is</w:t>
      </w:r>
      <w:r>
        <w:t xml:space="preserve"> </w:t>
      </w:r>
      <w:r>
        <w:rPr>
          <w:b/>
          <w:bCs/>
        </w:rPr>
        <w:t xml:space="preserve">not</w:t>
      </w:r>
      <w:r>
        <w:t xml:space="preserve"> </w:t>
      </w:r>
      <w:r>
        <w:t xml:space="preserve">specific to a single modality or to artifactually compressed auditory parameters.</w:t>
      </w:r>
    </w:p>
    <w:tbl>
      <w:tblPr>
        <w:tblStyle w:val="Table"/>
        <w:tblW w:type="pct" w:w="5000"/>
        <w:tblLayout w:type="fixed"/>
        <w:tblLook w:firstRow="0" w:lastRow="0" w:firstColumn="0" w:lastColumn="0" w:noHBand="0" w:noVBand="0" w:val="0000"/>
      </w:tblPr>
      <w:tblGrid>
        <w:gridCol w:w="7920"/>
      </w:tblGrid>
      <w:tr>
        <w:tc>
          <w:tcPr/>
          <w:bookmarkStart w:id="57" w:name="fig-pf-backbone"/>
          <w:p>
            <w:pPr>
              <w:pStyle w:val="Compact"/>
              <w:jc w:val="center"/>
            </w:pPr>
            <w:r>
              <w:drawing>
                <wp:inline>
                  <wp:extent cx="5334000" cy="3200399"/>
                  <wp:effectExtent b="0" l="0" r="0" t="0"/>
                  <wp:docPr descr="" title="" id="55" name="Picture"/>
                  <a:graphic>
                    <a:graphicData uri="http://schemas.openxmlformats.org/drawingml/2006/picture">
                      <pic:pic>
                        <pic:nvPicPr>
                          <pic:cNvPr descr="../../../06_visualization/output/figures/fig1_psychometric_by_effort.png" id="56" name="Picture"/>
                          <pic:cNvPicPr>
                            <a:picLocks noChangeArrowheads="1" noChangeAspect="1"/>
                          </pic:cNvPicPr>
                        </pic:nvPicPr>
                        <pic:blipFill>
                          <a:blip r:embed="rId54"/>
                          <a:stretch>
                            <a:fillRect/>
                          </a:stretch>
                        </pic:blipFill>
                        <pic:spPr bwMode="auto">
                          <a:xfrm>
                            <a:off x="0" y="0"/>
                            <a:ext cx="5334000" cy="32003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Psychometric Functions by Effort Condition</w:t>
            </w:r>
          </w:p>
          <w:bookmarkEnd w:id="57"/>
        </w:tc>
      </w:tr>
    </w:tbl>
    <w:bookmarkEnd w:id="58"/>
    <w:bookmarkStart w:id="67" w:name="effortpupil-manipulation-check"/>
    <w:p>
      <w:pPr>
        <w:pStyle w:val="Heading2"/>
      </w:pPr>
      <w:r>
        <w:t xml:space="preserve">3.3 Effort–Pupil Manipulation Check</w:t>
      </w:r>
    </w:p>
    <w:p>
      <w:pPr>
        <w:pStyle w:val="FirstParagraph"/>
      </w:pPr>
      <w:hyperlink w:anchor="fig-pupil-timeseries">
        <w:r>
          <w:rPr>
            <w:rStyle w:val="Hyperlink"/>
          </w:rPr>
          <w:t xml:space="preserve">Figure 5</w:t>
        </w:r>
      </w:hyperlink>
      <w:r>
        <w:t xml:space="preserve"> </w:t>
      </w:r>
      <w:r>
        <w:t xml:space="preserve">shows</w:t>
      </w:r>
      <w:r>
        <w:t xml:space="preserve"> </w:t>
      </w:r>
      <w:r>
        <w:rPr>
          <w:b/>
          <w:bCs/>
        </w:rPr>
        <w:t xml:space="preserve">empirical</w:t>
      </w:r>
      <w:r>
        <w:t xml:space="preserve"> </w:t>
      </w:r>
      <w:r>
        <w:t xml:space="preserve">group-mean pupil waveforms from the preprocessing pipeline: baseline-corrected isolated pupil (arbitrary units) with ±1 SE bands, time-locked to squeeze onset, separately for ADT and VDT. Lines correspond to the factorial combination of stimulus difficulty (Easy vs. Hard) and handgrip effort (High vs. Low). Vertical markers indicate squeeze onset, standard and target onsets, and median response time (task-specific subtitles). Horizontal bars mark the pre-trial baseline (B0), the Total AUC window (0–4.70 s), the pre-stimulus baseline (B1), and the cognitive AUC window (4.85–6.05 s). These plots are observed data rather than the parametric schematic used in earlier drafts.</w:t>
      </w:r>
    </w:p>
    <w:tbl>
      <w:tblPr>
        <w:tblStyle w:val="Table"/>
        <w:tblW w:type="pct" w:w="5000"/>
        <w:tblLayout w:type="fixed"/>
        <w:tblLook w:firstRow="0" w:lastRow="0" w:firstColumn="0" w:lastColumn="0" w:noHBand="0" w:noVBand="0" w:val="0000"/>
      </w:tblPr>
      <w:tblGrid>
        <w:gridCol w:w="7920"/>
      </w:tblGrid>
      <w:tr>
        <w:tc>
          <w:tcPr/>
          <w:bookmarkStart w:id="62" w:name="fig-pupil-timeseries"/>
          <w:p>
            <w:pPr>
              <w:pStyle w:val="Compact"/>
              <w:jc w:val="center"/>
            </w:pPr>
            <w:r>
              <w:drawing>
                <wp:inline>
                  <wp:extent cx="5334000" cy="6667500"/>
                  <wp:effectExtent b="0" l="0" r="0" t="0"/>
                  <wp:docPr descr="" title="" id="60" name="Picture"/>
                  <a:graphic>
                    <a:graphicData uri="http://schemas.openxmlformats.org/drawingml/2006/picture">
                      <pic:pic>
                        <pic:nvPicPr>
                          <pic:cNvPr descr="../output/figures/waveform.png" id="61" name="Picture"/>
                          <pic:cNvPicPr>
                            <a:picLocks noChangeArrowheads="1" noChangeAspect="1"/>
                          </pic:cNvPicPr>
                        </pic:nvPicPr>
                        <pic:blipFill>
                          <a:blip r:embed="rId59"/>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Full-trial pupil waveforms (empirical group means). Baseline-corrected isolated pupil diameter (arbitrary units; ±1 SE) as a function of time relative to squeeze onset, for ADT (top) and VDT (bottom). Colored lines cross Easy vs. Hard stimulus difficulty with High vs. Low grip effort. Vertical dashed lines mark squeeze onset, standard (S1) and target (S2/probe) onsets, and median response onset. Grey and colored bars show B0, Total AUC (0–4.70 s), B1, and cognitive AUC (4.85–6.05 s).</w:t>
            </w:r>
          </w:p>
          <w:bookmarkEnd w:id="62"/>
        </w:tc>
      </w:tr>
    </w:tbl>
    <w:p>
      <w:pPr>
        <w:pStyle w:val="BodyText"/>
      </w:pPr>
      <w:r>
        <w:t xml:space="preserve">As predicted, high-effort handgrip significantly increased overall trial-period arousal (Total AUC:</w:t>
      </w:r>
      <w:r>
        <w:t xml:space="preserve"> </w:t>
      </w:r>
      <m:oMath>
        <m:r>
          <m:t>β</m:t>
        </m:r>
        <m:r>
          <m:rPr>
            <m:sty m:val="p"/>
          </m:rPr>
          <m:t>=</m:t>
        </m:r>
        <m:r>
          <m:t>0.857</m:t>
        </m:r>
      </m:oMath>
      <w:r>
        <w:t xml:space="preserve">,</w:t>
      </w:r>
      <w:r>
        <w:t xml:space="preserve"> </w:t>
      </w:r>
      <m:oMath>
        <m:r>
          <m:t>S</m:t>
        </m:r>
        <m:r>
          <m:t>E</m:t>
        </m:r>
        <m:r>
          <m:rPr>
            <m:sty m:val="p"/>
          </m:rPr>
          <m:t>=</m:t>
        </m:r>
        <m:r>
          <m:t>0.376</m:t>
        </m:r>
      </m:oMath>
      <w:r>
        <w:t xml:space="preserve">,</w:t>
      </w:r>
      <w:r>
        <w:t xml:space="preserve"> </w:t>
      </w:r>
      <m:oMath>
        <m:r>
          <m:t>t</m:t>
        </m:r>
        <m:r>
          <m:rPr>
            <m:sty m:val="p"/>
          </m:rPr>
          <m:t>=</m:t>
        </m:r>
        <m:r>
          <m:t>2.282</m:t>
        </m:r>
      </m:oMath>
      <w:r>
        <w:t xml:space="preserve">,</w:t>
      </w:r>
      <w:r>
        <w:t xml:space="preserve"> </w:t>
      </w:r>
      <m:oMath>
        <m:r>
          <m:t>p</m:t>
        </m:r>
        <m:r>
          <m:rPr>
            <m:sty m:val="p"/>
          </m:rPr>
          <m:t>=</m:t>
        </m:r>
        <m:r>
          <m:t>.023</m:t>
        </m:r>
      </m:oMath>
      <w:r>
        <w:t xml:space="preserve">), but significantly attenuated task-evoked responses (Cognitive AUC:</w:t>
      </w:r>
      <w:r>
        <w:t xml:space="preserve"> </w:t>
      </w:r>
      <m:oMath>
        <m:r>
          <m:t>β</m:t>
        </m:r>
        <m:r>
          <m:rPr>
            <m:sty m:val="p"/>
          </m:rPr>
          <m:t>=</m:t>
        </m:r>
        <m:r>
          <m:rPr>
            <m:sty m:val="p"/>
          </m:rPr>
          <m:t>−</m:t>
        </m:r>
        <m:r>
          <m:t>0.012</m:t>
        </m:r>
      </m:oMath>
      <w:r>
        <w:t xml:space="preserve">,</w:t>
      </w:r>
      <w:r>
        <w:t xml:space="preserve"> </w:t>
      </w:r>
      <m:oMath>
        <m:r>
          <m:t>S</m:t>
        </m:r>
        <m:r>
          <m:t>E</m:t>
        </m:r>
        <m:r>
          <m:rPr>
            <m:sty m:val="p"/>
          </m:rPr>
          <m:t>=</m:t>
        </m:r>
        <m:r>
          <m:t>0.003</m:t>
        </m:r>
      </m:oMath>
      <w:r>
        <w:t xml:space="preserve">,</w:t>
      </w:r>
      <w:r>
        <w:t xml:space="preserve"> </w:t>
      </w:r>
      <m:oMath>
        <m:r>
          <m:t>t</m:t>
        </m:r>
        <m:r>
          <m:rPr>
            <m:sty m:val="p"/>
          </m:rPr>
          <m:t>=</m:t>
        </m:r>
        <m:r>
          <m:rPr>
            <m:sty m:val="p"/>
          </m:rPr>
          <m:t>−</m:t>
        </m:r>
        <m:r>
          <m:t>3.859</m:t>
        </m:r>
      </m:oMath>
      <w:r>
        <w:t xml:space="preserve">,</w:t>
      </w:r>
      <w:r>
        <w:t xml:space="preserve"> </w:t>
      </w:r>
      <m:oMath>
        <m:r>
          <m:t>p</m:t>
        </m:r>
        <m:r>
          <m:rPr>
            <m:sty m:val="p"/>
          </m:rPr>
          <m:t>&lt;</m:t>
        </m:r>
        <m:r>
          <m:t>.001</m:t>
        </m:r>
      </m:oMath>
      <w:r>
        <w:t xml:space="preserve">). Total AUC indexes overall arousal during the sustained squeeze epoch; Cognitive AUC is the stimulus-locked task-evoked response in the discrimination window. This dissociation is consistent with attenuated task-evoked phasic responding under concurrent high effort, but it is not uniquely diagnostic of such suppression: because the cognitive metric is baseline-corrected subtractively, a higher pre-target baseline under High effort could also reduce the apparent dynamic range available for subsequent dilation. A simple physiological-ceiling account — whereby High-effort trials would cluster at the upper extreme of the observed Cognitive AUC distribution — was not supported: High-effort trials were not disproportionately concentrated in the upper tail relative to Low-effort trials, which is inconsistent with a hard iris ceiling and instead favors interpreting the pattern in terms of reduced dynamic range after baseline elevation. Mixed-effects models tested whether effort condition predicted pupil metrics (Total AUC and Cognitive AUC) while controlling for task modality.</w:t>
      </w:r>
    </w:p>
    <w:p>
      <w:pPr>
        <w:pStyle w:val="BodyText"/>
      </w:pPr>
      <w:r>
        <w:rPr>
          <w:b/>
          <w:bCs/>
        </w:rPr>
        <w:t xml:space="preserve">Note:</w:t>
      </w:r>
      <w:r>
        <w:t xml:space="preserve"> </w:t>
      </w:r>
      <w:r>
        <w:t xml:space="preserve">Hypothesis 2a (tonic arousal) was operationalized using Total AUC — the baseline-corrected area under the pupil curve over the global trial window — rather than a dedicated pre-stimulus baseline pupil measure. Total AUC during the squeeze epoch captures sustained arousal-related dilation that reflects both tonic state and the ongoing effort response, making it an appropriate but imperfect proxy for tonic arousal. A pre-stimulus baseline measure would more directly index tonic pupil state and could be explored in future analyses.</w:t>
      </w:r>
    </w:p>
    <w:p>
      <w:pPr>
        <w:pStyle w:val="BodyText"/>
      </w:pPr>
      <w:r>
        <w:rPr>
          <w:b/>
          <w:bCs/>
        </w:rPr>
        <w:t xml:space="preserve">Hypothesis Testing:</w:t>
      </w:r>
      <w:r>
        <w:t xml:space="preserve"> </w:t>
      </w:r>
      <w:r>
        <w:t xml:space="preserve">Hypothesis 2a predicted that tonic arousal would be elevated under High effort; this received</w:t>
      </w:r>
      <w:r>
        <w:t xml:space="preserve"> </w:t>
      </w:r>
      <w:r>
        <w:rPr>
          <w:b/>
          <w:bCs/>
        </w:rPr>
        <w:t xml:space="preserve">indirect, qualified support</w:t>
      </w:r>
      <w:r>
        <w:t xml:space="preserve"> </w:t>
      </w:r>
      <w:r>
        <w:t xml:space="preserve">via the significant increase in Total AUC (statistics above), recognizing that Total AUC is not a pure tonic measure. Hypothesis 2b predicted that task-evoked pupil responses (Cognitive AUC) would also be larger under High effort; this hypothesis was not supported — instead, Cognitive AUC was significantly</w:t>
      </w:r>
      <w:r>
        <w:t xml:space="preserve"> </w:t>
      </w:r>
      <w:r>
        <w:rPr>
          <w:i/>
          <w:iCs/>
        </w:rPr>
        <w:t xml:space="preserve">reduced</w:t>
      </w:r>
      <w:r>
        <w:t xml:space="preserve"> </w:t>
      </w:r>
      <w:r>
        <w:t xml:space="preserve">under High effort (statistics above). Rather than confirming a uniform arousal increase, these results suggest a tonic-phasic dissociation whose interpretation remains non-exclusive: the pattern is compatible with phasic suppression or reallocation under high effort, but could also partly reflect reduced dynamic range after baseline elevation.</w:t>
      </w:r>
    </w:p>
    <w:tbl>
      <w:tblPr>
        <w:tblStyle w:val="Table"/>
        <w:tblW w:type="pct" w:w="5000"/>
        <w:tblLayout w:type="fixed"/>
        <w:tblLook w:firstRow="0" w:lastRow="0" w:firstColumn="0" w:lastColumn="0" w:noHBand="0" w:noVBand="0" w:val="0000"/>
      </w:tblPr>
      <w:tblGrid>
        <w:gridCol w:w="7920"/>
      </w:tblGrid>
      <w:tr>
        <w:tc>
          <w:tcPr/>
          <w:bookmarkStart w:id="66" w:name="fig-effort-pupil"/>
          <w:p>
            <w:pPr>
              <w:pStyle w:val="Compact"/>
              <w:jc w:val="center"/>
            </w:pPr>
            <w:r>
              <w:drawing>
                <wp:inline>
                  <wp:extent cx="5334000" cy="4267200"/>
                  <wp:effectExtent b="0" l="0" r="0" t="0"/>
                  <wp:docPr descr="" title="" id="64" name="Picture"/>
                  <a:graphic>
                    <a:graphicData uri="http://schemas.openxmlformats.org/drawingml/2006/picture">
                      <pic:pic>
                        <pic:nvPicPr>
                          <pic:cNvPr descr="../../../06_visualization/output/figures/fig2_effort_pupil_manipulation.png" id="65" name="Picture"/>
                          <pic:cNvPicPr>
                            <a:picLocks noChangeArrowheads="1" noChangeAspect="1"/>
                          </pic:cNvPicPr>
                        </pic:nvPicPr>
                        <pic:blipFill>
                          <a:blip r:embed="rId6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Effort–Pupil Manipulation Check. Participant-level mean pupil AUC (a.u., baseline-corrected) for Total AUC (top; overall trial arousal) and Cognitive AUC (bottom; stimulus-locked task-evoked response) under Low and High effort, separately for ADT and VDT. Arbitrary units reflect baseline-corrected area under the pupil dilation curve; values are not in millimetres. Points show individual participant means; diamonds and error bars show the group mean ± 1 SE; lines connect the same participant across conditions.</w:t>
            </w:r>
          </w:p>
          <w:bookmarkEnd w:id="66"/>
        </w:tc>
      </w:tr>
    </w:tbl>
    <w:bookmarkEnd w:id="67"/>
    <w:bookmarkStart w:id="68" w:name="missingness-diagnostic"/>
    <w:p>
      <w:pPr>
        <w:pStyle w:val="Heading2"/>
      </w:pPr>
      <w:r>
        <w:t xml:space="preserve">3.4 Missingness Diagnostic</w:t>
      </w:r>
    </w:p>
    <w:p>
      <w:pPr>
        <w:pStyle w:val="FirstParagraph"/>
      </w:pPr>
      <w:r>
        <w:t xml:space="preserve">Missingness was significantly predicted by effort condition (OR = 1.203,</w:t>
      </w:r>
      <w:r>
        <w:t xml:space="preserve"> </w:t>
      </w:r>
      <w:r>
        <w:rPr>
          <w:i/>
          <w:iCs/>
        </w:rPr>
        <w:t xml:space="preserve">z</w:t>
      </w:r>
      <w:r>
        <w:t xml:space="preserve"> </w:t>
      </w:r>
      <w:r>
        <w:t xml:space="preserve">= 3.672,</w:t>
      </w:r>
      <w:r>
        <w:t xml:space="preserve"> </w:t>
      </w:r>
      <w:r>
        <w:rPr>
          <w:i/>
          <w:iCs/>
        </w:rPr>
        <w:t xml:space="preserve">p</w:t>
      </w:r>
      <w:r>
        <w:t xml:space="preserve"> </w:t>
      </w:r>
      <w:r>
        <w:t xml:space="preserve">&lt; .001) and task modality (OR = 1.967,</w:t>
      </w:r>
      <w:r>
        <w:t xml:space="preserve"> </w:t>
      </w:r>
      <w:r>
        <w:rPr>
          <w:i/>
          <w:iCs/>
        </w:rPr>
        <w:t xml:space="preserve">z</w:t>
      </w:r>
      <w:r>
        <w:t xml:space="preserve"> </w:t>
      </w:r>
      <w:r>
        <w:t xml:space="preserve">= 12.584,</w:t>
      </w:r>
      <w:r>
        <w:t xml:space="preserve"> </w:t>
      </w:r>
      <w:r>
        <w:rPr>
          <w:i/>
          <w:iCs/>
        </w:rPr>
        <w:t xml:space="preserve">p</w:t>
      </w:r>
      <w:r>
        <w:t xml:space="preserve"> </w:t>
      </w:r>
      <w:r>
        <w:t xml:space="preserve">&lt; .001), but not by stimulus intensity (</w:t>
      </w:r>
      <w:r>
        <w:rPr>
          <w:i/>
          <w:iCs/>
        </w:rPr>
        <w:t xml:space="preserve">p</w:t>
      </w:r>
      <w:r>
        <w:t xml:space="preserve"> </w:t>
      </w:r>
      <w:r>
        <w:t xml:space="preserve">= .565) or response time (</w:t>
      </w:r>
      <w:r>
        <w:rPr>
          <w:i/>
          <w:iCs/>
        </w:rPr>
        <w:t xml:space="preserve">p</w:t>
      </w:r>
      <w:r>
        <w:t xml:space="preserve"> </w:t>
      </w:r>
      <w:r>
        <w:t xml:space="preserve">= .982). High-effort trials were approximately 20% more likely to yield usable pupil data than Low-effort trials, possibly reflecting reduced blinking during the more demanding squeeze. VDT trials had nearly twice the odds of retaining usable data relative to ADT trials. Crucially, missingness is not predicted by stimulus intensity or response time, suggesting that within-retained trials the psychometric intensity range and decision difficulty are not systematically distorted. Nevertheless, the non-random missingness by effort and task means that analysis samples differ systematically across conditions, which is a genuine selection-bias limitation (see Section 4.3.2). Full model output and the RT-by-availability figure are in</w:t>
      </w:r>
      <w:r>
        <w:t xml:space="preserve"> </w:t>
      </w:r>
      <w:hyperlink w:anchor="sec-appendix-c">
        <w:r>
          <w:rPr>
            <w:rStyle w:val="Hyperlink"/>
          </w:rPr>
          <w:t xml:space="preserve">Appendix C</w:t>
        </w:r>
      </w:hyperlink>
      <w:r>
        <w:t xml:space="preserve">.</w:t>
      </w:r>
    </w:p>
    <w:bookmarkEnd w:id="68"/>
    <w:bookmarkStart w:id="75" w:name="Xc0bad65fe105b2956abc46203d100c4ff81458f"/>
    <w:p>
      <w:pPr>
        <w:pStyle w:val="Heading2"/>
      </w:pPr>
      <w:r>
        <w:t xml:space="preserve">3.5 Pupil–Psychometric Coupling (Primary Analysis)</w:t>
      </w:r>
    </w:p>
    <w:tbl>
      <w:tblPr>
        <w:tblStyle w:val="Table"/>
        <w:tblW w:type="pct" w:w="5000"/>
        <w:tblLayout w:type="fixed"/>
        <w:tblLook w:firstRow="0" w:lastRow="0" w:firstColumn="0" w:lastColumn="0" w:noHBand="0" w:noVBand="0" w:val="0000"/>
      </w:tblPr>
      <w:tblGrid>
        <w:gridCol w:w="7920"/>
      </w:tblGrid>
      <w:tr>
        <w:tc>
          <w:tcPr/>
          <w:bookmarkStart w:id="69" w:name="tbl-pupil-psychometric"/>
          <w:p>
            <w:pPr>
              <w:jc w:val="center"/>
            </w:pPr>
            <w:pPr>
              <w:jc w:val="start"/>
              <w:spacing w:before="200"/>
              <w:pStyle w:val="ImageCaption"/>
            </w:pPr>
            <w:r>
              <w:t xml:space="preserve">Table 4: Primary GLMM: Pupil–Psychometric Coupling</w:t>
            </w:r>
          </w:p>
          <w:tbl>
            <w:tblPr>
              <w:tblStyle w:val="Table"/>
              <w:tblW w:type="pct" w:w="5000"/>
              <w:tblLayout w:type="fixed"/>
              <w:tblLook w:firstRow="1" w:lastRow="0" w:firstColumn="0" w:lastColumn="0" w:noHBand="0" w:noVBand="0" w:val="0020"/>
            </w:tblPr>
            <w:tblGrid>
              <w:gridCol w:w="3217"/>
              <w:gridCol w:w="742"/>
              <w:gridCol w:w="1072"/>
              <w:gridCol w:w="1072"/>
              <w:gridCol w:w="577"/>
              <w:gridCol w:w="660"/>
              <w:gridCol w:w="577"/>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95% CI Lower</w:t>
                  </w:r>
                </w:p>
              </w:tc>
              <w:tc>
                <w:tcPr/>
                <w:p>
                  <w:pPr>
                    <w:pStyle w:val="Compact"/>
                    <w:jc w:val="right"/>
                    <w:jc w:val="center"/>
                  </w:pPr>
                  <w:r>
                    <w:t xml:space="preserve">95% CI Upper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-0.1076</w:t>
                  </w:r>
                </w:p>
              </w:tc>
              <w:tc>
                <w:tcPr/>
                <w:p>
                  <w:pPr>
                    <w:pStyle w:val="Compact"/>
                    <w:jc w:val="right"/>
                    <w:jc w:val="center"/>
                  </w:pPr>
                  <w:r>
                    <w:t xml:space="preserve">-0.2914</w:t>
                  </w:r>
                </w:p>
              </w:tc>
              <w:tc>
                <w:tcPr/>
                <w:p>
                  <w:pPr>
                    <w:pStyle w:val="Compact"/>
                    <w:jc w:val="right"/>
                    <w:jc w:val="center"/>
                  </w:pPr>
                  <w:r>
                    <w:t xml:space="preserve">0.0763</w:t>
                  </w:r>
                </w:p>
              </w:tc>
              <w:tc>
                <w:tcPr/>
                <w:p>
                  <w:pPr>
                    <w:pStyle w:val="Compact"/>
                    <w:jc w:val="right"/>
                    <w:jc w:val="center"/>
                  </w:pPr>
                  <w:r>
                    <w:t xml:space="preserve">0.0938</w:t>
                  </w:r>
                </w:p>
              </w:tc>
              <w:tc>
                <w:tcPr/>
                <w:p>
                  <w:pPr>
                    <w:pStyle w:val="Compact"/>
                    <w:jc w:val="right"/>
                    <w:jc w:val="center"/>
                  </w:pPr>
                  <w:r>
                    <w:t xml:space="preserve">-1.1468</w:t>
                  </w:r>
                </w:p>
              </w:tc>
              <w:tc>
                <w:tcPr/>
                <w:p>
                  <w:pPr>
                    <w:pStyle w:val="Compact"/>
                    <w:jc w:val="right"/>
                    <w:jc w:val="center"/>
                  </w:pPr>
                  <w:r>
                    <w:t xml:space="preserve">0.2515</w:t>
                  </w:r>
                </w:p>
              </w:tc>
            </w:tr>
            <w:tr>
              <w:tc>
                <w:tcPr/>
                <w:p>
                  <w:pPr>
                    <w:pStyle w:val="Compact"/>
                    <w:jc w:val="left"/>
                    <w:jc w:val="center"/>
                  </w:pPr>
                  <w:r>
                    <w:t xml:space="preserve">Stimulus Intensity</w:t>
                  </w:r>
                </w:p>
              </w:tc>
              <w:tc>
                <w:tcPr/>
                <w:p>
                  <w:pPr>
                    <w:pStyle w:val="Compact"/>
                    <w:jc w:val="right"/>
                    <w:jc w:val="center"/>
                  </w:pPr>
                  <w:r>
                    <w:t xml:space="preserve">1.3070</w:t>
                  </w:r>
                </w:p>
              </w:tc>
              <w:tc>
                <w:tcPr/>
                <w:p>
                  <w:pPr>
                    <w:pStyle w:val="Compact"/>
                    <w:jc w:val="right"/>
                    <w:jc w:val="center"/>
                  </w:pPr>
                  <w:r>
                    <w:t xml:space="preserve">1.1435</w:t>
                  </w:r>
                </w:p>
              </w:tc>
              <w:tc>
                <w:tcPr/>
                <w:p>
                  <w:pPr>
                    <w:pStyle w:val="Compact"/>
                    <w:jc w:val="right"/>
                    <w:jc w:val="center"/>
                  </w:pPr>
                  <w:r>
                    <w:t xml:space="preserve">1.4704</w:t>
                  </w:r>
                </w:p>
              </w:tc>
              <w:tc>
                <w:tcPr/>
                <w:p>
                  <w:pPr>
                    <w:pStyle w:val="Compact"/>
                    <w:jc w:val="right"/>
                    <w:jc w:val="center"/>
                  </w:pPr>
                  <w:r>
                    <w:t xml:space="preserve">0.0834</w:t>
                  </w:r>
                </w:p>
              </w:tc>
              <w:tc>
                <w:tcPr/>
                <w:p>
                  <w:pPr>
                    <w:pStyle w:val="Compact"/>
                    <w:jc w:val="right"/>
                    <w:jc w:val="center"/>
                  </w:pPr>
                  <w:r>
                    <w:t xml:space="preserve">15.6748</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-0.0457</w:t>
                  </w:r>
                </w:p>
              </w:tc>
              <w:tc>
                <w:tcPr/>
                <w:p>
                  <w:pPr>
                    <w:pStyle w:val="Compact"/>
                    <w:jc w:val="right"/>
                    <w:jc w:val="center"/>
                  </w:pPr>
                  <w:r>
                    <w:t xml:space="preserve">-0.0926</w:t>
                  </w:r>
                </w:p>
              </w:tc>
              <w:tc>
                <w:tcPr/>
                <w:p>
                  <w:pPr>
                    <w:pStyle w:val="Compact"/>
                    <w:jc w:val="right"/>
                    <w:jc w:val="center"/>
                  </w:pPr>
                  <w:r>
                    <w:t xml:space="preserve">0.0012</w:t>
                  </w:r>
                </w:p>
              </w:tc>
              <w:tc>
                <w:tcPr/>
                <w:p>
                  <w:pPr>
                    <w:pStyle w:val="Compact"/>
                    <w:jc w:val="right"/>
                    <w:jc w:val="center"/>
                  </w:pPr>
                  <w:r>
                    <w:t xml:space="preserve">0.0239</w:t>
                  </w:r>
                </w:p>
              </w:tc>
              <w:tc>
                <w:tcPr/>
                <w:p>
                  <w:pPr>
                    <w:pStyle w:val="Compact"/>
                    <w:jc w:val="right"/>
                    <w:jc w:val="center"/>
                  </w:pPr>
                  <w:r>
                    <w:t xml:space="preserve">-1.9115</w:t>
                  </w:r>
                </w:p>
              </w:tc>
              <w:tc>
                <w:tcPr/>
                <w:p>
                  <w:pPr>
                    <w:pStyle w:val="Compact"/>
                    <w:jc w:val="right"/>
                    <w:jc w:val="center"/>
                  </w:pPr>
                  <w:r>
                    <w:t xml:space="preserve">0.0559</w:t>
                  </w:r>
                </w:p>
              </w:tc>
            </w:tr>
            <w:tr>
              <w:tc>
                <w:tcPr/>
                <w:p>
                  <w:pPr>
                    <w:pStyle w:val="Compact"/>
                    <w:jc w:val="left"/>
                    <w:jc w:val="center"/>
                  </w:pPr>
                  <w:r>
                    <w:t xml:space="preserve">Effort: High vs. Low</w:t>
                  </w:r>
                </w:p>
              </w:tc>
              <w:tc>
                <w:tcPr/>
                <w:p>
                  <w:pPr>
                    <w:pStyle w:val="Compact"/>
                    <w:jc w:val="right"/>
                    <w:jc w:val="center"/>
                  </w:pPr>
                  <w:r>
                    <w:t xml:space="preserve">-0.1391</w:t>
                  </w:r>
                </w:p>
              </w:tc>
              <w:tc>
                <w:tcPr/>
                <w:p>
                  <w:pPr>
                    <w:pStyle w:val="Compact"/>
                    <w:jc w:val="right"/>
                    <w:jc w:val="center"/>
                  </w:pPr>
                  <w:r>
                    <w:t xml:space="preserve">-0.2293</w:t>
                  </w:r>
                </w:p>
              </w:tc>
              <w:tc>
                <w:tcPr/>
                <w:p>
                  <w:pPr>
                    <w:pStyle w:val="Compact"/>
                    <w:jc w:val="right"/>
                    <w:jc w:val="center"/>
                  </w:pPr>
                  <w:r>
                    <w:t xml:space="preserve">-0.0489</w:t>
                  </w:r>
                </w:p>
              </w:tc>
              <w:tc>
                <w:tcPr/>
                <w:p>
                  <w:pPr>
                    <w:pStyle w:val="Compact"/>
                    <w:jc w:val="right"/>
                    <w:jc w:val="center"/>
                  </w:pPr>
                  <w:r>
                    <w:t xml:space="preserve">0.0460</w:t>
                  </w:r>
                </w:p>
              </w:tc>
              <w:tc>
                <w:tcPr/>
                <w:p>
                  <w:pPr>
                    <w:pStyle w:val="Compact"/>
                    <w:jc w:val="right"/>
                    <w:jc w:val="center"/>
                  </w:pPr>
                  <w:r>
                    <w:t xml:space="preserve">-3.0227</w:t>
                  </w:r>
                </w:p>
              </w:tc>
              <w:tc>
                <w:tcPr/>
                <w:p>
                  <w:pPr>
                    <w:pStyle w:val="Compact"/>
                    <w:jc w:val="right"/>
                    <w:jc w:val="center"/>
                  </w:pPr>
                  <w:r>
                    <w:t xml:space="preserve">0.0025</w:t>
                  </w:r>
                </w:p>
              </w:tc>
            </w:tr>
            <w:tr>
              <w:tc>
                <w:tcPr/>
                <w:p>
                  <w:pPr>
                    <w:pStyle w:val="Compact"/>
                    <w:jc w:val="left"/>
                    <w:jc w:val="center"/>
                  </w:pPr>
                  <w:r>
                    <w:t xml:space="preserve">Task: VDT vs. ADT</w:t>
                  </w:r>
                </w:p>
              </w:tc>
              <w:tc>
                <w:tcPr/>
                <w:p>
                  <w:pPr>
                    <w:pStyle w:val="Compact"/>
                    <w:jc w:val="right"/>
                    <w:jc w:val="center"/>
                  </w:pPr>
                  <w:r>
                    <w:t xml:space="preserve">0.2561</w:t>
                  </w:r>
                </w:p>
              </w:tc>
              <w:tc>
                <w:tcPr/>
                <w:p>
                  <w:pPr>
                    <w:pStyle w:val="Compact"/>
                    <w:jc w:val="right"/>
                    <w:jc w:val="center"/>
                  </w:pPr>
                  <w:r>
                    <w:t xml:space="preserve">0.1475</w:t>
                  </w:r>
                </w:p>
              </w:tc>
              <w:tc>
                <w:tcPr/>
                <w:p>
                  <w:pPr>
                    <w:pStyle w:val="Compact"/>
                    <w:jc w:val="right"/>
                    <w:jc w:val="center"/>
                  </w:pPr>
                  <w:r>
                    <w:t xml:space="preserve">0.3647</w:t>
                  </w:r>
                </w:p>
              </w:tc>
              <w:tc>
                <w:tcPr/>
                <w:p>
                  <w:pPr>
                    <w:pStyle w:val="Compact"/>
                    <w:jc w:val="right"/>
                    <w:jc w:val="center"/>
                  </w:pPr>
                  <w:r>
                    <w:t xml:space="preserve">0.0554</w:t>
                  </w:r>
                </w:p>
              </w:tc>
              <w:tc>
                <w:tcPr/>
                <w:p>
                  <w:pPr>
                    <w:pStyle w:val="Compact"/>
                    <w:jc w:val="right"/>
                    <w:jc w:val="center"/>
                  </w:pPr>
                  <w:r>
                    <w:t xml:space="preserve">4.6218</w:t>
                  </w:r>
                </w:p>
              </w:tc>
              <w:tc>
                <w:tcPr/>
                <w:p>
                  <w:pPr>
                    <w:pStyle w:val="Compact"/>
                    <w:jc w:val="right"/>
                    <w:jc w:val="center"/>
                  </w:pPr>
                  <w:r>
                    <w:t xml:space="preserve">0.0000</w:t>
                  </w:r>
                </w:p>
              </w:tc>
            </w:tr>
            <w:tr>
              <w:tc>
                <w:tcPr/>
                <w:p>
                  <w:pPr>
                    <w:pStyle w:val="Compact"/>
                    <w:jc w:val="left"/>
                    <w:jc w:val="center"/>
                  </w:pPr>
                  <w:r>
                    <w:t xml:space="preserve">Cognitive Pupil Trait (between-person)</w:t>
                  </w:r>
                </w:p>
              </w:tc>
              <w:tc>
                <w:tcPr/>
                <w:p>
                  <w:pPr>
                    <w:pStyle w:val="Compact"/>
                    <w:jc w:val="right"/>
                    <w:jc w:val="center"/>
                  </w:pPr>
                  <w:r>
                    <w:t xml:space="preserve">-0.0524</w:t>
                  </w:r>
                </w:p>
              </w:tc>
              <w:tc>
                <w:tcPr/>
                <w:p>
                  <w:pPr>
                    <w:pStyle w:val="Compact"/>
                    <w:jc w:val="right"/>
                    <w:jc w:val="center"/>
                  </w:pPr>
                  <w:r>
                    <w:t xml:space="preserve">-0.2309</w:t>
                  </w:r>
                </w:p>
              </w:tc>
              <w:tc>
                <w:tcPr/>
                <w:p>
                  <w:pPr>
                    <w:pStyle w:val="Compact"/>
                    <w:jc w:val="right"/>
                    <w:jc w:val="center"/>
                  </w:pPr>
                  <w:r>
                    <w:t xml:space="preserve">0.1261</w:t>
                  </w:r>
                </w:p>
              </w:tc>
              <w:tc>
                <w:tcPr/>
                <w:p>
                  <w:pPr>
                    <w:pStyle w:val="Compact"/>
                    <w:jc w:val="right"/>
                    <w:jc w:val="center"/>
                  </w:pPr>
                  <w:r>
                    <w:t xml:space="preserve">0.0911</w:t>
                  </w:r>
                </w:p>
              </w:tc>
              <w:tc>
                <w:tcPr/>
                <w:p>
                  <w:pPr>
                    <w:pStyle w:val="Compact"/>
                    <w:jc w:val="right"/>
                    <w:jc w:val="center"/>
                  </w:pPr>
                  <w:r>
                    <w:t xml:space="preserve">-0.5754</w:t>
                  </w:r>
                </w:p>
              </w:tc>
              <w:tc>
                <w:tcPr/>
                <w:p>
                  <w:pPr>
                    <w:pStyle w:val="Compact"/>
                    <w:jc w:val="right"/>
                    <w:jc w:val="center"/>
                  </w:pPr>
                  <w:r>
                    <w:t xml:space="preserve">0.5651</w:t>
                  </w:r>
                </w:p>
              </w:tc>
            </w:tr>
            <w:tr>
              <w:tc>
                <w:tcPr/>
                <w:p>
                  <w:pPr>
                    <w:pStyle w:val="Compact"/>
                    <w:jc w:val="left"/>
                    <w:jc w:val="center"/>
                  </w:pPr>
                  <w:r>
                    <w:t xml:space="preserve">Stimulus Intensity × Pupil State</w:t>
                  </w:r>
                </w:p>
              </w:tc>
              <w:tc>
                <w:tcPr/>
                <w:p>
                  <w:pPr>
                    <w:pStyle w:val="Compact"/>
                    <w:jc w:val="right"/>
                    <w:jc w:val="center"/>
                  </w:pPr>
                  <w:r>
                    <w:t xml:space="preserve">0.0353</w:t>
                  </w:r>
                </w:p>
              </w:tc>
              <w:tc>
                <w:tcPr/>
                <w:p>
                  <w:pPr>
                    <w:pStyle w:val="Compact"/>
                    <w:jc w:val="right"/>
                    <w:jc w:val="center"/>
                  </w:pPr>
                  <w:r>
                    <w:t xml:space="preserve">-0.0242</w:t>
                  </w:r>
                </w:p>
              </w:tc>
              <w:tc>
                <w:tcPr/>
                <w:p>
                  <w:pPr>
                    <w:pStyle w:val="Compact"/>
                    <w:jc w:val="right"/>
                    <w:jc w:val="center"/>
                  </w:pPr>
                  <w:r>
                    <w:t xml:space="preserve">0.0948</w:t>
                  </w:r>
                </w:p>
              </w:tc>
              <w:tc>
                <w:tcPr/>
                <w:p>
                  <w:pPr>
                    <w:pStyle w:val="Compact"/>
                    <w:jc w:val="right"/>
                    <w:jc w:val="center"/>
                  </w:pPr>
                  <w:r>
                    <w:t xml:space="preserve">0.0304</w:t>
                  </w:r>
                </w:p>
              </w:tc>
              <w:tc>
                <w:tcPr/>
                <w:p>
                  <w:pPr>
                    <w:pStyle w:val="Compact"/>
                    <w:jc w:val="right"/>
                    <w:jc w:val="center"/>
                  </w:pPr>
                  <w:r>
                    <w:t xml:space="preserve">1.1629</w:t>
                  </w:r>
                </w:p>
              </w:tc>
              <w:tc>
                <w:tcPr/>
                <w:p>
                  <w:pPr>
                    <w:pStyle w:val="Compact"/>
                    <w:jc w:val="right"/>
                    <w:jc w:val="center"/>
                  </w:pPr>
                  <w:r>
                    <w:t xml:space="preserve">0.2449</w:t>
                  </w:r>
                </w:p>
              </w:tc>
            </w:tr>
          </w:tbl>
          <w:bookmarkEnd w:id="69"/>
          <w:p/>
        </w:tc>
      </w:tr>
    </w:tbl>
    <w:p>
      <w:pPr>
        <w:pStyle w:val="BodyText"/>
      </w:pPr>
      <w:r>
        <w:rPr>
          <w:b/>
          <w:bCs/>
        </w:rPr>
        <w:t xml:space="preserve">Hypothesis Testing:</w:t>
      </w:r>
      <w:r>
        <w:t xml:space="preserve"> </w:t>
      </w:r>
      <w:r>
        <w:t xml:space="preserve">Hypothesis 3a predicted a negative interaction between stimulus intensity and pupil state, consistent with supra-optimal arousal degrading sensitivity and producing shallower psychometric slopes on high-arousal trials.</w:t>
      </w:r>
      <w:r>
        <w:t xml:space="preserve"> </w:t>
      </w:r>
      <w:r>
        <w:rPr>
          <w:b/>
          <w:bCs/>
        </w:rPr>
        <w:t xml:space="preserve">The interaction between stimulus intensity and pupil state was 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w:t>
      </w:r>
      <w:r>
        <w:t xml:space="preserve"> </w:t>
      </w:r>
      <w:hyperlink w:anchor="tbl-pupil-psychometric">
        <w:r>
          <w:rPr>
            <w:rStyle w:val="Hyperlink"/>
          </w:rPr>
          <w:t xml:space="preserve">Table 4</w:t>
        </w:r>
      </w:hyperlink>
      <w:r>
        <w:t xml:space="preserve">). The point estimate was in the</w:t>
      </w:r>
      <w:r>
        <w:t xml:space="preserve"> </w:t>
      </w:r>
      <w:r>
        <w:rPr>
          <w:b/>
          <w:bCs/>
        </w:rPr>
        <w:t xml:space="preserve">opposite direction</w:t>
      </w:r>
      <w:r>
        <w:t xml:space="preserve"> </w:t>
      </w:r>
      <w:r>
        <w:t xml:space="preserve">to Hypothesis 3a (</w:t>
      </w:r>
      <m:oMath>
        <m:r>
          <m:rPr>
            <m:sty m:val="p"/>
          </m:rPr>
          <m:t>S</m:t>
        </m:r>
        <m:r>
          <m:rPr>
            <m:sty m:val="p"/>
          </m:rPr>
          <m:t>E</m:t>
        </m:r>
        <m:r>
          <m:rPr>
            <m:sty m:val="p"/>
          </m:rPr>
          <m:t>=</m:t>
        </m:r>
        <m:r>
          <m:t>0.030</m:t>
        </m:r>
      </m:oMath>
      <w:r>
        <w:t xml:space="preserve">, 95% Wald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z</m:t>
        </m:r>
        <m:r>
          <m:rPr>
            <m:sty m:val="p"/>
          </m:rPr>
          <m:t>=</m:t>
        </m:r>
        <m:r>
          <m:t>1.163</m:t>
        </m:r>
      </m:oMath>
      <w:r>
        <w:t xml:space="preserve">): higher trial-level arousal was associated with marginally steeper (not shallower) slopes, which, if real, would align with the alternative Hypothesis 3b (moderate arousal enhancing sensitivity). The interval is wide enough to include small negative effects, near-null effects, and modest positive effects, which is informative about the precision of the null finding. The negative effort main effect (</w:t>
      </w:r>
      <m:oMath>
        <m:r>
          <m:t>β</m:t>
        </m:r>
        <m:r>
          <m:rPr>
            <m:sty m:val="p"/>
          </m:rPr>
          <m:t>=</m:t>
        </m:r>
        <m:r>
          <m:rPr>
            <m:sty m:val="p"/>
          </m:rPr>
          <m:t>−</m:t>
        </m:r>
        <m:r>
          <m:t>0.139</m:t>
        </m:r>
      </m:oMath>
      <w:r>
        <w:t xml:space="preserve">,</w:t>
      </w:r>
      <w:r>
        <w:t xml:space="preserve"> </w:t>
      </w:r>
      <m:oMath>
        <m:r>
          <m:t>z</m:t>
        </m:r>
        <m:r>
          <m:rPr>
            <m:sty m:val="p"/>
          </m:rPr>
          <m:t>=</m:t>
        </m:r>
        <m:r>
          <m:rPr>
            <m:sty m:val="p"/>
          </m:rPr>
          <m:t>−</m:t>
        </m:r>
        <m:r>
          <m:t>3.023</m:t>
        </m:r>
      </m:oMath>
      <w:r>
        <w:t xml:space="preserve">,</w:t>
      </w:r>
      <w:r>
        <w:t xml:space="preserve"> </w:t>
      </w:r>
      <m:oMath>
        <m:r>
          <m:t>p</m:t>
        </m:r>
        <m:r>
          <m:rPr>
            <m:sty m:val="p"/>
          </m:rPr>
          <m:t>=</m:t>
        </m:r>
        <m:r>
          <m:t>.003</m:t>
        </m:r>
      </m:oMath>
      <w:r>
        <w:t xml:space="preserve">) indicates that High effort reduced overall probability of</w:t>
      </w:r>
      <w:r>
        <w:t xml:space="preserve"> </w:t>
      </w:r>
      <w:r>
        <w:t xml:space="preserve">“different”</w:t>
      </w:r>
      <w:r>
        <w:t xml:space="preserve"> </w:t>
      </w:r>
      <w:r>
        <w:t xml:space="preserve">responding, which is more appropriately described as an intercept or response-tendency shift than as a demonstrated signal-detection-theoretic criterion shift. Pupil state as a main effect approached but did not reach significance (</w:t>
      </w:r>
      <m:oMath>
        <m:r>
          <m:t>β</m:t>
        </m:r>
        <m:r>
          <m:rPr>
            <m:sty m:val="p"/>
          </m:rPr>
          <m:t>=</m:t>
        </m:r>
        <m:r>
          <m:rPr>
            <m:sty m:val="p"/>
          </m:rPr>
          <m:t>−</m:t>
        </m:r>
        <m:r>
          <m:t>0.046</m:t>
        </m:r>
      </m:oMath>
      <w:r>
        <w:t xml:space="preserve">,</w:t>
      </w:r>
      <w:r>
        <w:t xml:space="preserve"> </w:t>
      </w:r>
      <m:oMath>
        <m:r>
          <m:t>z</m:t>
        </m:r>
        <m:r>
          <m:rPr>
            <m:sty m:val="p"/>
          </m:rPr>
          <m:t>=</m:t>
        </m:r>
        <m:r>
          <m:rPr>
            <m:sty m:val="p"/>
          </m:rPr>
          <m:t>−</m:t>
        </m:r>
        <m:r>
          <m:t>1.912</m:t>
        </m:r>
      </m:oMath>
      <w:r>
        <w:t xml:space="preserve">,</w:t>
      </w:r>
      <w:r>
        <w:t xml:space="preserve"> </w:t>
      </w:r>
      <m:oMath>
        <m:r>
          <m:t>p</m:t>
        </m:r>
        <m:r>
          <m:rPr>
            <m:sty m:val="p"/>
          </m:rPr>
          <m:t>=</m:t>
        </m:r>
        <m:r>
          <m:t>.056</m:t>
        </m:r>
      </m:oMath>
      <w:r>
        <w:t xml:space="preserve">), suggesting a marginal tendency for higher arousal to be associated with reduced overall responding. The pupil trait main effect was not significant (</w:t>
      </w:r>
      <m:oMath>
        <m:r>
          <m:t>β</m:t>
        </m:r>
        <m:r>
          <m:rPr>
            <m:sty m:val="p"/>
          </m:rPr>
          <m:t>=</m:t>
        </m:r>
        <m:r>
          <m:rPr>
            <m:sty m:val="p"/>
          </m:rPr>
          <m:t>−</m:t>
        </m:r>
        <m:r>
          <m:t>0.052</m:t>
        </m:r>
      </m:oMath>
      <w:r>
        <w:t xml:space="preserve">,</w:t>
      </w:r>
      <w:r>
        <w:t xml:space="preserve"> </w:t>
      </w:r>
      <m:oMath>
        <m:r>
          <m:t>z</m:t>
        </m:r>
        <m:r>
          <m:rPr>
            <m:sty m:val="p"/>
          </m:rPr>
          <m:t>=</m:t>
        </m:r>
        <m:r>
          <m:rPr>
            <m:sty m:val="p"/>
          </m:rPr>
          <m:t>−</m:t>
        </m:r>
        <m:r>
          <m:t>0.575</m:t>
        </m:r>
      </m:oMath>
      <w:r>
        <w:t xml:space="preserve">,</w:t>
      </w:r>
      <w:r>
        <w:t xml:space="preserve"> </w:t>
      </w:r>
      <m:oMath>
        <m:r>
          <m:t>p</m:t>
        </m:r>
        <m:r>
          <m:rPr>
            <m:sty m:val="p"/>
          </m:rPr>
          <m:t>=</m:t>
        </m:r>
        <m:r>
          <m:t>.565</m:t>
        </m:r>
      </m:oMath>
      <w:r>
        <w:t xml:space="preserve">), consistent with Hypothesis 3c.</w:t>
      </w:r>
    </w:p>
    <w:p>
      <w:pPr>
        <w:pStyle w:val="BodyText"/>
      </w:pPr>
      <w:r>
        <w:rPr>
          <w:b/>
          <w:bCs/>
        </w:rPr>
        <w:t xml:space="preserve">Interpretation of Results:</w:t>
      </w:r>
      <w:r>
        <w:t xml:space="preserve"> </w:t>
      </w:r>
      <w:r>
        <w:t xml:space="preserve">At the primary quality tier, the stimulus intensity</w:t>
      </w:r>
      <w:r>
        <w:t xml:space="preserve"> </w:t>
      </w:r>
      <m:oMath>
        <m:r>
          <m:rPr>
            <m:sty m:val="p"/>
          </m:rPr>
          <m:t>×</m:t>
        </m:r>
      </m:oMath>
      <w:r>
        <w:t xml:space="preserve"> </w:t>
      </w:r>
      <w:r>
        <w:t xml:space="preserve">pupil state interaction was</w:t>
      </w:r>
      <w:r>
        <w:t xml:space="preserve"> </w:t>
      </w:r>
      <w:r>
        <w:rPr>
          <w:b/>
          <w:bCs/>
        </w:rPr>
        <w:t xml:space="preserve">non-significant</w:t>
      </w:r>
      <w:r>
        <w:t xml:space="preserve"> </w:t>
      </w:r>
      <w:r>
        <w:t xml:space="preserve">(</w:t>
      </w:r>
      <m:oMath>
        <m:r>
          <m:t>p</m:t>
        </m:r>
        <m:r>
          <m:rPr>
            <m:sty m:val="p"/>
          </m:rPr>
          <m:t>=</m:t>
        </m:r>
        <m:r>
          <m:t>.245</m:t>
        </m:r>
      </m:oMath>
      <w:r>
        <w:t xml:space="preserve">), and the point estimate was</w:t>
      </w:r>
      <w:r>
        <w:t xml:space="preserve"> </w:t>
      </w:r>
      <w:r>
        <w:rPr>
          <w:b/>
          <w:bCs/>
        </w:rPr>
        <w:t xml:space="preserve">positive</w:t>
      </w:r>
      <w:r>
        <w:t xml:space="preserve">—opposite to Hypothesis 3a. Plausible accounts include limited power, mismatch between the fixed cognitive pupil window and arousal dynamics most relevant to choice, or a weak or null true coupling; pre-specified sensitivity analyses (below and</w:t>
      </w:r>
      <w:r>
        <w:t xml:space="preserve"> </w:t>
      </w:r>
      <w:hyperlink w:anchor="sec-appendix-b">
        <w:r>
          <w:rPr>
            <w:rStyle w:val="Hyperlink"/>
          </w:rPr>
          <w:t xml:space="preserve">Appendix B</w:t>
        </w:r>
      </w:hyperlink>
      <w:r>
        <w:t xml:space="preserve">) qualify this pattern.</w:t>
      </w:r>
    </w:p>
    <w:p>
      <w:pPr>
        <w:pStyle w:val="BodyText"/>
      </w:pPr>
      <w:r>
        <w:t xml:space="preserve">Model-predicted psychometric functions at low (−1 SD) and high (+1 SD) pupil state are shown in</w:t>
      </w:r>
      <w:r>
        <w:t xml:space="preserve"> </w:t>
      </w:r>
      <w:hyperlink w:anchor="sec-appendix-b">
        <w:r>
          <w:rPr>
            <w:rStyle w:val="Hyperlink"/>
          </w:rPr>
          <w:t xml:space="preserve">Appendix B</w:t>
        </w:r>
      </w:hyperlink>
      <w:r>
        <w:t xml:space="preserve"> </w:t>
      </w:r>
      <w:r>
        <w:t xml:space="preserve">(</w:t>
      </w:r>
      <w:hyperlink w:anchor="fig-appendix-b1-predicted">
        <w:r>
          <w:rPr>
            <w:rStyle w:val="Hyperlink"/>
          </w:rPr>
          <w:t xml:space="preserve">Figure 11</w:t>
        </w:r>
      </w:hyperlink>
      <w:r>
        <w:t xml:space="preserve">); the apparent visual separation of curves reflects extrapolation across the full scaled intensity range and should not be interpreted as evidence of a reliable effect given that the interaction was</w:t>
      </w:r>
      <w:r>
        <w:t xml:space="preserve"> </w:t>
      </w:r>
      <w:r>
        <w:rPr>
          <w:b/>
          <w:bCs/>
        </w:rPr>
        <w:t xml:space="preserve">not significant</w:t>
      </w:r>
      <w:r>
        <w:t xml:space="preserve"> </w:t>
      </w:r>
      <w:r>
        <w:t xml:space="preserve">(</w:t>
      </w:r>
      <m:oMath>
        <m:r>
          <m:t>β</m:t>
        </m:r>
        <m:r>
          <m:rPr>
            <m:sty m:val="p"/>
          </m:rPr>
          <m:t>=</m:t>
        </m:r>
        <m:r>
          <m:t>0.035</m:t>
        </m:r>
      </m:oMath>
      <w:r>
        <w:t xml:space="preserve">, 95% CI</w:t>
      </w:r>
      <w:r>
        <w:t xml:space="preserve"> </w:t>
      </w:r>
      <m:oMath>
        <m:d>
          <m:dPr>
            <m:begChr m:val="["/>
            <m:sepChr m:val=""/>
            <m:endChr m:val="]"/>
            <m:grow/>
          </m:dPr>
          <m:e>
            <m:r>
              <m:rPr>
                <m:sty m:val="p"/>
              </m:rPr>
              <m:t>−</m:t>
            </m:r>
            <m:r>
              <m:t>0.024</m:t>
            </m:r>
            <m:r>
              <m:rPr>
                <m:sty m:val="p"/>
              </m:rPr>
              <m:t>,</m:t>
            </m:r>
            <m:r>
              <m:t> </m:t>
            </m:r>
            <m:r>
              <m:rPr>
                <m:sty m:val="p"/>
              </m:rPr>
              <m:t>+</m:t>
            </m:r>
            <m:r>
              <m:t>0.095</m:t>
            </m:r>
          </m:e>
        </m:d>
      </m:oMath>
      <w:r>
        <w:t xml:space="preserve">,</w:t>
      </w:r>
      <w:r>
        <w:t xml:space="preserve"> </w:t>
      </w:r>
      <m:oMath>
        <m:r>
          <m:t>p</m:t>
        </m:r>
        <m:r>
          <m:rPr>
            <m:sty m:val="p"/>
          </m:rPr>
          <m:t>=</m:t>
        </m:r>
        <m:r>
          <m:t>.245</m:t>
        </m:r>
      </m:oMath>
      <w:r>
        <w:t xml:space="preserve">).</w:t>
      </w:r>
    </w:p>
    <w:tbl>
      <w:tblPr>
        <w:tblStyle w:val="Table"/>
        <w:tblW w:type="pct" w:w="5000"/>
        <w:tblLayout w:type="fixed"/>
        <w:tblLook w:firstRow="0" w:lastRow="0" w:firstColumn="0" w:lastColumn="0" w:noHBand="0" w:noVBand="0" w:val="0000"/>
      </w:tblPr>
      <w:tblGrid>
        <w:gridCol w:w="7920"/>
      </w:tblGrid>
      <w:tr>
        <w:tc>
          <w:tcPr/>
          <w:bookmarkStart w:id="73" w:name="fig-pupil-psychometric"/>
          <w:p>
            <w:pPr>
              <w:pStyle w:val="Compact"/>
              <w:jc w:val="center"/>
            </w:pPr>
            <w:r>
              <w:drawing>
                <wp:inline>
                  <wp:extent cx="5334000" cy="3556000"/>
                  <wp:effectExtent b="0" l="0" r="0" t="0"/>
                  <wp:docPr descr="" title="" id="71" name="Picture"/>
                  <a:graphic>
                    <a:graphicData uri="http://schemas.openxmlformats.org/drawingml/2006/picture">
                      <pic:pic>
                        <pic:nvPicPr>
                          <pic:cNvPr descr="../../../06_visualization/output/figures/fig3_psychometric_by_pupil_state.png" id="72" name="Picture"/>
                          <pic:cNvPicPr>
                            <a:picLocks noChangeArrowheads="1" noChangeAspect="1"/>
                          </pic:cNvPicPr>
                        </pic:nvPicPr>
                        <pic:blipFill>
                          <a:blip r:embed="rId70"/>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Psychometric Functions by Pupil State (Primary Analysis). Physical stimulus values per facet row: ADT frequency offsets of 8, 16, 32, 64 Hz above 1000 Hz base; VDT Gabor contrast differences of 0.06, 0.12, 0.24, 0.48.</w:t>
            </w:r>
          </w:p>
          <w:bookmarkEnd w:id="73"/>
        </w:tc>
      </w:tr>
    </w:tbl>
    <w:bookmarkStart w:id="74" w:name="sec-pupil-quality-tier"/>
    <w:p>
      <w:pPr>
        <w:pStyle w:val="Heading3"/>
      </w:pPr>
      <w:r>
        <w:t xml:space="preserve">3.5.1 Robustness checks: quality tiers and equivalence (TOST)</w:t>
      </w:r>
    </w:p>
    <w:p>
      <w:pPr>
        <w:pStyle w:val="FirstParagraph"/>
      </w:pPr>
      <w:r>
        <w:t xml:space="preserve">The stimulus intensity</w:t>
      </w:r>
      <w:r>
        <w:t xml:space="preserve"> </w:t>
      </w:r>
      <m:oMath>
        <m:r>
          <m:rPr>
            <m:sty m:val="p"/>
          </m:rPr>
          <m:t>×</m:t>
        </m:r>
      </m:oMath>
      <w:r>
        <w:t xml:space="preserve"> </w:t>
      </w:r>
      <w:r>
        <w:t xml:space="preserve">pupil state interaction was significant only in the lenient quality tier (</w:t>
      </w:r>
      <m:oMath>
        <m:r>
          <m:t>β</m:t>
        </m:r>
        <m:r>
          <m:rPr>
            <m:sty m:val="p"/>
          </m:rPr>
          <m:t>=</m:t>
        </m:r>
        <m:r>
          <m:rPr>
            <m:sty m:val="p"/>
          </m:rPr>
          <m:t>+</m:t>
        </m:r>
        <m:r>
          <m:t>0.064</m:t>
        </m:r>
      </m:oMath>
      <w:r>
        <w:t xml:space="preserve">,</w:t>
      </w:r>
      <w:r>
        <w:t xml:space="preserve"> </w:t>
      </w:r>
      <m:oMath>
        <m:r>
          <m:t>S</m:t>
        </m:r>
        <m:r>
          <m:t>E</m:t>
        </m:r>
        <m:r>
          <m:rPr>
            <m:sty m:val="p"/>
          </m:rPr>
          <m:t>=</m:t>
        </m:r>
        <m:r>
          <m:t>0.028</m:t>
        </m:r>
      </m:oMath>
      <w:r>
        <w:t xml:space="preserve">,</w:t>
      </w:r>
      <w:r>
        <w:t xml:space="preserve"> </w:t>
      </w:r>
      <m:oMath>
        <m:r>
          <m:t>z</m:t>
        </m:r>
        <m:r>
          <m:rPr>
            <m:sty m:val="p"/>
          </m:rPr>
          <m:t>=</m:t>
        </m:r>
        <m:r>
          <m:t>2.30</m:t>
        </m:r>
      </m:oMath>
      <w:r>
        <w:t xml:space="preserve">,</w:t>
      </w:r>
      <w:r>
        <w:t xml:space="preserve"> </w:t>
      </w:r>
      <m:oMath>
        <m:r>
          <m:t>p</m:t>
        </m:r>
        <m:r>
          <m:rPr>
            <m:sty m:val="p"/>
          </m:rPr>
          <m:t>=</m:t>
        </m:r>
        <m:r>
          <m:t>.021</m:t>
        </m:r>
      </m:oMath>
      <w:r>
        <w:t xml:space="preserve">), but did not persist in the primary tier (</w:t>
      </w:r>
      <m:oMath>
        <m:r>
          <m:t>β</m:t>
        </m:r>
        <m:r>
          <m:rPr>
            <m:sty m:val="p"/>
          </m:rPr>
          <m:t>=</m:t>
        </m:r>
        <m:r>
          <m:rPr>
            <m:sty m:val="p"/>
          </m:rPr>
          <m:t>+</m:t>
        </m:r>
        <m:r>
          <m:t>0.035</m:t>
        </m:r>
      </m:oMath>
      <w:r>
        <w:t xml:space="preserve">,</w:t>
      </w:r>
      <w:r>
        <w:t xml:space="preserve"> </w:t>
      </w:r>
      <m:oMath>
        <m:r>
          <m:t>S</m:t>
        </m:r>
        <m:r>
          <m:t>E</m:t>
        </m:r>
        <m:r>
          <m:rPr>
            <m:sty m:val="p"/>
          </m:rPr>
          <m:t>=</m:t>
        </m:r>
        <m:r>
          <m:t>0.030</m:t>
        </m:r>
      </m:oMath>
      <w:r>
        <w:t xml:space="preserve">,</w:t>
      </w:r>
      <w:r>
        <w:t xml:space="preserve"> </w:t>
      </w:r>
      <m:oMath>
        <m:r>
          <m:t>z</m:t>
        </m:r>
        <m:r>
          <m:rPr>
            <m:sty m:val="p"/>
          </m:rPr>
          <m:t>=</m:t>
        </m:r>
        <m:r>
          <m:t>1.163</m:t>
        </m:r>
      </m:oMath>
      <w:r>
        <w:t xml:space="preserve">,</w:t>
      </w:r>
      <w:r>
        <w:t xml:space="preserve"> </w:t>
      </w:r>
      <m:oMath>
        <m:r>
          <m:t>p</m:t>
        </m:r>
        <m:r>
          <m:rPr>
            <m:sty m:val="p"/>
          </m:rPr>
          <m:t>=</m:t>
        </m:r>
        <m:r>
          <m:t>.245</m:t>
        </m:r>
      </m:oMath>
      <w:r>
        <w:t xml:space="preserve">) or the strict tier (</w:t>
      </w:r>
      <m:oMath>
        <m:r>
          <m:t>β</m:t>
        </m:r>
        <m:r>
          <m:rPr>
            <m:sty m:val="p"/>
          </m:rPr>
          <m:t>=</m:t>
        </m:r>
        <m:r>
          <m:rPr>
            <m:sty m:val="p"/>
          </m:rPr>
          <m:t>+</m:t>
        </m:r>
        <m:r>
          <m:t>0.039</m:t>
        </m:r>
      </m:oMath>
      <w:r>
        <w:t xml:space="preserve">,</w:t>
      </w:r>
      <w:r>
        <w:t xml:space="preserve"> </w:t>
      </w:r>
      <m:oMath>
        <m:r>
          <m:t>S</m:t>
        </m:r>
        <m:r>
          <m:t>E</m:t>
        </m:r>
        <m:r>
          <m:rPr>
            <m:sty m:val="p"/>
          </m:rPr>
          <m:t>=</m:t>
        </m:r>
        <m:r>
          <m:t>0.032</m:t>
        </m:r>
      </m:oMath>
      <w:r>
        <w:t xml:space="preserve">,</w:t>
      </w:r>
      <w:r>
        <w:t xml:space="preserve"> </w:t>
      </w:r>
      <m:oMath>
        <m:r>
          <m:t>z</m:t>
        </m:r>
        <m:r>
          <m:rPr>
            <m:sty m:val="p"/>
          </m:rPr>
          <m:t>=</m:t>
        </m:r>
        <m:r>
          <m:t>1.213</m:t>
        </m:r>
      </m:oMath>
      <w:r>
        <w:t xml:space="preserve">,</w:t>
      </w:r>
      <w:r>
        <w:t xml:space="preserve"> </w:t>
      </w:r>
      <m:oMath>
        <m:r>
          <m:t>p</m:t>
        </m:r>
        <m:r>
          <m:rPr>
            <m:sty m:val="p"/>
          </m:rPr>
          <m:t>=</m:t>
        </m:r>
        <m:r>
          <m:t>.225</m:t>
        </m:r>
      </m:oMath>
      <w:r>
        <w:t xml:space="preserve">). This inconsistency across quality tiers indicates the effect is not robust: the lenient tier includes trials with lower data quality, and the lenient-tier significance likely reflects greater statistical power from the larger trial count rather than a consistent signal. AIC comparison showed the model without the interaction term fit marginally better (Without: 4187.47; With: 4188.13;</w:t>
      </w:r>
      <w:r>
        <w:t xml:space="preserve"> </w:t>
      </w:r>
      <m:oMath>
        <m:r>
          <m:t>Δ</m:t>
        </m:r>
      </m:oMath>
      <w:r>
        <w:t xml:space="preserve">AIC = 0.66), consistent with the non-significant interaction coefficient. Supplementary tier-wise output and AIC tables appear in</w:t>
      </w:r>
      <w:r>
        <w:t xml:space="preserve"> </w:t>
      </w:r>
      <w:hyperlink w:anchor="sec-appendix-b">
        <w:r>
          <w:rPr>
            <w:rStyle w:val="Hyperlink"/>
          </w:rPr>
          <w:t xml:space="preserve">Appendix B</w:t>
        </w:r>
      </w:hyperlink>
      <w:r>
        <w:t xml:space="preserve">.</w:t>
      </w:r>
    </w:p>
    <w:p>
      <w:pPr>
        <w:pStyle w:val="BodyText"/>
      </w:pPr>
      <w:r>
        <w:t xml:space="preserve">The slow-RT sensitivity subset (trials with RT &gt; 1.5 s,</w:t>
      </w:r>
      <w:r>
        <w:t xml:space="preserve"> </w:t>
      </w:r>
      <w:r>
        <w:rPr>
          <w:i/>
          <w:iCs/>
        </w:rPr>
        <w:t xml:space="preserve">N</w:t>
      </w:r>
      <w:r>
        <w:t xml:space="preserve"> </w:t>
      </w:r>
      <w:r>
        <w:t xml:space="preserve">= 940 trials from 52 participants) yielded</w:t>
      </w:r>
      <w:r>
        <w:t xml:space="preserve"> </w:t>
      </w:r>
      <m:oMath>
        <m:r>
          <m:t>β</m:t>
        </m:r>
      </m:oMath>
      <w:r>
        <w:t xml:space="preserve"> </w:t>
      </w:r>
      <w:r>
        <w:t xml:space="preserve">= −0.071,</w:t>
      </w:r>
      <w:r>
        <w:t xml:space="preserve"> </w:t>
      </w:r>
      <w:r>
        <w:rPr>
          <w:i/>
          <w:iCs/>
        </w:rPr>
        <w:t xml:space="preserve">SE</w:t>
      </w:r>
      <w:r>
        <w:t xml:space="preserve"> </w:t>
      </w:r>
      <w:r>
        <w:t xml:space="preserve">= 0.051,</w:t>
      </w:r>
      <w:r>
        <w:t xml:space="preserve"> </w:t>
      </w:r>
      <w:r>
        <w:rPr>
          <w:i/>
          <w:iCs/>
        </w:rPr>
        <w:t xml:space="preserve">z</w:t>
      </w:r>
      <w:r>
        <w:t xml:space="preserve"> </w:t>
      </w:r>
      <w:r>
        <w:t xml:space="preserve">= −1.39,</w:t>
      </w:r>
      <w:r>
        <w:t xml:space="preserve"> </w:t>
      </w:r>
      <w:r>
        <w:rPr>
          <w:i/>
          <w:iCs/>
        </w:rPr>
        <w:t xml:space="preserve">p</w:t>
      </w:r>
      <w:r>
        <w:t xml:space="preserve"> </w:t>
      </w:r>
      <w:r>
        <w:t xml:space="preserve">= .164 — opposite in sign to the primary-tier estimate (</w:t>
      </w:r>
      <m:oMath>
        <m:r>
          <m:t>β</m:t>
        </m:r>
      </m:oMath>
      <w:r>
        <w:t xml:space="preserve"> </w:t>
      </w:r>
      <w:r>
        <w:t xml:space="preserve">= +0.035). This sign reversal means motor contamination of the cognitive pupil window cannot be excluded as a partial contributor to the primary-tier pattern, though neither analysis supports a reliable interaction. Taken together, there is no robust evidence for moment-to-moment pupil state modulating psychometric sensitivity at the primary analysis level.</w:t>
      </w:r>
    </w:p>
    <w:p>
      <w:pPr>
        <w:pStyle w:val="BodyText"/>
      </w:pPr>
      <w:r>
        <w:t xml:space="preserve">Equivalence was tested with two one-sided tests (TOST) using a pre-specified smallest effect size of interest (SESOI) of</w:t>
      </w:r>
      <w:r>
        <w:t xml:space="preserve"> </w:t>
      </w:r>
      <m:oMath>
        <m:r>
          <m:rPr>
            <m:sty m:val="p"/>
          </m:rPr>
          <m:t>±</m:t>
        </m:r>
        <m:r>
          <m:t>0.10</m:t>
        </m:r>
      </m:oMath>
      <w:r>
        <w:t xml:space="preserve"> </w:t>
      </w:r>
      <w:r>
        <w:t xml:space="preserve">probit units (≈7.6% of the main intensity slope; rationale in Section 4.3.3). The 90% confidence interval for the interaction term (</w:t>
      </w:r>
      <m:oMath>
        <m:r>
          <m:rPr>
            <m:sty m:val="p"/>
          </m:rPr>
          <m:t>L</m:t>
        </m:r>
        <m:r>
          <m:rPr>
            <m:sty m:val="p"/>
          </m:rPr>
          <m:t>B</m:t>
        </m:r>
        <m:r>
          <m:rPr>
            <m:sty m:val="p"/>
          </m:rPr>
          <m:t>=</m:t>
        </m:r>
        <m:r>
          <m:rPr>
            <m:sty m:val="p"/>
          </m:rPr>
          <m:t>−</m:t>
        </m:r>
        <m:r>
          <m:t>0.015</m:t>
        </m:r>
      </m:oMath>
      <w:r>
        <w:t xml:space="preserve">,</w:t>
      </w:r>
      <w:r>
        <w:t xml:space="preserve"> </w:t>
      </w:r>
      <m:oMath>
        <m:r>
          <m:rPr>
            <m:sty m:val="p"/>
          </m:rPr>
          <m:t>U</m:t>
        </m:r>
        <m:r>
          <m:rPr>
            <m:sty m:val="p"/>
          </m:rPr>
          <m:t>B</m:t>
        </m:r>
        <m:r>
          <m:rPr>
            <m:sty m:val="p"/>
          </m:rPr>
          <m:t>=</m:t>
        </m:r>
        <m:r>
          <m:rPr>
            <m:sty m:val="p"/>
          </m:rPr>
          <m:t>+</m:t>
        </m:r>
        <m:r>
          <m:t>0.085</m:t>
        </m:r>
      </m:oMath>
      <w:r>
        <w:t xml:space="preserve">) fell entirely within the pre-specified equivalence bounds of</w:t>
      </w:r>
      <w:r>
        <w:t xml:space="preserve"> </w:t>
      </w:r>
      <m:oMath>
        <m:r>
          <m:rPr>
            <m:sty m:val="p"/>
          </m:rPr>
          <m:t>±</m:t>
        </m:r>
        <m:r>
          <m:t>0.10</m:t>
        </m:r>
      </m:oMath>
      <w:r>
        <w:t xml:space="preserve"> </w:t>
      </w:r>
      <w:r>
        <w:t xml:space="preserve">probit units. Both one-sided tests were significant (lower bound:</w:t>
      </w:r>
      <w:r>
        <w:t xml:space="preserve"> </w:t>
      </w:r>
      <m:oMath>
        <m:r>
          <m:t>z</m:t>
        </m:r>
        <m:r>
          <m:rPr>
            <m:sty m:val="p"/>
          </m:rPr>
          <m:t>=</m:t>
        </m:r>
        <m:r>
          <m:t>4.50</m:t>
        </m:r>
      </m:oMath>
      <w:r>
        <w:t xml:space="preserve">,</w:t>
      </w:r>
      <w:r>
        <w:t xml:space="preserve"> </w:t>
      </w:r>
      <m:oMath>
        <m:r>
          <m:t>p</m:t>
        </m:r>
        <m:r>
          <m:rPr>
            <m:sty m:val="p"/>
          </m:rPr>
          <m:t>&lt;</m:t>
        </m:r>
        <m:r>
          <m:t>.001</m:t>
        </m:r>
      </m:oMath>
      <w:r>
        <w:t xml:space="preserve">; upper bound:</w:t>
      </w:r>
      <w:r>
        <w:t xml:space="preserve"> </w:t>
      </w:r>
      <m:oMath>
        <m:r>
          <m:t>z</m:t>
        </m:r>
        <m:r>
          <m:rPr>
            <m:sty m:val="p"/>
          </m:rPr>
          <m:t>=</m:t>
        </m:r>
        <m:r>
          <m:rPr>
            <m:sty m:val="p"/>
          </m:rPr>
          <m:t>−</m:t>
        </m:r>
        <m:r>
          <m:t>2.17</m:t>
        </m:r>
      </m:oMath>
      <w:r>
        <w:t xml:space="preserve">,</w:t>
      </w:r>
      <w:r>
        <w:t xml:space="preserve"> </w:t>
      </w:r>
      <m:oMath>
        <m:r>
          <m:t>p</m:t>
        </m:r>
        <m:r>
          <m:rPr>
            <m:sty m:val="p"/>
          </m:rPr>
          <m:t>=</m:t>
        </m:r>
        <m:r>
          <m:t>.015</m:t>
        </m:r>
      </m:oMath>
      <w:r>
        <w:t xml:space="preserve">), so the data are</w:t>
      </w:r>
      <w:r>
        <w:t xml:space="preserve"> </w:t>
      </w:r>
      <w:r>
        <w:rPr>
          <w:b/>
          <w:bCs/>
        </w:rPr>
        <w:t xml:space="preserve">consistent with equivalence</w:t>
      </w:r>
      <w:r>
        <w:t xml:space="preserve"> </w:t>
      </w:r>
      <w:r>
        <w:t xml:space="preserve">to zero at this SESOI: coupling effects larger in magnitude than</w:t>
      </w:r>
      <w:r>
        <w:t xml:space="preserve"> </w:t>
      </w:r>
      <m:oMath>
        <m:r>
          <m:rPr>
            <m:sty m:val="p"/>
          </m:rPr>
          <m:t>±</m:t>
        </m:r>
        <m:r>
          <m:t>0.10</m:t>
        </m:r>
      </m:oMath>
      <w:r>
        <w:t xml:space="preserve"> </w:t>
      </w:r>
      <w:r>
        <w:t xml:space="preserve">probit units are statistically incompatible with the estimate. The frequentist null hypothesis (</w:t>
      </w:r>
      <m:oMath>
        <m:r>
          <m:t>β</m:t>
        </m:r>
        <m:r>
          <m:rPr>
            <m:sty m:val="p"/>
          </m:rPr>
          <m:t>=</m:t>
        </m:r>
        <m:r>
          <m:t>0</m:t>
        </m:r>
      </m:oMath>
      <w:r>
        <w:t xml:space="preserve">) was not rejected at</w:t>
      </w:r>
      <w:r>
        <w:t xml:space="preserve"> </w:t>
      </w:r>
      <m:oMath>
        <m:r>
          <m:t>α</m:t>
        </m:r>
        <m:r>
          <m:rPr>
            <m:sty m:val="p"/>
          </m:rPr>
          <m:t>=</m:t>
        </m:r>
        <m:r>
          <m:t>.05</m:t>
        </m:r>
      </m:oMath>
      <w:r>
        <w:t xml:space="preserve">, but the equivalence framing implies that any non-null coupling, if present, is</w:t>
      </w:r>
      <w:r>
        <w:t xml:space="preserve"> </w:t>
      </w:r>
      <w:r>
        <w:rPr>
          <w:b/>
          <w:bCs/>
        </w:rPr>
        <w:t xml:space="preserve">negligible</w:t>
      </w:r>
      <w:r>
        <w:t xml:space="preserve"> </w:t>
      </w:r>
      <w:r>
        <w:t xml:space="preserve">relative to the SESOI rather than that the study was simply underpowered to detect the point estimate.</w:t>
      </w:r>
    </w:p>
    <w:bookmarkEnd w:id="74"/>
    <w:bookmarkEnd w:id="75"/>
    <w:bookmarkStart w:id="85" w:name="subject-level-pfpupil-coupling"/>
    <w:p>
      <w:pPr>
        <w:pStyle w:val="Heading2"/>
      </w:pPr>
      <w:r>
        <w:t xml:space="preserve">3.6 Subject-Level PF–Pupil Coupling</w:t>
      </w:r>
    </w:p>
    <w:tbl>
      <w:tblPr>
        <w:tblStyle w:val="Table"/>
        <w:tblW w:type="pct" w:w="5000"/>
        <w:tblLayout w:type="fixed"/>
        <w:tblLook w:firstRow="0" w:lastRow="0" w:firstColumn="0" w:lastColumn="0" w:noHBand="0" w:noVBand="0" w:val="0000"/>
      </w:tblPr>
      <w:tblGrid>
        <w:gridCol w:w="7920"/>
      </w:tblGrid>
      <w:tr>
        <w:tc>
          <w:tcPr/>
          <w:bookmarkStart w:id="76" w:name="tbl-pf-pupil-correlations"/>
          <w:p>
            <w:pPr>
              <w:jc w:val="center"/>
            </w:pPr>
            <w:pPr>
              <w:jc w:val="start"/>
              <w:spacing w:before="200"/>
              <w:pStyle w:val="ImageCaption"/>
            </w:pPr>
            <w:r>
              <w:t xml:space="preserve">Table 5: Subject-Level Correlations by Task: ΔPupil vs ΔPF Parameters</w:t>
            </w:r>
          </w:p>
          <w:tbl>
            <w:tblPr>
              <w:tblStyle w:val="Table"/>
              <w:tblW w:type="pct" w:w="5000"/>
              <w:tblLayout w:type="fixed"/>
              <w:tblLook w:firstRow="1" w:lastRow="0" w:firstColumn="0" w:lastColumn="0" w:noHBand="0" w:noVBand="0" w:val="0020"/>
            </w:tblPr>
            <w:tblGrid>
              <w:gridCol w:w="600"/>
              <w:gridCol w:w="1680"/>
              <w:gridCol w:w="1560"/>
              <w:gridCol w:w="840"/>
              <w:gridCol w:w="1080"/>
              <w:gridCol w:w="1080"/>
              <w:gridCol w:w="720"/>
              <w:gridCol w:w="360"/>
            </w:tblGrid>
            <w:tr>
              <w:trPr>
                <w:tblHeader w:val="on"/>
              </w:trPr>
              <w:tc>
                <w:tcPr/>
                <w:p>
                  <w:pPr>
                    <w:pStyle w:val="Compact"/>
                    <w:jc w:val="left"/>
                    <w:jc w:val="center"/>
                  </w:pPr>
                  <w:r>
                    <w:t xml:space="preserve">Task</w:t>
                  </w:r>
                </w:p>
              </w:tc>
              <w:tc>
                <w:tcPr/>
                <w:p>
                  <w:pPr>
                    <w:pStyle w:val="Compact"/>
                    <w:jc w:val="left"/>
                    <w:jc w:val="center"/>
                  </w:pPr>
                  <w:r>
                    <w:t xml:space="preserve">Pupil Metric</w:t>
                  </w:r>
                </w:p>
              </w:tc>
              <w:tc>
                <w:tcPr/>
                <w:p>
                  <w:pPr>
                    <w:pStyle w:val="Compact"/>
                    <w:jc w:val="left"/>
                    <w:jc w:val="center"/>
                  </w:pPr>
                  <w:r>
                    <w:t xml:space="preserve">PF Parameter</w:t>
                  </w:r>
                </w:p>
              </w:tc>
              <w:tc>
                <w:tcPr/>
                <w:p>
                  <w:pPr>
                    <w:pStyle w:val="Compact"/>
                    <w:jc w:val="right"/>
                    <w:jc w:val="center"/>
                  </w:pPr>
                  <w:r>
                    <w:t xml:space="preserve">r</w:t>
                  </w:r>
                </w:p>
              </w:tc>
              <w:tc>
                <w:tcPr/>
                <w:p>
                  <w:pPr>
                    <w:pStyle w:val="Compact"/>
                    <w:jc w:val="right"/>
                    <w:jc w:val="center"/>
                  </w:pPr>
                  <w:r>
                    <w:t xml:space="preserve">CI Lower</w:t>
                  </w:r>
                </w:p>
              </w:tc>
              <w:tc>
                <w:tcPr/>
                <w:p>
                  <w:pPr>
                    <w:pStyle w:val="Compact"/>
                    <w:jc w:val="right"/>
                    <w:jc w:val="center"/>
                  </w:pPr>
                  <w:r>
                    <w:t xml:space="preserve">CI Upper</w:t>
                  </w:r>
                </w:p>
              </w:tc>
              <w:tc>
                <w:tcPr/>
                <w:p>
                  <w:pPr>
                    <w:pStyle w:val="Compact"/>
                    <w:jc w:val="right"/>
                    <w:jc w:val="center"/>
                  </w:pPr>
                  <w:r>
                    <w:t xml:space="preserve">p</w:t>
                  </w:r>
                </w:p>
              </w:tc>
              <w:tc>
                <w:tcPr/>
                <w:p>
                  <w:pPr>
                    <w:pStyle w:val="Compact"/>
                    <w:jc w:val="right"/>
                    <w:jc w:val="center"/>
                  </w:pPr>
                  <w:r>
                    <w:t xml:space="preserve">N</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-0.005</w:t>
                  </w:r>
                </w:p>
              </w:tc>
              <w:tc>
                <w:tcPr/>
                <w:p>
                  <w:pPr>
                    <w:pStyle w:val="Compact"/>
                    <w:jc w:val="right"/>
                    <w:jc w:val="center"/>
                  </w:pPr>
                  <w:r>
                    <w:t xml:space="preserve">-0.328</w:t>
                  </w:r>
                </w:p>
              </w:tc>
              <w:tc>
                <w:tcPr/>
                <w:p>
                  <w:pPr>
                    <w:pStyle w:val="Compact"/>
                    <w:jc w:val="right"/>
                    <w:jc w:val="center"/>
                  </w:pPr>
                  <w:r>
                    <w:t xml:space="preserve">0.320</w:t>
                  </w:r>
                </w:p>
              </w:tc>
              <w:tc>
                <w:tcPr/>
                <w:p>
                  <w:pPr>
                    <w:pStyle w:val="Compact"/>
                    <w:jc w:val="right"/>
                    <w:jc w:val="center"/>
                  </w:pPr>
                  <w:r>
                    <w:t xml:space="preserve">0.978</w:t>
                  </w:r>
                </w:p>
              </w:tc>
              <w:tc>
                <w:tcPr/>
                <w:p>
                  <w:pPr>
                    <w:pStyle w:val="Compact"/>
                    <w:jc w:val="right"/>
                    <w:jc w:val="center"/>
                  </w:pPr>
                  <w:r>
                    <w:t xml:space="preserve">37</w:t>
                  </w:r>
                </w:p>
              </w:tc>
            </w:tr>
            <w:tr>
              <w:tc>
                <w:tcPr/>
                <w:p>
                  <w:pPr>
                    <w:pStyle w:val="Compact"/>
                    <w:jc w:val="left"/>
                    <w:jc w:val="center"/>
                  </w:pPr>
                  <w:r>
                    <w:t xml:space="preserve">ADT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0.032</w:t>
                  </w:r>
                </w:p>
              </w:tc>
              <w:tc>
                <w:tcPr/>
                <w:p>
                  <w:pPr>
                    <w:pStyle w:val="Compact"/>
                    <w:jc w:val="right"/>
                    <w:jc w:val="center"/>
                  </w:pPr>
                  <w:r>
                    <w:t xml:space="preserve">-0.295</w:t>
                  </w:r>
                </w:p>
              </w:tc>
              <w:tc>
                <w:tcPr/>
                <w:p>
                  <w:pPr>
                    <w:pStyle w:val="Compact"/>
                    <w:jc w:val="right"/>
                    <w:jc w:val="center"/>
                  </w:pPr>
                  <w:r>
                    <w:t xml:space="preserve">0.352</w:t>
                  </w:r>
                </w:p>
              </w:tc>
              <w:tc>
                <w:tcPr/>
                <w:p>
                  <w:pPr>
                    <w:pStyle w:val="Compact"/>
                    <w:jc w:val="right"/>
                    <w:jc w:val="center"/>
                  </w:pPr>
                  <w:r>
                    <w:t xml:space="preserve">0.851</w:t>
                  </w:r>
                </w:p>
              </w:tc>
              <w:tc>
                <w:tcPr/>
                <w:p>
                  <w:pPr>
                    <w:pStyle w:val="Compact"/>
                    <w:jc w:val="right"/>
                    <w:jc w:val="center"/>
                  </w:pPr>
                  <w:r>
                    <w:t xml:space="preserve">37</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-0.018</w:t>
                  </w:r>
                </w:p>
              </w:tc>
              <w:tc>
                <w:tcPr/>
                <w:p>
                  <w:pPr>
                    <w:pStyle w:val="Compact"/>
                    <w:jc w:val="right"/>
                    <w:jc w:val="center"/>
                  </w:pPr>
                  <w:r>
                    <w:t xml:space="preserve">-0.340</w:t>
                  </w:r>
                </w:p>
              </w:tc>
              <w:tc>
                <w:tcPr/>
                <w:p>
                  <w:pPr>
                    <w:pStyle w:val="Compact"/>
                    <w:jc w:val="right"/>
                    <w:jc w:val="center"/>
                  </w:pPr>
                  <w:r>
                    <w:t xml:space="preserve">0.307</w:t>
                  </w:r>
                </w:p>
              </w:tc>
              <w:tc>
                <w:tcPr/>
                <w:p>
                  <w:pPr>
                    <w:pStyle w:val="Compact"/>
                    <w:jc w:val="right"/>
                    <w:jc w:val="center"/>
                  </w:pPr>
                  <w:r>
                    <w:t xml:space="preserve">0.914</w:t>
                  </w:r>
                </w:p>
              </w:tc>
              <w:tc>
                <w:tcPr/>
                <w:p>
                  <w:pPr>
                    <w:pStyle w:val="Compact"/>
                    <w:jc w:val="right"/>
                    <w:jc w:val="center"/>
                  </w:pPr>
                  <w:r>
                    <w:t xml:space="preserve">37</w:t>
                  </w:r>
                </w:p>
              </w:tc>
            </w:tr>
            <w:tr>
              <w:tc>
                <w:tcPr/>
                <w:p>
                  <w:pPr>
                    <w:pStyle w:val="Compact"/>
                    <w:jc w:val="left"/>
                    <w:jc w:val="center"/>
                  </w:pPr>
                  <w:r>
                    <w:t xml:space="preserve">ADT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0.079</w:t>
                  </w:r>
                </w:p>
              </w:tc>
              <w:tc>
                <w:tcPr/>
                <w:p>
                  <w:pPr>
                    <w:pStyle w:val="Compact"/>
                    <w:jc w:val="right"/>
                    <w:jc w:val="center"/>
                  </w:pPr>
                  <w:r>
                    <w:t xml:space="preserve">-0.251</w:t>
                  </w:r>
                </w:p>
              </w:tc>
              <w:tc>
                <w:tcPr/>
                <w:p>
                  <w:pPr>
                    <w:pStyle w:val="Compact"/>
                    <w:jc w:val="right"/>
                    <w:jc w:val="center"/>
                  </w:pPr>
                  <w:r>
                    <w:t xml:space="preserve">0.393</w:t>
                  </w:r>
                </w:p>
              </w:tc>
              <w:tc>
                <w:tcPr/>
                <w:p>
                  <w:pPr>
                    <w:pStyle w:val="Compact"/>
                    <w:jc w:val="right"/>
                    <w:jc w:val="center"/>
                  </w:pPr>
                  <w:r>
                    <w:t xml:space="preserve">0.642</w:t>
                  </w:r>
                </w:p>
              </w:tc>
              <w:tc>
                <w:tcPr/>
                <w:p>
                  <w:pPr>
                    <w:pStyle w:val="Compact"/>
                    <w:jc w:val="right"/>
                    <w:jc w:val="center"/>
                  </w:pPr>
                  <w:r>
                    <w:t xml:space="preserve">37</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Slope</w:t>
                  </w:r>
                </w:p>
              </w:tc>
              <w:tc>
                <w:tcPr/>
                <w:p>
                  <w:pPr>
                    <w:pStyle w:val="Compact"/>
                    <w:jc w:val="right"/>
                    <w:jc w:val="center"/>
                  </w:pPr>
                  <w:r>
                    <w:t xml:space="preserve">-0.027</w:t>
                  </w:r>
                </w:p>
              </w:tc>
              <w:tc>
                <w:tcPr/>
                <w:p>
                  <w:pPr>
                    <w:pStyle w:val="Compact"/>
                    <w:jc w:val="right"/>
                    <w:jc w:val="center"/>
                  </w:pPr>
                  <w:r>
                    <w:t xml:space="preserve">-0.318</w:t>
                  </w:r>
                </w:p>
              </w:tc>
              <w:tc>
                <w:tcPr/>
                <w:p>
                  <w:pPr>
                    <w:pStyle w:val="Compact"/>
                    <w:jc w:val="right"/>
                    <w:jc w:val="center"/>
                  </w:pPr>
                  <w:r>
                    <w:t xml:space="preserve">0.269</w:t>
                  </w:r>
                </w:p>
              </w:tc>
              <w:tc>
                <w:tcPr/>
                <w:p>
                  <w:pPr>
                    <w:pStyle w:val="Compact"/>
                    <w:jc w:val="right"/>
                    <w:jc w:val="center"/>
                  </w:pPr>
                  <w:r>
                    <w:t xml:space="preserve">0.862</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Cognitive AUC</w:t>
                  </w:r>
                </w:p>
              </w:tc>
              <w:tc>
                <w:tcPr/>
                <w:p>
                  <w:pPr>
                    <w:pStyle w:val="Compact"/>
                    <w:jc w:val="left"/>
                    <w:jc w:val="center"/>
                  </w:pPr>
                  <w:r>
                    <w:t xml:space="preserve">Threshold</w:t>
                  </w:r>
                </w:p>
              </w:tc>
              <w:tc>
                <w:tcPr/>
                <w:p>
                  <w:pPr>
                    <w:pStyle w:val="Compact"/>
                    <w:jc w:val="right"/>
                    <w:jc w:val="center"/>
                  </w:pPr>
                  <w:r>
                    <w:t xml:space="preserve">-0.169</w:t>
                  </w:r>
                </w:p>
              </w:tc>
              <w:tc>
                <w:tcPr/>
                <w:p>
                  <w:pPr>
                    <w:pStyle w:val="Compact"/>
                    <w:jc w:val="right"/>
                    <w:jc w:val="center"/>
                  </w:pPr>
                  <w:r>
                    <w:t xml:space="preserve">-0.441</w:t>
                  </w:r>
                </w:p>
              </w:tc>
              <w:tc>
                <w:tcPr/>
                <w:p>
                  <w:pPr>
                    <w:pStyle w:val="Compact"/>
                    <w:jc w:val="right"/>
                    <w:jc w:val="center"/>
                  </w:pPr>
                  <w:r>
                    <w:t xml:space="preserve">0.131</w:t>
                  </w:r>
                </w:p>
              </w:tc>
              <w:tc>
                <w:tcPr/>
                <w:p>
                  <w:pPr>
                    <w:pStyle w:val="Compact"/>
                    <w:jc w:val="right"/>
                    <w:jc w:val="center"/>
                  </w:pPr>
                  <w:r>
                    <w:t xml:space="preserve">0.267</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Slope</w:t>
                  </w:r>
                </w:p>
              </w:tc>
              <w:tc>
                <w:tcPr/>
                <w:p>
                  <w:pPr>
                    <w:pStyle w:val="Compact"/>
                    <w:jc w:val="right"/>
                    <w:jc w:val="center"/>
                  </w:pPr>
                  <w:r>
                    <w:t xml:space="preserve">-0.139</w:t>
                  </w:r>
                </w:p>
              </w:tc>
              <w:tc>
                <w:tcPr/>
                <w:p>
                  <w:pPr>
                    <w:pStyle w:val="Compact"/>
                    <w:jc w:val="right"/>
                    <w:jc w:val="center"/>
                  </w:pPr>
                  <w:r>
                    <w:t xml:space="preserve">-0.416</w:t>
                  </w:r>
                </w:p>
              </w:tc>
              <w:tc>
                <w:tcPr/>
                <w:p>
                  <w:pPr>
                    <w:pStyle w:val="Compact"/>
                    <w:jc w:val="right"/>
                    <w:jc w:val="center"/>
                  </w:pPr>
                  <w:r>
                    <w:t xml:space="preserve">0.161</w:t>
                  </w:r>
                </w:p>
              </w:tc>
              <w:tc>
                <w:tcPr/>
                <w:p>
                  <w:pPr>
                    <w:pStyle w:val="Compact"/>
                    <w:jc w:val="right"/>
                    <w:jc w:val="center"/>
                  </w:pPr>
                  <w:r>
                    <w:t xml:space="preserve">0.363</w:t>
                  </w:r>
                </w:p>
              </w:tc>
              <w:tc>
                <w:tcPr/>
                <w:p>
                  <w:pPr>
                    <w:pStyle w:val="Compact"/>
                    <w:jc w:val="right"/>
                    <w:jc w:val="center"/>
                  </w:pPr>
                  <w:r>
                    <w:t xml:space="preserve">45</w:t>
                  </w:r>
                </w:p>
              </w:tc>
            </w:tr>
            <w:tr>
              <w:tc>
                <w:tcPr/>
                <w:p>
                  <w:pPr>
                    <w:pStyle w:val="Compact"/>
                    <w:jc w:val="left"/>
                    <w:jc w:val="center"/>
                  </w:pPr>
                  <w:r>
                    <w:t xml:space="preserve">VDT</w:t>
                  </w:r>
                </w:p>
              </w:tc>
              <w:tc>
                <w:tcPr/>
                <w:p>
                  <w:pPr>
                    <w:pStyle w:val="Compact"/>
                    <w:jc w:val="left"/>
                    <w:jc w:val="center"/>
                  </w:pPr>
                  <w:r>
                    <w:t xml:space="preserve">Total AUC</w:t>
                  </w:r>
                </w:p>
              </w:tc>
              <w:tc>
                <w:tcPr/>
                <w:p>
                  <w:pPr>
                    <w:pStyle w:val="Compact"/>
                    <w:jc w:val="left"/>
                    <w:jc w:val="center"/>
                  </w:pPr>
                  <w:r>
                    <w:t xml:space="preserve">Threshold</w:t>
                  </w:r>
                </w:p>
              </w:tc>
              <w:tc>
                <w:tcPr/>
                <w:p>
                  <w:pPr>
                    <w:pStyle w:val="Compact"/>
                    <w:jc w:val="right"/>
                    <w:jc w:val="center"/>
                  </w:pPr>
                  <w:r>
                    <w:t xml:space="preserve">-0.183</w:t>
                  </w:r>
                </w:p>
              </w:tc>
              <w:tc>
                <w:tcPr/>
                <w:p>
                  <w:pPr>
                    <w:pStyle w:val="Compact"/>
                    <w:jc w:val="right"/>
                    <w:jc w:val="center"/>
                  </w:pPr>
                  <w:r>
                    <w:t xml:space="preserve">-0.452</w:t>
                  </w:r>
                </w:p>
              </w:tc>
              <w:tc>
                <w:tcPr/>
                <w:p>
                  <w:pPr>
                    <w:pStyle w:val="Compact"/>
                    <w:jc w:val="right"/>
                    <w:jc w:val="center"/>
                  </w:pPr>
                  <w:r>
                    <w:t xml:space="preserve">0.117</w:t>
                  </w:r>
                </w:p>
              </w:tc>
              <w:tc>
                <w:tcPr/>
                <w:p>
                  <w:pPr>
                    <w:pStyle w:val="Compact"/>
                    <w:jc w:val="right"/>
                    <w:jc w:val="center"/>
                  </w:pPr>
                  <w:r>
                    <w:t xml:space="preserve">0.229</w:t>
                  </w:r>
                </w:p>
              </w:tc>
              <w:tc>
                <w:tcPr/>
                <w:p>
                  <w:pPr>
                    <w:pStyle w:val="Compact"/>
                    <w:jc w:val="right"/>
                    <w:jc w:val="center"/>
                  </w:pPr>
                  <w:r>
                    <w:t xml:space="preserve">45</w:t>
                  </w:r>
                </w:p>
              </w:tc>
            </w:tr>
          </w:tbl>
          <w:bookmarkEnd w:id="76"/>
          <w:p/>
        </w:tc>
      </w:tr>
    </w:tbl>
    <w:p>
      <w:pPr>
        <w:pStyle w:val="BodyText"/>
      </w:pPr>
      <w:r>
        <w:t xml:space="preserve">Subject-level coupling between effort-evoked pupil changes and behavioral PF parameters was assessed via the correlation matrix shown in</w:t>
      </w:r>
      <w:r>
        <w:t xml:space="preserve"> </w:t>
      </w:r>
      <w:hyperlink w:anchor="tbl-pf-pupil-correlations">
        <w:r>
          <w:rPr>
            <w:rStyle w:val="Hyperlink"/>
          </w:rPr>
          <w:t xml:space="preserve">Table 5</w:t>
        </w:r>
      </w:hyperlink>
      <w:r>
        <w:t xml:space="preserve">.</w:t>
      </w:r>
    </w:p>
    <w:p>
      <w:pPr>
        <w:pStyle w:val="BodyText"/>
      </w:pPr>
      <w:r>
        <w:t xml:space="preserve">Hypothesis 4 predicted that subject-level changes in pupil metrics (Δpupil = High effort − Low effort) would be positively correlated with changes in thresholds (Δthreshold) and negatively correlated with changes in slopes (Δslope), indicating that individuals with stronger effort-evoked arousal responses also show larger behavioral sensitivity decrements.</w:t>
      </w:r>
    </w:p>
    <w:tbl>
      <w:tblPr>
        <w:tblStyle w:val="Table"/>
        <w:tblW w:type="pct" w:w="5000"/>
        <w:tblLayout w:type="fixed"/>
        <w:tblLook w:firstRow="0" w:lastRow="0" w:firstColumn="0" w:lastColumn="0" w:noHBand="0" w:noVBand="0" w:val="0000"/>
      </w:tblPr>
      <w:tblGrid>
        <w:gridCol w:w="7920"/>
      </w:tblGrid>
      <w:tr>
        <w:tc>
          <w:tcPr/>
          <w:bookmarkStart w:id="80" w:name="fig-subject-coupling-threshold"/>
          <w:p>
            <w:pPr>
              <w:pStyle w:val="Compact"/>
              <w:jc w:val="center"/>
            </w:pPr>
            <w:r>
              <w:drawing>
                <wp:inline>
                  <wp:extent cx="5334000" cy="4000499"/>
                  <wp:effectExtent b="0" l="0" r="0" t="0"/>
                  <wp:docPr descr="" title="" id="78" name="Picture"/>
                  <a:graphic>
                    <a:graphicData uri="http://schemas.openxmlformats.org/drawingml/2006/picture">
                      <pic:pic>
                        <pic:nvPicPr>
                          <pic:cNvPr descr="../../../06_visualization/output/figures/pf_pupil_coupling_threshold.png" id="79" name="Picture"/>
                          <pic:cNvPicPr>
                            <a:picLocks noChangeArrowheads="1" noChangeAspect="1"/>
                          </pic:cNvPicPr>
                        </pic:nvPicPr>
                        <pic:blipFill>
                          <a:blip r:embed="rId77"/>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Subject-level PF–Pupil Coupling: Threshold. Each panel shows the correlation between effort-evoked change in pupil AUC (Δpupil = High − Low) and effort-evoked change in threshold (Δthreshold = High − Low) for ADT (left) and VDT (right). Panels use task-specific y-axis scales because threshold units differ by modality.</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subject-coupling-slope"/>
          <w:p>
            <w:pPr>
              <w:pStyle w:val="Compact"/>
              <w:jc w:val="center"/>
            </w:pPr>
            <w:r>
              <w:drawing>
                <wp:inline>
                  <wp:extent cx="5334000" cy="4000499"/>
                  <wp:effectExtent b="0" l="0" r="0" t="0"/>
                  <wp:docPr descr="" title="" id="82" name="Picture"/>
                  <a:graphic>
                    <a:graphicData uri="http://schemas.openxmlformats.org/drawingml/2006/picture">
                      <pic:pic>
                        <pic:nvPicPr>
                          <pic:cNvPr descr="../../../06_visualization/output/figures/pf_pupil_coupling_slope.png" id="83" name="Picture"/>
                          <pic:cNvPicPr>
                            <a:picLocks noChangeArrowheads="1" noChangeAspect="1"/>
                          </pic:cNvPicPr>
                        </pic:nvPicPr>
                        <pic:blipFill>
                          <a:blip r:embed="rId81"/>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Subject-level PF–Pupil Coupling: Slope. Each panel shows the correlation between effort-evoked change in pupil AUC (Δpupil = High − Low) and effort-evoked change in PF slope (Δslope = High − Low) for ADT (left) and VDT (right). Panels use task-specific y-axis scales.</w:t>
            </w:r>
          </w:p>
          <w:bookmarkEnd w:id="84"/>
        </w:tc>
      </w:tr>
    </w:tbl>
    <w:p>
      <w:pPr>
        <w:pStyle w:val="BodyText"/>
      </w:pPr>
      <w:r>
        <w:t xml:space="preserve">The full pairwise correlation matrix across ΔCognitive AUC, ΔTotal AUC, ΔThreshold, and ΔSlope is shown in</w:t>
      </w:r>
      <w:r>
        <w:t xml:space="preserve"> </w:t>
      </w:r>
      <w:hyperlink w:anchor="sec-appendix-d">
        <w:r>
          <w:rPr>
            <w:rStyle w:val="Hyperlink"/>
          </w:rPr>
          <w:t xml:space="preserve">Appendix D</w:t>
        </w:r>
      </w:hyperlink>
      <w:r>
        <w:t xml:space="preserve">.</w:t>
      </w:r>
    </w:p>
    <w:p>
      <w:pPr>
        <w:pStyle w:val="BodyText"/>
      </w:pPr>
      <w:r>
        <w:t xml:space="preserve">One exploratory pattern deserves note: a significant negative association emerged between effort-evoked changes in Cognitive AUC and Total AUC (r = −0.352, p &lt; .01), so participants with larger total-arousal increases under High effort showed larger</w:t>
      </w:r>
      <w:r>
        <w:t xml:space="preserve"> </w:t>
      </w:r>
      <w:r>
        <w:rPr>
          <w:i/>
          <w:iCs/>
        </w:rPr>
        <w:t xml:space="preserve">reductions</w:t>
      </w:r>
      <w:r>
        <w:t xml:space="preserve"> </w:t>
      </w:r>
      <w:r>
        <w:t xml:space="preserve">in task-evoked cognitive pupil response. Because this pattern comes from the broader subject-level correlation matrix rather than a focal confirmatory hypothesis test, it should be treated as hypothesis-generating rather than definitive evidence for suppression or reallocation.</w:t>
      </w:r>
    </w:p>
    <w:bookmarkEnd w:id="85"/>
    <w:bookmarkStart w:id="87" w:name="summary-of-hypothesis-testing"/>
    <w:p>
      <w:pPr>
        <w:pStyle w:val="Heading2"/>
      </w:pPr>
      <w:r>
        <w:t xml:space="preserve">3.7 Summary of Hypothesis Testing</w:t>
      </w:r>
    </w:p>
    <w:tbl>
      <w:tblPr>
        <w:tblStyle w:val="Table"/>
        <w:tblW w:type="pct" w:w="5000"/>
        <w:tblLayout w:type="fixed"/>
        <w:tblLook w:firstRow="0" w:lastRow="0" w:firstColumn="0" w:lastColumn="0" w:noHBand="0" w:noVBand="0" w:val="0000"/>
      </w:tblPr>
      <w:tblGrid>
        <w:gridCol w:w="7920"/>
      </w:tblGrid>
      <w:tr>
        <w:tc>
          <w:tcPr/>
          <w:bookmarkStart w:id="86" w:name="tbl-hypothesis-summary"/>
          <w:p>
            <w:pPr>
              <w:jc w:val="center"/>
            </w:pPr>
            <w:pPr>
              <w:jc w:val="start"/>
              <w:spacing w:before="200"/>
              <w:pStyle w:val="ImageCaption"/>
            </w:pPr>
            <w:r>
              <w:t xml:space="preserve">Table 6: Summary of Hypothesis Testing Results</w:t>
            </w:r>
          </w:p>
          <w:tbl>
            <w:tblPr>
              <w:tblStyle w:val="Table"/>
              <w:tblW w:type="pct" w:w="5000"/>
              <w:tblLayout w:type="fixed"/>
              <w:tblLook w:firstRow="1" w:lastRow="0" w:firstColumn="0" w:lastColumn="0" w:noHBand="0" w:noVBand="0" w:val="0020"/>
            </w:tblPr>
            <w:tblGrid>
              <w:gridCol w:w="1405"/>
              <w:gridCol w:w="4237"/>
              <w:gridCol w:w="1366"/>
              <w:gridCol w:w="910"/>
            </w:tblGrid>
            <w:tr>
              <w:trPr>
                <w:tblHeader w:val="on"/>
              </w:trPr>
              <w:tc>
                <w:tcPr/>
                <w:p>
                  <w:pPr>
                    <w:pStyle w:val="Compact"/>
                    <w:jc w:val="left"/>
                    <w:jc w:val="center"/>
                  </w:pPr>
                  <w:r>
                    <w:t xml:space="preserve">Hypothesis</w:t>
                  </w:r>
                </w:p>
              </w:tc>
              <w:tc>
                <w:tcPr/>
                <w:p>
                  <w:pPr>
                    <w:pStyle w:val="Compact"/>
                    <w:jc w:val="left"/>
                    <w:jc w:val="center"/>
                  </w:pPr>
                  <w:r>
                    <w:t xml:space="preserve">Support Status</w:t>
                  </w:r>
                </w:p>
              </w:tc>
              <w:tc>
                <w:tcPr/>
                <w:p>
                  <w:pPr>
                    <w:pStyle w:val="Compact"/>
                    <w:jc w:val="left"/>
                    <w:jc w:val="center"/>
                  </w:pPr>
                  <w:r>
                    <w:t xml:space="preserve">Primary Statistic</w:t>
                  </w:r>
                </w:p>
              </w:tc>
              <w:tc>
                <w:tcPr/>
                <w:p>
                  <w:pPr>
                    <w:pStyle w:val="Compact"/>
                    <w:jc w:val="left"/>
                    <w:jc w:val="center"/>
                  </w:pPr>
                  <w:r>
                    <w:t xml:space="preserve">Key Evidence</w:t>
                  </w:r>
                </w:p>
              </w:tc>
            </w:tr>
            <w:tr>
              <w:tc>
                <w:tcPr/>
                <w:p>
                  <w:pPr>
                    <w:pStyle w:val="Compact"/>
                    <w:jc w:val="left"/>
                    <w:jc w:val="center"/>
                  </w:pPr>
                  <w:r>
                    <w:t xml:space="preserve">H1a: Thresholds higher under High effort</w:t>
                  </w:r>
                </w:p>
              </w:tc>
              <w:tc>
                <w:tcPr/>
                <w:p>
                  <w:pPr>
                    <w:pStyle w:val="Compact"/>
                    <w:jc w:val="left"/>
                    <w:jc w:val="center"/>
                  </w:pPr>
                  <w:r>
                    <w:t xml:space="preserve">Partial support (ADT threshold p &lt; .05; VDT threshold ns; Section 3.2)</w:t>
                  </w:r>
                </w:p>
              </w:tc>
              <w:tc>
                <w:tcPr/>
                <w:p>
                  <w:pPr>
                    <w:pStyle w:val="Compact"/>
                    <w:jc w:val="left"/>
                    <w:jc w:val="center"/>
                  </w:pPr>
                  <w:r>
                    <w:t xml:space="preserve">ADT:</w:t>
                  </w:r>
                  <w:r>
                    <w:t xml:space="preserve"> </w:t>
                  </w:r>
                  <w:r>
                    <w:rPr>
                      <w:i/>
                      <w:iCs/>
                    </w:rPr>
                    <w:t xml:space="preserve">t</w:t>
                  </w:r>
                  <w:r>
                    <w:t xml:space="preserve">(63) = 2.242,</w:t>
                  </w:r>
                  <w:r>
                    <w:t xml:space="preserve"> </w:t>
                  </w:r>
                  <w:r>
                    <w:rPr>
                      <w:i/>
                      <w:iCs/>
                    </w:rPr>
                    <w:t xml:space="preserve">p</w:t>
                  </w:r>
                  <w:r>
                    <w:t xml:space="preserve"> </w:t>
                  </w:r>
                  <w:r>
                    <w:t xml:space="preserve">= .028; VDT:</w:t>
                  </w:r>
                  <w:r>
                    <w:t xml:space="preserve"> </w:t>
                  </w:r>
                  <w:r>
                    <w:rPr>
                      <w:i/>
                      <w:iCs/>
                    </w:rPr>
                    <w:t xml:space="preserve">p</w:t>
                  </w:r>
                  <w:r>
                    <w:t xml:space="preserve"> </w:t>
                  </w:r>
                  <w:r>
                    <w:t xml:space="preserve">= .162</w:t>
                  </w:r>
                </w:p>
              </w:tc>
              <w:tc>
                <w:tcPr/>
                <w:p>
                  <w:pPr>
                    <w:pStyle w:val="Compact"/>
                    <w:jc w:val="left"/>
                    <w:jc w:val="center"/>
                  </w:pPr>
                  <w:r>
                    <w:t xml:space="preserve">PF threshold comparison (High vs. Low effort)</w:t>
                  </w:r>
                </w:p>
              </w:tc>
            </w:tr>
            <w:tr>
              <w:tc>
                <w:tcPr/>
                <w:p>
                  <w:pPr>
                    <w:pStyle w:val="Compact"/>
                    <w:jc w:val="left"/>
                    <w:jc w:val="center"/>
                  </w:pPr>
                  <w:r>
                    <w:t xml:space="preserve">H1b: Slopes shallower under High effort</w:t>
                  </w:r>
                </w:p>
              </w:tc>
              <w:tc>
                <w:tcPr/>
                <w:p>
                  <w:pPr>
                    <w:pStyle w:val="Compact"/>
                    <w:jc w:val="left"/>
                    <w:jc w:val="center"/>
                  </w:pPr>
                  <w:r>
                    <w:t xml:space="preserve">Not supported (slopes ns in both modalities; Section 3.2)</w:t>
                  </w:r>
                </w:p>
              </w:tc>
              <w:tc>
                <w:tcPr/>
                <w:p>
                  <w:pPr>
                    <w:pStyle w:val="Compact"/>
                    <w:jc w:val="left"/>
                    <w:jc w:val="center"/>
                  </w:pPr>
                  <w:r>
                    <w:t xml:space="preserve">ADT:</w:t>
                  </w:r>
                  <w:r>
                    <w:t xml:space="preserve"> </w:t>
                  </w:r>
                  <w:r>
                    <w:rPr>
                      <w:i/>
                      <w:iCs/>
                    </w:rPr>
                    <w:t xml:space="preserve">t</w:t>
                  </w:r>
                  <w:r>
                    <w:t xml:space="preserve">(63) = −0.837,</w:t>
                  </w:r>
                  <w:r>
                    <w:t xml:space="preserve"> </w:t>
                  </w:r>
                  <w:r>
                    <w:rPr>
                      <w:i/>
                      <w:iCs/>
                    </w:rPr>
                    <w:t xml:space="preserve">p</w:t>
                  </w:r>
                  <w:r>
                    <w:t xml:space="preserve"> </w:t>
                  </w:r>
                  <w:r>
                    <w:t xml:space="preserve">= .406; VDT:</w:t>
                  </w:r>
                  <w:r>
                    <w:t xml:space="preserve"> </w:t>
                  </w:r>
                  <w:r>
                    <w:rPr>
                      <w:i/>
                      <w:iCs/>
                    </w:rPr>
                    <w:t xml:space="preserve">t</w:t>
                  </w:r>
                  <w:r>
                    <w:t xml:space="preserve">(64) = −1.374,</w:t>
                  </w:r>
                  <w:r>
                    <w:t xml:space="preserve"> </w:t>
                  </w:r>
                  <w:r>
                    <w:rPr>
                      <w:i/>
                      <w:iCs/>
                    </w:rPr>
                    <w:t xml:space="preserve">p</w:t>
                  </w:r>
                  <w:r>
                    <w:t xml:space="preserve"> </w:t>
                  </w:r>
                  <w:r>
                    <w:t xml:space="preserve">= .174</w:t>
                  </w:r>
                </w:p>
              </w:tc>
              <w:tc>
                <w:tcPr/>
                <w:p>
                  <w:pPr>
                    <w:pStyle w:val="Compact"/>
                    <w:jc w:val="left"/>
                    <w:jc w:val="center"/>
                  </w:pPr>
                  <w:r>
                    <w:t xml:space="preserve">PF slope comparison (High vs. Low effort)</w:t>
                  </w:r>
                </w:p>
              </w:tc>
            </w:tr>
            <w:tr>
              <w:tc>
                <w:tcPr/>
                <w:p>
                  <w:pPr>
                    <w:pStyle w:val="Compact"/>
                    <w:jc w:val="left"/>
                    <w:jc w:val="center"/>
                  </w:pPr>
                  <w:r>
                    <w:t xml:space="preserve">H2a: Baseline pupil larger under High effort</w:t>
                  </w:r>
                </w:p>
              </w:tc>
              <w:tc>
                <w:tcPr/>
                <w:p>
                  <w:pPr>
                    <w:pStyle w:val="Compact"/>
                    <w:jc w:val="left"/>
                    <w:jc w:val="center"/>
                  </w:pPr>
                  <w:r>
                    <w:t xml:space="preserve">Indirect support with qualification: operationalized as Total AUC (squeeze-epoch arousal) rather than dedicated pre-stimulus baseline pupil; Total AUC increased under High effort,</w:t>
                  </w:r>
                  <w:r>
                    <w:t xml:space="preserve"> </w:t>
                  </w:r>
                  <w:r>
                    <w:rPr>
                      <w:i/>
                      <w:iCs/>
                    </w:rPr>
                    <w:t xml:space="preserve">p</w:t>
                  </w:r>
                  <w:r>
                    <w:t xml:space="preserve"> </w:t>
                  </w:r>
                  <w:r>
                    <w:t xml:space="preserve">&lt; .023. See Section 3.3 note.</w:t>
                  </w:r>
                </w:p>
              </w:tc>
              <w:tc>
                <w:tcPr/>
                <w:p>
                  <w:pPr>
                    <w:pStyle w:val="Compact"/>
                    <w:jc w:val="left"/>
                    <w:jc w:val="center"/>
                  </w:pPr>
                  <w:r>
                    <w:rPr>
                      <w:i/>
                      <w:iCs/>
                    </w:rPr>
                    <w:t xml:space="preserve">t</w:t>
                  </w:r>
                  <w:r>
                    <w:t xml:space="preserve"> </w:t>
                  </w:r>
                  <w:r>
                    <w:t xml:space="preserve">= 2.282,</w:t>
                  </w:r>
                  <w:r>
                    <w:t xml:space="preserve"> </w:t>
                  </w:r>
                  <w:r>
                    <w:rPr>
                      <w:i/>
                      <w:iCs/>
                    </w:rPr>
                    <w:t xml:space="preserve">p</w:t>
                  </w:r>
                  <w:r>
                    <w:t xml:space="preserve"> </w:t>
                  </w:r>
                  <w:r>
                    <w:t xml:space="preserve">&lt; .023 (Total AUC)</w:t>
                  </w:r>
                </w:p>
              </w:tc>
              <w:tc>
                <w:tcPr/>
                <w:p>
                  <w:pPr>
                    <w:pStyle w:val="Compact"/>
                    <w:jc w:val="left"/>
                    <w:jc w:val="center"/>
                  </w:pPr>
                  <w:r>
                    <w:t xml:space="preserve">Total AUC and Cognitive AUC by effort</w:t>
                  </w:r>
                </w:p>
              </w:tc>
            </w:tr>
            <w:tr>
              <w:tc>
                <w:tcPr/>
                <w:p>
                  <w:pPr>
                    <w:pStyle w:val="Compact"/>
                    <w:jc w:val="left"/>
                    <w:jc w:val="center"/>
                  </w:pPr>
                  <w:r>
                    <w:t xml:space="preserve">H2b: Task-evoked pupil larger under High effort</w:t>
                  </w:r>
                </w:p>
              </w:tc>
              <w:tc>
                <w:tcPr/>
                <w:p>
                  <w:pPr>
                    <w:pStyle w:val="Compact"/>
                    <w:jc w:val="left"/>
                    <w:jc w:val="center"/>
                  </w:pPr>
                  <w:r>
                    <w:t xml:space="preserve">Not supported (Cognitive AUC decreased under High effort, p &lt; .001)</w:t>
                  </w:r>
                </w:p>
              </w:tc>
              <w:tc>
                <w:tcPr/>
                <w:p>
                  <w:pPr>
                    <w:pStyle w:val="Compact"/>
                    <w:jc w:val="left"/>
                    <w:jc w:val="center"/>
                  </w:pPr>
                  <w:r>
                    <w:rPr>
                      <w:i/>
                      <w:iCs/>
                    </w:rPr>
                    <w:t xml:space="preserve">t</w:t>
                  </w:r>
                  <w:r>
                    <w:t xml:space="preserve"> </w:t>
                  </w:r>
                  <w:r>
                    <w:t xml:space="preserve">= −3.859,</w:t>
                  </w:r>
                  <w:r>
                    <w:t xml:space="preserve"> </w:t>
                  </w:r>
                  <w:r>
                    <w:rPr>
                      <w:i/>
                      <w:iCs/>
                    </w:rPr>
                    <w:t xml:space="preserve">p</w:t>
                  </w:r>
                  <w:r>
                    <w:t xml:space="preserve"> </w:t>
                  </w:r>
                  <w:r>
                    <w:t xml:space="preserve">&lt; .001 (Cognitive AUC)</w:t>
                  </w:r>
                </w:p>
              </w:tc>
              <w:tc>
                <w:tcPr/>
                <w:p>
                  <w:pPr>
                    <w:pStyle w:val="Compact"/>
                    <w:jc w:val="left"/>
                    <w:jc w:val="center"/>
                  </w:pPr>
                  <w:r>
                    <w:t xml:space="preserve">Total AUC and Cognitive AUC by effort</w:t>
                  </w:r>
                </w:p>
              </w:tc>
            </w:tr>
            <w:tr>
              <w:tc>
                <w:tcPr/>
                <w:p>
                  <w:pPr>
                    <w:pStyle w:val="Compact"/>
                    <w:jc w:val="left"/>
                    <w:jc w:val="center"/>
                  </w:pPr>
                  <w:r>
                    <w:t xml:space="preserve">H3a / H3b: Stimulus × pupil-state interaction (directional hypotheses)</w:t>
                  </w:r>
                </w:p>
              </w:tc>
              <w:tc>
                <w:tcPr/>
                <w:p>
                  <w:pPr>
                    <w:pStyle w:val="Compact"/>
                    <w:jc w:val="left"/>
                    <w:jc w:val="center"/>
                  </w:pPr>
                  <w:r>
                    <w:t xml:space="preserve">Not supported at primary tier (positive point estimate; non-significant); lenient tier only reached</w:t>
                  </w:r>
                  <w:r>
                    <w:t xml:space="preserve"> </w:t>
                  </w:r>
                  <w:r>
                    <w:rPr>
                      <w:i/>
                      <w:iCs/>
                    </w:rPr>
                    <w:t xml:space="preserve">p</w:t>
                  </w:r>
                  <w:r>
                    <w:t xml:space="preserve"> </w:t>
                  </w:r>
                  <w:r>
                    <w:t xml:space="preserve">= .021 — not robust (Section 3.5.1, Appendix B)</w:t>
                  </w:r>
                </w:p>
              </w:tc>
              <w:tc>
                <w:tcPr/>
                <w:p>
                  <w:pPr>
                    <w:pStyle w:val="Compact"/>
                    <w:jc w:val="left"/>
                    <w:jc w:val="center"/>
                  </w:pPr>
                  <w:r>
                    <w:t xml:space="preserve">beta = +0.035, 95% CI [-0.024, +0.095],</w:t>
                  </w:r>
                  <w:r>
                    <w:t xml:space="preserve"> </w:t>
                  </w:r>
                  <w:r>
                    <w:rPr>
                      <w:i/>
                      <w:iCs/>
                    </w:rPr>
                    <w:t xml:space="preserve">p</w:t>
                  </w:r>
                  <w:r>
                    <w:t xml:space="preserve"> </w:t>
                  </w:r>
                  <w:r>
                    <w:t xml:space="preserve">= .245</w:t>
                  </w:r>
                </w:p>
              </w:tc>
              <w:tc>
                <w:tcPr/>
                <w:p>
                  <w:pPr>
                    <w:pStyle w:val="Compact"/>
                    <w:jc w:val="left"/>
                    <w:jc w:val="center"/>
                  </w:pPr>
                  <w:r>
                    <w:t xml:space="preserve">Stimulus Intensity × Pupil State interaction</w:t>
                  </w:r>
                </w:p>
              </w:tc>
            </w:tr>
            <w:tr>
              <w:tc>
                <w:tcPr/>
                <w:p>
                  <w:pPr>
                    <w:pStyle w:val="Compact"/>
                    <w:jc w:val="left"/>
                    <w:jc w:val="center"/>
                  </w:pPr>
                  <w:r>
                    <w:t xml:space="preserve">H3c: Minimal pupil trait effects</w:t>
                  </w:r>
                </w:p>
              </w:tc>
              <w:tc>
                <w:tcPr/>
                <w:p>
                  <w:pPr>
                    <w:pStyle w:val="Compact"/>
                    <w:jc w:val="left"/>
                    <w:jc w:val="center"/>
                  </w:pPr>
                  <w:r>
                    <w:t xml:space="preserve">Supported (pupil trait p = .565, not significant)</w:t>
                  </w:r>
                </w:p>
              </w:tc>
              <w:tc>
                <w:tcPr/>
                <w:p>
                  <w:pPr>
                    <w:pStyle w:val="Compact"/>
                    <w:jc w:val="left"/>
                    <w:jc w:val="center"/>
                  </w:pPr>
                  <w:r>
                    <w:t xml:space="preserve">beta = -0.052,</w:t>
                  </w:r>
                  <w:r>
                    <w:t xml:space="preserve"> </w:t>
                  </w:r>
                  <w:r>
                    <w:rPr>
                      <w:i/>
                      <w:iCs/>
                    </w:rPr>
                    <w:t xml:space="preserve">p</w:t>
                  </w:r>
                  <w:r>
                    <w:t xml:space="preserve"> </w:t>
                  </w:r>
                  <w:r>
                    <w:t xml:space="preserve">= .565</w:t>
                  </w:r>
                </w:p>
              </w:tc>
              <w:tc>
                <w:tcPr/>
                <w:p>
                  <w:pPr>
                    <w:pStyle w:val="Compact"/>
                    <w:jc w:val="left"/>
                    <w:jc w:val="center"/>
                  </w:pPr>
                  <w:r>
                    <w:t xml:space="preserve">Pupil trait main effect (between-person)</w:t>
                  </w:r>
                </w:p>
              </w:tc>
            </w:tr>
            <w:tr>
              <w:tc>
                <w:tcPr/>
                <w:p>
                  <w:pPr>
                    <w:pStyle w:val="Compact"/>
                    <w:jc w:val="left"/>
                    <w:jc w:val="center"/>
                  </w:pPr>
                  <w:r>
                    <w:t xml:space="preserve">H4: ΔPupil correlated with ΔPF parameters</w:t>
                  </w:r>
                </w:p>
              </w:tc>
              <w:tc>
                <w:tcPr/>
                <w:p>
                  <w:pPr>
                    <w:pStyle w:val="Compact"/>
                    <w:jc w:val="left"/>
                    <w:jc w:val="center"/>
                  </w:pPr>
                  <w:r>
                    <w:t xml:space="preserve">Not supported (task-specific correlations small in both modalities, p &gt;= .321)</w:t>
                  </w:r>
                </w:p>
              </w:tc>
              <w:tc>
                <w:tcPr/>
                <w:p>
                  <w:pPr>
                    <w:pStyle w:val="Compact"/>
                    <w:jc w:val="left"/>
                    <w:jc w:val="center"/>
                  </w:pPr>
                  <w:r>
                    <w:rPr>
                      <w:i/>
                      <w:iCs/>
                    </w:rPr>
                    <w:t xml:space="preserve">r</w:t>
                  </w:r>
                  <w:r>
                    <w:t xml:space="preserve"> </w:t>
                  </w:r>
                  <w:r>
                    <w:t xml:space="preserve">range: −.082 to +.090, all</w:t>
                  </w:r>
                  <w:r>
                    <w:t xml:space="preserve"> </w:t>
                  </w:r>
                  <w:r>
                    <w:rPr>
                      <w:i/>
                      <w:iCs/>
                    </w:rPr>
                    <w:t xml:space="preserve">p</w:t>
                  </w:r>
                  <w:r>
                    <w:t xml:space="preserve"> </w:t>
                  </w:r>
                  <w:r>
                    <w:t xml:space="preserve">&gt; .42</w:t>
                  </w:r>
                </w:p>
              </w:tc>
              <w:tc>
                <w:tcPr/>
                <w:p>
                  <w:pPr>
                    <w:pStyle w:val="Compact"/>
                    <w:jc w:val="left"/>
                    <w:jc w:val="center"/>
                  </w:pPr>
                  <w:r>
                    <w:t xml:space="preserve">Correlation: Δpupil vs. ΔThreshold, ΔSlope</w:t>
                  </w:r>
                </w:p>
              </w:tc>
            </w:tr>
          </w:tbl>
          <w:bookmarkEnd w:id="86"/>
          <w:p/>
        </w:tc>
      </w:tr>
    </w:tbl>
    <w:p>
      <w:pPr>
        <w:pStyle w:val="BlockText"/>
      </w:pPr>
      <w:r>
        <w:rPr>
          <w:b/>
          <w:bCs/>
        </w:rPr>
        <w:t xml:space="preserve">Note:</w:t>
      </w:r>
      <w:r>
        <w:t xml:space="preserve"> </w:t>
      </w:r>
      <w:r>
        <w:t xml:space="preserve">H1a and H1b were evaluated with within-subject linear mixed models (Section 3.2;</w:t>
      </w:r>
      <w:r>
        <w:t xml:space="preserve"> </w:t>
      </w:r>
      <w:hyperlink w:anchor="tbl-pf-effort-test">
        <w:r>
          <w:rPr>
            <w:rStyle w:val="Hyperlink"/>
          </w:rPr>
          <w:t xml:space="preserve">Table 3</w:t>
        </w:r>
      </w:hyperlink>
      <w:r>
        <w:t xml:space="preserve">). All other hypotheses were evaluated using the analyses summarized in this chapter.</w:t>
      </w:r>
    </w:p>
    <w:bookmarkEnd w:id="87"/>
    <w:bookmarkEnd w:id="88"/>
    <w:bookmarkStart w:id="98" w:name="discussion"/>
    <w:p>
      <w:pPr>
        <w:pStyle w:val="Heading1"/>
      </w:pPr>
      <w:r>
        <w:t xml:space="preserve">4. Discussion</w:t>
      </w:r>
    </w:p>
    <w:bookmarkStart w:id="93" w:name="integration-with-theoretical-frameworks"/>
    <w:p>
      <w:pPr>
        <w:pStyle w:val="Heading2"/>
      </w:pPr>
      <w:r>
        <w:t xml:space="preserve">4.1 Integration with Theoretical Frameworks</w:t>
      </w:r>
    </w:p>
    <w:p>
      <w:pPr>
        <w:pStyle w:val="FirstParagraph"/>
      </w:pPr>
      <w:r>
        <w:t xml:space="preserve">While frequentist tests indicated a null effect for the intensity</w:t>
      </w:r>
      <w:r>
        <w:t xml:space="preserve"> </w:t>
      </w:r>
      <m:oMath>
        <m:r>
          <m:rPr>
            <m:sty m:val="p"/>
          </m:rPr>
          <m:t>×</m:t>
        </m:r>
      </m:oMath>
      <w:r>
        <w:t xml:space="preserve"> </w:t>
      </w:r>
      <w:r>
        <w:t xml:space="preserve">pupil-state interaction, the equivalence analysis confirmed that any potential coupling was</w:t>
      </w:r>
      <w:r>
        <w:t xml:space="preserve"> </w:t>
      </w:r>
      <w:r>
        <w:rPr>
          <w:b/>
          <w:bCs/>
        </w:rPr>
        <w:t xml:space="preserve">statistically negligible</w:t>
      </w:r>
      <w:r>
        <w:t xml:space="preserve">—</w:t>
      </w:r>
      <w:r>
        <w:rPr>
          <w:b/>
          <w:bCs/>
        </w:rPr>
        <w:t xml:space="preserve">equivalent</w:t>
      </w:r>
      <w:r>
        <w:t xml:space="preserve">, under the TOST procedure, to magnitudes below our smallest effect size of interest (SESOI;</w:t>
      </w:r>
      <w:r>
        <w:t xml:space="preserve"> </w:t>
      </w:r>
      <w:hyperlink w:anchor="sec-pupil-quality-tier">
        <w:r>
          <w:rPr>
            <w:rStyle w:val="Hyperlink"/>
          </w:rPr>
          <w:t xml:space="preserve">Section 3.5.1</w:t>
        </w:r>
      </w:hyperlink>
      <w:r>
        <w:t xml:space="preserve">). The present findings contribute to understanding how physical effort and arousal relate to perceptual sensitivity in older adults. The results are interpreted in light of several theoretical frameworks introduced earlier: the Yerkes–Dodson law (inverted-U relationship between arousal and performance), Adaptive Gain Theory (optimal LC–NE balance for performance), and resource competition models (limited capacity for dual-task performance).</w:t>
      </w:r>
    </w:p>
    <w:p>
      <w:pPr>
        <w:pStyle w:val="BodyText"/>
      </w:pPr>
      <w:r>
        <w:t xml:space="preserve">The interaction between stimulus intensity and pupil state was</w:t>
      </w:r>
      <w:r>
        <w:t xml:space="preserve"> </w:t>
      </w:r>
      <w:r>
        <w:rPr>
          <w:b/>
          <w:bCs/>
        </w:rPr>
        <w:t xml:space="preserve">not significant</w:t>
      </w:r>
      <w:r>
        <w:t xml:space="preserve"> </w:t>
      </w:r>
      <w:r>
        <w:t xml:space="preserve">(</w:t>
      </w:r>
      <m:oMath>
        <m:r>
          <m:t>β</m:t>
        </m:r>
        <m:r>
          <m:rPr>
            <m:sty m:val="p"/>
          </m:rPr>
          <m:t>=</m:t>
        </m:r>
        <m:r>
          <m:t>0.035</m:t>
        </m:r>
      </m:oMath>
      <w:r>
        <w:t xml:space="preserve">,</w:t>
      </w:r>
      <w:r>
        <w:t xml:space="preserve"> </w:t>
      </w:r>
      <m:oMath>
        <m:r>
          <m:t>p</m:t>
        </m:r>
        <m:r>
          <m:rPr>
            <m:sty m:val="p"/>
          </m:rPr>
          <m:t>=</m:t>
        </m:r>
        <m:r>
          <m:t>.245</m:t>
        </m:r>
      </m:oMath>
      <w:r>
        <w:t xml:space="preserve">) at the primary quality tier, indicating that moment-to-moment arousal fluctuations (as indexed by the cognitive pupil window) did not reliably modulate psychometric sensitivity in this sample of older adults. Notably, the obtained interaction was positive rather than negative, which runs counter to the Yerkes–Dodson prediction of supra-optimal arousal impairing sensitivity</w:t>
      </w:r>
      <w:r>
        <w:t xml:space="preserve"> </w:t>
      </w:r>
      <w:r>
        <w:t xml:space="preserve">(Huang &amp; Clewett, 2024; Mather &amp; Harley, 2016)</w:t>
      </w:r>
      <w:r>
        <w:t xml:space="preserve">. The significant negative effort main effect (</w:t>
      </w:r>
      <m:oMath>
        <m:r>
          <m:t>β</m:t>
        </m:r>
      </m:oMath>
      <w:r>
        <w:t xml:space="preserve"> </w:t>
      </w:r>
      <w:r>
        <w:t xml:space="preserve">= −0.139, p = .003) suggests that High effort reduced overall</w:t>
      </w:r>
      <w:r>
        <w:t xml:space="preserve"> </w:t>
      </w:r>
      <w:r>
        <w:t xml:space="preserve">“different”</w:t>
      </w:r>
      <w:r>
        <w:t xml:space="preserve"> </w:t>
      </w:r>
      <w:r>
        <w:t xml:space="preserve">responding, potentially reflecting a more conservative response tendency under dual-task load rather than a sensitivity decrement per se. This pattern is compatible with resource competition or strategic response adjustments, but it does not by itself constitute a direct test of those accounts.</w:t>
      </w:r>
    </w:p>
    <w:p>
      <w:pPr>
        <w:pStyle w:val="BodyText"/>
      </w:pPr>
      <w:r>
        <w:t xml:space="preserve">In summary, the present data suggest that high-effort handgrip shifted overall response tendency (significant effort main effect on</w:t>
      </w:r>
      <w:r>
        <w:t xml:space="preserve"> </w:t>
      </w:r>
      <w:r>
        <w:t xml:space="preserve">“different”</w:t>
      </w:r>
      <w:r>
        <w:t xml:space="preserve"> </w:t>
      </w:r>
      <w:r>
        <w:t xml:space="preserve">responding,</w:t>
      </w:r>
      <w:r>
        <w:t xml:space="preserve"> </w:t>
      </w:r>
      <m:oMath>
        <m:r>
          <m:t>β</m:t>
        </m:r>
      </m:oMath>
      <w:r>
        <w:t xml:space="preserve"> </w:t>
      </w:r>
      <w:r>
        <w:t xml:space="preserve">= −0.139,</w:t>
      </w:r>
      <w:r>
        <w:t xml:space="preserve"> </w:t>
      </w:r>
      <w:r>
        <w:rPr>
          <w:i/>
          <w:iCs/>
        </w:rPr>
        <w:t xml:space="preserve">p</w:t>
      </w:r>
      <w:r>
        <w:t xml:space="preserve"> </w:t>
      </w:r>
      <w:r>
        <w:t xml:space="preserve">= .003) but did not reliably modulate psychometric sensitivity (non-significant stimulus intensity × pupil state interaction at the primary tier,</w:t>
      </w:r>
      <w:r>
        <w:t xml:space="preserve"> </w:t>
      </w:r>
      <w:r>
        <w:rPr>
          <w:i/>
          <w:iCs/>
        </w:rPr>
        <w:t xml:space="preserve">p</w:t>
      </w:r>
      <w:r>
        <w:t xml:space="preserve"> </w:t>
      </w:r>
      <w:r>
        <w:t xml:space="preserve">= .245), and that moment-to-moment arousal fluctuations as indexed by the cognitive pupil window did not produce fine-grained sensitivity modulation beyond this group-level response.</w:t>
      </w:r>
    </w:p>
    <w:p>
      <w:pPr>
        <w:pStyle w:val="BodyText"/>
      </w:pPr>
      <w:r>
        <w:t xml:space="preserve">Because trial-wise pupil state did not significantly predict sensitivity beyond effort condition, the present data do not provide evidence for trial-level arousal modulation of sensitivity in this dataset. The effort main effect captures the aggregate High vs. Low contrast and may reflect generic dual-task interference, group-level arousal changes, strategic response adjustments, or some combination of these. Thus the results are compatible with resource-competition-style accounts, but they do not directly privilege that explanation over other untested mechanisms.</w:t>
      </w:r>
    </w:p>
    <w:p>
      <w:pPr>
        <w:pStyle w:val="BodyText"/>
      </w:pPr>
      <w:r>
        <w:t xml:space="preserve">Pupil state did not significantly predict sensitivity (interaction p = .245), and pupil trait was also non-significant (p = .565), consistent with Hypothesis 3c. Importantly, the primary coupling test is based on a</w:t>
      </w:r>
      <w:r>
        <w:t xml:space="preserve"> </w:t>
      </w:r>
      <w:r>
        <w:rPr>
          <w:b/>
          <w:bCs/>
        </w:rPr>
        <w:t xml:space="preserve">phasic</w:t>
      </w:r>
      <w:r>
        <w:t xml:space="preserve">, stimulus-locked pupil metric rather than a tonic baseline measure, so it does not provide a direct test of whether tonic pupil state tracks the tonic LC gain mechanism emphasized by AGT. The present design therefore cannot cleanly distinguish between two possibilities: that the chosen pupil metric was not the most sensitive index of arousal-sensitivity coupling in this older adult sample, or that the coupling itself is genuinely weaker than anticipated. Two physiological accounts—illustrated in</w:t>
      </w:r>
      <w:r>
        <w:t xml:space="preserve"> </w:t>
      </w:r>
      <w:hyperlink w:anchor="fig-mechanism">
        <w:r>
          <w:rPr>
            <w:rStyle w:val="Hyperlink"/>
          </w:rPr>
          <w:t xml:space="preserve">Figure 10</w:t>
        </w:r>
      </w:hyperlink>
      <w:r>
        <w:t xml:space="preserve">—help bridge the null interaction to the broader neurobiological picture.</w:t>
      </w:r>
    </w:p>
    <w:tbl>
      <w:tblPr>
        <w:tblStyle w:val="Table"/>
        <w:tblW w:type="pct" w:w="5000"/>
        <w:tblLayout w:type="fixed"/>
        <w:tblLook w:firstRow="0" w:lastRow="0" w:firstColumn="0" w:lastColumn="0" w:noHBand="0" w:noVBand="0" w:val="0000"/>
      </w:tblPr>
      <w:tblGrid>
        <w:gridCol w:w="7920"/>
      </w:tblGrid>
      <w:tr>
        <w:tc>
          <w:tcPr/>
          <w:bookmarkStart w:id="92" w:name="fig-mechanism"/>
          <w:p>
            <w:pPr>
              <w:pStyle w:val="Compact"/>
              <w:jc w:val="center"/>
            </w:pPr>
            <w:r>
              <w:drawing>
                <wp:inline>
                  <wp:extent cx="5334000" cy="2603250"/>
                  <wp:effectExtent b="0" l="0" r="0" t="0"/>
                  <wp:docPr descr="" title="" id="90" name="Picture"/>
                  <a:graphic>
                    <a:graphicData uri="http://schemas.openxmlformats.org/drawingml/2006/picture">
                      <pic:pic>
                        <pic:nvPicPr>
                          <pic:cNvPr descr="../output/figures/mechanism.png" id="91" name="Picture"/>
                          <pic:cNvPicPr>
                            <a:picLocks noChangeArrowheads="1" noChangeAspect="1"/>
                          </pic:cNvPicPr>
                        </pic:nvPicPr>
                        <pic:blipFill>
                          <a:blip r:embed="rId89"/>
                          <a:stretch>
                            <a:fillRect/>
                          </a:stretch>
                        </pic:blipFill>
                        <pic:spPr bwMode="auto">
                          <a:xfrm>
                            <a:off x="0" y="0"/>
                            <a:ext cx="5334000" cy="26032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Theoretical mechanisms of effort-induced pupil dissociation.</w:t>
            </w:r>
            <w:r>
              <w:t xml:space="preserve"> </w:t>
            </w:r>
            <w:r>
              <w:rPr>
                <w:b/>
                <w:bCs/>
              </w:rPr>
              <w:t xml:space="preserve">(A) Observed dissociation.</w:t>
            </w:r>
            <w:r>
              <w:t xml:space="preserve"> </w:t>
            </w:r>
            <w:r>
              <w:t xml:space="preserve">High-effort handgrip (red) elevates overall arousal (Total AUC) while simultaneously blunting the task-evoked pupil response (Cognitive AUC) in the stimulus-locked cognitive window (4.85–6.05 s), relative to low effort (blue).</w:t>
            </w:r>
            <w:r>
              <w:t xml:space="preserve"> </w:t>
            </w:r>
            <w:r>
              <w:rPr>
                <w:b/>
                <w:bCs/>
              </w:rPr>
              <w:t xml:space="preserve">(B) Phasic suppression.</w:t>
            </w:r>
            <w:r>
              <w:t xml:space="preserve"> </w:t>
            </w:r>
            <w:r>
              <w:t xml:space="preserve">Under this account, the neural resources sustained to maintain 40% MVC grip actively inhibit the gain of the LC–NE phasic response to task-relevant targets, producing the blunted cognitive-window response despite elevated baseline arousal.</w:t>
            </w:r>
            <w:r>
              <w:t xml:space="preserve"> </w:t>
            </w:r>
            <w:r>
              <w:rPr>
                <w:b/>
                <w:bCs/>
              </w:rPr>
              <w:t xml:space="preserve">(C) Reduced dynamic range.</w:t>
            </w:r>
            <w:r>
              <w:t xml:space="preserve"> </w:t>
            </w:r>
            <w:r>
              <w:t xml:space="preserve">Alternatively, the elevated baseline under high effort may approach a physiological saturation ceiling, restricting the available dynamic range for further dilation and thereby attenuating the apparent task-evoked response through a mechanical rather than inhibitory process.</w:t>
            </w:r>
            <w:r>
              <w:t xml:space="preserve"> </w:t>
            </w:r>
            <w:r>
              <w:rPr>
                <w:b/>
                <w:bCs/>
              </w:rPr>
              <w:t xml:space="preserve">(D) Age-related shift to supra-optimal zone.</w:t>
            </w:r>
            <w:r>
              <w:t xml:space="preserve"> </w:t>
            </w:r>
            <w:r>
              <w:t xml:space="preserve">A stylised Yerkes–Dodson representation showing how an age-related leftward shift of the optimal arousal zone makes older adults more vulnerable to performance decrements in high-effort contexts, consistent with the non-significant coupling observed here.</w:t>
            </w:r>
          </w:p>
          <w:bookmarkEnd w:id="92"/>
        </w:tc>
      </w:tr>
    </w:tbl>
    <w:bookmarkEnd w:id="93"/>
    <w:bookmarkStart w:id="94" w:name="implications-for-aging-and-arousal"/>
    <w:p>
      <w:pPr>
        <w:pStyle w:val="Heading2"/>
      </w:pPr>
      <w:r>
        <w:t xml:space="preserve">4.2 Implications for Aging and Arousal</w:t>
      </w:r>
    </w:p>
    <w:p>
      <w:pPr>
        <w:pStyle w:val="FirstParagraph"/>
      </w:pPr>
      <w:r>
        <w:t xml:space="preserve">The present data show weaker pupil–sensitivity coupling than predicted, with a non-significant interaction and small task-specific subject-level correlations between Δpupil and ΔPF parameters (task-specific r range: −.151 to .079). If Chapter 1 (younger adults) shows more robust coupling, this cross-chapter contrast would be</w:t>
      </w:r>
      <w:r>
        <w:t xml:space="preserve"> </w:t>
      </w:r>
      <w:r>
        <w:rPr>
          <w:b/>
          <w:bCs/>
        </w:rPr>
        <w:t xml:space="preserve">consistent with</w:t>
      </w:r>
      <w:r>
        <w:t xml:space="preserve"> </w:t>
      </w:r>
      <w:r>
        <w:t xml:space="preserve">age-related attenuation of LC–NE gain modulation, consistent with structural LC degradation and altered phasic responsiveness in aging</w:t>
      </w:r>
      <w:r>
        <w:t xml:space="preserve"> </w:t>
      </w:r>
      <w:r>
        <w:t xml:space="preserve">(Lee et al., 2018; Mather &amp; Harley, 2016)</w:t>
      </w:r>
      <w:r>
        <w:t xml:space="preserve">. Alternatively, the effort main effect being significant and negative while the pupil-state interaction is non-significant may indicate that older adults respond to high-effort demand as a contextual load — a group-level response — rather than through fine-grained moment-to-moment arousal regulation.</w:t>
      </w:r>
    </w:p>
    <w:p>
      <w:pPr>
        <w:pStyle w:val="BodyText"/>
      </w:pPr>
      <w:r>
        <w:t xml:space="preserve">The observed dissociation between elevated Total AUC and attenuated Cognitive AUC under high effort (Section 3.3) suggests that older adults may be operating under specific physiological constraints (see</w:t>
      </w:r>
      <w:r>
        <w:t xml:space="preserve"> </w:t>
      </w:r>
      <w:hyperlink w:anchor="fig-mechanism">
        <w:r>
          <w:rPr>
            <w:rStyle w:val="Hyperlink"/>
          </w:rPr>
          <w:t xml:space="preserve">Figure 10</w:t>
        </w:r>
      </w:hyperlink>
      <w:r>
        <w:t xml:space="preserve">). One possibility (</w:t>
      </w:r>
      <w:hyperlink w:anchor="fig-mechanism">
        <w:r>
          <w:rPr>
            <w:rStyle w:val="Hyperlink"/>
          </w:rPr>
          <w:t xml:space="preserve">Figure 10</w:t>
        </w:r>
      </w:hyperlink>
      <w:r>
        <w:t xml:space="preserve">, panel B) is</w:t>
      </w:r>
      <w:r>
        <w:t xml:space="preserve"> </w:t>
      </w:r>
      <w:r>
        <w:rPr>
          <w:b/>
          <w:bCs/>
        </w:rPr>
        <w:t xml:space="preserve">phasic suppression</w:t>
      </w:r>
      <w:r>
        <w:t xml:space="preserve">: the neural resources required to maintain a 40% MVC grip actively compete with, or inhibit the gain of, the LC–NE phasic response to the target stimulus, producing a blunted cognitive-window dilation despite elevated overall arousal. A complementary account (</w:t>
      </w:r>
      <w:hyperlink w:anchor="fig-mechanism">
        <w:r>
          <w:rPr>
            <w:rStyle w:val="Hyperlink"/>
          </w:rPr>
          <w:t xml:space="preserve">Figure 10</w:t>
        </w:r>
      </w:hyperlink>
      <w:r>
        <w:t xml:space="preserve">, panel C) is</w:t>
      </w:r>
      <w:r>
        <w:t xml:space="preserve"> </w:t>
      </w:r>
      <w:r>
        <w:rPr>
          <w:b/>
          <w:bCs/>
        </w:rPr>
        <w:t xml:space="preserve">reduced dynamic range</w:t>
      </w:r>
      <w:r>
        <w:t xml:space="preserve">: the high baseline arousal elicited by physical effort may bring the pupil near its upper physiological limit, mechanically restricting the amplitude of any further event-locked dilation. Both mechanisms would produce the same surface signature — lower Cognitive AUC under high effort — but differ in whether the source is active inhibition or passive saturation. Empirically distinguishing them would require either a dedicated within-session ceiling check (comparing raw pupil diameter under High effort against each participant’s observed maximum) or a deconvolution-based pupil model that separates tonic and phasic components.</w:t>
      </w:r>
    </w:p>
    <w:p>
      <w:pPr>
        <w:pStyle w:val="BodyText"/>
      </w:pPr>
      <w:r>
        <w:t xml:space="preserve">Either way, the saturation or suppression interpretation is consistent with the age-related positioning on the Yerkes–Dodson curve shown in</w:t>
      </w:r>
      <w:r>
        <w:t xml:space="preserve"> </w:t>
      </w:r>
      <w:hyperlink w:anchor="fig-mechanism">
        <w:r>
          <w:rPr>
            <w:rStyle w:val="Hyperlink"/>
          </w:rPr>
          <w:t xml:space="preserve">Figure 10</w:t>
        </w:r>
      </w:hyperlink>
      <w:r>
        <w:t xml:space="preserve"> </w:t>
      </w:r>
      <w:r>
        <w:t xml:space="preserve">(panel D). If older adults’ optimal arousal zone is shifted leftward relative to younger adults, a high-effort context is more likely to push them into a supra-optimal region where fine-grained, trial-by-trial sensitivity modulation is degraded. This would explain why effort produced a significant group-level shift in response tendency (</w:t>
      </w:r>
      <m:oMath>
        <m:r>
          <m:t>β</m:t>
        </m:r>
      </m:oMath>
      <w:r>
        <w:t xml:space="preserve"> </w:t>
      </w:r>
      <w:r>
        <w:t xml:space="preserve">= −0.139,</w:t>
      </w:r>
      <w:r>
        <w:t xml:space="preserve"> </w:t>
      </w:r>
      <w:r>
        <w:rPr>
          <w:i/>
          <w:iCs/>
        </w:rPr>
        <w:t xml:space="preserve">p</w:t>
      </w:r>
      <w:r>
        <w:t xml:space="preserve"> </w:t>
      </w:r>
      <w:r>
        <w:t xml:space="preserve">= .003) without generating the continuous, within-trial arousal–sensitivity coupling captured by the stimulus intensity × pupil state interaction (</w:t>
      </w:r>
      <m:oMath>
        <m:r>
          <m:t>β</m:t>
        </m:r>
      </m:oMath>
      <w:r>
        <w:t xml:space="preserve"> </w:t>
      </w:r>
      <w:r>
        <w:t xml:space="preserve">= +0.035,</w:t>
      </w:r>
      <w:r>
        <w:t xml:space="preserve"> </w:t>
      </w:r>
      <w:r>
        <w:rPr>
          <w:i/>
          <w:iCs/>
        </w:rPr>
        <w:t xml:space="preserve">p</w:t>
      </w:r>
      <w:r>
        <w:t xml:space="preserve"> </w:t>
      </w:r>
      <w:r>
        <w:t xml:space="preserve">= .245).</w:t>
      </w:r>
    </w:p>
    <w:p>
      <w:pPr>
        <w:pStyle w:val="BodyText"/>
      </w:pPr>
      <w:r>
        <w:t xml:space="preserve">At the same time, subject-level changes in Cognitive AUC and Total AUC were negatively correlated across participants (Section 3.6; r = −0.352, p &lt; .01), indicating that larger effort-evoked total arousal co-occurred with larger</w:t>
      </w:r>
      <w:r>
        <w:t xml:space="preserve"> </w:t>
      </w:r>
      <w:r>
        <w:rPr>
          <w:i/>
          <w:iCs/>
        </w:rPr>
        <w:t xml:space="preserve">reductions</w:t>
      </w:r>
      <w:r>
        <w:t xml:space="preserve"> </w:t>
      </w:r>
      <w:r>
        <w:t xml:space="preserve">in task-evoked cognitive pupil response. This exploratory pattern parallels the Section 3.3 dissociation and is consistent with a suppression or reallocation account, but it should be treated as hypothesis-generating rather than confirmatory.</w:t>
      </w:r>
    </w:p>
    <w:bookmarkEnd w:id="94"/>
    <w:bookmarkStart w:id="95" w:name="limitations"/>
    <w:p>
      <w:pPr>
        <w:pStyle w:val="Heading2"/>
      </w:pPr>
      <w:r>
        <w:t xml:space="preserve">4.3 Limitations</w:t>
      </w:r>
    </w:p>
    <w:p>
      <w:pPr>
        <w:pStyle w:val="FirstParagraph"/>
      </w:pPr>
      <w:r>
        <w:t xml:space="preserve">Several limitations should be considered when interpreting the findings. Pupil data quality varies across older adults due to factors such as eye-tracking challenges, increased blink rates, and age-related changes in pupil dynamics. The reported analyses therefore use tiered validity filters (</w:t>
      </w:r>
      <w:r>
        <w:rPr>
          <w:rStyle w:val="VerbatimChar"/>
        </w:rPr>
        <w:t xml:space="preserve">quality_primary</w:t>
      </w:r>
      <w:r>
        <w:t xml:space="preserve">,</w:t>
      </w:r>
      <w:r>
        <w:t xml:space="preserve"> </w:t>
      </w:r>
      <w:r>
        <w:rPr>
          <w:rStyle w:val="VerbatimChar"/>
        </w:rPr>
        <w:t xml:space="preserve">quality_lenient</w:t>
      </w:r>
      <w:r>
        <w:t xml:space="preserve">,</w:t>
      </w:r>
      <w:r>
        <w:t xml:space="preserve"> </w:t>
      </w:r>
      <w:r>
        <w:rPr>
          <w:rStyle w:val="VerbatimChar"/>
        </w:rPr>
        <w:t xml:space="preserve">quality_strict</w:t>
      </w:r>
      <w:r>
        <w:t xml:space="preserve">) and test whether conclusions are robust to stricter or more permissive inclusion criteria. Expanded gap-aware quality metrics were developed for this project and remain useful for future refinements, but they were not the operative gates for the saved model objects reported here. Even with quality filtering, some participants had limited usable pupil data, which reduced power for detecting state-level effects.</w:t>
      </w:r>
    </w:p>
    <w:p>
      <w:pPr>
        <w:pStyle w:val="BodyText"/>
      </w:pPr>
      <w:r>
        <w:t xml:space="preserve">Missingness was non-random: High-effort trials had significantly higher odds of usable pupil data than Low-effort trials (OR = 1.203,</w:t>
      </w:r>
      <w:r>
        <w:t xml:space="preserve"> </w:t>
      </w:r>
      <w:r>
        <w:rPr>
          <w:i/>
          <w:iCs/>
        </w:rPr>
        <w:t xml:space="preserve">p</w:t>
      </w:r>
      <w:r>
        <w:t xml:space="preserve"> </w:t>
      </w:r>
      <w:r>
        <w:t xml:space="preserve">&lt; .001), and VDT trials had nearly twice the odds of usable data compared to ADT trials (OR = 1.967,</w:t>
      </w:r>
      <w:r>
        <w:t xml:space="preserve"> </w:t>
      </w:r>
      <w:r>
        <w:rPr>
          <w:i/>
          <w:iCs/>
        </w:rPr>
        <w:t xml:space="preserve">p</w:t>
      </w:r>
      <w:r>
        <w:t xml:space="preserve"> </w:t>
      </w:r>
      <w:r>
        <w:t xml:space="preserve">&lt; .001; Section 3.4). This means the analysis samples are not identical across conditions, introducing potential selection bias. The effort-direction effect (more data retained under High effort, likely due to reduced blinking during demanding grip) does not obviously favour the null hypothesis, but the modality difference — far more ADT data missing — limits the symmetry of cross-task comparisons. Missingness was not predicted by stimulus intensity (</w:t>
      </w:r>
      <w:r>
        <w:rPr>
          <w:i/>
          <w:iCs/>
        </w:rPr>
        <w:t xml:space="preserve">p</w:t>
      </w:r>
      <w:r>
        <w:t xml:space="preserve"> </w:t>
      </w:r>
      <w:r>
        <w:t xml:space="preserve">= .565) or response time (</w:t>
      </w:r>
      <w:r>
        <w:rPr>
          <w:i/>
          <w:iCs/>
        </w:rPr>
        <w:t xml:space="preserve">p</w:t>
      </w:r>
      <w:r>
        <w:t xml:space="preserve"> </w:t>
      </w:r>
      <w:r>
        <w:t xml:space="preserve">= .982), suggesting that the psychometric intensity structure of retained trials is not systematically distorted. However, these diagnostics do not rule out missing-not-at-random mechanisms in which the physiological state being indexed by the pupil itself contributes to track loss or blink-related dropout. The robustness checks across quality tiers (Appendix B) further indicate that primary-tier findings are not uniquely driven by the specific inclusion threshold, though systematic missingness remains an inherent limitation of older-adult pupillometry in this paradigm.</w:t>
      </w:r>
    </w:p>
    <w:p>
      <w:pPr>
        <w:pStyle w:val="BodyText"/>
      </w:pPr>
      <w:r>
        <w:t xml:space="preserve">The PF-based behavioral backbone also has important design limitations. Individual Weibull fits were estimated with free guess and lapse parameters from a small number of stimulus levels per condition, which can leave slope estimates weakly constrained at the participant level when the effective stimulus grid is coarse. Cross-checking against raw Psignifit</w:t>
      </w:r>
      <w:r>
        <w:t xml:space="preserve"> </w:t>
      </w:r>
      <w:r>
        <w:rPr>
          <w:rStyle w:val="VerbatimChar"/>
        </w:rPr>
        <w:t xml:space="preserve">.mat</w:t>
      </w:r>
      <w:r>
        <w:t xml:space="preserve"> </w:t>
      </w:r>
      <w:r>
        <w:t xml:space="preserve">outputs can still be useful for boundary- or lapse-driven behavior in individual participants.</w:t>
      </w:r>
    </w:p>
    <w:p>
      <w:pPr>
        <w:pStyle w:val="BodyText"/>
      </w:pPr>
      <w:r>
        <w:t xml:space="preserve">To evaluate whether the non-significant primary interaction reflects a true absence of effect or insufficient statistical power, we conducted a sensitivity power analysis estimating the minimum detectable effect size for the primary interaction given the present design. Using the observed design parameters—approximately 54 participants contributing a mean of 98.6 primary-tier trials each (total ~5,322 observations), with a nominal Type I error rate (alpha) of .05 and power = 0.80—the minimum detectable effect for the stimulus intensity x pupil state interaction (expressed as a standardized probit coefficient) was approximately beta_min = 0.085. The obtained coefficient (beta = +0.035) is smaller than this threshold, consistent with limited precision: post-hoc power to detect an effect of the observed magnitude (two-sided Wald test) was approximately 21%. Roughly, achieving 80% power to detect an interaction of similar magnitude to the point estimate would require on the order of 5.8 times the effective sample size of the present analysis (order-of-magnitude approximately 313 participants if precision scaled with the square root of sample size in the usual way). These estimates suggest that the null primary interaction should be interpreted cautiously as evidence of a weak or inconclusive effect rather than as a definitive absence of coupling, and that adequately powered replication would require a substantially larger sample and/or improved pupil data retention. Importantly, post-hoc power and the equivalence result (</w:t>
      </w:r>
      <w:hyperlink w:anchor="sec-pupil-quality-tier">
        <w:r>
          <w:rPr>
            <w:rStyle w:val="Hyperlink"/>
          </w:rPr>
          <w:t xml:space="preserve">Section 3.5.1</w:t>
        </w:r>
      </w:hyperlink>
      <w:r>
        <w:t xml:space="preserve">) address complementary questions: realized power reflects the study’s ability to detect an effect of the observed magnitude, whereas the equivalence test establishes that effects outside the SESOI bounds for the interaction are ruled out by the reported 90% CI. Together, these findings indicate that any true coupling in this older-adult sample is likely small in absolute terms, even if its precise magnitude remains uncertain.</w:t>
      </w:r>
    </w:p>
    <w:p>
      <w:pPr>
        <w:pStyle w:val="BodyText"/>
      </w:pPr>
      <w:r>
        <w:t xml:space="preserve">The primary cognitive pupil metric uses a fixed 1.20-second stimulus-locked window (4.85-6.05s) to reduce RT confounding and capture the TEPR peak. However, this window unavoidably overlaps with multiple task events: the response screen appears at 4.70s (only 350ms after target onset at 4.35s), and button presses occur at variable times (typically 5.3-5.4s for median RTs). This temporal overlap creates potential confounds from visual/attentional responses to the response screen and motor/blink artifacts from button presses.</w:t>
      </w:r>
    </w:p>
    <w:p>
      <w:pPr>
        <w:pStyle w:val="BodyText"/>
      </w:pPr>
      <w:r>
        <w:t xml:space="preserve">Several mitigation strategies are implemented. Mean dilation (AUC/duration) is used rather than raw AUC to remove duration confounds; sensitivity analyses use slow-RT trials where motor cannot contaminate the primary window; and motor-buffered and pre-response window definitions are computed and available for future sensitivity analyses when full AUC computation is completed. However, complete elimination of temporal overlap confounds is impossible given the task design, and the primary window represents a trade-off between capturing relevant arousal dynamics and minimizing measurement artifacts. Response-locked metrics (available for future sensitivity analyses) can capture decision-related arousal more directly but are more susceptible to RT confounding. The choice of window definition represents a trade-off between physiological validity and measurement confounds.</w:t>
      </w:r>
    </w:p>
    <w:p>
      <w:pPr>
        <w:pStyle w:val="BodyText"/>
      </w:pPr>
      <w:r>
        <w:t xml:space="preserve">Notably, the slow-RT sensitivity subset (trials with RT &gt; 1.5 s, where button press falls outside the cognitive window) yielded an interaction estimate of opposite sign (</w:t>
      </w:r>
      <m:oMath>
        <m:r>
          <m:t>β</m:t>
        </m:r>
      </m:oMath>
      <w:r>
        <w:t xml:space="preserve"> </w:t>
      </w:r>
      <w:r>
        <w:t xml:space="preserve">= −0.071,</w:t>
      </w:r>
      <w:r>
        <w:t xml:space="preserve"> </w:t>
      </w:r>
      <w:r>
        <w:rPr>
          <w:i/>
          <w:iCs/>
        </w:rPr>
        <w:t xml:space="preserve">p</w:t>
      </w:r>
      <w:r>
        <w:t xml:space="preserve"> </w:t>
      </w:r>
      <w:r>
        <w:t xml:space="preserve">= .164) relative to the primary-tier estimate (</w:t>
      </w:r>
      <m:oMath>
        <m:r>
          <m:t>β</m:t>
        </m:r>
      </m:oMath>
      <w:r>
        <w:t xml:space="preserve"> </w:t>
      </w:r>
      <w:r>
        <w:t xml:space="preserve">= +0.035,</w:t>
      </w:r>
      <w:r>
        <w:t xml:space="preserve"> </w:t>
      </w:r>
      <w:r>
        <w:rPr>
          <w:i/>
          <w:iCs/>
        </w:rPr>
        <w:t xml:space="preserve">p</w:t>
      </w:r>
      <w:r>
        <w:t xml:space="preserve"> </w:t>
      </w:r>
      <w:r>
        <w:t xml:space="preserve">= .245; Section 3.5.1). Although neither estimate is statistically significant, the sign reversal indicates that motor or response-screen contamination of the cognitive window plausibly contributed to the positive direction of the primary-tier point estimate. This prevents a clean attribution of even the non-significant positive trend to genuine arousal–sensitivity coupling. Future analyses using motor-buffered or response-locked pupil windows (</w:t>
      </w:r>
      <w:hyperlink w:anchor="sec-appendix-e">
        <w:r>
          <w:rPr>
            <w:rStyle w:val="Hyperlink"/>
          </w:rPr>
          <w:t xml:space="preserve">Appendix E</w:t>
        </w:r>
      </w:hyperlink>
      <w:r>
        <w:t xml:space="preserve">) would provide a cleaner test.</w:t>
      </w:r>
    </w:p>
    <w:bookmarkEnd w:id="95"/>
    <w:bookmarkStart w:id="96" w:name="integration-with-chapter-1-and-chapter-3"/>
    <w:p>
      <w:pPr>
        <w:pStyle w:val="Heading2"/>
      </w:pPr>
      <w:r>
        <w:t xml:space="preserve">4.4 Integration with Chapter 1 and Chapter 3</w:t>
      </w:r>
    </w:p>
    <w:p>
      <w:pPr>
        <w:pStyle w:val="FirstParagraph"/>
      </w:pPr>
      <w:r>
        <w:t xml:space="preserve">Chapter 2 extends the dual-task paradigm from younger adults (Chapter 1) to older adults. In Chapter 2, trial-level pupil × sensitivity coupling was not statistically reliable at the primary quality tier, and subject-level Δpupil–ΔPF correlations were near zero. Chapter 1 will provide the younger-adult benchmark for direct comparison; until then, the present chapter documents weak primary-tier coupling and inconsistent lenient-tier significance in older adults.</w:t>
      </w:r>
    </w:p>
    <w:p>
      <w:pPr>
        <w:pStyle w:val="BodyText"/>
      </w:pPr>
      <w:r>
        <w:t xml:space="preserve">Chapter 3 will use hierarchical drift diffusion modeling to decompose the behavioral patterns observed in Chapter 2 into latent decision parameters (drift rate, boundary separation, starting point, non-decision time). This will test whether arousal effects are more consistent with altered evidence quality (drift rate changes) versus strategic response adjustments (boundary separation changes), providing a mechanistic account of how physical effort and arousal reshape perceptual decisions in aging.</w:t>
      </w:r>
    </w:p>
    <w:bookmarkEnd w:id="96"/>
    <w:bookmarkStart w:id="97" w:name="conclusions-and-future-directions"/>
    <w:p>
      <w:pPr>
        <w:pStyle w:val="Heading2"/>
      </w:pPr>
      <w:r>
        <w:t xml:space="preserve">4.5 Conclusions and Future Directions</w:t>
      </w:r>
    </w:p>
    <w:p>
      <w:pPr>
        <w:pStyle w:val="FirstParagraph"/>
      </w:pPr>
      <w:r>
        <w:t xml:space="preserve">Chapter 2 provides a systematic characterization of how pupil-indexed arousal covaries with psychophysical decision behavior in older adults, using continuous stimulus intensity modeling and within-subject centering to preserve individual arousal granularity. The findings contribute to understanding whether physical effort–induced arousal modulates perceptual sensitivity at the trial level, and whether this relationship is robust across data quality thresholds and model specifications.</w:t>
      </w:r>
    </w:p>
    <w:p>
      <w:pPr>
        <w:pStyle w:val="BodyText"/>
      </w:pPr>
      <w:r>
        <w:t xml:space="preserve">Future work could test whether alternative pupil windows—motor-buffered, pre-response, or response-locked summaries—show clearer arousal–sensitivity coupling once full AUCs are computed; compare younger and older adults on the same coupling question; use the computational models in Chapter 3 to link behavior to latent decision parameters; and apply event-based GLM or deconvolution to separate target-, response-screen-, and motor-related pupil components.</w:t>
      </w:r>
    </w:p>
    <w:p>
      <w:pPr>
        <w:pStyle w:val="BodyText"/>
      </w:pPr>
      <w:r>
        <w:t xml:space="preserve">The work presented here establishes the empirical and methodological foundation for Chapter 3, which will examine whether latent decision parameters provide a coherent mechanistic account of how physical effort and arousal reshape perceptual decisions in aging.</w:t>
      </w:r>
    </w:p>
    <w:p>
      <w:r>
        <w:br w:type="page"/>
      </w:r>
    </w:p>
    <w:bookmarkEnd w:id="97"/>
    <w:bookmarkEnd w:id="98"/>
    <w:bookmarkStart w:id="183" w:name="references"/>
    <w:p>
      <w:pPr>
        <w:pStyle w:val="Heading1"/>
      </w:pPr>
      <w:r>
        <w:t xml:space="preserve">5. References</w:t>
      </w:r>
    </w:p>
    <w:bookmarkStart w:id="182" w:name="refs"/>
    <w:bookmarkStart w:id="99" w:name="ref-alnaes2014pupil"/>
    <w:p>
      <w:pPr>
        <w:pStyle w:val="Bibliography"/>
      </w:pPr>
      <w:r>
        <w:t xml:space="preserve">Alnæs, D., Sneve, M. H., Espeseth, T., Endestad, T., Pavert, S. H. P. van de, &amp; Laeng, B. (2014). Pupil size signals mental effort deployed during multiple object tracking and predicts brain activity in the dorsal attention network and the locus coeruleus.</w:t>
      </w:r>
      <w:r>
        <w:t xml:space="preserve"> </w:t>
      </w:r>
      <w:r>
        <w:rPr>
          <w:i/>
          <w:iCs/>
        </w:rPr>
        <w:t xml:space="preserve">Journal of Vision</w:t>
      </w:r>
      <w:r>
        <w:t xml:space="preserve">,</w:t>
      </w:r>
      <w:r>
        <w:t xml:space="preserve"> </w:t>
      </w:r>
      <w:r>
        <w:rPr>
          <w:i/>
          <w:iCs/>
        </w:rPr>
        <w:t xml:space="preserve">14</w:t>
      </w:r>
      <w:r>
        <w:t xml:space="preserve">(4), 1–1.</w:t>
      </w:r>
    </w:p>
    <w:bookmarkEnd w:id="99"/>
    <w:bookmarkStart w:id="101" w:name="ref-astonjones2005"/>
    <w:p>
      <w:pPr>
        <w:pStyle w:val="Bibliography"/>
      </w:pPr>
      <w:r>
        <w:t xml:space="preserve">Aston-Jones, G., &amp; Cohen, J. D. (2005). An integrative theory of locus coeruleus–norepinephrine function: Adaptive gain and optimal performance.</w:t>
      </w:r>
      <w:r>
        <w:t xml:space="preserve"> </w:t>
      </w:r>
      <w:r>
        <w:rPr>
          <w:i/>
          <w:iCs/>
        </w:rPr>
        <w:t xml:space="preserve">Annual Review of Neuroscience</w:t>
      </w:r>
      <w:r>
        <w:t xml:space="preserve">,</w:t>
      </w:r>
      <w:r>
        <w:t xml:space="preserve"> </w:t>
      </w:r>
      <w:r>
        <w:rPr>
          <w:i/>
          <w:iCs/>
        </w:rPr>
        <w:t xml:space="preserve">28</w:t>
      </w:r>
      <w:r>
        <w:t xml:space="preserve">, 403–450.</w:t>
      </w:r>
      <w:r>
        <w:t xml:space="preserve"> </w:t>
      </w:r>
      <w:hyperlink r:id="rId100">
        <w:r>
          <w:rPr>
            <w:rStyle w:val="Hyperlink"/>
          </w:rPr>
          <w:t xml:space="preserve">https://doi.org/10.1146/annurev.neuro.28.061604.135709</w:t>
        </w:r>
      </w:hyperlink>
    </w:p>
    <w:bookmarkEnd w:id="101"/>
    <w:bookmarkStart w:id="103" w:name="ref-azer2023"/>
    <w:p>
      <w:pPr>
        <w:pStyle w:val="Bibliography"/>
      </w:pPr>
      <w:r>
        <w:t xml:space="preserve">Azer, L., Xie, W., Park, H.-B., &amp; Zhang, W. (2023). Detrimental effects of effortful physical exertion on a working memory dual-task in older adults.</w:t>
      </w:r>
      <w:r>
        <w:t xml:space="preserve"> </w:t>
      </w:r>
      <w:r>
        <w:rPr>
          <w:i/>
          <w:iCs/>
        </w:rPr>
        <w:t xml:space="preserve">Psychology and Aging</w:t>
      </w:r>
      <w:r>
        <w:t xml:space="preserve">,</w:t>
      </w:r>
      <w:r>
        <w:t xml:space="preserve"> </w:t>
      </w:r>
      <w:r>
        <w:rPr>
          <w:i/>
          <w:iCs/>
        </w:rPr>
        <w:t xml:space="preserve">38</w:t>
      </w:r>
      <w:r>
        <w:t xml:space="preserve">(4), 291–304.</w:t>
      </w:r>
      <w:r>
        <w:t xml:space="preserve"> </w:t>
      </w:r>
      <w:hyperlink r:id="rId102">
        <w:r>
          <w:rPr>
            <w:rStyle w:val="Hyperlink"/>
          </w:rPr>
          <w:t xml:space="preserve">https://doi.org/10.1037/pag0000730</w:t>
        </w:r>
      </w:hyperlink>
    </w:p>
    <w:bookmarkEnd w:id="103"/>
    <w:bookmarkStart w:id="105" w:name="ref-bates2015"/>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104">
        <w:r>
          <w:rPr>
            <w:rStyle w:val="Hyperlink"/>
          </w:rPr>
          <w:t xml:space="preserve">https://doi.org/10.18637/jss.v067.i01</w:t>
        </w:r>
      </w:hyperlink>
    </w:p>
    <w:bookmarkEnd w:id="105"/>
    <w:bookmarkStart w:id="107" w:name="ref-beatty1982"/>
    <w:p>
      <w:pPr>
        <w:pStyle w:val="Bibliography"/>
      </w:pPr>
      <w:r>
        <w:t xml:space="preserve">Beatty, J. (1982). Task-evoked pupillary responses, processing load, and the structure of processing resources.</w:t>
      </w:r>
      <w:r>
        <w:t xml:space="preserve"> </w:t>
      </w:r>
      <w:r>
        <w:rPr>
          <w:i/>
          <w:iCs/>
        </w:rPr>
        <w:t xml:space="preserve">Psychological Bulletin</w:t>
      </w:r>
      <w:r>
        <w:t xml:space="preserve">,</w:t>
      </w:r>
      <w:r>
        <w:t xml:space="preserve"> </w:t>
      </w:r>
      <w:r>
        <w:rPr>
          <w:i/>
          <w:iCs/>
        </w:rPr>
        <w:t xml:space="preserve">91</w:t>
      </w:r>
      <w:r>
        <w:t xml:space="preserve">(2), 276–292.</w:t>
      </w:r>
      <w:r>
        <w:t xml:space="preserve"> </w:t>
      </w:r>
      <w:hyperlink r:id="rId106">
        <w:r>
          <w:rPr>
            <w:rStyle w:val="Hyperlink"/>
          </w:rPr>
          <w:t xml:space="preserve">https://doi.org/10.1037/0033-2909.91.2.276</w:t>
        </w:r>
      </w:hyperlink>
    </w:p>
    <w:bookmarkEnd w:id="107"/>
    <w:bookmarkStart w:id="109" w:name="ref-beurskens2014"/>
    <w:p>
      <w:pPr>
        <w:pStyle w:val="Bibliography"/>
      </w:pPr>
      <w:r>
        <w:t xml:space="preserve">Beurskens, R., Helmich, I., Rein, R., &amp; Bock, O. (2014). Age-related changes in prefrontal activity during walking in dual-task situations: A fNIRS study.</w:t>
      </w:r>
      <w:r>
        <w:t xml:space="preserve"> </w:t>
      </w:r>
      <w:r>
        <w:rPr>
          <w:i/>
          <w:iCs/>
        </w:rPr>
        <w:t xml:space="preserve">International Journal of Psychophysiology</w:t>
      </w:r>
      <w:r>
        <w:t xml:space="preserve">,</w:t>
      </w:r>
      <w:r>
        <w:t xml:space="preserve"> </w:t>
      </w:r>
      <w:r>
        <w:rPr>
          <w:i/>
          <w:iCs/>
        </w:rPr>
        <w:t xml:space="preserve">92</w:t>
      </w:r>
      <w:r>
        <w:t xml:space="preserve">(3), 122–128.</w:t>
      </w:r>
      <w:r>
        <w:t xml:space="preserve"> </w:t>
      </w:r>
      <w:hyperlink r:id="rId108">
        <w:r>
          <w:rPr>
            <w:rStyle w:val="Hyperlink"/>
          </w:rPr>
          <w:t xml:space="preserve">https://doi.org/10.1016/j.ijpsycho.2014.03.005</w:t>
        </w:r>
      </w:hyperlink>
    </w:p>
    <w:bookmarkEnd w:id="109"/>
    <w:bookmarkStart w:id="111" w:name="ref-kiefer2018"/>
    <w:p>
      <w:pPr>
        <w:pStyle w:val="Bibliography"/>
      </w:pPr>
      <w:r>
        <w:t xml:space="preserve">Duchowski, A. T., Biele, C., Niedzielska, A., Krejtz, K., Krejtz, I., Kiefer, P., Raubal, M., &amp; Giannopoulos, I. (2018). The index of pupillary activity: Measuring cognitive load vis-à-vis task difficulty with pupil oscillation.</w:t>
      </w:r>
      <w:r>
        <w:t xml:space="preserve"> </w:t>
      </w:r>
      <w:r>
        <w:rPr>
          <w:i/>
          <w:iCs/>
        </w:rPr>
        <w:t xml:space="preserve">Proceedings of the 2018</w:t>
      </w:r>
      <w:r>
        <w:rPr>
          <w:i/>
          <w:iCs/>
        </w:rPr>
        <w:t xml:space="preserve"> </w:t>
      </w:r>
      <w:r>
        <w:rPr>
          <w:i/>
          <w:iCs/>
        </w:rPr>
        <w:t xml:space="preserve">CHI</w:t>
      </w:r>
      <w:r>
        <w:rPr>
          <w:i/>
          <w:iCs/>
        </w:rPr>
        <w:t xml:space="preserve"> </w:t>
      </w:r>
      <w:r>
        <w:rPr>
          <w:i/>
          <w:iCs/>
        </w:rPr>
        <w:t xml:space="preserve">Conference on Human Factors in Computing Systems</w:t>
      </w:r>
      <w:r>
        <w:t xml:space="preserve">, 1–13.</w:t>
      </w:r>
      <w:r>
        <w:t xml:space="preserve"> </w:t>
      </w:r>
      <w:hyperlink r:id="rId110">
        <w:r>
          <w:rPr>
            <w:rStyle w:val="Hyperlink"/>
          </w:rPr>
          <w:t xml:space="preserve">https://doi.org/10.1145/3173574.3173856</w:t>
        </w:r>
      </w:hyperlink>
    </w:p>
    <w:bookmarkEnd w:id="111"/>
    <w:bookmarkStart w:id="113" w:name="ref-eldar2013"/>
    <w:p>
      <w:pPr>
        <w:pStyle w:val="Bibliography"/>
      </w:pPr>
      <w:r>
        <w:t xml:space="preserve">Eldar, E., Cohen, J. D., &amp; Niv, Y. (2013). The effects of neural gain on attention and learning.</w:t>
      </w:r>
      <w:r>
        <w:t xml:space="preserve"> </w:t>
      </w:r>
      <w:r>
        <w:rPr>
          <w:i/>
          <w:iCs/>
        </w:rPr>
        <w:t xml:space="preserve">Nature Neuroscience</w:t>
      </w:r>
      <w:r>
        <w:t xml:space="preserve">,</w:t>
      </w:r>
      <w:r>
        <w:t xml:space="preserve"> </w:t>
      </w:r>
      <w:r>
        <w:rPr>
          <w:i/>
          <w:iCs/>
        </w:rPr>
        <w:t xml:space="preserve">16</w:t>
      </w:r>
      <w:r>
        <w:t xml:space="preserve">(8), 1146–1153.</w:t>
      </w:r>
      <w:r>
        <w:t xml:space="preserve"> </w:t>
      </w:r>
      <w:hyperlink r:id="rId112">
        <w:r>
          <w:rPr>
            <w:rStyle w:val="Hyperlink"/>
          </w:rPr>
          <w:t xml:space="preserve">https://doi.org/10.1038/nn.3428</w:t>
        </w:r>
      </w:hyperlink>
    </w:p>
    <w:bookmarkEnd w:id="113"/>
    <w:bookmarkStart w:id="115" w:name="ref-enders2013"/>
    <w:p>
      <w:pPr>
        <w:pStyle w:val="Bibliography"/>
      </w:pPr>
      <w:r>
        <w:t xml:space="preserve">Enders, C. K. (2013). Centering predictors and contextual effects. In G. A. Marcoulides &amp; R. E. Schumacker (Eds.),</w:t>
      </w:r>
      <w:r>
        <w:t xml:space="preserve"> </w:t>
      </w:r>
      <w:r>
        <w:rPr>
          <w:i/>
          <w:iCs/>
        </w:rPr>
        <w:t xml:space="preserve">The</w:t>
      </w:r>
      <w:r>
        <w:rPr>
          <w:i/>
          <w:iCs/>
        </w:rPr>
        <w:t xml:space="preserve"> </w:t>
      </w:r>
      <w:r>
        <w:rPr>
          <w:i/>
          <w:iCs/>
        </w:rPr>
        <w:t xml:space="preserve">SAGE</w:t>
      </w:r>
      <w:r>
        <w:rPr>
          <w:i/>
          <w:iCs/>
        </w:rPr>
        <w:t xml:space="preserve"> </w:t>
      </w:r>
      <w:r>
        <w:rPr>
          <w:i/>
          <w:iCs/>
        </w:rPr>
        <w:t xml:space="preserve">handbook of multilevel modeling</w:t>
      </w:r>
      <w:r>
        <w:t xml:space="preserve"> </w:t>
      </w:r>
      <w:r>
        <w:t xml:space="preserve">(pp. 89–108). SAGE Publications.</w:t>
      </w:r>
      <w:r>
        <w:t xml:space="preserve"> </w:t>
      </w:r>
      <w:hyperlink r:id="rId114">
        <w:r>
          <w:rPr>
            <w:rStyle w:val="Hyperlink"/>
          </w:rPr>
          <w:t xml:space="preserve">https://doi.org/10.4135/9781446247600.n6</w:t>
        </w:r>
      </w:hyperlink>
    </w:p>
    <w:bookmarkEnd w:id="115"/>
    <w:bookmarkStart w:id="117" w:name="ref-gilzenrat2010"/>
    <w:p>
      <w:pPr>
        <w:pStyle w:val="Bibliography"/>
      </w:pPr>
      <w:r>
        <w:t xml:space="preserve">Gilzenrat, M. S., Nieuwenhuis, S., Jepma, M., &amp; Cohen, J. D. (2010). Pupil diameter tracks changes in control state predicted by the adaptive gain theory of locus coeruleus function.</w:t>
      </w:r>
      <w:r>
        <w:t xml:space="preserve"> </w:t>
      </w:r>
      <w:r>
        <w:rPr>
          <w:i/>
          <w:iCs/>
        </w:rPr>
        <w:t xml:space="preserve">Cognitive, Affective, &amp; Behavioral Neuroscience</w:t>
      </w:r>
      <w:r>
        <w:t xml:space="preserve">,</w:t>
      </w:r>
      <w:r>
        <w:t xml:space="preserve"> </w:t>
      </w:r>
      <w:r>
        <w:rPr>
          <w:i/>
          <w:iCs/>
        </w:rPr>
        <w:t xml:space="preserve">10</w:t>
      </w:r>
      <w:r>
        <w:t xml:space="preserve">(2), 252–269.</w:t>
      </w:r>
      <w:r>
        <w:t xml:space="preserve"> </w:t>
      </w:r>
      <w:hyperlink r:id="rId116">
        <w:r>
          <w:rPr>
            <w:rStyle w:val="Hyperlink"/>
          </w:rPr>
          <w:t xml:space="preserve">https://doi.org/10.3758/CABN.10.2.252</w:t>
        </w:r>
      </w:hyperlink>
    </w:p>
    <w:bookmarkEnd w:id="117"/>
    <w:bookmarkStart w:id="119" w:name="ref-granholm2007"/>
    <w:p>
      <w:pPr>
        <w:pStyle w:val="Bibliography"/>
      </w:pPr>
      <w:r>
        <w:t xml:space="preserve">Granholm, E., Holden, J., Link, P. C., McQuaid, J. R., &amp; Jeste, D. V. (2007). Effortful cognitive resource allocation and negative symptom severity in schizophrenia.</w:t>
      </w:r>
      <w:r>
        <w:t xml:space="preserve"> </w:t>
      </w:r>
      <w:r>
        <w:rPr>
          <w:i/>
          <w:iCs/>
        </w:rPr>
        <w:t xml:space="preserve">Schizophrenia Bulletin</w:t>
      </w:r>
      <w:r>
        <w:t xml:space="preserve">,</w:t>
      </w:r>
      <w:r>
        <w:t xml:space="preserve"> </w:t>
      </w:r>
      <w:r>
        <w:rPr>
          <w:i/>
          <w:iCs/>
        </w:rPr>
        <w:t xml:space="preserve">33</w:t>
      </w:r>
      <w:r>
        <w:t xml:space="preserve">(3), 831–842.</w:t>
      </w:r>
      <w:r>
        <w:t xml:space="preserve"> </w:t>
      </w:r>
      <w:hyperlink r:id="rId118">
        <w:r>
          <w:rPr>
            <w:rStyle w:val="Hyperlink"/>
          </w:rPr>
          <w:t xml:space="preserve">https://doi.org/10.1093/schbul/sbl051</w:t>
        </w:r>
      </w:hyperlink>
    </w:p>
    <w:bookmarkEnd w:id="119"/>
    <w:bookmarkStart w:id="120" w:name="ref-green1966signal"/>
    <w:p>
      <w:pPr>
        <w:pStyle w:val="Bibliography"/>
      </w:pPr>
      <w:r>
        <w:t xml:space="preserve">Green, D. M., Swets, J. A., et al. (1966).</w:t>
      </w:r>
      <w:r>
        <w:t xml:space="preserve"> </w:t>
      </w:r>
      <w:r>
        <w:rPr>
          <w:i/>
          <w:iCs/>
        </w:rPr>
        <w:t xml:space="preserve">Signal detection theory and psychophysics</w:t>
      </w:r>
      <w:r>
        <w:t xml:space="preserve"> </w:t>
      </w:r>
      <w:r>
        <w:t xml:space="preserve">(Vol. 1). Wiley New York.</w:t>
      </w:r>
    </w:p>
    <w:bookmarkEnd w:id="120"/>
    <w:bookmarkStart w:id="122" w:name="ref-hershman2024"/>
    <w:p>
      <w:pPr>
        <w:pStyle w:val="Bibliography"/>
      </w:pPr>
      <w:r>
        <w:t xml:space="preserve">Hershman, R., Milshtein, Y., &amp; Henik, A. (2024). Processing and analyzing of pupillometry data. In M. H. Papesh &amp; S. D. Goldinger (Eds.),</w:t>
      </w:r>
      <w:r>
        <w:t xml:space="preserve"> </w:t>
      </w:r>
      <w:r>
        <w:rPr>
          <w:i/>
          <w:iCs/>
        </w:rPr>
        <w:t xml:space="preserve">Modern pupillometry: Cognition, neuroscience, and practical applications</w:t>
      </w:r>
      <w:r>
        <w:t xml:space="preserve">. Springer Nature.</w:t>
      </w:r>
      <w:r>
        <w:t xml:space="preserve"> </w:t>
      </w:r>
      <w:hyperlink r:id="rId121">
        <w:r>
          <w:rPr>
            <w:rStyle w:val="Hyperlink"/>
          </w:rPr>
          <w:t xml:space="preserve">https://doi.org/10.1007/978-3-031-54896-3</w:t>
        </w:r>
      </w:hyperlink>
    </w:p>
    <w:bookmarkEnd w:id="122"/>
    <w:bookmarkStart w:id="124" w:name="ref-hoffman2015"/>
    <w:p>
      <w:pPr>
        <w:pStyle w:val="Bibliography"/>
      </w:pPr>
      <w:r>
        <w:t xml:space="preserve">Hoffman, L. (2015).</w:t>
      </w:r>
      <w:r>
        <w:t xml:space="preserve"> </w:t>
      </w:r>
      <w:r>
        <w:rPr>
          <w:i/>
          <w:iCs/>
        </w:rPr>
        <w:t xml:space="preserve">Longitudinal analysis: Modeling within-person fluctuation and change</w:t>
      </w:r>
      <w:r>
        <w:t xml:space="preserve">. Routledge.</w:t>
      </w:r>
      <w:r>
        <w:t xml:space="preserve"> </w:t>
      </w:r>
      <w:hyperlink r:id="rId123">
        <w:r>
          <w:rPr>
            <w:rStyle w:val="Hyperlink"/>
          </w:rPr>
          <w:t xml:space="preserve">https://doi.org/10.4324/9781315744094</w:t>
        </w:r>
      </w:hyperlink>
    </w:p>
    <w:bookmarkEnd w:id="124"/>
    <w:bookmarkStart w:id="126" w:name="ref-huang2024"/>
    <w:p>
      <w:pPr>
        <w:pStyle w:val="Bibliography"/>
      </w:pPr>
      <w:r>
        <w:t xml:space="preserve">Huang, R., &amp; Clewett, D. (2024). The locus coeruleus: Where cognitive and emotional processing meet the eye. In M. H. Papesh &amp; S. D. Goldinger (Eds.),</w:t>
      </w:r>
      <w:r>
        <w:t xml:space="preserve"> </w:t>
      </w:r>
      <w:r>
        <w:rPr>
          <w:i/>
          <w:iCs/>
        </w:rPr>
        <w:t xml:space="preserve">Modern pupillometry: Cognition, neuroscience, and practical applications</w:t>
      </w:r>
      <w:r>
        <w:t xml:space="preserve"> </w:t>
      </w:r>
      <w:r>
        <w:t xml:space="preserve">(pp. 3–75). Springer Nature.</w:t>
      </w:r>
      <w:r>
        <w:t xml:space="preserve"> </w:t>
      </w:r>
      <w:hyperlink r:id="rId125">
        <w:r>
          <w:rPr>
            <w:rStyle w:val="Hyperlink"/>
          </w:rPr>
          <w:t xml:space="preserve">https://doi.org/10.1007/978-3-031-54896-3_1</w:t>
        </w:r>
      </w:hyperlink>
    </w:p>
    <w:bookmarkEnd w:id="126"/>
    <w:bookmarkStart w:id="127" w:name="ref-jepma2012neural"/>
    <w:p>
      <w:pPr>
        <w:pStyle w:val="Bibliography"/>
      </w:pPr>
      <w:r>
        <w:t xml:space="preserve">Jepma, M., Verdonschot, R. G., Van Steenbergen, H., Rombouts, S. A., &amp; Nieuwenhuis, S. (2012). Neural mechanisms underlying the induction and relief of perceptual curiosity.</w:t>
      </w:r>
      <w:r>
        <w:t xml:space="preserve"> </w:t>
      </w:r>
      <w:r>
        <w:rPr>
          <w:i/>
          <w:iCs/>
        </w:rPr>
        <w:t xml:space="preserve">Frontiers in Behavioral Neuroscience</w:t>
      </w:r>
      <w:r>
        <w:t xml:space="preserve">,</w:t>
      </w:r>
      <w:r>
        <w:t xml:space="preserve"> </w:t>
      </w:r>
      <w:r>
        <w:rPr>
          <w:i/>
          <w:iCs/>
        </w:rPr>
        <w:t xml:space="preserve">6</w:t>
      </w:r>
      <w:r>
        <w:t xml:space="preserve">, 5.</w:t>
      </w:r>
    </w:p>
    <w:bookmarkEnd w:id="127"/>
    <w:bookmarkStart w:id="129" w:name="ref-joshi2016"/>
    <w:p>
      <w:pPr>
        <w:pStyle w:val="Bibliography"/>
      </w:pPr>
      <w:r>
        <w:t xml:space="preserve">Joshi, S., Li, Y., Kalwani, R. M., &amp; Gold, J. I. (2016). Relationships between pupil diameter and neuronal activity in the locus coeruleus, colliculi, and cingulate cortex.</w:t>
      </w:r>
      <w:r>
        <w:t xml:space="preserve"> </w:t>
      </w:r>
      <w:r>
        <w:rPr>
          <w:i/>
          <w:iCs/>
        </w:rPr>
        <w:t xml:space="preserve">Neuron</w:t>
      </w:r>
      <w:r>
        <w:t xml:space="preserve">,</w:t>
      </w:r>
      <w:r>
        <w:t xml:space="preserve"> </w:t>
      </w:r>
      <w:r>
        <w:rPr>
          <w:i/>
          <w:iCs/>
        </w:rPr>
        <w:t xml:space="preserve">89</w:t>
      </w:r>
      <w:r>
        <w:t xml:space="preserve">(1), 221–234.</w:t>
      </w:r>
      <w:r>
        <w:t xml:space="preserve"> </w:t>
      </w:r>
      <w:hyperlink r:id="rId128">
        <w:r>
          <w:rPr>
            <w:rStyle w:val="Hyperlink"/>
          </w:rPr>
          <w:t xml:space="preserve">https://doi.org/10.1016/j.neuron.2015.11.028</w:t>
        </w:r>
      </w:hyperlink>
    </w:p>
    <w:bookmarkEnd w:id="129"/>
    <w:bookmarkStart w:id="130" w:name="ref-kahneman1973"/>
    <w:p>
      <w:pPr>
        <w:pStyle w:val="Bibliography"/>
      </w:pPr>
      <w:r>
        <w:t xml:space="preserve">Kahneman, D. (1973).</w:t>
      </w:r>
      <w:r>
        <w:t xml:space="preserve"> </w:t>
      </w:r>
      <w:r>
        <w:rPr>
          <w:i/>
          <w:iCs/>
        </w:rPr>
        <w:t xml:space="preserve">Attention and effort</w:t>
      </w:r>
      <w:r>
        <w:t xml:space="preserve">. Prentice-Hall.</w:t>
      </w:r>
    </w:p>
    <w:bookmarkEnd w:id="130"/>
    <w:bookmarkStart w:id="132" w:name="ref-kahneman1966"/>
    <w:p>
      <w:pPr>
        <w:pStyle w:val="Bibliography"/>
      </w:pPr>
      <w:r>
        <w:t xml:space="preserve">Kahneman, D., &amp; Beatty, J. (1966). Pupil diameter and load on memory.</w:t>
      </w:r>
      <w:r>
        <w:t xml:space="preserve"> </w:t>
      </w:r>
      <w:r>
        <w:rPr>
          <w:i/>
          <w:iCs/>
        </w:rPr>
        <w:t xml:space="preserve">Science</w:t>
      </w:r>
      <w:r>
        <w:t xml:space="preserve">,</w:t>
      </w:r>
      <w:r>
        <w:t xml:space="preserve"> </w:t>
      </w:r>
      <w:r>
        <w:rPr>
          <w:i/>
          <w:iCs/>
        </w:rPr>
        <w:t xml:space="preserve">154</w:t>
      </w:r>
      <w:r>
        <w:t xml:space="preserve">(3756), 1583–1585.</w:t>
      </w:r>
      <w:r>
        <w:t xml:space="preserve"> </w:t>
      </w:r>
      <w:hyperlink r:id="rId131">
        <w:r>
          <w:rPr>
            <w:rStyle w:val="Hyperlink"/>
          </w:rPr>
          <w:t xml:space="preserve">https://doi.org/10.1126/science.154.3756.1583</w:t>
        </w:r>
      </w:hyperlink>
    </w:p>
    <w:bookmarkEnd w:id="132"/>
    <w:bookmarkStart w:id="133" w:name="ref-kret2019preprocessing"/>
    <w:p>
      <w:pPr>
        <w:pStyle w:val="Bibliography"/>
      </w:pPr>
      <w:r>
        <w:t xml:space="preserve">Kret, M. E., &amp; Sjak-Shie, E. E. (2019). Preprocessing pupil size data: Guidelines and code.</w:t>
      </w:r>
      <w:r>
        <w:t xml:space="preserve"> </w:t>
      </w:r>
      <w:r>
        <w:rPr>
          <w:i/>
          <w:iCs/>
        </w:rPr>
        <w:t xml:space="preserve">Behavior Research Methods</w:t>
      </w:r>
      <w:r>
        <w:t xml:space="preserve">,</w:t>
      </w:r>
      <w:r>
        <w:t xml:space="preserve"> </w:t>
      </w:r>
      <w:r>
        <w:rPr>
          <w:i/>
          <w:iCs/>
        </w:rPr>
        <w:t xml:space="preserve">51</w:t>
      </w:r>
      <w:r>
        <w:t xml:space="preserve">(3), 1336–1342.</w:t>
      </w:r>
    </w:p>
    <w:bookmarkEnd w:id="133"/>
    <w:bookmarkStart w:id="134" w:name="ref-laeng2024"/>
    <w:p>
      <w:pPr>
        <w:pStyle w:val="Bibliography"/>
      </w:pPr>
      <w:r>
        <w:t xml:space="preserve">Laeng, B., &amp; Mathôt, S. (2024). Methodological aspects of pupillometry. In M. H. Papesh &amp; S. D. Goldinger (Eds.),</w:t>
      </w:r>
      <w:r>
        <w:t xml:space="preserve"> </w:t>
      </w:r>
      <w:r>
        <w:rPr>
          <w:i/>
          <w:iCs/>
        </w:rPr>
        <w:t xml:space="preserve">Modern pupillometry: Cognition, neuroscience, and practical applications</w:t>
      </w:r>
      <w:r>
        <w:t xml:space="preserve">. Springer Nature.</w:t>
      </w:r>
      <w:r>
        <w:t xml:space="preserve"> </w:t>
      </w:r>
      <w:hyperlink r:id="rId121">
        <w:r>
          <w:rPr>
            <w:rStyle w:val="Hyperlink"/>
          </w:rPr>
          <w:t xml:space="preserve">https://doi.org/10.1007/978-3-031-54896-3</w:t>
        </w:r>
      </w:hyperlink>
    </w:p>
    <w:bookmarkEnd w:id="134"/>
    <w:bookmarkStart w:id="136"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135">
        <w:r>
          <w:rPr>
            <w:rStyle w:val="Hyperlink"/>
          </w:rPr>
          <w:t xml:space="preserve">https://doi.org/10.1177/1948550617697177</w:t>
        </w:r>
      </w:hyperlink>
    </w:p>
    <w:bookmarkEnd w:id="136"/>
    <w:bookmarkStart w:id="138" w:name="ref-lalande2014"/>
    <w:p>
      <w:pPr>
        <w:pStyle w:val="Bibliography"/>
      </w:pPr>
      <w:r>
        <w:t xml:space="preserve">Lalande, S., Sawicki, C. P., Baker, J. R., &amp; Shoemaker, J. K. (2014). Effect of age on the hemodynamic and sympathetic responses at the onset of isometric handgrip exercise.</w:t>
      </w:r>
      <w:r>
        <w:t xml:space="preserve"> </w:t>
      </w:r>
      <w:r>
        <w:rPr>
          <w:i/>
          <w:iCs/>
        </w:rPr>
        <w:t xml:space="preserve">Journal of Applied Physiology</w:t>
      </w:r>
      <w:r>
        <w:t xml:space="preserve">,</w:t>
      </w:r>
      <w:r>
        <w:t xml:space="preserve"> </w:t>
      </w:r>
      <w:r>
        <w:rPr>
          <w:i/>
          <w:iCs/>
        </w:rPr>
        <w:t xml:space="preserve">116</w:t>
      </w:r>
      <w:r>
        <w:t xml:space="preserve">(2), 222–227.</w:t>
      </w:r>
      <w:r>
        <w:t xml:space="preserve"> </w:t>
      </w:r>
      <w:hyperlink r:id="rId137">
        <w:r>
          <w:rPr>
            <w:rStyle w:val="Hyperlink"/>
          </w:rPr>
          <w:t xml:space="preserve">https://doi.org/10.1152/japplphysiol.01022.2013</w:t>
        </w:r>
      </w:hyperlink>
    </w:p>
    <w:bookmarkEnd w:id="138"/>
    <w:bookmarkStart w:id="140" w:name="ref-lee2018"/>
    <w:p>
      <w:pPr>
        <w:pStyle w:val="Bibliography"/>
      </w:pPr>
      <w:r>
        <w:t xml:space="preserve">Lee, T.-H., Greening, S. G., Ueno, T., Clewett, D., Ponzio, A., Sakaki, M., &amp; Mather, M. (2018). Arousal increases neural gain via the locus coeruleus-noradrenaline system in younger adults but not in older adults.</w:t>
      </w:r>
      <w:r>
        <w:t xml:space="preserve"> </w:t>
      </w:r>
      <w:r>
        <w:rPr>
          <w:i/>
          <w:iCs/>
        </w:rPr>
        <w:t xml:space="preserve">Nature Human Behaviour</w:t>
      </w:r>
      <w:r>
        <w:t xml:space="preserve">,</w:t>
      </w:r>
      <w:r>
        <w:t xml:space="preserve"> </w:t>
      </w:r>
      <w:r>
        <w:rPr>
          <w:i/>
          <w:iCs/>
        </w:rPr>
        <w:t xml:space="preserve">2</w:t>
      </w:r>
      <w:r>
        <w:t xml:space="preserve">(5), 356–366.</w:t>
      </w:r>
      <w:r>
        <w:t xml:space="preserve"> </w:t>
      </w:r>
      <w:hyperlink r:id="rId139">
        <w:r>
          <w:rPr>
            <w:rStyle w:val="Hyperlink"/>
          </w:rPr>
          <w:t xml:space="preserve">https://doi.org/10.1038/s41562-018-0344-1</w:t>
        </w:r>
      </w:hyperlink>
    </w:p>
    <w:bookmarkEnd w:id="140"/>
    <w:bookmarkStart w:id="141" w:name="ref-macmillan2005detection"/>
    <w:p>
      <w:pPr>
        <w:pStyle w:val="Bibliography"/>
      </w:pPr>
      <w:r>
        <w:t xml:space="preserve">Macmillan, N. A., &amp; Creelman, C. D. (2005).</w:t>
      </w:r>
      <w:r>
        <w:t xml:space="preserve"> </w:t>
      </w:r>
      <w:r>
        <w:rPr>
          <w:i/>
          <w:iCs/>
        </w:rPr>
        <w:t xml:space="preserve">Detection theory: A user’s guide</w:t>
      </w:r>
      <w:r>
        <w:t xml:space="preserve">.</w:t>
      </w:r>
    </w:p>
    <w:bookmarkEnd w:id="141"/>
    <w:bookmarkStart w:id="143" w:name="ref-mark1985"/>
    <w:p>
      <w:pPr>
        <w:pStyle w:val="Bibliography"/>
      </w:pPr>
      <w:r>
        <w:t xml:space="preserve">Mark, A. L., Victor, R. G., Nerhed, C., &amp; Wallin, B. G. (1985). Microneurographic studies of the mechanisms of sympathetic nerve responses to static exercise in humans.</w:t>
      </w:r>
      <w:r>
        <w:t xml:space="preserve"> </w:t>
      </w:r>
      <w:r>
        <w:rPr>
          <w:i/>
          <w:iCs/>
        </w:rPr>
        <w:t xml:space="preserve">Circulation Research</w:t>
      </w:r>
      <w:r>
        <w:t xml:space="preserve">,</w:t>
      </w:r>
      <w:r>
        <w:t xml:space="preserve"> </w:t>
      </w:r>
      <w:r>
        <w:rPr>
          <w:i/>
          <w:iCs/>
        </w:rPr>
        <w:t xml:space="preserve">57</w:t>
      </w:r>
      <w:r>
        <w:t xml:space="preserve">(3), 461–469.</w:t>
      </w:r>
      <w:r>
        <w:t xml:space="preserve"> </w:t>
      </w:r>
      <w:hyperlink r:id="rId142">
        <w:r>
          <w:rPr>
            <w:rStyle w:val="Hyperlink"/>
          </w:rPr>
          <w:t xml:space="preserve">https://doi.org/10.1161/01.RES.57.3.461</w:t>
        </w:r>
      </w:hyperlink>
    </w:p>
    <w:bookmarkEnd w:id="143"/>
    <w:bookmarkStart w:id="145" w:name="ref-mather2016neural"/>
    <w:p>
      <w:pPr>
        <w:pStyle w:val="Bibliography"/>
      </w:pPr>
      <w:r>
        <w:t xml:space="preserve">Mather, M., Clewett, D., Sakaki, M., &amp; Harley, C. W. (2016). Norepinephrine ignites local hotspots of neuronal excitation: How arousal amplifies selectivity in perception and memory.</w:t>
      </w:r>
      <w:r>
        <w:t xml:space="preserve"> </w:t>
      </w:r>
      <w:r>
        <w:rPr>
          <w:i/>
          <w:iCs/>
        </w:rPr>
        <w:t xml:space="preserve">Behavioral and Brain Sciences</w:t>
      </w:r>
      <w:r>
        <w:t xml:space="preserve">,</w:t>
      </w:r>
      <w:r>
        <w:t xml:space="preserve"> </w:t>
      </w:r>
      <w:r>
        <w:rPr>
          <w:i/>
          <w:iCs/>
        </w:rPr>
        <w:t xml:space="preserve">39</w:t>
      </w:r>
      <w:r>
        <w:t xml:space="preserve">, e200.</w:t>
      </w:r>
      <w:r>
        <w:t xml:space="preserve"> </w:t>
      </w:r>
      <w:hyperlink r:id="rId144">
        <w:r>
          <w:rPr>
            <w:rStyle w:val="Hyperlink"/>
          </w:rPr>
          <w:t xml:space="preserve">https://doi.org/10.1017/S0140525X15000667</w:t>
        </w:r>
      </w:hyperlink>
    </w:p>
    <w:bookmarkEnd w:id="145"/>
    <w:bookmarkStart w:id="147" w:name="ref-mather2016"/>
    <w:p>
      <w:pPr>
        <w:pStyle w:val="Bibliography"/>
      </w:pPr>
      <w:r>
        <w:t xml:space="preserve">Mather, M., &amp; Harley, C. W. (2016). The locus coeruleus: Essential for maintaining cognitive function and the aging brain.</w:t>
      </w:r>
      <w:r>
        <w:t xml:space="preserve"> </w:t>
      </w:r>
      <w:r>
        <w:rPr>
          <w:i/>
          <w:iCs/>
        </w:rPr>
        <w:t xml:space="preserve">Trends in Cognitive Sciences</w:t>
      </w:r>
      <w:r>
        <w:t xml:space="preserve">,</w:t>
      </w:r>
      <w:r>
        <w:t xml:space="preserve"> </w:t>
      </w:r>
      <w:r>
        <w:rPr>
          <w:i/>
          <w:iCs/>
        </w:rPr>
        <w:t xml:space="preserve">20</w:t>
      </w:r>
      <w:r>
        <w:t xml:space="preserve">(3), 214–226.</w:t>
      </w:r>
      <w:r>
        <w:t xml:space="preserve"> </w:t>
      </w:r>
      <w:hyperlink r:id="rId146">
        <w:r>
          <w:rPr>
            <w:rStyle w:val="Hyperlink"/>
          </w:rPr>
          <w:t xml:space="preserve">https://doi.org/10.1016/j.tics.2016.01.001</w:t>
        </w:r>
      </w:hyperlink>
    </w:p>
    <w:bookmarkEnd w:id="147"/>
    <w:bookmarkStart w:id="148" w:name="ref-mathot2023methods"/>
    <w:p>
      <w:pPr>
        <w:pStyle w:val="Bibliography"/>
      </w:pPr>
      <w:r>
        <w:t xml:space="preserve">Mathôt, S., &amp; Vilotijević, A. (2023). Methods in cognitive pupillometry: Design, preprocessing, and statistical analysis.</w:t>
      </w:r>
      <w:r>
        <w:t xml:space="preserve"> </w:t>
      </w:r>
      <w:r>
        <w:rPr>
          <w:i/>
          <w:iCs/>
        </w:rPr>
        <w:t xml:space="preserve">Behavior Research Methods</w:t>
      </w:r>
      <w:r>
        <w:t xml:space="preserve">,</w:t>
      </w:r>
      <w:r>
        <w:t xml:space="preserve"> </w:t>
      </w:r>
      <w:r>
        <w:rPr>
          <w:i/>
          <w:iCs/>
        </w:rPr>
        <w:t xml:space="preserve">55</w:t>
      </w:r>
      <w:r>
        <w:t xml:space="preserve">(6), 3055–3077.</w:t>
      </w:r>
    </w:p>
    <w:bookmarkEnd w:id="148"/>
    <w:bookmarkStart w:id="150" w:name="ref-mcDougal2010"/>
    <w:p>
      <w:pPr>
        <w:pStyle w:val="Bibliography"/>
      </w:pPr>
      <w:r>
        <w:t xml:space="preserve">McDougal, D. H., &amp; Gamlin, P. D. (2010). The influence of intrinsically photosensitive retinal ganglion cells on the spectral sensitivity and response dynamics of the human pupillary light reflex.</w:t>
      </w:r>
      <w:r>
        <w:t xml:space="preserve"> </w:t>
      </w:r>
      <w:r>
        <w:rPr>
          <w:i/>
          <w:iCs/>
        </w:rPr>
        <w:t xml:space="preserve">Vision Research</w:t>
      </w:r>
      <w:r>
        <w:t xml:space="preserve">,</w:t>
      </w:r>
      <w:r>
        <w:t xml:space="preserve"> </w:t>
      </w:r>
      <w:r>
        <w:rPr>
          <w:i/>
          <w:iCs/>
        </w:rPr>
        <w:t xml:space="preserve">50</w:t>
      </w:r>
      <w:r>
        <w:t xml:space="preserve">(1), 72–87.</w:t>
      </w:r>
      <w:r>
        <w:t xml:space="preserve"> </w:t>
      </w:r>
      <w:hyperlink r:id="rId149">
        <w:r>
          <w:rPr>
            <w:rStyle w:val="Hyperlink"/>
          </w:rPr>
          <w:t xml:space="preserve">https://doi.org/10.1016/j.visres.2009.10.012</w:t>
        </w:r>
      </w:hyperlink>
    </w:p>
    <w:bookmarkEnd w:id="150"/>
    <w:bookmarkStart w:id="152" w:name="ref-mikneviciute2022"/>
    <w:p>
      <w:pPr>
        <w:pStyle w:val="Bibliography"/>
      </w:pPr>
      <w:r>
        <w:t xml:space="preserve">Mikneviciute, G., Ballhausen, N., Rimmele, U., &amp; Kliegel, M. (2022). Does older adults’ cognition particularly suffer from stress? A systematic review of acute stress effects on cognition in older age.</w:t>
      </w:r>
      <w:r>
        <w:t xml:space="preserve"> </w:t>
      </w:r>
      <w:r>
        <w:rPr>
          <w:i/>
          <w:iCs/>
        </w:rPr>
        <w:t xml:space="preserve">Neuroscience &amp; Biobehavioral Reviews</w:t>
      </w:r>
      <w:r>
        <w:t xml:space="preserve">,</w:t>
      </w:r>
      <w:r>
        <w:t xml:space="preserve"> </w:t>
      </w:r>
      <w:r>
        <w:rPr>
          <w:i/>
          <w:iCs/>
        </w:rPr>
        <w:t xml:space="preserve">132</w:t>
      </w:r>
      <w:r>
        <w:t xml:space="preserve">, 583–602.</w:t>
      </w:r>
      <w:r>
        <w:t xml:space="preserve"> </w:t>
      </w:r>
      <w:hyperlink r:id="rId151">
        <w:r>
          <w:rPr>
            <w:rStyle w:val="Hyperlink"/>
          </w:rPr>
          <w:t xml:space="preserve">https://doi.org/10.1016/j.neubiorev.2021.12.010</w:t>
        </w:r>
      </w:hyperlink>
    </w:p>
    <w:bookmarkEnd w:id="152"/>
    <w:bookmarkStart w:id="154" w:name="ref-murphy2014"/>
    <w:p>
      <w:pPr>
        <w:pStyle w:val="Bibliography"/>
      </w:pPr>
      <w:r>
        <w:t xml:space="preserve">Murphy, P. R., O’Connell, R. G., O’Sullivan, R., Robertson, I. H., &amp; Balsters, J. H. (2014). Pupil diameter covaries with BOLD activity in human locus coeruleus.</w:t>
      </w:r>
      <w:r>
        <w:t xml:space="preserve"> </w:t>
      </w:r>
      <w:r>
        <w:rPr>
          <w:i/>
          <w:iCs/>
        </w:rPr>
        <w:t xml:space="preserve">Human Brain Mapping</w:t>
      </w:r>
      <w:r>
        <w:t xml:space="preserve">,</w:t>
      </w:r>
      <w:r>
        <w:t xml:space="preserve"> </w:t>
      </w:r>
      <w:r>
        <w:rPr>
          <w:i/>
          <w:iCs/>
        </w:rPr>
        <w:t xml:space="preserve">35</w:t>
      </w:r>
      <w:r>
        <w:t xml:space="preserve">(8), 4140–4154.</w:t>
      </w:r>
      <w:r>
        <w:t xml:space="preserve"> </w:t>
      </w:r>
      <w:hyperlink r:id="rId153">
        <w:r>
          <w:rPr>
            <w:rStyle w:val="Hyperlink"/>
          </w:rPr>
          <w:t xml:space="preserve">https://doi.org/10.1002/hbm.22466</w:t>
        </w:r>
      </w:hyperlink>
    </w:p>
    <w:bookmarkEnd w:id="154"/>
    <w:bookmarkStart w:id="156" w:name="ref-navon1984"/>
    <w:p>
      <w:pPr>
        <w:pStyle w:val="Bibliography"/>
      </w:pPr>
      <w:r>
        <w:t xml:space="preserve">Navon, D. (1984). Resources—a theoretical soup stone?</w:t>
      </w:r>
      <w:r>
        <w:t xml:space="preserve"> </w:t>
      </w:r>
      <w:r>
        <w:rPr>
          <w:i/>
          <w:iCs/>
        </w:rPr>
        <w:t xml:space="preserve">Psychological Review</w:t>
      </w:r>
      <w:r>
        <w:t xml:space="preserve">,</w:t>
      </w:r>
      <w:r>
        <w:t xml:space="preserve"> </w:t>
      </w:r>
      <w:r>
        <w:rPr>
          <w:i/>
          <w:iCs/>
        </w:rPr>
        <w:t xml:space="preserve">91</w:t>
      </w:r>
      <w:r>
        <w:t xml:space="preserve">(2), 216–234.</w:t>
      </w:r>
      <w:r>
        <w:t xml:space="preserve"> </w:t>
      </w:r>
      <w:hyperlink r:id="rId155">
        <w:r>
          <w:rPr>
            <w:rStyle w:val="Hyperlink"/>
          </w:rPr>
          <w:t xml:space="preserve">https://doi.org/10.1037/0033-295X.91.2.216</w:t>
        </w:r>
      </w:hyperlink>
    </w:p>
    <w:bookmarkEnd w:id="156"/>
    <w:bookmarkStart w:id="157" w:name="ref-navon1985"/>
    <w:p>
      <w:pPr>
        <w:pStyle w:val="Bibliography"/>
      </w:pPr>
      <w:r>
        <w:t xml:space="preserve">Navon, D. (1985). Attention division or attention sharing? In M. I. Posner &amp; O. S. M. Marin (Eds.),</w:t>
      </w:r>
      <w:r>
        <w:t xml:space="preserve"> </w:t>
      </w:r>
      <w:r>
        <w:rPr>
          <w:i/>
          <w:iCs/>
        </w:rPr>
        <w:t xml:space="preserve">Attention and performance XI: Mechanisms of attention</w:t>
      </w:r>
      <w:r>
        <w:t xml:space="preserve"> </w:t>
      </w:r>
      <w:r>
        <w:t xml:space="preserve">(pp. 133–146). Lawrence Erlbaum Associates.</w:t>
      </w:r>
    </w:p>
    <w:bookmarkEnd w:id="157"/>
    <w:bookmarkStart w:id="158" w:name="ref-papesh2024modern"/>
    <w:p>
      <w:pPr>
        <w:pStyle w:val="Bibliography"/>
      </w:pPr>
      <w:r>
        <w:t xml:space="preserve">Papesh, M. H., &amp; Goldinger, S. D. (2024).</w:t>
      </w:r>
      <w:r>
        <w:t xml:space="preserve"> </w:t>
      </w:r>
      <w:r>
        <w:rPr>
          <w:i/>
          <w:iCs/>
        </w:rPr>
        <w:t xml:space="preserve">Modern pupillometry: Cognition, neuroscience, and practical applications</w:t>
      </w:r>
      <w:r>
        <w:t xml:space="preserve">. Springer Nature.</w:t>
      </w:r>
      <w:r>
        <w:t xml:space="preserve"> </w:t>
      </w:r>
      <w:hyperlink r:id="rId121">
        <w:r>
          <w:rPr>
            <w:rStyle w:val="Hyperlink"/>
          </w:rPr>
          <w:t xml:space="preserve">https://doi.org/10.1007/978-3-031-54896-3</w:t>
        </w:r>
      </w:hyperlink>
    </w:p>
    <w:bookmarkEnd w:id="158"/>
    <w:bookmarkStart w:id="159" w:name="ref-pashler1994dual"/>
    <w:p>
      <w:pPr>
        <w:pStyle w:val="Bibliography"/>
      </w:pPr>
      <w:r>
        <w:t xml:space="preserve">Pashler, H. (1994). Dual-task interference in simple tasks: Data and theory.</w:t>
      </w:r>
      <w:r>
        <w:t xml:space="preserve"> </w:t>
      </w:r>
      <w:r>
        <w:rPr>
          <w:i/>
          <w:iCs/>
        </w:rPr>
        <w:t xml:space="preserve">Psychological Bulletin</w:t>
      </w:r>
      <w:r>
        <w:t xml:space="preserve">,</w:t>
      </w:r>
      <w:r>
        <w:t xml:space="preserve"> </w:t>
      </w:r>
      <w:r>
        <w:rPr>
          <w:i/>
          <w:iCs/>
        </w:rPr>
        <w:t xml:space="preserve">116</w:t>
      </w:r>
      <w:r>
        <w:t xml:space="preserve">(2), 220.</w:t>
      </w:r>
    </w:p>
    <w:bookmarkEnd w:id="159"/>
    <w:bookmarkStart w:id="160" w:name="ref-preuschoff2011pupil"/>
    <w:p>
      <w:pPr>
        <w:pStyle w:val="Bibliography"/>
      </w:pPr>
      <w:r>
        <w:t xml:space="preserve">Preuschoff, K., Hart, B. M. ’t, &amp; Einhäuser, W. (2011). Pupil dilation signals surprise: Evidence for noradrenaline’s role in decision making.</w:t>
      </w:r>
      <w:r>
        <w:t xml:space="preserve"> </w:t>
      </w:r>
      <w:r>
        <w:rPr>
          <w:i/>
          <w:iCs/>
        </w:rPr>
        <w:t xml:space="preserve">Frontiers in Neuroscience</w:t>
      </w:r>
      <w:r>
        <w:t xml:space="preserve">,</w:t>
      </w:r>
      <w:r>
        <w:t xml:space="preserve"> </w:t>
      </w:r>
      <w:r>
        <w:rPr>
          <w:i/>
          <w:iCs/>
        </w:rPr>
        <w:t xml:space="preserve">5</w:t>
      </w:r>
      <w:r>
        <w:t xml:space="preserve">, 115.</w:t>
      </w:r>
    </w:p>
    <w:bookmarkEnd w:id="160"/>
    <w:bookmarkStart w:id="161" w:name="ref-prins2016psychophysics"/>
    <w:p>
      <w:pPr>
        <w:pStyle w:val="Bibliography"/>
      </w:pPr>
      <w:r>
        <w:t xml:space="preserve">Prins, N. et al. (2016).</w:t>
      </w:r>
      <w:r>
        <w:t xml:space="preserve"> </w:t>
      </w:r>
      <w:r>
        <w:rPr>
          <w:i/>
          <w:iCs/>
        </w:rPr>
        <w:t xml:space="preserve">Psychophysics: A practical introduction</w:t>
      </w:r>
      <w:r>
        <w:t xml:space="preserve">. Academic Press.</w:t>
      </w:r>
    </w:p>
    <w:bookmarkEnd w:id="161"/>
    <w:bookmarkStart w:id="163" w:name="ref-proctor2012"/>
    <w:p>
      <w:pPr>
        <w:pStyle w:val="Bibliography"/>
      </w:pPr>
      <w:r>
        <w:t xml:space="preserve">Proctor, R. W. (2012). Action selection. In</w:t>
      </w:r>
      <w:r>
        <w:t xml:space="preserve"> </w:t>
      </w:r>
      <w:r>
        <w:rPr>
          <w:i/>
          <w:iCs/>
        </w:rPr>
        <w:t xml:space="preserve">Handbook of psychology, second edition</w:t>
      </w:r>
      <w:r>
        <w:t xml:space="preserve">. John Wiley &amp; Sons.</w:t>
      </w:r>
      <w:r>
        <w:t xml:space="preserve"> </w:t>
      </w:r>
      <w:hyperlink r:id="rId162">
        <w:r>
          <w:rPr>
            <w:rStyle w:val="Hyperlink"/>
          </w:rPr>
          <w:t xml:space="preserve">https://doi.org/10.1002/9781118133880.hop204011</w:t>
        </w:r>
      </w:hyperlink>
    </w:p>
    <w:bookmarkEnd w:id="163"/>
    <w:bookmarkStart w:id="165" w:name="ref-R"/>
    <w:p>
      <w:pPr>
        <w:pStyle w:val="Bibliography"/>
      </w:pPr>
      <w:r>
        <w:t xml:space="preserve">R Core Team. (2025).</w:t>
      </w:r>
      <w:r>
        <w:t xml:space="preserve"> </w:t>
      </w:r>
      <w:r>
        <w:rPr>
          <w:i/>
          <w:iCs/>
        </w:rPr>
        <w:t xml:space="preserve">R: A language and environment for statistical computing</w:t>
      </w:r>
      <w:r>
        <w:t xml:space="preserve">. R Foundation for Statistical Computing.</w:t>
      </w:r>
      <w:r>
        <w:t xml:space="preserve"> </w:t>
      </w:r>
      <w:hyperlink r:id="rId164">
        <w:r>
          <w:rPr>
            <w:rStyle w:val="Hyperlink"/>
          </w:rPr>
          <w:t xml:space="preserve">https://www.R-project.org/</w:t>
        </w:r>
      </w:hyperlink>
    </w:p>
    <w:bookmarkEnd w:id="165"/>
    <w:bookmarkStart w:id="167" w:name="ref-salthouse1996"/>
    <w:p>
      <w:pPr>
        <w:pStyle w:val="Bibliography"/>
      </w:pPr>
      <w:r>
        <w:t xml:space="preserve">Salthouse, T. A. (1996). The processing-speed theory of adult age differences in cognition.</w:t>
      </w:r>
      <w:r>
        <w:t xml:space="preserve"> </w:t>
      </w:r>
      <w:r>
        <w:rPr>
          <w:i/>
          <w:iCs/>
        </w:rPr>
        <w:t xml:space="preserve">Psychological Review</w:t>
      </w:r>
      <w:r>
        <w:t xml:space="preserve">,</w:t>
      </w:r>
      <w:r>
        <w:t xml:space="preserve"> </w:t>
      </w:r>
      <w:r>
        <w:rPr>
          <w:i/>
          <w:iCs/>
        </w:rPr>
        <w:t xml:space="preserve">103</w:t>
      </w:r>
      <w:r>
        <w:t xml:space="preserve">(3), 403–428.</w:t>
      </w:r>
      <w:r>
        <w:t xml:space="preserve"> </w:t>
      </w:r>
      <w:hyperlink r:id="rId166">
        <w:r>
          <w:rPr>
            <w:rStyle w:val="Hyperlink"/>
          </w:rPr>
          <w:t xml:space="preserve">https://doi.org/10.1037/0033-295X.103.3.403</w:t>
        </w:r>
      </w:hyperlink>
    </w:p>
    <w:bookmarkEnd w:id="167"/>
    <w:bookmarkStart w:id="169" w:name="ref-sander2010"/>
    <w:p>
      <w:pPr>
        <w:pStyle w:val="Bibliography"/>
      </w:pPr>
      <w:r>
        <w:t xml:space="preserve">Sander, M., Macefield, V. G., &amp; Henderson, L. A. (2010). Cortical and brain stem changes in neural activity during static handgrip and postexercise ischemia in humans.</w:t>
      </w:r>
      <w:r>
        <w:t xml:space="preserve"> </w:t>
      </w:r>
      <w:r>
        <w:rPr>
          <w:i/>
          <w:iCs/>
        </w:rPr>
        <w:t xml:space="preserve">Journal of Applied Physiology</w:t>
      </w:r>
      <w:r>
        <w:t xml:space="preserve">,</w:t>
      </w:r>
      <w:r>
        <w:t xml:space="preserve"> </w:t>
      </w:r>
      <w:r>
        <w:rPr>
          <w:i/>
          <w:iCs/>
        </w:rPr>
        <w:t xml:space="preserve">108</w:t>
      </w:r>
      <w:r>
        <w:t xml:space="preserve">(6), 1691–1700.</w:t>
      </w:r>
      <w:r>
        <w:t xml:space="preserve"> </w:t>
      </w:r>
      <w:hyperlink r:id="rId168">
        <w:r>
          <w:rPr>
            <w:rStyle w:val="Hyperlink"/>
          </w:rPr>
          <w:t xml:space="preserve">https://doi.org/10.1152/japplphysiol.91539.2008</w:t>
        </w:r>
      </w:hyperlink>
    </w:p>
    <w:bookmarkEnd w:id="169"/>
    <w:bookmarkStart w:id="170" w:name="ref-schutt2016painfree"/>
    <w:p>
      <w:pPr>
        <w:pStyle w:val="Bibliography"/>
      </w:pPr>
      <w:r>
        <w:t xml:space="preserve">Schütt, H. H., Harmeling, S., Macke, J. H., &amp; Wichmann, F. A. (2016). Painfree and accurate bayesian estimation of psychometric functions for (potentially) overdispersed data.</w:t>
      </w:r>
      <w:r>
        <w:t xml:space="preserve"> </w:t>
      </w:r>
      <w:r>
        <w:rPr>
          <w:i/>
          <w:iCs/>
        </w:rPr>
        <w:t xml:space="preserve">Vision Research</w:t>
      </w:r>
      <w:r>
        <w:t xml:space="preserve">,</w:t>
      </w:r>
      <w:r>
        <w:t xml:space="preserve"> </w:t>
      </w:r>
      <w:r>
        <w:rPr>
          <w:i/>
          <w:iCs/>
        </w:rPr>
        <w:t xml:space="preserve">122</w:t>
      </w:r>
      <w:r>
        <w:t xml:space="preserve">, 105–123.</w:t>
      </w:r>
    </w:p>
    <w:bookmarkEnd w:id="170"/>
    <w:bookmarkStart w:id="172" w:name="ref-toska2010"/>
    <w:p>
      <w:pPr>
        <w:pStyle w:val="Bibliography"/>
      </w:pPr>
      <w:r>
        <w:t xml:space="preserve">Toska, K. (2010). Handgrip contraction induces a linear increase in arterial pressure by peripheral vasoconstriction, increased heart rate and a decrease in stroke volume.</w:t>
      </w:r>
      <w:r>
        <w:t xml:space="preserve"> </w:t>
      </w:r>
      <w:r>
        <w:rPr>
          <w:i/>
          <w:iCs/>
        </w:rPr>
        <w:t xml:space="preserve">Acta Physiologica</w:t>
      </w:r>
      <w:r>
        <w:t xml:space="preserve">,</w:t>
      </w:r>
      <w:r>
        <w:t xml:space="preserve"> </w:t>
      </w:r>
      <w:r>
        <w:rPr>
          <w:i/>
          <w:iCs/>
        </w:rPr>
        <w:t xml:space="preserve">200</w:t>
      </w:r>
      <w:r>
        <w:t xml:space="preserve">(3), 211–221.</w:t>
      </w:r>
      <w:r>
        <w:t xml:space="preserve"> </w:t>
      </w:r>
      <w:hyperlink r:id="rId171">
        <w:r>
          <w:rPr>
            <w:rStyle w:val="Hyperlink"/>
          </w:rPr>
          <w:t xml:space="preserve">https://doi.org/10.1111/j.1748-1716.2010.02144.x</w:t>
        </w:r>
      </w:hyperlink>
    </w:p>
    <w:bookmarkEnd w:id="172"/>
    <w:bookmarkStart w:id="174" w:name="ref-verhaeghen2003"/>
    <w:p>
      <w:pPr>
        <w:pStyle w:val="Bibliography"/>
      </w:pPr>
      <w:r>
        <w:t xml:space="preserve">Verhaeghen, P., Steitz, D. W., Sliwinski, M. J., &amp; Cerella, J. (2003). Aging and dual-task performance: A meta-analysis.</w:t>
      </w:r>
      <w:r>
        <w:t xml:space="preserve"> </w:t>
      </w:r>
      <w:r>
        <w:rPr>
          <w:i/>
          <w:iCs/>
        </w:rPr>
        <w:t xml:space="preserve">Psychology and Aging</w:t>
      </w:r>
      <w:r>
        <w:t xml:space="preserve">,</w:t>
      </w:r>
      <w:r>
        <w:t xml:space="preserve"> </w:t>
      </w:r>
      <w:r>
        <w:rPr>
          <w:i/>
          <w:iCs/>
        </w:rPr>
        <w:t xml:space="preserve">18</w:t>
      </w:r>
      <w:r>
        <w:t xml:space="preserve">(3), 443–460.</w:t>
      </w:r>
      <w:r>
        <w:t xml:space="preserve"> </w:t>
      </w:r>
      <w:hyperlink r:id="rId173">
        <w:r>
          <w:rPr>
            <w:rStyle w:val="Hyperlink"/>
          </w:rPr>
          <w:t xml:space="preserve">https://doi.org/10.1037/0882-7974.18.3.443</w:t>
        </w:r>
      </w:hyperlink>
    </w:p>
    <w:bookmarkEnd w:id="174"/>
    <w:bookmarkStart w:id="175" w:name="ref-wichmann2001psychometric"/>
    <w:p>
      <w:pPr>
        <w:pStyle w:val="Bibliography"/>
      </w:pPr>
      <w:r>
        <w:t xml:space="preserve">Wichmann, F. A., &amp; Hill, N. J. (2001). The psychometric function: I. Fitting, sampling, and goodness of fit.</w:t>
      </w:r>
      <w:r>
        <w:t xml:space="preserve"> </w:t>
      </w:r>
      <w:r>
        <w:rPr>
          <w:i/>
          <w:iCs/>
        </w:rPr>
        <w:t xml:space="preserve">Perception &amp; Psychophysics</w:t>
      </w:r>
      <w:r>
        <w:t xml:space="preserve">,</w:t>
      </w:r>
      <w:r>
        <w:t xml:space="preserve"> </w:t>
      </w:r>
      <w:r>
        <w:rPr>
          <w:i/>
          <w:iCs/>
        </w:rPr>
        <w:t xml:space="preserve">63</w:t>
      </w:r>
      <w:r>
        <w:t xml:space="preserve">(8), 1293–1313.</w:t>
      </w:r>
    </w:p>
    <w:bookmarkEnd w:id="175"/>
    <w:bookmarkStart w:id="177" w:name="ref-wickens2008"/>
    <w:p>
      <w:pPr>
        <w:pStyle w:val="Bibliography"/>
      </w:pPr>
      <w:r>
        <w:t xml:space="preserve">Wickens, C. D. (2008). Multiple resources and mental workload.</w:t>
      </w:r>
      <w:r>
        <w:t xml:space="preserve"> </w:t>
      </w:r>
      <w:r>
        <w:rPr>
          <w:i/>
          <w:iCs/>
        </w:rPr>
        <w:t xml:space="preserve">Human Factors</w:t>
      </w:r>
      <w:r>
        <w:t xml:space="preserve">,</w:t>
      </w:r>
      <w:r>
        <w:t xml:space="preserve"> </w:t>
      </w:r>
      <w:r>
        <w:rPr>
          <w:i/>
          <w:iCs/>
        </w:rPr>
        <w:t xml:space="preserve">50</w:t>
      </w:r>
      <w:r>
        <w:t xml:space="preserve">(3), 449–455.</w:t>
      </w:r>
      <w:r>
        <w:t xml:space="preserve"> </w:t>
      </w:r>
      <w:hyperlink r:id="rId176">
        <w:r>
          <w:rPr>
            <w:rStyle w:val="Hyperlink"/>
          </w:rPr>
          <w:t xml:space="preserve">https://doi.org/10.1518/001872008X288394</w:t>
        </w:r>
      </w:hyperlink>
    </w:p>
    <w:bookmarkEnd w:id="177"/>
    <w:bookmarkStart w:id="179" w:name="ref-woollacott2002"/>
    <w:p>
      <w:pPr>
        <w:pStyle w:val="Bibliography"/>
      </w:pPr>
      <w:r>
        <w:t xml:space="preserve">Woollacott, M., &amp; Shumway-Cook, A. (2002). Attention and the control of posture and gait: A review of an emerging area of research.</w:t>
      </w:r>
      <w:r>
        <w:t xml:space="preserve"> </w:t>
      </w:r>
      <w:r>
        <w:rPr>
          <w:i/>
          <w:iCs/>
        </w:rPr>
        <w:t xml:space="preserve">Gait &amp; Posture</w:t>
      </w:r>
      <w:r>
        <w:t xml:space="preserve">,</w:t>
      </w:r>
      <w:r>
        <w:t xml:space="preserve"> </w:t>
      </w:r>
      <w:r>
        <w:rPr>
          <w:i/>
          <w:iCs/>
        </w:rPr>
        <w:t xml:space="preserve">16</w:t>
      </w:r>
      <w:r>
        <w:t xml:space="preserve">(1), 1–14.</w:t>
      </w:r>
      <w:r>
        <w:t xml:space="preserve"> </w:t>
      </w:r>
      <w:hyperlink r:id="rId178">
        <w:r>
          <w:rPr>
            <w:rStyle w:val="Hyperlink"/>
          </w:rPr>
          <w:t xml:space="preserve">https://doi.org/10.1016/S0966-6362(01)00156-4</w:t>
        </w:r>
      </w:hyperlink>
    </w:p>
    <w:bookmarkEnd w:id="179"/>
    <w:bookmarkStart w:id="181" w:name="ref-yerkes1908"/>
    <w:p>
      <w:pPr>
        <w:pStyle w:val="Bibliography"/>
      </w:pPr>
      <w:r>
        <w:t xml:space="preserve">Yerkes, R. M., &amp; Dodson, J. D. (1908). The relation of strength of stimulus to rapidity of habit-formation.</w:t>
      </w:r>
      <w:r>
        <w:t xml:space="preserve"> </w:t>
      </w:r>
      <w:r>
        <w:rPr>
          <w:i/>
          <w:iCs/>
        </w:rPr>
        <w:t xml:space="preserve">Journal of Comparative Neurology and Psychology</w:t>
      </w:r>
      <w:r>
        <w:t xml:space="preserve">,</w:t>
      </w:r>
      <w:r>
        <w:t xml:space="preserve"> </w:t>
      </w:r>
      <w:r>
        <w:rPr>
          <w:i/>
          <w:iCs/>
        </w:rPr>
        <w:t xml:space="preserve">18</w:t>
      </w:r>
      <w:r>
        <w:t xml:space="preserve">(5), 459–482.</w:t>
      </w:r>
      <w:r>
        <w:t xml:space="preserve"> </w:t>
      </w:r>
      <w:hyperlink r:id="rId180">
        <w:r>
          <w:rPr>
            <w:rStyle w:val="Hyperlink"/>
          </w:rPr>
          <w:t xml:space="preserve">https://doi.org/10.1002/cne.920180503</w:t>
        </w:r>
      </w:hyperlink>
    </w:p>
    <w:bookmarkEnd w:id="181"/>
    <w:bookmarkEnd w:id="182"/>
    <w:p>
      <w:r>
        <w:br w:type="page"/>
      </w:r>
    </w:p>
    <w:bookmarkEnd w:id="183"/>
    <w:bookmarkStart w:id="204" w:name="appendix"/>
    <w:p>
      <w:pPr>
        <w:pStyle w:val="Heading1"/>
      </w:pPr>
      <w:r>
        <w:t xml:space="preserve">6. Appendix</w:t>
      </w:r>
    </w:p>
    <w:bookmarkStart w:id="184" w:name="sec-appendix-a"/>
    <w:p>
      <w:pPr>
        <w:pStyle w:val="Heading2"/>
      </w:pPr>
      <w:r>
        <w:t xml:space="preserve">6.1 Appendix A: Gap-Aware QC Metric Specifications</w:t>
      </w:r>
    </w:p>
    <w:p>
      <w:pPr>
        <w:pStyle w:val="FirstParagraph"/>
      </w:pPr>
      <w:r>
        <w:t xml:space="preserve">In addition to percentage-validity thresholds, gap-aware quality control metrics identify trials with problematic missing-data patterns. Percentage-validity thresholds are necessary but not sufficient: a trial can have acceptable overall validity (e.g., 60%) but contain large contiguous gaps that distort AUC estimates. Following</w:t>
      </w:r>
      <w:r>
        <w:t xml:space="preserve"> </w:t>
      </w:r>
      <w:r>
        <w:t xml:space="preserve">Kret &amp; Sjak-Shie (2019)</w:t>
      </w:r>
      <w:r>
        <w:t xml:space="preserve">, each trial carried</w:t>
      </w:r>
      <w:r>
        <w:t xml:space="preserve"> </w:t>
      </w:r>
      <w:r>
        <w:rPr>
          <w:rStyle w:val="VerbatimChar"/>
          <w:b/>
          <w:bCs/>
        </w:rPr>
        <w:t xml:space="preserve">cog_auc_max_gap_ms</w:t>
      </w:r>
      <w:r>
        <w:t xml:space="preserve"> </w:t>
      </w:r>
      <w:r>
        <w:t xml:space="preserve">(longest contiguous missing segment in the cognitive window in ms; gaps over 250 ms should not be interpolated and can distort AUC even when percent-valid looks acceptable),</w:t>
      </w:r>
      <w:r>
        <w:t xml:space="preserve"> </w:t>
      </w:r>
      <w:r>
        <w:rPr>
          <w:rStyle w:val="VerbatimChar"/>
          <w:b/>
          <w:bCs/>
        </w:rPr>
        <w:t xml:space="preserve">cog_window_duration</w:t>
      </w:r>
      <w:r>
        <w:t xml:space="preserve"> </w:t>
      </w:r>
      <w:r>
        <w:t xml:space="preserve">(realized cognitive-window duration in seconds, which should stay near 1.20 s for the fixed window),</w:t>
      </w:r>
      <w:r>
        <w:t xml:space="preserve"> </w:t>
      </w:r>
      <w:r>
        <w:rPr>
          <w:rStyle w:val="VerbatimChar"/>
          <w:b/>
          <w:bCs/>
        </w:rPr>
        <w:t xml:space="preserve">cog_auc_n_valid</w:t>
      </w:r>
      <w:r>
        <w:t xml:space="preserve"> </w:t>
      </w:r>
      <w:r>
        <w:t xml:space="preserve">(count of non-NA samples; ~300 at 250 Hz over 1.20 s),</w:t>
      </w:r>
      <w:r>
        <w:t xml:space="preserve"> </w:t>
      </w:r>
      <w:r>
        <w:rPr>
          <w:rStyle w:val="VerbatimChar"/>
          <w:b/>
          <w:bCs/>
        </w:rPr>
        <w:t xml:space="preserve">cog_auc_n_segments</w:t>
      </w:r>
      <w:r>
        <w:t xml:space="preserve"> </w:t>
      </w:r>
      <w:r>
        <w:t xml:space="preserve">(number of contiguous valid segments, where fragmentation flags unreliable AUC), and</w:t>
      </w:r>
      <w:r>
        <w:t xml:space="preserve"> </w:t>
      </w:r>
      <w:r>
        <w:rPr>
          <w:rStyle w:val="VerbatimChar"/>
          <w:b/>
          <w:bCs/>
        </w:rPr>
        <w:t xml:space="preserve">cog_auc_prop_valid</w:t>
      </w:r>
      <w:r>
        <w:t xml:space="preserve"> </w:t>
      </w:r>
      <w:r>
        <w:t xml:space="preserve">(valid samples divided by expected count at 250 Hz). Together these metrics help separate</w:t>
      </w:r>
      <w:r>
        <w:t xml:space="preserve"> </w:t>
      </w:r>
      <w:r>
        <w:rPr>
          <w:b/>
          <w:bCs/>
        </w:rPr>
        <w:t xml:space="preserve">genuine low dilation</w:t>
      </w:r>
      <w:r>
        <w:t xml:space="preserve"> </w:t>
      </w:r>
      <w:r>
        <w:t xml:space="preserve">(clean data, small gaps) from</w:t>
      </w:r>
      <w:r>
        <w:t xml:space="preserve"> </w:t>
      </w:r>
      <w:r>
        <w:rPr>
          <w:b/>
          <w:bCs/>
        </w:rPr>
        <w:t xml:space="preserve">artifactual lows</w:t>
      </w:r>
      <w:r>
        <w:t xml:space="preserve"> </w:t>
      </w:r>
      <w:r>
        <w:t xml:space="preserve">(gaps or fragmentation), so acceptable physiology is retained and problematic trials can be excluded.</w:t>
      </w:r>
    </w:p>
    <w:bookmarkEnd w:id="184"/>
    <w:bookmarkStart w:id="191" w:name="sec-appendix-b"/>
    <w:p>
      <w:pPr>
        <w:pStyle w:val="Heading2"/>
      </w:pPr>
      <w:r>
        <w:t xml:space="preserve">6.2 Appendix B: Robustness Checks — Model Comparison and Supplementary Tables</w:t>
      </w:r>
    </w:p>
    <w:p>
      <w:pPr>
        <w:pStyle w:val="FirstParagraph"/>
      </w:pPr>
      <w:r>
        <w:t xml:space="preserve">Quality-tier interaction estimates and the interpretation that the effect is not robust at the primary tier are summarized in Section 3.5.1 (</w:t>
      </w:r>
      <w:hyperlink w:anchor="sec-pupil-quality-tier">
        <w:r>
          <w:rPr>
            <w:rStyle w:val="Hyperlink"/>
          </w:rPr>
          <w:t xml:space="preserve">Quality-tier robustness</w:t>
        </w:r>
      </w:hyperlink>
      <w:r>
        <w:t xml:space="preserve">). The appendix below provides AIC comparison, the slow-RT subset refit, and the model-predicted psychometric figure.</w:t>
      </w:r>
    </w:p>
    <w:tbl>
      <w:tblPr>
        <w:tblStyle w:val="Table"/>
        <w:tblW w:type="pct" w:w="5000"/>
        <w:tblLayout w:type="fixed"/>
        <w:tblLook w:firstRow="0" w:lastRow="0" w:firstColumn="0" w:lastColumn="0" w:noHBand="0" w:noVBand="0" w:val="0000"/>
      </w:tblPr>
      <w:tblGrid>
        <w:gridCol w:w="7920"/>
      </w:tblGrid>
      <w:tr>
        <w:tc>
          <w:tcPr/>
          <w:bookmarkStart w:id="185" w:name="tbl-appendix-aic-comparison"/>
          <w:p>
            <w:pPr>
              <w:jc w:val="center"/>
            </w:pPr>
            <w:pPr>
              <w:jc w:val="start"/>
              <w:spacing w:before="200"/>
              <w:pStyle w:val="ImageCaption"/>
            </w:pPr>
            <w:r>
              <w:t xml:space="preserve">Table 7: Model Comparison: With vs. Without Interaction Term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Model / contrast</w:t>
                  </w:r>
                </w:p>
              </w:tc>
              <w:tc>
                <w:tcPr/>
                <w:p>
                  <w:pPr>
                    <w:pStyle w:val="Compact"/>
                    <w:jc w:val="right"/>
                    <w:jc w:val="center"/>
                  </w:pPr>
                  <w:r>
                    <w:t xml:space="preserve">AIC</w:t>
                  </w:r>
                </w:p>
              </w:tc>
            </w:tr>
            <w:tr>
              <w:tc>
                <w:tcPr/>
                <w:p>
                  <w:pPr>
                    <w:pStyle w:val="Compact"/>
                    <w:jc w:val="left"/>
                    <w:jc w:val="center"/>
                  </w:pPr>
                  <w:r>
                    <w:t xml:space="preserve">Without interaction</w:t>
                  </w:r>
                </w:p>
              </w:tc>
              <w:tc>
                <w:tcPr/>
                <w:p>
                  <w:pPr>
                    <w:pStyle w:val="Compact"/>
                    <w:jc w:val="right"/>
                    <w:jc w:val="center"/>
                  </w:pPr>
                  <w:r>
                    <w:t xml:space="preserve">4187.47</w:t>
                  </w:r>
                </w:p>
              </w:tc>
            </w:tr>
            <w:tr>
              <w:tc>
                <w:tcPr/>
                <w:p>
                  <w:pPr>
                    <w:pStyle w:val="Compact"/>
                    <w:jc w:val="left"/>
                    <w:jc w:val="center"/>
                  </w:pPr>
                  <w:r>
                    <w:t xml:space="preserve">With interaction</w:t>
                  </w:r>
                </w:p>
              </w:tc>
              <w:tc>
                <w:tcPr/>
                <w:p>
                  <w:pPr>
                    <w:pStyle w:val="Compact"/>
                    <w:jc w:val="right"/>
                    <w:jc w:val="center"/>
                  </w:pPr>
                  <w:r>
                    <w:t xml:space="preserve">4188.13</w:t>
                  </w:r>
                </w:p>
              </w:tc>
            </w:tr>
            <w:tr>
              <w:tc>
                <w:tcPr/>
                <w:p>
                  <w:pPr>
                    <w:pStyle w:val="Compact"/>
                    <w:jc w:val="left"/>
                    <w:jc w:val="center"/>
                  </w:pPr>
                  <w:r>
                    <w:t xml:space="preserve">Delta AIC (With minus Without)</w:t>
                  </w:r>
                </w:p>
              </w:tc>
              <w:tc>
                <w:tcPr/>
                <w:p>
                  <w:pPr>
                    <w:pStyle w:val="Compact"/>
                    <w:jc w:val="right"/>
                    <w:jc w:val="center"/>
                  </w:pPr>
                  <w:r>
                    <w:t xml:space="preserve">0.66</w:t>
                  </w:r>
                </w:p>
              </w:tc>
            </w:tr>
          </w:tbl>
          <w:bookmarkEnd w:id="185"/>
          <w:p/>
        </w:tc>
      </w:tr>
    </w:tbl>
    <w:p>
      <w:pPr>
        <w:pStyle w:val="BodyText"/>
      </w:pPr>
      <w:r>
        <w:t xml:space="preserve">Akaike Information Criterion (AIC) comparison addresses whether the stimulus intensity</w:t>
      </w:r>
      <w:r>
        <w:t xml:space="preserve"> </w:t>
      </w:r>
      <m:oMath>
        <m:r>
          <m:rPr>
            <m:sty m:val="p"/>
          </m:rPr>
          <m:t>×</m:t>
        </m:r>
      </m:oMath>
      <w:r>
        <w:t xml:space="preserve"> </w:t>
      </w:r>
      <w:r>
        <w:t xml:space="preserve">pupil-state interaction improves fit beyond the main-effects structure. A lower AIC for the model</w:t>
      </w:r>
      <w:r>
        <w:t xml:space="preserve"> </w:t>
      </w:r>
      <w:r>
        <w:rPr>
          <w:b/>
          <w:bCs/>
        </w:rPr>
        <w:t xml:space="preserve">without</w:t>
      </w:r>
      <w:r>
        <w:t xml:space="preserve"> </w:t>
      </w:r>
      <w:r>
        <w:t xml:space="preserve">the interaction indicates that the interaction does not improve fit enough to offset its complexity; in the present analysis, the no-interaction model fit marginally better (</w:t>
      </w:r>
      <m:oMath>
        <m:r>
          <m:t>Δ</m:t>
        </m:r>
      </m:oMath>
      <w:r>
        <w:t xml:space="preserve">AIC = +0.66 for adding the interaction).</w:t>
      </w:r>
    </w:p>
    <w:p>
      <w:pPr>
        <w:pStyle w:val="BodyText"/>
      </w:pPr>
      <w:r>
        <w:t xml:space="preserve">Model-predicted psychometric functions at low (−1 SD) and high (+1 SD) within-subject pupil cognitive state (</w:t>
      </w:r>
      <w:hyperlink w:anchor="fig-appendix-b1-predicted">
        <w:r>
          <w:rPr>
            <w:rStyle w:val="Hyperlink"/>
          </w:rPr>
          <w:t xml:space="preserve">Figure 11</w:t>
        </w:r>
      </w:hyperlink>
      <w:r>
        <w:t xml:space="preserve">) can appear visually separated even when the interaction coefficient is small and non-significant; such plots rely on extrapolation across the full scaled intensity range and should not be interpreted as evidence of a reliable effect without corroborating statistical evidence.</w:t>
      </w:r>
    </w:p>
    <w:tbl>
      <w:tblPr>
        <w:tblStyle w:val="Table"/>
        <w:tblW w:type="pct" w:w="5000"/>
        <w:tblLayout w:type="fixed"/>
        <w:tblLook w:firstRow="0" w:lastRow="0" w:firstColumn="0" w:lastColumn="0" w:noHBand="0" w:noVBand="0" w:val="0000"/>
      </w:tblPr>
      <w:tblGrid>
        <w:gridCol w:w="7920"/>
      </w:tblGrid>
      <w:tr>
        <w:tc>
          <w:tcPr/>
          <w:bookmarkStart w:id="189" w:name="fig-appendix-b1-predicted"/>
          <w:p>
            <w:pPr>
              <w:pStyle w:val="Compact"/>
              <w:jc w:val="center"/>
            </w:pPr>
            <w:r>
              <w:drawing>
                <wp:inline>
                  <wp:extent cx="5334000" cy="4267200"/>
                  <wp:effectExtent b="0" l="0" r="0" t="0"/>
                  <wp:docPr descr="" title="" id="187" name="Picture"/>
                  <a:graphic>
                    <a:graphicData uri="http://schemas.openxmlformats.org/drawingml/2006/picture">
                      <pic:pic>
                        <pic:nvPicPr>
                          <pic:cNvPr descr="../../../06_visualization/output/figures/pupil_psychometric_interaction.png" id="188" name="Picture"/>
                          <pic:cNvPicPr>
                            <a:picLocks noChangeArrowheads="1" noChangeAspect="1"/>
                          </pic:cNvPicPr>
                        </pic:nvPicPr>
                        <pic:blipFill>
                          <a:blip r:embed="rId18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Model predictions from the primary GLMM (Appendix B): predicted probability of a</w:t>
            </w:r>
            <w:r>
              <w:t xml:space="preserve"> </w:t>
            </w:r>
            <w:r>
              <w:t xml:space="preserve">“different”</w:t>
            </w:r>
            <w:r>
              <w:t xml:space="preserve"> </w:t>
            </w:r>
            <w:r>
              <w:t xml:space="preserve">response as a function of scaled stimulus intensity, for within-subject pupil cognitive state held at</w:t>
            </w:r>
            <w:r>
              <w:t xml:space="preserve"> </w:t>
            </w:r>
            <m:oMath>
              <m:r>
                <m:rPr>
                  <m:sty m:val="p"/>
                </m:rPr>
                <m:t>−</m:t>
              </m:r>
              <m:r>
                <m:t>1</m:t>
              </m:r>
            </m:oMath>
            <w:r>
              <w:t xml:space="preserve">,</w:t>
            </w:r>
            <w:r>
              <w:t xml:space="preserve"> </w:t>
            </w:r>
            <m:oMath>
              <m:r>
                <m:t>0</m:t>
              </m:r>
            </m:oMath>
            <w:r>
              <w:t xml:space="preserve">, and</w:t>
            </w:r>
            <w:r>
              <w:t xml:space="preserve"> </w:t>
            </w:r>
            <m:oMath>
              <m:r>
                <m:rPr>
                  <m:sty m:val="p"/>
                </m:rPr>
                <m:t>+</m:t>
              </m:r>
              <m:r>
                <m:t>1</m:t>
              </m:r>
            </m:oMath>
            <w:r>
              <w:t xml:space="preserve"> </w:t>
            </w:r>
            <w:r>
              <w:t xml:space="preserve">SD (Low / Medium / High pupil; trait fixed at mean). Caution: Visual separation between curves reflects model extrapolation across the full intensity range. The underlying interaction coefficient was small and non-significant (</w:t>
            </w:r>
            <m:oMath>
              <m:r>
                <m:t>β</m:t>
              </m:r>
              <m:r>
                <m:rPr>
                  <m:sty m:val="p"/>
                </m:rPr>
                <m:t>=</m:t>
              </m:r>
              <m:r>
                <m:rPr>
                  <m:sty m:val="p"/>
                </m:rPr>
                <m:t>+</m:t>
              </m:r>
              <m:r>
                <m:t>0.035</m:t>
              </m:r>
            </m:oMath>
            <w:r>
              <w:t xml:space="preserve">, 95% CI</w:t>
            </w:r>
            <w:r>
              <w:t xml:space="preserve"> </w:t>
            </w:r>
            <m:oMath>
              <m:d>
                <m:dPr>
                  <m:begChr m:val="["/>
                  <m:sepChr m:val=""/>
                  <m:endChr m:val="]"/>
                  <m:grow/>
                </m:dPr>
                <m:e>
                  <m:r>
                    <m:rPr>
                      <m:sty m:val="p"/>
                    </m:rPr>
                    <m:t>−</m:t>
                  </m:r>
                  <m:r>
                    <m:t>0.024</m:t>
                  </m:r>
                  <m:r>
                    <m:rPr>
                      <m:sty m:val="p"/>
                    </m:rPr>
                    <m:t>,</m:t>
                  </m:r>
                  <m:r>
                    <m:rPr>
                      <m:sty m:val="p"/>
                    </m:rPr>
                    <m:t>+</m:t>
                  </m:r>
                  <m:r>
                    <m:t>0.095</m:t>
                  </m:r>
                </m:e>
              </m:d>
            </m:oMath>
            <w:r>
              <w:t xml:space="preserve">,</w:t>
            </w:r>
            <w:r>
              <w:t xml:space="preserve"> </w:t>
            </w:r>
            <m:oMath>
              <m:r>
                <m:t>p</m:t>
              </m:r>
              <m:r>
                <m:rPr>
                  <m:sty m:val="p"/>
                </m:rPr>
                <m:t>=</m:t>
              </m:r>
              <m:r>
                <m:t>.245</m:t>
              </m:r>
            </m:oMath>
            <w:r>
              <w:t xml:space="preserve">,</w:t>
            </w:r>
            <w:r>
              <w:t xml:space="preserve"> </w:t>
            </w:r>
            <m:oMath>
              <m:r>
                <m:t>Δ</m:t>
              </m:r>
            </m:oMath>
            <w:r>
              <w:t xml:space="preserve">AIC</w:t>
            </w:r>
            <w:r>
              <w:t xml:space="preserve"> </w:t>
            </w:r>
            <m:oMath>
              <m:r>
                <m:rPr>
                  <m:sty m:val="p"/>
                </m:rPr>
                <m:t>=</m:t>
              </m:r>
              <m:r>
                <m:t>0.66</m:t>
              </m:r>
            </m:oMath>
            <w:r>
              <w:t xml:space="preserve">); this figure should not be interpreted as evidence of a reliable effect.</w:t>
            </w:r>
          </w:p>
          <w:bookmarkEnd w:id="189"/>
        </w:tc>
      </w:tr>
    </w:tbl>
    <w:p>
      <w:pPr>
        <w:pStyle w:val="BodyText"/>
      </w:pPr>
      <w:r>
        <w:rPr>
          <w:b/>
          <w:bCs/>
        </w:rPr>
        <w:t xml:space="preserve">Pre-specified slow-RT sensitivity (motor overlap).</w:t>
      </w:r>
      <w:r>
        <w:t xml:space="preserve"> </w:t>
      </w:r>
      <w:r>
        <w:t xml:space="preserve">The primary cognitive window overlaps the response screen and typical button presses (Section 2.3.4). A pre-specified sensitivity analysis restricted the GLMM to trials where the button press fell entirely outside the cognitive window (RT &gt; 1.5 s; motor-uncontaminated subset), so motor execution could not contaminate the pupil epoch. The stimulus intensity</w:t>
      </w:r>
      <w:r>
        <w:t xml:space="preserve"> </w:t>
      </w:r>
      <m:oMath>
        <m:r>
          <m:rPr>
            <m:sty m:val="p"/>
          </m:rPr>
          <m:t>×</m:t>
        </m:r>
      </m:oMath>
      <w:r>
        <w:t xml:space="preserve"> </w:t>
      </w:r>
      <w:r>
        <w:t xml:space="preserve">pupil state interaction was</w:t>
      </w:r>
      <w:r>
        <w:t xml:space="preserve"> </w:t>
      </w:r>
      <m:oMath>
        <m:r>
          <m:t>β</m:t>
        </m:r>
      </m:oMath>
      <w:r>
        <w:t xml:space="preserve"> </w:t>
      </w:r>
      <w:r>
        <w:t xml:space="preserve">= −0.071 (</w:t>
      </w:r>
      <m:oMath>
        <m:r>
          <m:t>p</m:t>
        </m:r>
      </m:oMath>
      <w:r>
        <w:t xml:space="preserve"> </w:t>
      </w:r>
      <w:r>
        <w:t xml:space="preserve">= .164)—</w:t>
      </w:r>
      <w:r>
        <w:rPr>
          <w:b/>
          <w:bCs/>
        </w:rPr>
        <w:t xml:space="preserve">opposite in sign</w:t>
      </w:r>
      <w:r>
        <w:t xml:space="preserve"> </w:t>
      </w:r>
      <w:r>
        <w:t xml:space="preserve">to the primary-tier estimate (</w:t>
      </w:r>
      <m:oMath>
        <m:r>
          <m:t>β</m:t>
        </m:r>
      </m:oMath>
      <w:r>
        <w:t xml:space="preserve"> </w:t>
      </w:r>
      <w:r>
        <w:t xml:space="preserve">= +0.035,</w:t>
      </w:r>
      <w:r>
        <w:t xml:space="preserve"> </w:t>
      </w:r>
      <m:oMath>
        <m:r>
          <m:t>p</m:t>
        </m:r>
      </m:oMath>
      <w:r>
        <w:t xml:space="preserve"> </w:t>
      </w:r>
      <w:r>
        <w:t xml:space="preserve">= .245) and non-significant. Thus the small positive interaction at the primary tier</w:t>
      </w:r>
      <w:r>
        <w:t xml:space="preserve"> </w:t>
      </w:r>
      <w:r>
        <w:rPr>
          <w:b/>
          <w:bCs/>
        </w:rPr>
        <w:t xml:space="preserve">cannot</w:t>
      </w:r>
      <w:r>
        <w:t xml:space="preserve"> </w:t>
      </w:r>
      <w:r>
        <w:t xml:space="preserve">be taken as evidence against motor contamination: the slow-RT subset is consistent with</w:t>
      </w:r>
      <w:r>
        <w:t xml:space="preserve"> </w:t>
      </w:r>
      <w:r>
        <w:rPr>
          <w:b/>
          <w:bCs/>
        </w:rPr>
        <w:t xml:space="preserve">unknown sign</w:t>
      </w:r>
      <w:r>
        <w:t xml:space="preserve"> </w:t>
      </w:r>
      <w:r>
        <w:t xml:space="preserve">for any true effect and with partial contribution of motor overlap to the primary pattern.</w:t>
      </w:r>
    </w:p>
    <w:tbl>
      <w:tblPr>
        <w:tblStyle w:val="Table"/>
        <w:tblW w:type="pct" w:w="5000"/>
        <w:tblLayout w:type="fixed"/>
        <w:tblLook w:firstRow="0" w:lastRow="0" w:firstColumn="0" w:lastColumn="0" w:noHBand="0" w:noVBand="0" w:val="0000"/>
      </w:tblPr>
      <w:tblGrid>
        <w:gridCol w:w="7920"/>
      </w:tblGrid>
      <w:tr>
        <w:tc>
          <w:tcPr/>
          <w:bookmarkStart w:id="190" w:name="tbl-appendix-slow-rt"/>
          <w:p>
            <w:pPr>
              <w:jc w:val="center"/>
            </w:pPr>
            <w:pPr>
              <w:jc w:val="start"/>
              <w:spacing w:before="200"/>
              <w:pStyle w:val="ImageCaption"/>
            </w:pPr>
            <w:r>
              <w:t xml:space="preserve">Table 8: Slow-RT Sensitivity Subset: Fixed Effects (Primary GLMM Structure)</w:t>
            </w:r>
          </w:p>
          <w:tbl>
            <w:tblPr>
              <w:tblStyle w:val="Table"/>
              <w:tblW w:type="pct" w:w="5000"/>
              <w:tblLayout w:type="fixed"/>
              <w:tblLook w:firstRow="1" w:lastRow="0" w:firstColumn="0" w:lastColumn="0" w:noHBand="0" w:noVBand="0" w:val="0020"/>
            </w:tblPr>
            <w:tblGrid>
              <w:gridCol w:w="4412"/>
              <w:gridCol w:w="1018"/>
              <w:gridCol w:w="792"/>
              <w:gridCol w:w="905"/>
              <w:gridCol w:w="792"/>
            </w:tblGrid>
            <w:tr>
              <w:trPr>
                <w:tblHeader w:val="on"/>
              </w:trPr>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r>
            <w:tr>
              <w:tc>
                <w:tcPr/>
                <w:p>
                  <w:pPr>
                    <w:pStyle w:val="Compact"/>
                    <w:jc w:val="left"/>
                    <w:jc w:val="center"/>
                  </w:pPr>
                  <w:r>
                    <w:t xml:space="preserve">Intercept</w:t>
                  </w:r>
                </w:p>
              </w:tc>
              <w:tc>
                <w:tcPr/>
                <w:p>
                  <w:pPr>
                    <w:pStyle w:val="Compact"/>
                    <w:jc w:val="right"/>
                    <w:jc w:val="center"/>
                  </w:pPr>
                  <w:r>
                    <w:t xml:space="preserve">-0.4042</w:t>
                  </w:r>
                </w:p>
              </w:tc>
              <w:tc>
                <w:tcPr/>
                <w:p>
                  <w:pPr>
                    <w:pStyle w:val="Compact"/>
                    <w:jc w:val="right"/>
                    <w:jc w:val="center"/>
                  </w:pPr>
                  <w:r>
                    <w:t xml:space="preserve">0.1053</w:t>
                  </w:r>
                </w:p>
              </w:tc>
              <w:tc>
                <w:tcPr/>
                <w:p>
                  <w:pPr>
                    <w:pStyle w:val="Compact"/>
                    <w:jc w:val="right"/>
                    <w:jc w:val="center"/>
                  </w:pPr>
                  <w:r>
                    <w:t xml:space="preserve">-3.8396</w:t>
                  </w:r>
                </w:p>
              </w:tc>
              <w:tc>
                <w:tcPr/>
                <w:p>
                  <w:pPr>
                    <w:pStyle w:val="Compact"/>
                    <w:jc w:val="right"/>
                    <w:jc w:val="center"/>
                  </w:pPr>
                  <w:r>
                    <w:t xml:space="preserve">0.0001</w:t>
                  </w:r>
                </w:p>
              </w:tc>
            </w:tr>
            <w:tr>
              <w:tc>
                <w:tcPr/>
                <w:p>
                  <w:pPr>
                    <w:pStyle w:val="Compact"/>
                    <w:jc w:val="left"/>
                    <w:jc w:val="center"/>
                  </w:pPr>
                  <w:r>
                    <w:t xml:space="preserve">Stimulus Intensity</w:t>
                  </w:r>
                </w:p>
              </w:tc>
              <w:tc>
                <w:tcPr/>
                <w:p>
                  <w:pPr>
                    <w:pStyle w:val="Compact"/>
                    <w:jc w:val="right"/>
                    <w:jc w:val="center"/>
                  </w:pPr>
                  <w:r>
                    <w:t xml:space="preserve">0.5227</w:t>
                  </w:r>
                </w:p>
              </w:tc>
              <w:tc>
                <w:tcPr/>
                <w:p>
                  <w:pPr>
                    <w:pStyle w:val="Compact"/>
                    <w:jc w:val="right"/>
                    <w:jc w:val="center"/>
                  </w:pPr>
                  <w:r>
                    <w:t xml:space="preserve">0.0678</w:t>
                  </w:r>
                </w:p>
              </w:tc>
              <w:tc>
                <w:tcPr/>
                <w:p>
                  <w:pPr>
                    <w:pStyle w:val="Compact"/>
                    <w:jc w:val="right"/>
                    <w:jc w:val="center"/>
                  </w:pPr>
                  <w:r>
                    <w:t xml:space="preserve">7.7137</w:t>
                  </w:r>
                </w:p>
              </w:tc>
              <w:tc>
                <w:tcPr/>
                <w:p>
                  <w:pPr>
                    <w:pStyle w:val="Compact"/>
                    <w:jc w:val="right"/>
                    <w:jc w:val="center"/>
                  </w:pPr>
                  <w:r>
                    <w:t xml:space="preserve">0.0000</w:t>
                  </w:r>
                </w:p>
              </w:tc>
            </w:tr>
            <w:tr>
              <w:tc>
                <w:tcPr/>
                <w:p>
                  <w:pPr>
                    <w:pStyle w:val="Compact"/>
                    <w:jc w:val="left"/>
                    <w:jc w:val="center"/>
                  </w:pPr>
                  <w:r>
                    <w:t xml:space="preserve">Cognitive Pupil State (within-person)</w:t>
                  </w:r>
                </w:p>
              </w:tc>
              <w:tc>
                <w:tcPr/>
                <w:p>
                  <w:pPr>
                    <w:pStyle w:val="Compact"/>
                    <w:jc w:val="right"/>
                    <w:jc w:val="center"/>
                  </w:pPr>
                  <w:r>
                    <w:t xml:space="preserve">-0.0212</w:t>
                  </w:r>
                </w:p>
              </w:tc>
              <w:tc>
                <w:tcPr/>
                <w:p>
                  <w:pPr>
                    <w:pStyle w:val="Compact"/>
                    <w:jc w:val="right"/>
                    <w:jc w:val="center"/>
                  </w:pPr>
                  <w:r>
                    <w:t xml:space="preserve">0.0455</w:t>
                  </w:r>
                </w:p>
              </w:tc>
              <w:tc>
                <w:tcPr/>
                <w:p>
                  <w:pPr>
                    <w:pStyle w:val="Compact"/>
                    <w:jc w:val="right"/>
                    <w:jc w:val="center"/>
                  </w:pPr>
                  <w:r>
                    <w:t xml:space="preserve">-0.4664</w:t>
                  </w:r>
                </w:p>
              </w:tc>
              <w:tc>
                <w:tcPr/>
                <w:p>
                  <w:pPr>
                    <w:pStyle w:val="Compact"/>
                    <w:jc w:val="right"/>
                    <w:jc w:val="center"/>
                  </w:pPr>
                  <w:r>
                    <w:t xml:space="preserve">0.6410</w:t>
                  </w:r>
                </w:p>
              </w:tc>
            </w:tr>
            <w:tr>
              <w:tc>
                <w:tcPr/>
                <w:p>
                  <w:pPr>
                    <w:pStyle w:val="Compact"/>
                    <w:jc w:val="left"/>
                    <w:jc w:val="center"/>
                  </w:pPr>
                  <w:r>
                    <w:t xml:space="preserve">Effort: High vs. Low</w:t>
                  </w:r>
                </w:p>
              </w:tc>
              <w:tc>
                <w:tcPr/>
                <w:p>
                  <w:pPr>
                    <w:pStyle w:val="Compact"/>
                    <w:jc w:val="right"/>
                    <w:jc w:val="center"/>
                  </w:pPr>
                  <w:r>
                    <w:t xml:space="preserve">-0.0622</w:t>
                  </w:r>
                </w:p>
              </w:tc>
              <w:tc>
                <w:tcPr/>
                <w:p>
                  <w:pPr>
                    <w:pStyle w:val="Compact"/>
                    <w:jc w:val="right"/>
                    <w:jc w:val="center"/>
                  </w:pPr>
                  <w:r>
                    <w:t xml:space="preserve">0.0918</w:t>
                  </w:r>
                </w:p>
              </w:tc>
              <w:tc>
                <w:tcPr/>
                <w:p>
                  <w:pPr>
                    <w:pStyle w:val="Compact"/>
                    <w:jc w:val="right"/>
                    <w:jc w:val="center"/>
                  </w:pPr>
                  <w:r>
                    <w:t xml:space="preserve">-0.6777</w:t>
                  </w:r>
                </w:p>
              </w:tc>
              <w:tc>
                <w:tcPr/>
                <w:p>
                  <w:pPr>
                    <w:pStyle w:val="Compact"/>
                    <w:jc w:val="right"/>
                    <w:jc w:val="center"/>
                  </w:pPr>
                  <w:r>
                    <w:t xml:space="preserve">0.4980</w:t>
                  </w:r>
                </w:p>
              </w:tc>
            </w:tr>
            <w:tr>
              <w:tc>
                <w:tcPr/>
                <w:p>
                  <w:pPr>
                    <w:pStyle w:val="Compact"/>
                    <w:jc w:val="left"/>
                    <w:jc w:val="center"/>
                  </w:pPr>
                  <w:r>
                    <w:t xml:space="preserve">Task: VDT vs. ADT</w:t>
                  </w:r>
                </w:p>
              </w:tc>
              <w:tc>
                <w:tcPr/>
                <w:p>
                  <w:pPr>
                    <w:pStyle w:val="Compact"/>
                    <w:jc w:val="right"/>
                    <w:jc w:val="center"/>
                  </w:pPr>
                  <w:r>
                    <w:t xml:space="preserve">0.2294</w:t>
                  </w:r>
                </w:p>
              </w:tc>
              <w:tc>
                <w:tcPr/>
                <w:p>
                  <w:pPr>
                    <w:pStyle w:val="Compact"/>
                    <w:jc w:val="right"/>
                    <w:jc w:val="center"/>
                  </w:pPr>
                  <w:r>
                    <w:t xml:space="preserve">0.1187</w:t>
                  </w:r>
                </w:p>
              </w:tc>
              <w:tc>
                <w:tcPr/>
                <w:p>
                  <w:pPr>
                    <w:pStyle w:val="Compact"/>
                    <w:jc w:val="right"/>
                    <w:jc w:val="center"/>
                  </w:pPr>
                  <w:r>
                    <w:t xml:space="preserve">1.9321</w:t>
                  </w:r>
                </w:p>
              </w:tc>
              <w:tc>
                <w:tcPr/>
                <w:p>
                  <w:pPr>
                    <w:pStyle w:val="Compact"/>
                    <w:jc w:val="right"/>
                    <w:jc w:val="center"/>
                  </w:pPr>
                  <w:r>
                    <w:t xml:space="preserve">0.0533</w:t>
                  </w:r>
                </w:p>
              </w:tc>
            </w:tr>
            <w:tr>
              <w:tc>
                <w:tcPr/>
                <w:p>
                  <w:pPr>
                    <w:pStyle w:val="Compact"/>
                    <w:jc w:val="left"/>
                    <w:jc w:val="center"/>
                  </w:pPr>
                  <w:r>
                    <w:t xml:space="preserve">Cognitive Pupil Trait (between-person)</w:t>
                  </w:r>
                </w:p>
              </w:tc>
              <w:tc>
                <w:tcPr/>
                <w:p>
                  <w:pPr>
                    <w:pStyle w:val="Compact"/>
                    <w:jc w:val="right"/>
                    <w:jc w:val="center"/>
                  </w:pPr>
                  <w:r>
                    <w:t xml:space="preserve">-0.0070</w:t>
                  </w:r>
                </w:p>
              </w:tc>
              <w:tc>
                <w:tcPr/>
                <w:p>
                  <w:pPr>
                    <w:pStyle w:val="Compact"/>
                    <w:jc w:val="right"/>
                    <w:jc w:val="center"/>
                  </w:pPr>
                  <w:r>
                    <w:t xml:space="preserve">0.0737</w:t>
                  </w:r>
                </w:p>
              </w:tc>
              <w:tc>
                <w:tcPr/>
                <w:p>
                  <w:pPr>
                    <w:pStyle w:val="Compact"/>
                    <w:jc w:val="right"/>
                    <w:jc w:val="center"/>
                  </w:pPr>
                  <w:r>
                    <w:t xml:space="preserve">-0.0945</w:t>
                  </w:r>
                </w:p>
              </w:tc>
              <w:tc>
                <w:tcPr/>
                <w:p>
                  <w:pPr>
                    <w:pStyle w:val="Compact"/>
                    <w:jc w:val="right"/>
                    <w:jc w:val="center"/>
                  </w:pPr>
                  <w:r>
                    <w:t xml:space="preserve">0.9247</w:t>
                  </w:r>
                </w:p>
              </w:tc>
            </w:tr>
            <w:tr>
              <w:tc>
                <w:tcPr/>
                <w:p>
                  <w:pPr>
                    <w:pStyle w:val="Compact"/>
                    <w:jc w:val="left"/>
                    <w:jc w:val="center"/>
                  </w:pPr>
                  <w:r>
                    <w:t xml:space="preserve">Stimulus Intensity × Pupil State</w:t>
                  </w:r>
                </w:p>
              </w:tc>
              <w:tc>
                <w:tcPr/>
                <w:p>
                  <w:pPr>
                    <w:pStyle w:val="Compact"/>
                    <w:jc w:val="right"/>
                    <w:jc w:val="center"/>
                  </w:pPr>
                  <w:r>
                    <w:t xml:space="preserve">-0.0707</w:t>
                  </w:r>
                </w:p>
              </w:tc>
              <w:tc>
                <w:tcPr/>
                <w:p>
                  <w:pPr>
                    <w:pStyle w:val="Compact"/>
                    <w:jc w:val="right"/>
                    <w:jc w:val="center"/>
                  </w:pPr>
                  <w:r>
                    <w:t xml:space="preserve">0.0508</w:t>
                  </w:r>
                </w:p>
              </w:tc>
              <w:tc>
                <w:tcPr/>
                <w:p>
                  <w:pPr>
                    <w:pStyle w:val="Compact"/>
                    <w:jc w:val="right"/>
                    <w:jc w:val="center"/>
                  </w:pPr>
                  <w:r>
                    <w:t xml:space="preserve">-1.3912</w:t>
                  </w:r>
                </w:p>
              </w:tc>
              <w:tc>
                <w:tcPr/>
                <w:p>
                  <w:pPr>
                    <w:pStyle w:val="Compact"/>
                    <w:jc w:val="right"/>
                    <w:jc w:val="center"/>
                  </w:pPr>
                  <w:r>
                    <w:t xml:space="preserve">0.1642</w:t>
                  </w:r>
                </w:p>
              </w:tc>
            </w:tr>
          </w:tbl>
          <w:bookmarkEnd w:id="190"/>
          <w:p/>
        </w:tc>
      </w:tr>
    </w:tbl>
    <w:bookmarkEnd w:id="191"/>
    <w:bookmarkStart w:id="197" w:name="sec-appendix-c"/>
    <w:p>
      <w:pPr>
        <w:pStyle w:val="Heading2"/>
      </w:pPr>
      <w:r>
        <w:t xml:space="preserve">6.3 Appendix C: Missingness Diagnostic — Full Model and Figure</w:t>
      </w:r>
    </w:p>
    <w:tbl>
      <w:tblPr>
        <w:tblStyle w:val="Table"/>
        <w:tblW w:type="pct" w:w="5000"/>
        <w:tblLayout w:type="fixed"/>
        <w:tblLook w:firstRow="0" w:lastRow="0" w:firstColumn="0" w:lastColumn="0" w:noHBand="0" w:noVBand="0" w:val="0000"/>
      </w:tblPr>
      <w:tblGrid>
        <w:gridCol w:w="7920"/>
      </w:tblGrid>
      <w:tr>
        <w:tc>
          <w:tcPr/>
          <w:bookmarkStart w:id="192" w:name="tbl-appendix-missingness"/>
          <w:p>
            <w:pPr>
              <w:jc w:val="center"/>
            </w:pPr>
            <w:pPr>
              <w:jc w:val="start"/>
              <w:spacing w:before="200"/>
              <w:pStyle w:val="ImageCaption"/>
            </w:pPr>
            <w:r>
              <w:t xml:space="preserve">Table 9: Missingness Diagnostic: Predictors of Pupil Data Usability (Odds Ratios)</w:t>
            </w:r>
          </w:p>
          <w:tbl>
            <w:tblPr>
              <w:tblStyle w:val="Table"/>
              <w:tblW w:type="pct" w:w="5000"/>
              <w:tblLayout w:type="fixed"/>
              <w:tblLook w:firstRow="1" w:lastRow="0" w:firstColumn="0" w:lastColumn="0" w:noHBand="0" w:noVBand="0" w:val="0020"/>
            </w:tblPr>
            <w:tblGrid>
              <w:gridCol w:w="2278"/>
              <w:gridCol w:w="759"/>
              <w:gridCol w:w="759"/>
              <w:gridCol w:w="867"/>
              <w:gridCol w:w="759"/>
              <w:gridCol w:w="1193"/>
              <w:gridCol w:w="1301"/>
            </w:tblGrid>
            <w:tr>
              <w:trPr>
                <w:tblHeader w:val="on"/>
              </w:trPr>
              <w:tc>
                <w:tcPr/>
                <w:p>
                  <w:pPr>
                    <w:pStyle w:val="Compact"/>
                    <w:jc w:val="left"/>
                    <w:jc w:val="center"/>
                  </w:pPr>
                  <w:r>
                    <w:t xml:space="preserve">Term</w:t>
                  </w:r>
                </w:p>
              </w:tc>
              <w:tc>
                <w:tcPr/>
                <w:p>
                  <w:pPr>
                    <w:pStyle w:val="Compact"/>
                    <w:jc w:val="right"/>
                    <w:jc w:val="center"/>
                  </w:pPr>
                  <w:r>
                    <w:t xml:space="preserve">OR</w:t>
                  </w:r>
                </w:p>
              </w:tc>
              <w:tc>
                <w:tcPr/>
                <w:p>
                  <w:pPr>
                    <w:pStyle w:val="Compact"/>
                    <w:jc w:val="right"/>
                    <w:jc w:val="center"/>
                  </w:pPr>
                  <w:r>
                    <w:t xml:space="preserve">SE</w:t>
                  </w:r>
                </w:p>
              </w:tc>
              <w:tc>
                <w:tcPr/>
                <w:p>
                  <w:pPr>
                    <w:pStyle w:val="Compact"/>
                    <w:jc w:val="right"/>
                    <w:jc w:val="center"/>
                  </w:pPr>
                  <w:r>
                    <w:t xml:space="preserve">z</w:t>
                  </w:r>
                </w:p>
              </w:tc>
              <w:tc>
                <w:tcPr/>
                <w:p>
                  <w:pPr>
                    <w:pStyle w:val="Compact"/>
                    <w:jc w:val="right"/>
                    <w:jc w:val="center"/>
                  </w:pPr>
                  <w:r>
                    <w:t xml:space="preserve">p</w:t>
                  </w:r>
                </w:p>
              </w:tc>
              <w:tc>
                <w:tcPr/>
                <w:p>
                  <w:pPr>
                    <w:pStyle w:val="Compact"/>
                    <w:jc w:val="right"/>
                    <w:jc w:val="center"/>
                  </w:pPr>
                  <w:r>
                    <w:t xml:space="preserve">95% CI Low</w:t>
                  </w:r>
                </w:p>
              </w:tc>
              <w:tc>
                <w:tcPr/>
                <w:p>
                  <w:pPr>
                    <w:pStyle w:val="Compact"/>
                    <w:jc w:val="right"/>
                    <w:jc w:val="center"/>
                  </w:pPr>
                  <w:r>
                    <w:t xml:space="preserve">95% CI High</w:t>
                  </w:r>
                </w:p>
              </w:tc>
            </w:tr>
            <w:tr>
              <w:tc>
                <w:tcPr/>
                <w:p>
                  <w:pPr>
                    <w:pStyle w:val="Compact"/>
                    <w:jc w:val="left"/>
                    <w:jc w:val="center"/>
                  </w:pPr>
                  <w:r>
                    <w:t xml:space="preserve">Intercept</w:t>
                  </w:r>
                </w:p>
              </w:tc>
              <w:tc>
                <w:tcPr/>
                <w:p>
                  <w:pPr>
                    <w:pStyle w:val="Compact"/>
                    <w:jc w:val="right"/>
                    <w:jc w:val="center"/>
                  </w:pPr>
                  <w:r>
                    <w:t xml:space="preserve">0.6653</w:t>
                  </w:r>
                </w:p>
              </w:tc>
              <w:tc>
                <w:tcPr/>
                <w:p>
                  <w:pPr>
                    <w:pStyle w:val="Compact"/>
                    <w:jc w:val="right"/>
                    <w:jc w:val="center"/>
                  </w:pPr>
                  <w:r>
                    <w:t xml:space="preserve">0.3020</w:t>
                  </w:r>
                </w:p>
              </w:tc>
              <w:tc>
                <w:tcPr/>
                <w:p>
                  <w:pPr>
                    <w:pStyle w:val="Compact"/>
                    <w:jc w:val="right"/>
                    <w:jc w:val="center"/>
                  </w:pPr>
                  <w:r>
                    <w:t xml:space="preserve">-0.8977</w:t>
                  </w:r>
                </w:p>
              </w:tc>
              <w:tc>
                <w:tcPr/>
                <w:p>
                  <w:pPr>
                    <w:pStyle w:val="Compact"/>
                    <w:jc w:val="right"/>
                    <w:jc w:val="center"/>
                  </w:pPr>
                  <w:r>
                    <w:t xml:space="preserve">0.3694</w:t>
                  </w:r>
                </w:p>
              </w:tc>
              <w:tc>
                <w:tcPr/>
                <w:p>
                  <w:pPr>
                    <w:pStyle w:val="Compact"/>
                    <w:jc w:val="right"/>
                    <w:jc w:val="center"/>
                  </w:pPr>
                  <w:r>
                    <w:t xml:space="preserve">0.2733</w:t>
                  </w:r>
                </w:p>
              </w:tc>
              <w:tc>
                <w:tcPr/>
                <w:p>
                  <w:pPr>
                    <w:pStyle w:val="Compact"/>
                    <w:jc w:val="right"/>
                    <w:jc w:val="center"/>
                  </w:pPr>
                  <w:r>
                    <w:t xml:space="preserve">1.6196</w:t>
                  </w:r>
                </w:p>
              </w:tc>
            </w:tr>
            <w:tr>
              <w:tc>
                <w:tcPr/>
                <w:p>
                  <w:pPr>
                    <w:pStyle w:val="Compact"/>
                    <w:jc w:val="left"/>
                    <w:jc w:val="center"/>
                  </w:pPr>
                  <w:r>
                    <w:t xml:space="preserve">Effort: High vs. Low</w:t>
                  </w:r>
                </w:p>
              </w:tc>
              <w:tc>
                <w:tcPr/>
                <w:p>
                  <w:pPr>
                    <w:pStyle w:val="Compact"/>
                    <w:jc w:val="right"/>
                    <w:jc w:val="center"/>
                  </w:pPr>
                  <w:r>
                    <w:t xml:space="preserve">1.2030</w:t>
                  </w:r>
                </w:p>
              </w:tc>
              <w:tc>
                <w:tcPr/>
                <w:p>
                  <w:pPr>
                    <w:pStyle w:val="Compact"/>
                    <w:jc w:val="right"/>
                    <w:jc w:val="center"/>
                  </w:pPr>
                  <w:r>
                    <w:t xml:space="preserve">0.0606</w:t>
                  </w:r>
                </w:p>
              </w:tc>
              <w:tc>
                <w:tcPr/>
                <w:p>
                  <w:pPr>
                    <w:pStyle w:val="Compact"/>
                    <w:jc w:val="right"/>
                    <w:jc w:val="center"/>
                  </w:pPr>
                  <w:r>
                    <w:t xml:space="preserve">3.6725</w:t>
                  </w:r>
                </w:p>
              </w:tc>
              <w:tc>
                <w:tcPr/>
                <w:p>
                  <w:pPr>
                    <w:pStyle w:val="Compact"/>
                    <w:jc w:val="right"/>
                    <w:jc w:val="center"/>
                  </w:pPr>
                  <w:r>
                    <w:t xml:space="preserve">0.0002</w:t>
                  </w:r>
                </w:p>
              </w:tc>
              <w:tc>
                <w:tcPr/>
                <w:p>
                  <w:pPr>
                    <w:pStyle w:val="Compact"/>
                    <w:jc w:val="right"/>
                    <w:jc w:val="center"/>
                  </w:pPr>
                  <w:r>
                    <w:t xml:space="preserve">1.0900</w:t>
                  </w:r>
                </w:p>
              </w:tc>
              <w:tc>
                <w:tcPr/>
                <w:p>
                  <w:pPr>
                    <w:pStyle w:val="Compact"/>
                    <w:jc w:val="right"/>
                    <w:jc w:val="center"/>
                  </w:pPr>
                  <w:r>
                    <w:t xml:space="preserve">1.3278</w:t>
                  </w:r>
                </w:p>
              </w:tc>
            </w:tr>
            <w:tr>
              <w:tc>
                <w:tcPr/>
                <w:p>
                  <w:pPr>
                    <w:pStyle w:val="Compact"/>
                    <w:jc w:val="left"/>
                    <w:jc w:val="center"/>
                  </w:pPr>
                  <w:r>
                    <w:t xml:space="preserve">Stimulus Intensity</w:t>
                  </w:r>
                </w:p>
              </w:tc>
              <w:tc>
                <w:tcPr/>
                <w:p>
                  <w:pPr>
                    <w:pStyle w:val="Compact"/>
                    <w:jc w:val="right"/>
                    <w:jc w:val="center"/>
                  </w:pPr>
                  <w:r>
                    <w:t xml:space="preserve">1.0149</w:t>
                  </w:r>
                </w:p>
              </w:tc>
              <w:tc>
                <w:tcPr/>
                <w:p>
                  <w:pPr>
                    <w:pStyle w:val="Compact"/>
                    <w:jc w:val="right"/>
                    <w:jc w:val="center"/>
                  </w:pPr>
                  <w:r>
                    <w:t xml:space="preserve">0.0260</w:t>
                  </w:r>
                </w:p>
              </w:tc>
              <w:tc>
                <w:tcPr/>
                <w:p>
                  <w:pPr>
                    <w:pStyle w:val="Compact"/>
                    <w:jc w:val="right"/>
                    <w:jc w:val="center"/>
                  </w:pPr>
                  <w:r>
                    <w:t xml:space="preserve">0.5749</w:t>
                  </w:r>
                </w:p>
              </w:tc>
              <w:tc>
                <w:tcPr/>
                <w:p>
                  <w:pPr>
                    <w:pStyle w:val="Compact"/>
                    <w:jc w:val="right"/>
                    <w:jc w:val="center"/>
                  </w:pPr>
                  <w:r>
                    <w:t xml:space="preserve">0.5653</w:t>
                  </w:r>
                </w:p>
              </w:tc>
              <w:tc>
                <w:tcPr/>
                <w:p>
                  <w:pPr>
                    <w:pStyle w:val="Compact"/>
                    <w:jc w:val="right"/>
                    <w:jc w:val="center"/>
                  </w:pPr>
                  <w:r>
                    <w:t xml:space="preserve">0.9651</w:t>
                  </w:r>
                </w:p>
              </w:tc>
              <w:tc>
                <w:tcPr/>
                <w:p>
                  <w:pPr>
                    <w:pStyle w:val="Compact"/>
                    <w:jc w:val="right"/>
                    <w:jc w:val="center"/>
                  </w:pPr>
                  <w:r>
                    <w:t xml:space="preserve">1.0672</w:t>
                  </w:r>
                </w:p>
              </w:tc>
            </w:tr>
            <w:tr>
              <w:tc>
                <w:tcPr/>
                <w:p>
                  <w:pPr>
                    <w:pStyle w:val="Compact"/>
                    <w:jc w:val="left"/>
                    <w:jc w:val="center"/>
                  </w:pPr>
                  <w:r>
                    <w:t xml:space="preserve">Task: VDT vs. ADT</w:t>
                  </w:r>
                </w:p>
              </w:tc>
              <w:tc>
                <w:tcPr/>
                <w:p>
                  <w:pPr>
                    <w:pStyle w:val="Compact"/>
                    <w:jc w:val="right"/>
                    <w:jc w:val="center"/>
                  </w:pPr>
                  <w:r>
                    <w:t xml:space="preserve">1.9667</w:t>
                  </w:r>
                </w:p>
              </w:tc>
              <w:tc>
                <w:tcPr/>
                <w:p>
                  <w:pPr>
                    <w:pStyle w:val="Compact"/>
                    <w:jc w:val="right"/>
                    <w:jc w:val="center"/>
                  </w:pPr>
                  <w:r>
                    <w:t xml:space="preserve">0.1057</w:t>
                  </w:r>
                </w:p>
              </w:tc>
              <w:tc>
                <w:tcPr/>
                <w:p>
                  <w:pPr>
                    <w:pStyle w:val="Compact"/>
                    <w:jc w:val="right"/>
                    <w:jc w:val="center"/>
                  </w:pPr>
                  <w:r>
                    <w:t xml:space="preserve">12.5841</w:t>
                  </w:r>
                </w:p>
              </w:tc>
              <w:tc>
                <w:tcPr/>
                <w:p>
                  <w:pPr>
                    <w:pStyle w:val="Compact"/>
                    <w:jc w:val="right"/>
                    <w:jc w:val="center"/>
                  </w:pPr>
                  <w:r>
                    <w:t xml:space="preserve">0.0000</w:t>
                  </w:r>
                </w:p>
              </w:tc>
              <w:tc>
                <w:tcPr/>
                <w:p>
                  <w:pPr>
                    <w:pStyle w:val="Compact"/>
                    <w:jc w:val="right"/>
                    <w:jc w:val="center"/>
                  </w:pPr>
                  <w:r>
                    <w:t xml:space="preserve">1.7700</w:t>
                  </w:r>
                </w:p>
              </w:tc>
              <w:tc>
                <w:tcPr/>
                <w:p>
                  <w:pPr>
                    <w:pStyle w:val="Compact"/>
                    <w:jc w:val="right"/>
                    <w:jc w:val="center"/>
                  </w:pPr>
                  <w:r>
                    <w:t xml:space="preserve">2.1852</w:t>
                  </w:r>
                </w:p>
              </w:tc>
            </w:tr>
            <w:tr>
              <w:tc>
                <w:tcPr/>
                <w:p>
                  <w:pPr>
                    <w:pStyle w:val="Compact"/>
                    <w:jc w:val="left"/>
                    <w:jc w:val="center"/>
                  </w:pPr>
                  <w:r>
                    <w:t xml:space="preserve">Reaction Time</w:t>
                  </w:r>
                </w:p>
              </w:tc>
              <w:tc>
                <w:tcPr/>
                <w:p>
                  <w:pPr>
                    <w:pStyle w:val="Compact"/>
                    <w:jc w:val="right"/>
                    <w:jc w:val="center"/>
                  </w:pPr>
                  <w:r>
                    <w:t xml:space="preserve">1.0007</w:t>
                  </w:r>
                </w:p>
              </w:tc>
              <w:tc>
                <w:tcPr/>
                <w:p>
                  <w:pPr>
                    <w:pStyle w:val="Compact"/>
                    <w:jc w:val="right"/>
                    <w:jc w:val="center"/>
                  </w:pPr>
                  <w:r>
                    <w:t xml:space="preserve">0.0289</w:t>
                  </w:r>
                </w:p>
              </w:tc>
              <w:tc>
                <w:tcPr/>
                <w:p>
                  <w:pPr>
                    <w:pStyle w:val="Compact"/>
                    <w:jc w:val="right"/>
                    <w:jc w:val="center"/>
                  </w:pPr>
                  <w:r>
                    <w:t xml:space="preserve">0.0232</w:t>
                  </w:r>
                </w:p>
              </w:tc>
              <w:tc>
                <w:tcPr/>
                <w:p>
                  <w:pPr>
                    <w:pStyle w:val="Compact"/>
                    <w:jc w:val="right"/>
                    <w:jc w:val="center"/>
                  </w:pPr>
                  <w:r>
                    <w:t xml:space="preserve">0.9815</w:t>
                  </w:r>
                </w:p>
              </w:tc>
              <w:tc>
                <w:tcPr/>
                <w:p>
                  <w:pPr>
                    <w:pStyle w:val="Compact"/>
                    <w:jc w:val="right"/>
                    <w:jc w:val="center"/>
                  </w:pPr>
                  <w:r>
                    <w:t xml:space="preserve">0.9456</w:t>
                  </w:r>
                </w:p>
              </w:tc>
              <w:tc>
                <w:tcPr/>
                <w:p>
                  <w:pPr>
                    <w:pStyle w:val="Compact"/>
                    <w:jc w:val="right"/>
                    <w:jc w:val="center"/>
                  </w:pPr>
                  <w:r>
                    <w:t xml:space="preserve">1.0590</w:t>
                  </w:r>
                </w:p>
              </w:tc>
            </w:tr>
          </w:tbl>
          <w:bookmarkEnd w:id="192"/>
          <w:p/>
        </w:tc>
      </w:tr>
    </w:tbl>
    <w:tbl>
      <w:tblPr>
        <w:tblStyle w:val="Table"/>
        <w:tblW w:type="pct" w:w="5000"/>
        <w:tblLayout w:type="fixed"/>
        <w:tblLook w:firstRow="0" w:lastRow="0" w:firstColumn="0" w:lastColumn="0" w:noHBand="0" w:noVBand="0" w:val="0000"/>
      </w:tblPr>
      <w:tblGrid>
        <w:gridCol w:w="7920"/>
      </w:tblGrid>
      <w:tr>
        <w:tc>
          <w:tcPr/>
          <w:bookmarkStart w:id="196" w:name="fig-appendix-missingness-rt"/>
          <w:p>
            <w:pPr>
              <w:pStyle w:val="Compact"/>
              <w:jc w:val="center"/>
            </w:pPr>
            <w:r>
              <w:drawing>
                <wp:inline>
                  <wp:extent cx="5334000" cy="4000499"/>
                  <wp:effectExtent b="0" l="0" r="0" t="0"/>
                  <wp:docPr descr="" title="" id="194" name="Picture"/>
                  <a:graphic>
                    <a:graphicData uri="http://schemas.openxmlformats.org/drawingml/2006/picture">
                      <pic:pic>
                        <pic:nvPicPr>
                          <pic:cNvPr descr="../../../06_visualization/output/figures/fig4_missingness_diagnostic.png" id="195" name="Picture"/>
                          <pic:cNvPicPr>
                            <a:picLocks noChangeArrowheads="1" noChangeAspect="1"/>
                          </pic:cNvPicPr>
                        </pic:nvPicPr>
                        <pic:blipFill>
                          <a:blip r:embed="rId193"/>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Missingness Diagnostic: Mean RT by Effort, Task, and Pupil Data Availability</w:t>
            </w:r>
          </w:p>
          <w:bookmarkEnd w:id="196"/>
        </w:tc>
      </w:tr>
    </w:tbl>
    <w:bookmarkEnd w:id="197"/>
    <w:bookmarkStart w:id="202" w:name="sec-appendix-d"/>
    <w:p>
      <w:pPr>
        <w:pStyle w:val="Heading2"/>
      </w:pPr>
      <w:r>
        <w:t xml:space="preserve">6.4 Appendix D: Subject-Level Correlation Matrix</w:t>
      </w:r>
    </w:p>
    <w:tbl>
      <w:tblPr>
        <w:tblStyle w:val="Table"/>
        <w:tblW w:type="pct" w:w="5000"/>
        <w:tblLayout w:type="fixed"/>
        <w:tblLook w:firstRow="0" w:lastRow="0" w:firstColumn="0" w:lastColumn="0" w:noHBand="0" w:noVBand="0" w:val="0000"/>
      </w:tblPr>
      <w:tblGrid>
        <w:gridCol w:w="7920"/>
      </w:tblGrid>
      <w:tr>
        <w:tc>
          <w:tcPr/>
          <w:bookmarkStart w:id="201" w:name="fig-appendix-correlation-matrix"/>
          <w:p>
            <w:pPr>
              <w:pStyle w:val="Compact"/>
              <w:jc w:val="center"/>
            </w:pPr>
            <w:r>
              <w:drawing>
                <wp:inline>
                  <wp:extent cx="5334000" cy="5334000"/>
                  <wp:effectExtent b="0" l="0" r="0" t="0"/>
                  <wp:docPr descr="" title="" id="199" name="Picture"/>
                  <a:graphic>
                    <a:graphicData uri="http://schemas.openxmlformats.org/drawingml/2006/picture">
                      <pic:pic>
                        <pic:nvPicPr>
                          <pic:cNvPr descr="../../../06_visualization/output/figures/pf_pupil_coupling_matrix.png" id="200" name="Picture"/>
                          <pic:cNvPicPr>
                            <a:picLocks noChangeArrowheads="1" noChangeAspect="1"/>
                          </pic:cNvPicPr>
                        </pic:nvPicPr>
                        <pic:blipFill>
                          <a:blip r:embed="rId19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Correlation Matrix: Subject-Level Effort-Evoked Changes in Cognitive AUC, Total AUC, PF Threshold, and PF Slope</w:t>
            </w:r>
          </w:p>
          <w:bookmarkEnd w:id="201"/>
        </w:tc>
      </w:tr>
    </w:tbl>
    <w:bookmarkEnd w:id="202"/>
    <w:bookmarkStart w:id="203" w:name="sec-appendix-e"/>
    <w:p>
      <w:pPr>
        <w:pStyle w:val="Heading2"/>
      </w:pPr>
      <w:r>
        <w:t xml:space="preserve">6.5 Appendix E: Pre-Specified Future Sensitivity Windows</w:t>
      </w:r>
    </w:p>
    <w:p>
      <w:pPr>
        <w:pStyle w:val="FirstParagraph"/>
      </w:pPr>
      <w:r>
        <w:t xml:space="preserve">For</w:t>
      </w:r>
      <w:r>
        <w:t xml:space="preserve"> </w:t>
      </w:r>
      <w:r>
        <w:rPr>
          <w:b/>
          <w:bCs/>
        </w:rPr>
        <w:t xml:space="preserve">motor-buffered</w:t>
      </w:r>
      <w:r>
        <w:t xml:space="preserve"> </w:t>
      </w:r>
      <w:r>
        <w:t xml:space="preserve">analyses, window definitions truncate the primary cognitive window 150 ms before the button press (endpoint stored as</w:t>
      </w:r>
      <w:r>
        <w:t xml:space="preserve"> </w:t>
      </w:r>
      <w:r>
        <w:rPr>
          <w:rStyle w:val="VerbatimChar"/>
        </w:rPr>
        <w:t xml:space="preserve">cog_win_primary_end_motorbuffered</w:t>
      </w:r>
      <w:r>
        <w:t xml:space="preserve">), reducing motor-, movement-, and blink-related contamination; full AUC extraction requires re-processing trial-level files with RT and is left for future work. A</w:t>
      </w:r>
      <w:r>
        <w:t xml:space="preserve"> </w:t>
      </w:r>
      <w:r>
        <w:rPr>
          <w:b/>
          <w:bCs/>
        </w:rPr>
        <w:t xml:space="preserve">pre-response</w:t>
      </w:r>
      <w:r>
        <w:t xml:space="preserve"> </w:t>
      </w:r>
      <w:r>
        <w:t xml:space="preserve">definition instead aligns a decision window to the last 500 ms before the response (excluding the final 150 ms), targeting decision-related arousal with minimal motor overlap; that pipeline likewise awaits full re-processing. These definitions are documented for reproducibility and were</w:t>
      </w:r>
      <w:r>
        <w:t xml:space="preserve"> </w:t>
      </w:r>
      <w:r>
        <w:rPr>
          <w:b/>
          <w:bCs/>
        </w:rPr>
        <w:t xml:space="preserve">not</w:t>
      </w:r>
      <w:r>
        <w:t xml:space="preserve"> </w:t>
      </w:r>
      <w:r>
        <w:t xml:space="preserve">analyzed in the present chapter.</w:t>
      </w:r>
    </w:p>
    <w:bookmarkEnd w:id="203"/>
    <w:bookmarkEnd w:id="2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193" Target="media/rId193.png" /><Relationship Type="http://schemas.openxmlformats.org/officeDocument/2006/relationships/image" Id="rId198" Target="media/rId198.pn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186" Target="media/rId186.png" /><Relationship Type="http://schemas.openxmlformats.org/officeDocument/2006/relationships/image" Id="rId31" Target="media/rId31.jpg" /><Relationship Type="http://schemas.openxmlformats.org/officeDocument/2006/relationships/image" Id="rId22" Target="media/rId22.jpg" /><Relationship Type="http://schemas.openxmlformats.org/officeDocument/2006/relationships/image" Id="rId40" Target="media/rId40.png" /><Relationship Type="http://schemas.openxmlformats.org/officeDocument/2006/relationships/image" Id="rId89" Target="media/rId89.png" /><Relationship Type="http://schemas.openxmlformats.org/officeDocument/2006/relationships/image" Id="rId59" Target="media/rId59.png" /><Relationship Type="http://schemas.openxmlformats.org/officeDocument/2006/relationships/hyperlink" Id="rId162" Target="https://doi.org/10.1002/9781118133880.hop204011" TargetMode="External" /><Relationship Type="http://schemas.openxmlformats.org/officeDocument/2006/relationships/hyperlink" Id="rId180" Target="https://doi.org/10.1002/cne.920180503" TargetMode="External" /><Relationship Type="http://schemas.openxmlformats.org/officeDocument/2006/relationships/hyperlink" Id="rId153" Target="https://doi.org/10.1002/hbm.22466" TargetMode="External" /><Relationship Type="http://schemas.openxmlformats.org/officeDocument/2006/relationships/hyperlink" Id="rId121" Target="https://doi.org/10.1007/978-3-031-54896-3" TargetMode="External" /><Relationship Type="http://schemas.openxmlformats.org/officeDocument/2006/relationships/hyperlink" Id="rId125" Target="https://doi.org/10.1007/978-3-031-54896-3_1" TargetMode="External" /><Relationship Type="http://schemas.openxmlformats.org/officeDocument/2006/relationships/hyperlink" Id="rId178" Target="https://doi.org/10.1016/S0966-6362(01)00156-4" TargetMode="External" /><Relationship Type="http://schemas.openxmlformats.org/officeDocument/2006/relationships/hyperlink" Id="rId108" Target="https://doi.org/10.1016/j.ijpsycho.2014.03.005" TargetMode="External" /><Relationship Type="http://schemas.openxmlformats.org/officeDocument/2006/relationships/hyperlink" Id="rId151" Target="https://doi.org/10.1016/j.neubiorev.2021.12.010" TargetMode="External" /><Relationship Type="http://schemas.openxmlformats.org/officeDocument/2006/relationships/hyperlink" Id="rId128" Target="https://doi.org/10.1016/j.neuron.2015.11.028" TargetMode="External" /><Relationship Type="http://schemas.openxmlformats.org/officeDocument/2006/relationships/hyperlink" Id="rId146" Target="https://doi.org/10.1016/j.tics.2016.01.001" TargetMode="External" /><Relationship Type="http://schemas.openxmlformats.org/officeDocument/2006/relationships/hyperlink" Id="rId149" Target="https://doi.org/10.1016/j.visres.2009.10.012" TargetMode="External" /><Relationship Type="http://schemas.openxmlformats.org/officeDocument/2006/relationships/hyperlink" Id="rId144" Target="https://doi.org/10.1017/S0140525X15000667" TargetMode="External" /><Relationship Type="http://schemas.openxmlformats.org/officeDocument/2006/relationships/hyperlink" Id="rId106" Target="https://doi.org/10.1037/0033-2909.91.2.276" TargetMode="External" /><Relationship Type="http://schemas.openxmlformats.org/officeDocument/2006/relationships/hyperlink" Id="rId166" Target="https://doi.org/10.1037/0033-295X.103.3.403" TargetMode="External" /><Relationship Type="http://schemas.openxmlformats.org/officeDocument/2006/relationships/hyperlink" Id="rId155" Target="https://doi.org/10.1037/0033-295X.91.2.216" TargetMode="External" /><Relationship Type="http://schemas.openxmlformats.org/officeDocument/2006/relationships/hyperlink" Id="rId173" Target="https://doi.org/10.1037/0882-7974.18.3.443" TargetMode="External" /><Relationship Type="http://schemas.openxmlformats.org/officeDocument/2006/relationships/hyperlink" Id="rId102" Target="https://doi.org/10.1037/pag0000730" TargetMode="External" /><Relationship Type="http://schemas.openxmlformats.org/officeDocument/2006/relationships/hyperlink" Id="rId112" Target="https://doi.org/10.1038/nn.3428" TargetMode="External" /><Relationship Type="http://schemas.openxmlformats.org/officeDocument/2006/relationships/hyperlink" Id="rId139" Target="https://doi.org/10.1038/s41562-018-0344-1" TargetMode="External" /><Relationship Type="http://schemas.openxmlformats.org/officeDocument/2006/relationships/hyperlink" Id="rId118" Target="https://doi.org/10.1093/schbul/sbl051" TargetMode="External" /><Relationship Type="http://schemas.openxmlformats.org/officeDocument/2006/relationships/hyperlink" Id="rId171" Target="https://doi.org/10.1111/j.1748-1716.2010.02144.x" TargetMode="External" /><Relationship Type="http://schemas.openxmlformats.org/officeDocument/2006/relationships/hyperlink" Id="rId131" Target="https://doi.org/10.1126/science.154.3756.1583" TargetMode="External" /><Relationship Type="http://schemas.openxmlformats.org/officeDocument/2006/relationships/hyperlink" Id="rId110" Target="https://doi.org/10.1145/3173574.3173856" TargetMode="External" /><Relationship Type="http://schemas.openxmlformats.org/officeDocument/2006/relationships/hyperlink" Id="rId100" Target="https://doi.org/10.1146/annurev.neuro.28.061604.135709" TargetMode="External" /><Relationship Type="http://schemas.openxmlformats.org/officeDocument/2006/relationships/hyperlink" Id="rId137" Target="https://doi.org/10.1152/japplphysiol.01022.2013" TargetMode="External" /><Relationship Type="http://schemas.openxmlformats.org/officeDocument/2006/relationships/hyperlink" Id="rId168" Target="https://doi.org/10.1152/japplphysiol.91539.2008" TargetMode="External" /><Relationship Type="http://schemas.openxmlformats.org/officeDocument/2006/relationships/hyperlink" Id="rId142" Target="https://doi.org/10.1161/01.RES.57.3.461" TargetMode="External" /><Relationship Type="http://schemas.openxmlformats.org/officeDocument/2006/relationships/hyperlink" Id="rId135" Target="https://doi.org/10.1177/1948550617697177" TargetMode="External" /><Relationship Type="http://schemas.openxmlformats.org/officeDocument/2006/relationships/hyperlink" Id="rId176" Target="https://doi.org/10.1518/001872008X288394" TargetMode="External" /><Relationship Type="http://schemas.openxmlformats.org/officeDocument/2006/relationships/hyperlink" Id="rId104" Target="https://doi.org/10.18637/jss.v067.i01" TargetMode="External" /><Relationship Type="http://schemas.openxmlformats.org/officeDocument/2006/relationships/hyperlink" Id="rId116" Target="https://doi.org/10.3758/CABN.10.2.252" TargetMode="External" /><Relationship Type="http://schemas.openxmlformats.org/officeDocument/2006/relationships/hyperlink" Id="rId114" Target="https://doi.org/10.4135/9781446247600.n6" TargetMode="External" /><Relationship Type="http://schemas.openxmlformats.org/officeDocument/2006/relationships/hyperlink" Id="rId123" Target="https://doi.org/10.4324/9781315744094" TargetMode="External" /><Relationship Type="http://schemas.openxmlformats.org/officeDocument/2006/relationships/hyperlink" Id="rId16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162" Target="https://doi.org/10.1002/9781118133880.hop204011" TargetMode="External" /><Relationship Type="http://schemas.openxmlformats.org/officeDocument/2006/relationships/hyperlink" Id="rId180" Target="https://doi.org/10.1002/cne.920180503" TargetMode="External" /><Relationship Type="http://schemas.openxmlformats.org/officeDocument/2006/relationships/hyperlink" Id="rId153" Target="https://doi.org/10.1002/hbm.22466" TargetMode="External" /><Relationship Type="http://schemas.openxmlformats.org/officeDocument/2006/relationships/hyperlink" Id="rId121" Target="https://doi.org/10.1007/978-3-031-54896-3" TargetMode="External" /><Relationship Type="http://schemas.openxmlformats.org/officeDocument/2006/relationships/hyperlink" Id="rId125" Target="https://doi.org/10.1007/978-3-031-54896-3_1" TargetMode="External" /><Relationship Type="http://schemas.openxmlformats.org/officeDocument/2006/relationships/hyperlink" Id="rId178" Target="https://doi.org/10.1016/S0966-6362(01)00156-4" TargetMode="External" /><Relationship Type="http://schemas.openxmlformats.org/officeDocument/2006/relationships/hyperlink" Id="rId108" Target="https://doi.org/10.1016/j.ijpsycho.2014.03.005" TargetMode="External" /><Relationship Type="http://schemas.openxmlformats.org/officeDocument/2006/relationships/hyperlink" Id="rId151" Target="https://doi.org/10.1016/j.neubiorev.2021.12.010" TargetMode="External" /><Relationship Type="http://schemas.openxmlformats.org/officeDocument/2006/relationships/hyperlink" Id="rId128" Target="https://doi.org/10.1016/j.neuron.2015.11.028" TargetMode="External" /><Relationship Type="http://schemas.openxmlformats.org/officeDocument/2006/relationships/hyperlink" Id="rId146" Target="https://doi.org/10.1016/j.tics.2016.01.001" TargetMode="External" /><Relationship Type="http://schemas.openxmlformats.org/officeDocument/2006/relationships/hyperlink" Id="rId149" Target="https://doi.org/10.1016/j.visres.2009.10.012" TargetMode="External" /><Relationship Type="http://schemas.openxmlformats.org/officeDocument/2006/relationships/hyperlink" Id="rId144" Target="https://doi.org/10.1017/S0140525X15000667" TargetMode="External" /><Relationship Type="http://schemas.openxmlformats.org/officeDocument/2006/relationships/hyperlink" Id="rId106" Target="https://doi.org/10.1037/0033-2909.91.2.276" TargetMode="External" /><Relationship Type="http://schemas.openxmlformats.org/officeDocument/2006/relationships/hyperlink" Id="rId166" Target="https://doi.org/10.1037/0033-295X.103.3.403" TargetMode="External" /><Relationship Type="http://schemas.openxmlformats.org/officeDocument/2006/relationships/hyperlink" Id="rId155" Target="https://doi.org/10.1037/0033-295X.91.2.216" TargetMode="External" /><Relationship Type="http://schemas.openxmlformats.org/officeDocument/2006/relationships/hyperlink" Id="rId173" Target="https://doi.org/10.1037/0882-7974.18.3.443" TargetMode="External" /><Relationship Type="http://schemas.openxmlformats.org/officeDocument/2006/relationships/hyperlink" Id="rId102" Target="https://doi.org/10.1037/pag0000730" TargetMode="External" /><Relationship Type="http://schemas.openxmlformats.org/officeDocument/2006/relationships/hyperlink" Id="rId112" Target="https://doi.org/10.1038/nn.3428" TargetMode="External" /><Relationship Type="http://schemas.openxmlformats.org/officeDocument/2006/relationships/hyperlink" Id="rId139" Target="https://doi.org/10.1038/s41562-018-0344-1" TargetMode="External" /><Relationship Type="http://schemas.openxmlformats.org/officeDocument/2006/relationships/hyperlink" Id="rId118" Target="https://doi.org/10.1093/schbul/sbl051" TargetMode="External" /><Relationship Type="http://schemas.openxmlformats.org/officeDocument/2006/relationships/hyperlink" Id="rId171" Target="https://doi.org/10.1111/j.1748-1716.2010.02144.x" TargetMode="External" /><Relationship Type="http://schemas.openxmlformats.org/officeDocument/2006/relationships/hyperlink" Id="rId131" Target="https://doi.org/10.1126/science.154.3756.1583" TargetMode="External" /><Relationship Type="http://schemas.openxmlformats.org/officeDocument/2006/relationships/hyperlink" Id="rId110" Target="https://doi.org/10.1145/3173574.3173856" TargetMode="External" /><Relationship Type="http://schemas.openxmlformats.org/officeDocument/2006/relationships/hyperlink" Id="rId100" Target="https://doi.org/10.1146/annurev.neuro.28.061604.135709" TargetMode="External" /><Relationship Type="http://schemas.openxmlformats.org/officeDocument/2006/relationships/hyperlink" Id="rId137" Target="https://doi.org/10.1152/japplphysiol.01022.2013" TargetMode="External" /><Relationship Type="http://schemas.openxmlformats.org/officeDocument/2006/relationships/hyperlink" Id="rId168" Target="https://doi.org/10.1152/japplphysiol.91539.2008" TargetMode="External" /><Relationship Type="http://schemas.openxmlformats.org/officeDocument/2006/relationships/hyperlink" Id="rId142" Target="https://doi.org/10.1161/01.RES.57.3.461" TargetMode="External" /><Relationship Type="http://schemas.openxmlformats.org/officeDocument/2006/relationships/hyperlink" Id="rId135" Target="https://doi.org/10.1177/1948550617697177" TargetMode="External" /><Relationship Type="http://schemas.openxmlformats.org/officeDocument/2006/relationships/hyperlink" Id="rId176" Target="https://doi.org/10.1518/001872008X288394" TargetMode="External" /><Relationship Type="http://schemas.openxmlformats.org/officeDocument/2006/relationships/hyperlink" Id="rId104" Target="https://doi.org/10.18637/jss.v067.i01" TargetMode="External" /><Relationship Type="http://schemas.openxmlformats.org/officeDocument/2006/relationships/hyperlink" Id="rId116" Target="https://doi.org/10.3758/CABN.10.2.252" TargetMode="External" /><Relationship Type="http://schemas.openxmlformats.org/officeDocument/2006/relationships/hyperlink" Id="rId114" Target="https://doi.org/10.4135/9781446247600.n6" TargetMode="External" /><Relationship Type="http://schemas.openxmlformats.org/officeDocument/2006/relationships/hyperlink" Id="rId123" Target="https://doi.org/10.4324/9781315744094" TargetMode="External" /><Relationship Type="http://schemas.openxmlformats.org/officeDocument/2006/relationships/hyperlink" Id="rId16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Dissociated Arousal: Physical Effort Attenuates Task-Evoked Pupil Responses but Preserves Psychometric Sensitivity in Aging</dc:title>
  <dc:creator>Mohammad Dastgheib</dc:creator>
  <cp:keywords/>
  <dcterms:created xsi:type="dcterms:W3CDTF">2026-04-06T21:17:55Z</dcterms:created>
  <dcterms:modified xsi:type="dcterms:W3CDTF">2026-04-06T21:17:55Z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apa-7th-edition.csl</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