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5.png" ContentType="image/png"/>
  <Override PartName="/word/media/rId72.png" ContentType="image/png"/>
  <Override PartName="/word/media/rId198.png" ContentType="image/png"/>
  <Override PartName="/word/media/rId203.png" ContentType="image/png"/>
  <Override PartName="/word/media/rId83.png" ContentType="image/png"/>
  <Override PartName="/word/media/rId79.png" ContentType="image/png"/>
  <Override PartName="/word/media/rId191.png" ContentType="image/png"/>
  <Override PartName="/word/media/rId31.jpg" ContentType="image/jpeg"/>
  <Override PartName="/word/media/rId22.jpg" ContentType="image/jpeg"/>
  <Override PartName="/word/media/rId40.png" ContentType="image/png"/>
  <Override PartName="/word/media/rId91.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Dissociated Arousal: Physical Effort Attenuates Task-Evoked Pupil Responses but Preserves Psychometric Sensitivity in Aging</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8"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p>
      <w:pPr>
        <w:pStyle w:val="BodyText"/>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1"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1"/>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include asymptotes: a guess rate (</w:t>
      </w:r>
      <m:oMath>
        <m:r>
          <m:t>γ</m:t>
        </m:r>
      </m:oMath>
      <w:r>
        <w:t xml:space="preserve">) and a lapse rate (</w:t>
      </w:r>
      <m:oMath>
        <m:r>
          <m:t>λ</m:t>
        </m:r>
      </m:oMath>
      <w:r>
        <w:t xml:space="preserve">) that capture stimulus-independent errors; assuming</w:t>
      </w:r>
      <w:r>
        <w:t xml:space="preserve"> </w:t>
      </w:r>
      <m:oMath>
        <m:r>
          <m:t>λ</m:t>
        </m:r>
        <m:r>
          <m:rPr>
            <m:sty m:val="p"/>
          </m:rPr>
          <m:t>=</m:t>
        </m:r>
        <m:r>
          <m:t>0</m:t>
        </m:r>
      </m:oMath>
      <w:r>
        <w:t xml:space="preserve"> </w:t>
      </w:r>
      <w:r>
        <w:t xml:space="preserve">when lapses are present can bias threshold and slope estimates</w:t>
      </w:r>
      <w:r>
        <w:t xml:space="preserve"> </w:t>
      </w:r>
      <w:r>
        <w:t xml:space="preserve">(Prins et al., 2016; Wichmann &amp; Hill, 2001)</w:t>
      </w:r>
      <w:r>
        <w:t xml:space="preserve">. The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rPr>
          <w:b/>
          <w:bCs/>
        </w:rPr>
        <w:t xml:space="preserve">Location</w:t>
      </w:r>
      <w:r>
        <w:t xml:space="preserve"> </w:t>
      </w:r>
      <w:r>
        <w:t xml:space="preserve">(</w:t>
      </w:r>
      <m:oMath>
        <m:r>
          <m:t>α</m:t>
        </m:r>
      </m:oMath>
      <w:r>
        <w:t xml:space="preserve">) and</w:t>
      </w:r>
      <w:r>
        <w:t xml:space="preserve"> </w:t>
      </w:r>
      <w:r>
        <w:rPr>
          <w:b/>
          <w:bCs/>
        </w:rPr>
        <w:t xml:space="preserve">steepness</w:t>
      </w:r>
      <w:r>
        <w:t xml:space="preserve"> </w:t>
      </w:r>
      <w:r>
        <w:t xml:space="preserve">(inverse of scale) must be distinguished: in same–different tasks, shifts in</w:t>
      </w:r>
      <w:r>
        <w:t xml:space="preserve"> </w:t>
      </w:r>
      <m:oMath>
        <m:r>
          <m:t>α</m:t>
        </m:r>
      </m:oMath>
      <w:r>
        <w:t xml:space="preserve"> </w:t>
      </w:r>
      <w:r>
        <w:t xml:space="preserve">can reflect criterion/bias as well as sensitivity, whereas steepness indexes how rapidly response probability changes with intensity and is the cleaner sensitivity index</w:t>
      </w:r>
      <w:r>
        <w:t xml:space="preserve"> </w:t>
      </w:r>
      <w:r>
        <w:t xml:space="preserve">(Macmillan &amp; Creelman, 2005; Prins et al., 2016)</w:t>
      </w:r>
      <w:r>
        <w:t xml:space="preserve">. This contrast is illustrated in</w:t>
      </w:r>
      <w:r>
        <w:t xml:space="preserve"> </w:t>
      </w:r>
      <w:hyperlink w:anchor="fig-pf-location-vs-sensitivity">
        <w:r>
          <w:rPr>
            <w:rStyle w:val="Hyperlink"/>
          </w:rPr>
          <w:t xml:space="preserve">Figure 1</w:t>
        </w:r>
      </w:hyperlink>
      <w:r>
        <w:t xml:space="preserve">.</w:t>
      </w:r>
    </w:p>
    <w:p>
      <w:pPr>
        <w:pStyle w:val="BodyText"/>
      </w:pPr>
      <w:r>
        <w:t xml:space="preserve">These considerations connect directly to signal detection theory: location shifts can reflect criterion changes (response bias), while changes in steepness reflect true sensitivity changes</w:t>
      </w:r>
      <w:r>
        <w:t xml:space="preserve"> </w:t>
      </w:r>
      <w:r>
        <w:t xml:space="preserve">(Macmillan &amp; Creelman, 2005)</w:t>
      </w:r>
      <w:r>
        <w:t xml:space="preserve">. In the present same–different judgment task, the GLMM includes random intercepts to absorb individual differences in response criterion, while the intensity × pupil-state interaction term targets sensitivity (steepness) rather than bias.</w:t>
      </w:r>
    </w:p>
    <w:tbl>
      <w:tblPr>
        <w:tblStyle w:val="Table"/>
        <w:tblW w:type="pct" w:w="5000"/>
        <w:tblLayout w:type="fixed"/>
        <w:tblLook w:firstRow="0" w:lastRow="0" w:firstColumn="0" w:lastColumn="0" w:noHBand="0" w:noVBand="0" w:val="0000"/>
      </w:tblPr>
      <w:tblGrid>
        <w:gridCol w:w="7920"/>
      </w:tblGrid>
      <w:tr>
        <w:tc>
          <w:tcPr/>
          <w:bookmarkStart w:id="25" w:name="fig-pf-location-vs-sensitivity"/>
          <w:p>
            <w:pPr>
              <w:pStyle w:val="Compact"/>
              <w:jc w:val="center"/>
            </w:pPr>
            <w:r>
              <w:drawing>
                <wp:inline>
                  <wp:extent cx="5334000" cy="2977116"/>
                  <wp:effectExtent b="0" l="0" r="0" t="0"/>
                  <wp:docPr descr="" title="" id="23" name="Picture"/>
                  <a:graphic>
                    <a:graphicData uri="http://schemas.openxmlformats.org/drawingml/2006/picture">
                      <pic:pic>
                        <pic:nvPicPr>
                          <pic:cNvPr descr="../output/figures/PF.jpg" id="24" name="Picture"/>
                          <pic:cNvPicPr>
                            <a:picLocks noChangeArrowheads="1" noChangeAspect="1"/>
                          </pic:cNvPicPr>
                        </pic:nvPicPr>
                        <pic:blipFill>
                          <a:blip r:embed="rId22"/>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 parameters: location vs sensitivity</w:t>
            </w:r>
          </w:p>
          <w:bookmarkEnd w:id="25"/>
        </w:tc>
      </w:tr>
    </w:tbl>
    <w:p>
      <w:pPr>
        <w:pStyle w:val="BodyText"/>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w:t>
      </w:r>
      <w:r>
        <w:t xml:space="preserve"> </w:t>
      </w:r>
      <w:r>
        <w:rPr>
          <w:b/>
          <w:bCs/>
        </w:rPr>
        <w:t xml:space="preserve">0-offset</w:t>
      </w:r>
      <w:r>
        <w:t xml:space="preserve"> </w:t>
      </w:r>
      <w:r>
        <w:t xml:space="preserve">trials (physically identical standard and probe) were assigned intensities of</w:t>
      </w:r>
      <w:r>
        <w:t xml:space="preserve"> </w:t>
      </w:r>
      <w:r>
        <w:rPr>
          <w:b/>
          <w:bCs/>
        </w:rPr>
        <w:t xml:space="preserve">4 Hz</w:t>
      </w:r>
      <w:r>
        <w:t xml:space="preserve"> </w:t>
      </w:r>
      <w:r>
        <w:t xml:space="preserve">(</w:t>
      </w:r>
      <w:r>
        <w:rPr>
          <w:b/>
          <w:bCs/>
        </w:rPr>
        <w:t xml:space="preserve">ADT</w:t>
      </w:r>
      <w:r>
        <w:t xml:space="preserve">) and</w:t>
      </w:r>
      <w:r>
        <w:t xml:space="preserve"> </w:t>
      </w:r>
      <w:r>
        <w:rPr>
          <w:b/>
          <w:bCs/>
        </w:rPr>
        <w:t xml:space="preserve">0.0075</w:t>
      </w:r>
      <w:r>
        <w:t xml:space="preserve"> </w:t>
      </w:r>
      <w:r>
        <w:t xml:space="preserve">Michelson contrast (</w:t>
      </w:r>
      <w:r>
        <w:rPr>
          <w:b/>
          <w:bCs/>
        </w:rPr>
        <w:t xml:space="preserve">VDT</w:t>
      </w:r>
      <w:r>
        <w:t xml:space="preserve">)—each</w:t>
      </w:r>
      <w:r>
        <w:t xml:space="preserve"> </w:t>
      </w:r>
      <w:r>
        <w:rPr>
          <w:b/>
          <w:bCs/>
        </w:rPr>
        <w:t xml:space="preserve">half of the smallest non-zero stimulus level</w:t>
      </w:r>
      <w:r>
        <w:t xml:space="preserve"> </w:t>
      </w:r>
      <w:r>
        <w:t xml:space="preserve">in that modality—preserving the full difficulty ladder while satisfying the fitting engine.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scale—preserving information and statistical efficiency relative to collapsing trials into coarse difficulty bins. Continuous modeling preserves the full intensity–response relationship and tests whether arousal alters the rate of evidence accumulation (sensitivity), not only response tendency.</w:t>
      </w:r>
    </w:p>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 This provides an experimentally useful perturbation of arousal-related physiology, but it should not be treated as isomorphic with tonic LC firing: handgrip-induced sympathoexcitation is only an indirect route into the LC-linked mechanisms emphasized by AGT.</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Location (midpoint) shifts can reflect criterion/bias in same–different tasks and are interpreted cautiously (see</w:t>
      </w:r>
      <w:r>
        <w:t xml:space="preserve"> </w:t>
      </w:r>
      <w:hyperlink w:anchor="fig-pf-location-vs-sensitivity">
        <w:r>
          <w:rPr>
            <w:rStyle w:val="Hyperlink"/>
          </w:rPr>
          <w:t xml:space="preserve">Figure 1</w:t>
        </w:r>
      </w:hyperlink>
      <w:r>
        <w:t xml:space="preserve">); steepness provides the primary index of discriminability. If effort-induced arousal degrades signal quality or increases noise, functions should become shallower; moderate arousal could steepen them. Supra-optimal arousal may be more likely in older adults, motivating emphasis on steepness and its modulation by pupil-indexed arousal rather than on threshold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 In the present chapter, that means the primary GLMM should be interpreted as a test of</w:t>
      </w:r>
      <w:r>
        <w:t xml:space="preserve"> </w:t>
      </w:r>
      <w:r>
        <w:rPr>
          <w:b/>
          <w:bCs/>
        </w:rPr>
        <w:t xml:space="preserve">phasic</w:t>
      </w:r>
      <w:r>
        <w:t xml:space="preserve">, stimulus-locked pupil coupling with psychometric sensitivity; tonic pupil state is addressed only indirectly via the effort manipulation checks.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6" w:name="X2084a3f669487ad591eff278ade7efb3e90d8a7"/>
    <w:p>
      <w:pPr>
        <w:pStyle w:val="Heading2"/>
      </w:pPr>
      <w:r>
        <w:t xml:space="preserve">1.6 Linking Arousal to Psychometric Sensitivity: Analytic Strategy</w:t>
      </w:r>
    </w:p>
    <w:p>
      <w:pPr>
        <w:pStyle w:val="FirstParagraph"/>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or cognitive reserve</w:t>
      </w:r>
      <w:r>
        <w:t xml:space="preserve"> </w:t>
      </w:r>
      <w:r>
        <w:t xml:space="preserve">(Enders, 2013; Hoffman, 2015)</w:t>
      </w:r>
      <w:r>
        <w:t xml:space="preserve">. For example, if high-arousal individuals tend to have poorer performance for reasons unrelated to trial-wise fluctuations (e.g., chronic health conditions or comorbidities), that pattern will be captured at the trait level rather than falsely attributed to trial-wise changes in arousal.</w:t>
      </w:r>
      <w:r>
        <w:t xml:space="preserve"> </w:t>
      </w:r>
      <w:hyperlink w:anchor="fig-decompose-state-trait">
        <w:r>
          <w:rPr>
            <w:rStyle w:val="Hyperlink"/>
          </w:rPr>
          <w:t xml:space="preserve">Figure 2</w:t>
        </w:r>
      </w:hyperlink>
      <w:r>
        <w:t xml:space="preserve"> </w:t>
      </w:r>
      <w:r>
        <w:t xml:space="preserve">illustrates this decomposition visually, showing how raw pupil metrics are separated into trait (between-person) and state (within-person) components.</w:t>
      </w:r>
    </w:p>
    <w:tbl>
      <w:tblPr>
        <w:tblStyle w:val="Table"/>
        <w:tblW w:type="pct" w:w="5000"/>
        <w:tblLayout w:type="fixed"/>
        <w:tblLook w:firstRow="0" w:lastRow="0" w:firstColumn="0" w:lastColumn="0" w:noHBand="0" w:noVBand="0" w:val="0000"/>
      </w:tblPr>
      <w:tblGrid>
        <w:gridCol w:w="7920"/>
      </w:tblGrid>
      <w:tr>
        <w:tc>
          <w:tcPr/>
          <w:bookmarkStart w:id="34" w:name="fig-decompose-state-trait"/>
          <w:p>
            <w:pPr>
              <w:pStyle w:val="Compact"/>
              <w:jc w:val="center"/>
            </w:pPr>
            <w:r>
              <w:drawing>
                <wp:inline>
                  <wp:extent cx="5334000" cy="2701119"/>
                  <wp:effectExtent b="0" l="0" r="0" t="0"/>
                  <wp:docPr descr="" title="" id="32" name="Picture"/>
                  <a:graphic>
                    <a:graphicData uri="http://schemas.openxmlformats.org/drawingml/2006/picture">
                      <pic:pic>
                        <pic:nvPicPr>
                          <pic:cNvPr descr="../output/figures/Decompose.jpg" id="33" name="Picture"/>
                          <pic:cNvPicPr>
                            <a:picLocks noChangeArrowheads="1" noChangeAspect="1"/>
                          </pic:cNvPicPr>
                        </pic:nvPicPr>
                        <pic:blipFill>
                          <a:blip r:embed="rId31"/>
                          <a:stretch>
                            <a:fillRect/>
                          </a:stretch>
                        </pic:blipFill>
                        <pic:spPr bwMode="auto">
                          <a:xfrm>
                            <a:off x="0" y="0"/>
                            <a:ext cx="5334000" cy="27011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Integrated schematic: within-subject arousal and psychometric sensitivity.</w:t>
            </w:r>
            <w:r>
              <w:t xml:space="preserve"> </w:t>
            </w:r>
            <w:r>
              <w:rPr>
                <w:b/>
                <w:bCs/>
              </w:rPr>
              <w:t xml:space="preserve">(A)</w:t>
            </w:r>
            <w:r>
              <w:t xml:space="preserve"> </w:t>
            </w:r>
            <w:r>
              <w:t xml:space="preserve">Raw pupil problem. Baseline pupil diameter differs between people, so the same raw value can mean high arousal for one participant and low arousal for another; raw values are therefore misleading for cross-person comparisons.</w:t>
            </w:r>
            <w:r>
              <w:t xml:space="preserve"> </w:t>
            </w:r>
            <w:r>
              <w:rPr>
                <w:b/>
                <w:bCs/>
              </w:rPr>
              <w:t xml:space="preserve">(B)</w:t>
            </w:r>
            <w:r>
              <w:t xml:space="preserve"> </w:t>
            </w:r>
            <w:r>
              <w:t xml:space="preserve">Trait versus state decomposition. Each trial-level pupil metric</w:t>
            </w:r>
            <w:r>
              <w:t xml:space="preserve"> </w:t>
            </w:r>
            <m:oMath>
              <m:sSub>
                <m:e>
                  <m:r>
                    <m:t>P</m:t>
                  </m:r>
                </m:e>
                <m:sub>
                  <m:r>
                    <m:t>i</m:t>
                  </m:r>
                  <m:r>
                    <m:t>j</m:t>
                  </m:r>
                </m:sub>
              </m:sSub>
            </m:oMath>
            <w:r>
              <w:t xml:space="preserve"> </w:t>
            </w:r>
            <w:r>
              <w:t xml:space="preserve">splits into a</w:t>
            </w:r>
            <w:r>
              <w:t xml:space="preserve"> </w:t>
            </w:r>
            <w:r>
              <w:rPr>
                <w:b/>
                <w:bCs/>
              </w:rPr>
              <w:t xml:space="preserve">trait</w:t>
            </w:r>
            <w:r>
              <w:t xml:space="preserve"> </w:t>
            </w:r>
            <w:r>
              <w:t xml:space="preserve">component, the subject mean</w:t>
            </w:r>
            <w:r>
              <w:t xml:space="preserve"> </w:t>
            </w:r>
            <m:oMath>
              <m:sSub>
                <m:e>
                  <m:bar>
                    <m:barPr>
                      <m:pos m:val="top"/>
                    </m:barPr>
                    <m:e>
                      <m:r>
                        <m:t>P</m:t>
                      </m:r>
                    </m:e>
                  </m:bar>
                </m:e>
                <m:sub>
                  <m:r>
                    <m:t>j</m:t>
                  </m:r>
                </m:sub>
              </m:sSub>
            </m:oMath>
            <w:r>
              <w:t xml:space="preserve">, and a</w:t>
            </w:r>
            <w:r>
              <w:t xml:space="preserve"> </w:t>
            </w:r>
            <w:r>
              <w:rPr>
                <w:b/>
                <w:bCs/>
              </w:rPr>
              <w:t xml:space="preserve">state</w:t>
            </w:r>
            <w:r>
              <w:t xml:space="preserve"> </w:t>
            </w:r>
            <w:r>
              <w:t xml:space="preserve">component, the deviation from that mean,</w:t>
            </w:r>
            <w:r>
              <w:t xml:space="preserve"> </w:t>
            </w:r>
            <m:oMath>
              <m:sSub>
                <m:e>
                  <m:r>
                    <m:t>P</m:t>
                  </m:r>
                </m:e>
                <m:sub>
                  <m:r>
                    <m:t>i</m:t>
                  </m:r>
                  <m:r>
                    <m:t>j</m:t>
                  </m:r>
                </m:sub>
              </m:sSub>
              <m:r>
                <m:rPr>
                  <m:sty m:val="p"/>
                </m:rPr>
                <m:t>−</m:t>
              </m:r>
              <m:sSub>
                <m:e>
                  <m:bar>
                    <m:barPr>
                      <m:pos m:val="top"/>
                    </m:barPr>
                    <m:e>
                      <m:r>
                        <m:t>P</m:t>
                      </m:r>
                    </m:e>
                  </m:bar>
                </m:e>
                <m:sub>
                  <m:r>
                    <m:t>j</m:t>
                  </m:r>
                </m:sub>
              </m:sSub>
              <m:r>
                <m:rPr>
                  <m:sty m:val="p"/>
                </m:rPr>
                <m:t>=</m:t>
              </m:r>
              <m:sSubSup>
                <m:e>
                  <m:r>
                    <m:t>P</m:t>
                  </m:r>
                </m:e>
                <m:sub>
                  <m:r>
                    <m:t>i</m:t>
                  </m:r>
                  <m:r>
                    <m:t>j</m:t>
                  </m:r>
                </m:sub>
                <m:sup>
                  <m:d>
                    <m:dPr>
                      <m:begChr m:val="("/>
                      <m:sepChr m:val=""/>
                      <m:endChr m:val=")"/>
                      <m:grow/>
                    </m:dPr>
                    <m:e>
                      <m:r>
                        <m:rPr>
                          <m:nor/>
                          <m:sty m:val="p"/>
                        </m:rPr>
                        <m:t>state</m:t>
                      </m:r>
                    </m:e>
                  </m:d>
                </m:sup>
              </m:sSubSup>
            </m:oMath>
            <w:r>
              <w:t xml:space="preserve">.</w:t>
            </w:r>
            <w:r>
              <w:t xml:space="preserve"> </w:t>
            </w:r>
            <w:r>
              <w:rPr>
                <w:b/>
                <w:bCs/>
              </w:rPr>
              <w:t xml:space="preserve">(C)</w:t>
            </w:r>
            <w:r>
              <w:t xml:space="preserve"> </w:t>
            </w:r>
            <w:r>
              <w:t xml:space="preserve">Inferential goal: slope modulation. The primary interaction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tests whether moment-to-moment arousal changes the steepness (sensitivity) of the psychometric function, not only intercept or criterion.</w:t>
            </w:r>
            <w:r>
              <w:t xml:space="preserve"> </w:t>
            </w:r>
            <w:r>
              <w:rPr>
                <w:b/>
                <w:bCs/>
              </w:rPr>
              <w:t xml:space="preserve">(D)</w:t>
            </w:r>
            <w:r>
              <w:t xml:space="preserve"> </w:t>
            </w:r>
            <w:r>
              <w:t xml:space="preserve">Measurement window and model. The timeline shows squeeze onset through trial end; the shaded</w:t>
            </w:r>
            <w:r>
              <w:t xml:space="preserve"> </w:t>
            </w:r>
            <w:r>
              <w:rPr>
                <w:b/>
                <w:bCs/>
              </w:rPr>
              <w:t xml:space="preserve">Cognitive AUC</w:t>
            </w:r>
            <w:r>
              <w:t xml:space="preserve"> </w:t>
            </w:r>
            <w:r>
              <w:t xml:space="preserve">window (4.85–6.05 s from squeeze onset) captures task-evoked pupil response. The equation summarizes the probit-link GLMM used for inference (full specification in text).</w:t>
            </w:r>
          </w:p>
          <w:bookmarkEnd w:id="34"/>
        </w:tc>
      </w:tr>
    </w:tbl>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5"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5"/>
    </w:p>
    <w:p>
      <w:pPr>
        <w:pStyle w:val="FirstParagraph"/>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 The full specification is given in</w:t>
      </w:r>
      <w:r>
        <w:t xml:space="preserve"> </w:t>
      </w:r>
      <w:hyperlink w:anchor="sec-glmm">
        <w:r>
          <w:rPr>
            <w:rStyle w:val="Hyperlink"/>
          </w:rPr>
          <w:t xml:space="preserve">Section 2.4.2</w:t>
        </w:r>
      </w:hyperlink>
      <w:r>
        <w:t xml:space="preserve">.</w:t>
      </w:r>
    </w:p>
    <w:p>
      <w:pPr>
        <w:pStyle w:val="BodyText"/>
      </w:pPr>
      <w:r>
        <w:t xml:space="preserve">In this framework, the key parameter is the stimulus intensity × pupil-state interaction (</w:t>
      </w:r>
      <m:oMath>
        <m:sSub>
          <m:e>
            <m:r>
              <m:t>β</m:t>
            </m:r>
          </m:e>
          <m:sub>
            <m:r>
              <m:t>5</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6"/>
    <w:bookmarkStart w:id="37"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7"/>
    <w:bookmarkEnd w:id="38"/>
    <w:bookmarkStart w:id="51" w:name="methods"/>
    <w:p>
      <w:pPr>
        <w:pStyle w:val="Heading1"/>
      </w:pPr>
      <w:r>
        <w:t xml:space="preserve">2. Methods</w:t>
      </w:r>
    </w:p>
    <w:bookmarkStart w:id="39" w:name="participants"/>
    <w:p>
      <w:pPr>
        <w:pStyle w:val="Heading2"/>
      </w:pPr>
      <w:r>
        <w:t xml:space="preserve">2.1 Participants</w:t>
      </w:r>
    </w:p>
    <w:p>
      <w:pPr>
        <w:pStyle w:val="FirstParagraph"/>
      </w:pPr>
      <w:r>
        <w:t xml:space="preserve">Older adults (</w:t>
      </w:r>
      <w:r>
        <w:rPr>
          <w:i/>
          <w:iCs/>
        </w:rPr>
        <w:t xml:space="preserve">M</w:t>
      </w:r>
      <w:r>
        <w:t xml:space="preserve"> </w:t>
      </w:r>
      <w:r>
        <w:t xml:space="preserve">= 69.1 years,</w:t>
      </w:r>
      <w:r>
        <w:t xml:space="preserve"> </w:t>
      </w:r>
      <w:r>
        <w:rPr>
          <w:i/>
          <w:iCs/>
        </w:rPr>
        <w:t xml:space="preserve">SD</w:t>
      </w:r>
      <w:r>
        <w:t xml:space="preserve"> </w:t>
      </w:r>
      <w:r>
        <w:t xml:space="preserve">= 6.0, range 60–83; 33 women, 28 men) were enrolled through the LC Aging study behavioral cohort (community-dwelling volunteers enrolled for combined behavioral and neuroimaging protocols). Task-specific recruitment and final analytic sample sizes are summarized in</w:t>
      </w:r>
      <w:r>
        <w:t xml:space="preserve"> </w:t>
      </w:r>
      <w:hyperlink w:anchor="tbl-sample-flow">
        <w:r>
          <w:rPr>
            <w:rStyle w:val="Hyperlink"/>
          </w:rPr>
          <w:t xml:space="preserve">Table 1</w:t>
        </w:r>
      </w:hyperlink>
      <w:r>
        <w:t xml:space="preserve"> </w:t>
      </w:r>
      <w:r>
        <w:t xml:space="preserve">(Section 3.1):</w:t>
      </w:r>
      <w:r>
        <w:t xml:space="preserve"> </w:t>
      </w:r>
      <w:r>
        <w:rPr>
          <w:b/>
          <w:bCs/>
        </w:rPr>
        <w:t xml:space="preserve">64</w:t>
      </w:r>
      <w:r>
        <w:t xml:space="preserve"> </w:t>
      </w:r>
      <w:r>
        <w:t xml:space="preserve">participants were recruited for the</w:t>
      </w:r>
      <w:r>
        <w:t xml:space="preserve"> </w:t>
      </w:r>
      <w:r>
        <w:rPr>
          <w:b/>
          <w:bCs/>
        </w:rPr>
        <w:t xml:space="preserve">auditory</w:t>
      </w:r>
      <w:r>
        <w:t xml:space="preserve"> </w:t>
      </w:r>
      <w:r>
        <w:t xml:space="preserve">task (ADT) and</w:t>
      </w:r>
      <w:r>
        <w:t xml:space="preserve"> </w:t>
      </w:r>
      <w:r>
        <w:rPr>
          <w:b/>
          <w:bCs/>
        </w:rPr>
        <w:t xml:space="preserve">65</w:t>
      </w:r>
      <w:r>
        <w:t xml:space="preserve"> </w:t>
      </w:r>
      <w:r>
        <w:t xml:space="preserve">for the</w:t>
      </w:r>
      <w:r>
        <w:t xml:space="preserve"> </w:t>
      </w:r>
      <w:r>
        <w:rPr>
          <w:b/>
          <w:bCs/>
        </w:rPr>
        <w:t xml:space="preserve">visual</w:t>
      </w:r>
      <w:r>
        <w:t xml:space="preserve"> </w:t>
      </w:r>
      <w:r>
        <w:t xml:space="preserve">task (VDT), with</w:t>
      </w:r>
      <w:r>
        <w:t xml:space="preserve"> </w:t>
      </w:r>
      <w:r>
        <w:rPr>
          <w:b/>
          <w:bCs/>
        </w:rPr>
        <w:t xml:space="preserve">54</w:t>
      </w:r>
      <w:r>
        <w:t xml:space="preserve"> </w:t>
      </w:r>
      <w:r>
        <w:t xml:space="preserve">and</w:t>
      </w:r>
      <w:r>
        <w:t xml:space="preserve"> </w:t>
      </w:r>
      <w:r>
        <w:rPr>
          <w:b/>
          <w:bCs/>
        </w:rPr>
        <w:t xml:space="preserve">56</w:t>
      </w:r>
      <w:r>
        <w:t xml:space="preserve"> </w:t>
      </w:r>
      <w:r>
        <w:t xml:space="preserve">participants, respectively, retained for the pupil-QC final sample after psychometric and pupil-quality exclusions (</w:t>
      </w:r>
      <w:hyperlink w:anchor="sec-sample-retention">
        <w:hyperlink w:anchor="sec-sample-retention">
          <w:r>
            <w:rPr>
              <w:rStyle w:val="Hyperlink"/>
            </w:rPr>
            <w:t xml:space="preserve">Section 2.3.2</w:t>
          </w:r>
        </w:hyperlink>
      </w:hyperlink>
      <w:r>
        <w:t xml:space="preserve">).</w:t>
      </w:r>
      <w:r>
        <w:t xml:space="preserve"> </w:t>
      </w:r>
      <w:r>
        <w:rPr>
          <w:b/>
          <w:bCs/>
        </w:rPr>
        <w:t xml:space="preserve">Sixty-one</w:t>
      </w:r>
      <w:r>
        <w:t xml:space="preserve"> </w:t>
      </w:r>
      <w:r>
        <w:t xml:space="preserve">unique participants contributed overlapping trial-level data to the merged behavioral–pupil file. Consistent with the final per-task analytic</w:t>
      </w:r>
      <w:r>
        <w:t xml:space="preserve"> </w:t>
      </w:r>
      <w:r>
        <w:rPr>
          <w:i/>
          <w:iCs/>
        </w:rPr>
        <w:t xml:space="preserve">N</w:t>
      </w:r>
      <w:r>
        <w:t xml:space="preserve"> </w:t>
      </w:r>
      <w:r>
        <w:t xml:space="preserve">in</w:t>
      </w:r>
      <w:r>
        <w:t xml:space="preserve"> </w:t>
      </w:r>
      <w:hyperlink w:anchor="tbl-sample-flow">
        <w:r>
          <w:rPr>
            <w:rStyle w:val="Hyperlink"/>
          </w:rPr>
          <w:t xml:space="preserve">Table 1</w:t>
        </w:r>
      </w:hyperlink>
      <w:r>
        <w:t xml:space="preserve"> </w:t>
      </w:r>
      <w:r>
        <w:t xml:space="preserve">(</w:t>
      </w:r>
      <w:r>
        <w:rPr>
          <w:b/>
          <w:bCs/>
        </w:rPr>
        <w:t xml:space="preserve">54</w:t>
      </w:r>
      <w:r>
        <w:t xml:space="preserve"> </w:t>
      </w:r>
      <w:r>
        <w:t xml:space="preserve">ADT;</w:t>
      </w:r>
      <w:r>
        <w:t xml:space="preserve"> </w:t>
      </w:r>
      <w:r>
        <w:rPr>
          <w:b/>
          <w:bCs/>
        </w:rPr>
        <w:t xml:space="preserve">56</w:t>
      </w:r>
      <w:r>
        <w:t xml:space="preserve"> </w:t>
      </w:r>
      <w:r>
        <w:t xml:space="preserve">VDT),</w:t>
      </w:r>
      <w:r>
        <w:t xml:space="preserve"> </w:t>
      </w:r>
      <w:r>
        <w:rPr>
          <w:b/>
          <w:bCs/>
        </w:rPr>
        <w:t xml:space="preserve">49</w:t>
      </w:r>
      <w:r>
        <w:t xml:space="preserve"> </w:t>
      </w:r>
      <w:r>
        <w:t xml:space="preserve">participants met inclusion criteria for</w:t>
      </w:r>
      <w:r>
        <w:t xml:space="preserve"> </w:t>
      </w:r>
      <w:r>
        <w:rPr>
          <w:b/>
          <w:bCs/>
        </w:rPr>
        <w:t xml:space="preserve">both</w:t>
      </w:r>
      <w:r>
        <w:t xml:space="preserve"> </w:t>
      </w:r>
      <w:r>
        <w:t xml:space="preserve">modalities,</w:t>
      </w:r>
      <w:r>
        <w:t xml:space="preserve"> </w:t>
      </w:r>
      <w:r>
        <w:rPr>
          <w:b/>
          <w:bCs/>
        </w:rPr>
        <w:t xml:space="preserve">5</w:t>
      </w:r>
      <w:r>
        <w:t xml:space="preserve"> </w:t>
      </w:r>
      <w:r>
        <w:t xml:space="preserve">for</w:t>
      </w:r>
      <w:r>
        <w:t xml:space="preserve"> </w:t>
      </w:r>
      <w:r>
        <w:rPr>
          <w:b/>
          <w:bCs/>
        </w:rPr>
        <w:t xml:space="preserve">ADT</w:t>
      </w:r>
      <w:r>
        <w:t xml:space="preserve"> </w:t>
      </w:r>
      <w:r>
        <w:t xml:space="preserve">only, and</w:t>
      </w:r>
      <w:r>
        <w:t xml:space="preserve"> </w:t>
      </w:r>
      <w:r>
        <w:rPr>
          <w:b/>
          <w:bCs/>
        </w:rPr>
        <w:t xml:space="preserve">7</w:t>
      </w:r>
      <w:r>
        <w:t xml:space="preserve"> </w:t>
      </w:r>
      <w:r>
        <w:t xml:space="preserve">for</w:t>
      </w:r>
      <w:r>
        <w:t xml:space="preserve"> </w:t>
      </w:r>
      <w:r>
        <w:rPr>
          <w:b/>
          <w:bCs/>
        </w:rPr>
        <w:t xml:space="preserve">VDT</w:t>
      </w:r>
      <w:r>
        <w:t xml:space="preserve"> </w:t>
      </w:r>
      <w:r>
        <w:t xml:space="preserve">only. Reported years of formal education averaged 15.9 (</w:t>
      </w:r>
      <w:r>
        <w:rPr>
          <w:i/>
          <w:iCs/>
        </w:rPr>
        <w:t xml:space="preserve">SD</w:t>
      </w:r>
      <w:r>
        <w:t xml:space="preserve"> </w:t>
      </w:r>
      <w:r>
        <w:t xml:space="preserve">= 2.6;</w:t>
      </w:r>
      <w:r>
        <w:t xml:space="preserve"> </w:t>
      </w:r>
      <w:r>
        <w:rPr>
          <w:i/>
          <w:iCs/>
        </w:rPr>
        <w:t xml:space="preserve">n</w:t>
      </w:r>
      <w:r>
        <w:t xml:space="preserve"> </w:t>
      </w:r>
      <w:r>
        <w:t xml:space="preserve">= 57 with non-missing values in the study database). Participants with trial-level data in the present analysis were right-handed per eligibility records. Participants were included if they were aged 60 years or older, had normal or corrected-to-normal vision, reported no significant hearing loss that would preclude tone discrimination, and were free of neurological, psychiatric, or cardiovascular conditions that could affect arousal regulation or pupil dynamics. Participants taking medications known to affect pupil diameter (e.g., anticholinergics, opioids, alpha-adrenergic agents) were excluded, as were individuals who could not safely sustain the required isometric grip forces (5% and 40% maximum voluntary contraction [MVC]) or had other contraindications to the effort manipulation. Cognitive screening used the Montreal Cognitive Assessment (MoCA) administered by phone (scored out of 22); among participants with scores in the research database (</w:t>
      </w:r>
      <w:r>
        <w:rPr>
          <w:i/>
          <w:iCs/>
        </w:rPr>
        <w:t xml:space="preserve">n</w:t>
      </w:r>
      <w:r>
        <w:t xml:space="preserve"> </w:t>
      </w:r>
      <w:r>
        <w:t xml:space="preserve">= 57), MoCA ranged from 17 to 22 (</w:t>
      </w:r>
      <w:r>
        <w:rPr>
          <w:i/>
          <w:iCs/>
        </w:rPr>
        <w:t xml:space="preserve">M</w:t>
      </w:r>
      <w:r>
        <w:t xml:space="preserve"> </w:t>
      </w:r>
      <w:r>
        <w:t xml:space="preserve">= 19.8,</w:t>
      </w:r>
      <w:r>
        <w:t xml:space="preserve"> </w:t>
      </w:r>
      <w:r>
        <w:rPr>
          <w:i/>
          <w:iCs/>
        </w:rPr>
        <w:t xml:space="preserve">SD</w:t>
      </w:r>
      <w:r>
        <w:t xml:space="preserve"> </w:t>
      </w:r>
      <w:r>
        <w:t xml:space="preserve">= 1.6), consistent with study criteria for excluding significant cognitive impairment. All participants provided written informed consent. The research protocol was reviewed and approved by an institutional review board before enrollment, and participants received compensation for their participation according to study policy.</w:t>
      </w:r>
    </w:p>
    <w:p>
      <w:pPr>
        <w:pStyle w:val="BodyText"/>
      </w:pPr>
      <w:r>
        <w:t xml:space="preserve">Trial-level analyses use the merged behavioral–pupil file;</w:t>
      </w:r>
      <w:r>
        <w:t xml:space="preserve"> </w:t>
      </w:r>
      <w:r>
        <w:rPr>
          <w:b/>
          <w:bCs/>
        </w:rPr>
        <w:t xml:space="preserve">primary-tier</w:t>
      </w:r>
      <w:r>
        <w:t xml:space="preserve"> </w:t>
      </w:r>
      <w:r>
        <w:t xml:space="preserve">sample sizes for retained trials and the participant-flow accounting are reported in Section 3.1 (</w:t>
      </w:r>
      <w:hyperlink w:anchor="tbl-sample-flow">
        <w:r>
          <w:rPr>
            <w:rStyle w:val="Hyperlink"/>
          </w:rPr>
          <w:t xml:space="preserve">Table 1</w:t>
        </w:r>
      </w:hyperlink>
      <w:r>
        <w:t xml:space="preserve">).</w:t>
      </w:r>
    </w:p>
    <w:bookmarkEnd w:id="39"/>
    <w:bookmarkStart w:id="44" w:name="task-paradigm"/>
    <w:p>
      <w:pPr>
        <w:pStyle w:val="Heading2"/>
      </w:pPr>
      <w:r>
        <w:t xml:space="preserve">2.2 Task Paradigm</w:t>
      </w:r>
    </w:p>
    <w:p>
      <w:pPr>
        <w:pStyle w:val="FirstParagraph"/>
      </w:pPr>
      <w:r>
        <w:rPr>
          <w:b/>
          <w:bCs/>
        </w:rPr>
        <w:t xml:space="preserve">Task overview.</w:t>
      </w:r>
      <w:r>
        <w:t xml:space="preserve"> </w:t>
      </w:r>
      <w:r>
        <w:t xml:space="preserve">Participants completed two</w:t>
      </w:r>
      <w:r>
        <w:t xml:space="preserve"> </w:t>
      </w:r>
      <w:r>
        <w:rPr>
          <w:b/>
          <w:bCs/>
        </w:rPr>
        <w:t xml:space="preserve">same–different discrimination</w:t>
      </w:r>
      <w:r>
        <w:t xml:space="preserve"> </w:t>
      </w:r>
      <w:r>
        <w:t xml:space="preserve">tasks—an Auditory Discrimination Task (ADT) and a Visual Discrimination Task (VDT)—while maintaining concurrent isometric hand-grip on a dynamometer. On each trial, a</w:t>
      </w:r>
      <w:r>
        <w:t xml:space="preserve"> </w:t>
      </w:r>
      <w:r>
        <w:rPr>
          <w:i/>
          <w:iCs/>
        </w:rPr>
        <w:t xml:space="preserve">standard</w:t>
      </w:r>
      <w:r>
        <w:t xml:space="preserve"> </w:t>
      </w:r>
      <w:r>
        <w:t xml:space="preserve">and</w:t>
      </w:r>
      <w:r>
        <w:t xml:space="preserve"> </w:t>
      </w:r>
      <w:r>
        <w:rPr>
          <w:i/>
          <w:iCs/>
        </w:rPr>
        <w:t xml:space="preserve">probe</w:t>
      </w:r>
      <w:r>
        <w:t xml:space="preserve"> </w:t>
      </w:r>
      <w:r>
        <w:t xml:space="preserve">stimulus were presented in sequence; participants judged whether the two were the same or different, then rated their confidence. Both tasks used the same response-signal timeline and effort manipulation (</w:t>
      </w:r>
      <w:hyperlink w:anchor="fig-paradigm">
        <w:r>
          <w:rPr>
            <w:rStyle w:val="Hyperlink"/>
          </w:rPr>
          <w:t xml:space="preserve">Figure 3</w:t>
        </w:r>
      </w:hyperlink>
      <w:r>
        <w:t xml:space="preserve">).</w:t>
      </w:r>
    </w:p>
    <w:p>
      <w:pPr>
        <w:pStyle w:val="BodyText"/>
      </w:pPr>
      <w:r>
        <w:rPr>
          <w:b/>
          <w:bCs/>
        </w:rPr>
        <w:t xml:space="preserve">Trial timeline and effort.</w:t>
      </w:r>
      <w:r>
        <w:t xml:space="preserve"> </w:t>
      </w:r>
      <w:r>
        <w:t xml:space="preserve">Each trial began with a</w:t>
      </w:r>
      <w:r>
        <w:t xml:space="preserve"> </w:t>
      </w:r>
      <w:r>
        <w:rPr>
          <w:b/>
          <w:bCs/>
        </w:rPr>
        <w:t xml:space="preserve">jittered</w:t>
      </w:r>
      <w:r>
        <w:t xml:space="preserve"> </w:t>
      </w:r>
      <w:r>
        <w:t xml:space="preserve">blank interval (1.5–4.5 s) on a gray background. Participants then saw a</w:t>
      </w:r>
      <w:r>
        <w:t xml:space="preserve"> </w:t>
      </w:r>
      <w:r>
        <w:rPr>
          <w:b/>
          <w:bCs/>
        </w:rPr>
        <w:t xml:space="preserve">3 s</w:t>
      </w:r>
      <w:r>
        <w:t xml:space="preserve"> </w:t>
      </w:r>
      <w:r>
        <w:t xml:space="preserve">rectangular grip gauge whose marker indicated the target force—either</w:t>
      </w:r>
      <w:r>
        <w:t xml:space="preserve"> </w:t>
      </w:r>
      <w:r>
        <w:rPr>
          <w:b/>
          <w:bCs/>
        </w:rPr>
        <w:t xml:space="preserve">5%</w:t>
      </w:r>
      <w:r>
        <w:t xml:space="preserve"> </w:t>
      </w:r>
      <w:r>
        <w:t xml:space="preserve">or</w:t>
      </w:r>
      <w:r>
        <w:t xml:space="preserve"> </w:t>
      </w:r>
      <w:r>
        <w:rPr>
          <w:b/>
          <w:bCs/>
        </w:rPr>
        <w:t xml:space="preserve">40%</w:t>
      </w:r>
      <w:r>
        <w:t xml:space="preserve"> </w:t>
      </w:r>
      <w:r>
        <w:t xml:space="preserve">of maximum voluntary contraction (MVC)—to be held with the left hand on a handheld dynamometer. MVC was assessed in a short calibration before each task. Participants were instructed to maintain force near the marker until the response screens appeared (see schematic). After the grip period came a</w:t>
      </w:r>
      <w:r>
        <w:t xml:space="preserve"> </w:t>
      </w:r>
      <w:r>
        <w:rPr>
          <w:b/>
          <w:bCs/>
        </w:rPr>
        <w:t xml:space="preserve">0.25 s</w:t>
      </w:r>
      <w:r>
        <w:t xml:space="preserve"> </w:t>
      </w:r>
      <w:r>
        <w:t xml:space="preserve">blank, a</w:t>
      </w:r>
      <w:r>
        <w:t xml:space="preserve"> </w:t>
      </w:r>
      <w:r>
        <w:rPr>
          <w:b/>
          <w:bCs/>
        </w:rPr>
        <w:t xml:space="preserve">0.5 s</w:t>
      </w:r>
      <w:r>
        <w:t xml:space="preserve"> </w:t>
      </w:r>
      <w:r>
        <w:t xml:space="preserve">fixation dot, the two-stimulus sequence (standard →</w:t>
      </w:r>
      <w:r>
        <w:t xml:space="preserve"> </w:t>
      </w:r>
      <w:r>
        <w:rPr>
          <w:b/>
          <w:bCs/>
        </w:rPr>
        <w:t xml:space="preserve">0.5 s</w:t>
      </w:r>
      <w:r>
        <w:t xml:space="preserve"> </w:t>
      </w:r>
      <w:r>
        <w:t xml:space="preserve">ISI → probe), a</w:t>
      </w:r>
      <w:r>
        <w:t xml:space="preserve"> </w:t>
      </w:r>
      <w:r>
        <w:rPr>
          <w:b/>
          <w:bCs/>
        </w:rPr>
        <w:t xml:space="preserve">0.25 s</w:t>
      </w:r>
      <w:r>
        <w:t xml:space="preserve"> </w:t>
      </w:r>
      <w:r>
        <w:t xml:space="preserve">blank, a</w:t>
      </w:r>
      <w:r>
        <w:t xml:space="preserve"> </w:t>
      </w:r>
      <w:r>
        <w:rPr>
          <w:b/>
          <w:bCs/>
        </w:rPr>
        <w:t xml:space="preserve">3 s</w:t>
      </w:r>
      <w:r>
        <w:t xml:space="preserve"> </w:t>
      </w:r>
      <w:r>
        <w:t xml:space="preserve">same/different response window, and a</w:t>
      </w:r>
      <w:r>
        <w:t xml:space="preserve"> </w:t>
      </w:r>
      <w:r>
        <w:rPr>
          <w:b/>
          <w:bCs/>
        </w:rPr>
        <w:t xml:space="preserve">3 s</w:t>
      </w:r>
      <w:r>
        <w:t xml:space="preserve"> </w:t>
      </w:r>
      <w:r>
        <w:t xml:space="preserve">four-point confidence rating. From</w:t>
      </w:r>
      <w:r>
        <w:t xml:space="preserve"> </w:t>
      </w:r>
      <w:r>
        <w:rPr>
          <w:b/>
          <w:bCs/>
        </w:rPr>
        <w:t xml:space="preserve">squeeze onset</w:t>
      </w:r>
      <w:r>
        <w:t xml:space="preserve"> </w:t>
      </w:r>
      <w:r>
        <w:t xml:space="preserve">through the end of the confidence period, the fixed portion of the timeline lasted</w:t>
      </w:r>
      <w:r>
        <w:t xml:space="preserve"> </w:t>
      </w:r>
      <w:r>
        <w:rPr>
          <w:b/>
          <w:bCs/>
        </w:rPr>
        <w:t xml:space="preserve">10.7 s</w:t>
      </w:r>
      <w:r>
        <w:t xml:space="preserve">; including the pre-trial jitter and the preprocessed pre-squeeze baseline used for pupil segmentation, the full trial epoch matches the</w:t>
      </w:r>
      <w:r>
        <w:t xml:space="preserve"> </w:t>
      </w:r>
      <w:r>
        <w:rPr>
          <w:b/>
          <w:bCs/>
        </w:rPr>
        <w:t xml:space="preserve">13.7 s</w:t>
      </w:r>
      <w:r>
        <w:t xml:space="preserve"> </w:t>
      </w:r>
      <w:r>
        <w:t xml:space="preserve">timeline used in the MATLAB preprocessing pipeline.</w:t>
      </w:r>
    </w:p>
    <w:tbl>
      <w:tblPr>
        <w:tblStyle w:val="Table"/>
        <w:tblW w:type="pct" w:w="5000"/>
        <w:tblLayout w:type="fixed"/>
        <w:tblLook w:firstRow="0" w:lastRow="0" w:firstColumn="0" w:lastColumn="0" w:noHBand="0" w:noVBand="0" w:val="0000"/>
      </w:tblPr>
      <w:tblGrid>
        <w:gridCol w:w="7920"/>
      </w:tblGrid>
      <w:tr>
        <w:tc>
          <w:tcPr/>
          <w:bookmarkStart w:id="43" w:name="fig-paradigm"/>
          <w:p>
            <w:pPr>
              <w:pStyle w:val="Compact"/>
              <w:jc w:val="center"/>
            </w:pPr>
            <w:r>
              <w:drawing>
                <wp:inline>
                  <wp:extent cx="4000500" cy="4121511"/>
                  <wp:effectExtent b="0" l="0" r="0" t="0"/>
                  <wp:docPr descr="" title="" id="41" name="Picture"/>
                  <a:graphic>
                    <a:graphicData uri="http://schemas.openxmlformats.org/drawingml/2006/picture">
                      <pic:pic>
                        <pic:nvPicPr>
                          <pic:cNvPr descr="../output/figures/Paradigm.png" id="42" name="Picture"/>
                          <pic:cNvPicPr>
                            <a:picLocks noChangeArrowheads="1" noChangeAspect="1"/>
                          </pic:cNvPicPr>
                        </pic:nvPicPr>
                        <pic:blipFill>
                          <a:blip r:embed="rId40"/>
                          <a:stretch>
                            <a:fillRect/>
                          </a:stretch>
                        </pic:blipFill>
                        <pic:spPr bwMode="auto">
                          <a:xfrm>
                            <a:off x="0" y="0"/>
                            <a:ext cx="4000500" cy="41215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Experimental paradigm (response-signal design). Jittered pre-trial interval followed by a 3 s grip-gauge period (Low vs. High effort), fixation and standard–probe sequence, then 3 s same/different and 3 s confidence. Auditory and visual stimulus classes are summarized in the task sections below; timing follows the schematic.</w:t>
            </w:r>
          </w:p>
          <w:bookmarkEnd w:id="43"/>
        </w:tc>
      </w:tr>
    </w:tbl>
    <w:p>
      <w:pPr>
        <w:pStyle w:val="BodyText"/>
      </w:pPr>
      <w:r>
        <w:rPr>
          <w:b/>
          <w:bCs/>
        </w:rPr>
        <w:t xml:space="preserve">Auditory task (ADT).</w:t>
      </w:r>
      <w:r>
        <w:t xml:space="preserve"> </w:t>
      </w:r>
      <w:r>
        <w:t xml:space="preserve">The standard was a</w:t>
      </w:r>
      <w:r>
        <w:t xml:space="preserve"> </w:t>
      </w:r>
      <w:r>
        <w:rPr>
          <w:b/>
          <w:bCs/>
        </w:rPr>
        <w:t xml:space="preserve">0.1 s</w:t>
      </w:r>
      <w:r>
        <w:t xml:space="preserve"> </w:t>
      </w:r>
      <w:r>
        <w:t xml:space="preserve">sinusoidal tone at</w:t>
      </w:r>
      <w:r>
        <w:t xml:space="preserve"> </w:t>
      </w:r>
      <w:r>
        <w:rPr>
          <w:b/>
          <w:bCs/>
        </w:rPr>
        <w:t xml:space="preserve">1000 Hz</w:t>
      </w:r>
      <w:r>
        <w:t xml:space="preserve">. After a</w:t>
      </w:r>
      <w:r>
        <w:t xml:space="preserve"> </w:t>
      </w:r>
      <w:r>
        <w:rPr>
          <w:b/>
          <w:bCs/>
        </w:rPr>
        <w:t xml:space="preserve">0.5 s</w:t>
      </w:r>
      <w:r>
        <w:t xml:space="preserve"> </w:t>
      </w:r>
      <w:r>
        <w:t xml:space="preserve">ISI, the probe was a</w:t>
      </w:r>
      <w:r>
        <w:t xml:space="preserve"> </w:t>
      </w:r>
      <w:r>
        <w:rPr>
          <w:b/>
          <w:bCs/>
        </w:rPr>
        <w:t xml:space="preserve">0.1 s</w:t>
      </w:r>
      <w:r>
        <w:t xml:space="preserve"> </w:t>
      </w:r>
      <w:r>
        <w:t xml:space="preserve">tone identical to the standard (</w:t>
      </w:r>
      <w:r>
        <w:rPr>
          <w:b/>
          <w:bCs/>
        </w:rPr>
        <w:t xml:space="preserve">Δfrequency</w:t>
      </w:r>
      <w:r>
        <w:t xml:space="preserve"> </w:t>
      </w:r>
      <w:r>
        <w:t xml:space="preserve">= 0) or frequency-incremented by</w:t>
      </w:r>
      <w:r>
        <w:t xml:space="preserve"> </w:t>
      </w:r>
      <w:r>
        <w:rPr>
          <w:b/>
          <w:bCs/>
        </w:rPr>
        <w:t xml:space="preserve">8, 16, 32, or 64 Hz</w:t>
      </w:r>
      <w:r>
        <w:t xml:space="preserve">.</w:t>
      </w:r>
    </w:p>
    <w:p>
      <w:pPr>
        <w:pStyle w:val="BodyText"/>
      </w:pPr>
      <w:r>
        <w:rPr>
          <w:b/>
          <w:bCs/>
        </w:rPr>
        <w:t xml:space="preserve">Visual task (VDT).</w:t>
      </w:r>
      <w:r>
        <w:t xml:space="preserve"> </w:t>
      </w:r>
      <w:r>
        <w:t xml:space="preserve">The standard was a foveal sinusoidal Gabor patch (</w:t>
      </w:r>
      <w:r>
        <w:rPr>
          <w:b/>
          <w:bCs/>
        </w:rPr>
        <w:t xml:space="preserve">1.5</w:t>
      </w:r>
      <w:r>
        <w:t xml:space="preserve"> </w:t>
      </w:r>
      <w:r>
        <w:t xml:space="preserve">cycles/°, Michelson contrast</w:t>
      </w:r>
      <w:r>
        <w:t xml:space="preserve"> </w:t>
      </w:r>
      <w:r>
        <w:rPr>
          <w:b/>
          <w:bCs/>
        </w:rPr>
        <w:t xml:space="preserve">0.20</w:t>
      </w:r>
      <w:r>
        <w:t xml:space="preserve">, diameter</w:t>
      </w:r>
      <w:r>
        <w:t xml:space="preserve"> </w:t>
      </w:r>
      <w:r>
        <w:rPr>
          <w:b/>
          <w:bCs/>
        </w:rPr>
        <w:t xml:space="preserve">4°</w:t>
      </w:r>
      <w:r>
        <w:t xml:space="preserve">, duration</w:t>
      </w:r>
      <w:r>
        <w:t xml:space="preserve"> </w:t>
      </w:r>
      <w:r>
        <w:rPr>
          <w:b/>
          <w:bCs/>
        </w:rPr>
        <w:t xml:space="preserve">0.1 s</w:t>
      </w:r>
      <w:r>
        <w:t xml:space="preserve">). The probe matched the standard (</w:t>
      </w:r>
      <w:r>
        <w:rPr>
          <w:b/>
          <w:bCs/>
        </w:rPr>
        <w:t xml:space="preserve">Δcontrast</w:t>
      </w:r>
      <w:r>
        <w:t xml:space="preserve"> </w:t>
      </w:r>
      <w:r>
        <w:t xml:space="preserve">= 0) or increased in contrast by</w:t>
      </w:r>
      <w:r>
        <w:t xml:space="preserve"> </w:t>
      </w:r>
      <w:r>
        <w:rPr>
          <w:b/>
          <w:bCs/>
        </w:rPr>
        <w:t xml:space="preserve">0.06, 0.12, 0.24, or 0.48</w:t>
      </w:r>
      <w:r>
        <w:t xml:space="preserve"> </w:t>
      </w:r>
      <w:r>
        <w:t xml:space="preserve">with other parameters fixed.</w:t>
      </w:r>
    </w:p>
    <w:p>
      <w:pPr>
        <w:pStyle w:val="BodyText"/>
      </w:pPr>
      <w:r>
        <w:rPr>
          <w:b/>
          <w:bCs/>
        </w:rPr>
        <w:t xml:space="preserve">Responses.</w:t>
      </w:r>
      <w:r>
        <w:t xml:space="preserve"> </w:t>
      </w:r>
      <w:r>
        <w:t xml:space="preserve">After stimulus offset, participants released the grip and used the</w:t>
      </w:r>
      <w:r>
        <w:t xml:space="preserve"> </w:t>
      </w:r>
      <w:r>
        <w:rPr>
          <w:b/>
          <w:bCs/>
        </w:rPr>
        <w:t xml:space="preserve">right</w:t>
      </w:r>
      <w:r>
        <w:t xml:space="preserve"> </w:t>
      </w:r>
      <w:r>
        <w:t xml:space="preserve">hand to respond within</w:t>
      </w:r>
      <w:r>
        <w:t xml:space="preserve"> </w:t>
      </w:r>
      <w:r>
        <w:rPr>
          <w:b/>
          <w:bCs/>
        </w:rPr>
        <w:t xml:space="preserve">3 s</w:t>
      </w:r>
      <w:r>
        <w:t xml:space="preserve"> </w:t>
      </w:r>
      <w:r>
        <w:t xml:space="preserve">(index finger =</w:t>
      </w:r>
      <w:r>
        <w:t xml:space="preserve"> </w:t>
      </w:r>
      <w:r>
        <w:t xml:space="preserve">“different,”</w:t>
      </w:r>
      <w:r>
        <w:t xml:space="preserve"> </w:t>
      </w:r>
      <w:r>
        <w:t xml:space="preserve">middle finger =</w:t>
      </w:r>
      <w:r>
        <w:t xml:space="preserve"> </w:t>
      </w:r>
      <w:r>
        <w:t xml:space="preserve">“same”</w:t>
      </w:r>
      <w:r>
        <w:t xml:space="preserve">). A</w:t>
      </w:r>
      <w:r>
        <w:t xml:space="preserve"> </w:t>
      </w:r>
      <w:r>
        <w:rPr>
          <w:b/>
          <w:bCs/>
        </w:rPr>
        <w:t xml:space="preserve">3 s</w:t>
      </w:r>
      <w:r>
        <w:t xml:space="preserve"> </w:t>
      </w:r>
      <w:r>
        <w:t xml:space="preserve">confidence screen followed (four levels, 1 = lowest to 4 = highest confidence).</w:t>
      </w:r>
    </w:p>
    <w:p>
      <w:pPr>
        <w:pStyle w:val="BodyText"/>
      </w:pPr>
      <w:r>
        <w:rPr>
          <w:b/>
          <w:bCs/>
        </w:rPr>
        <w:t xml:space="preserve">Scheduling and feedback.</w:t>
      </w:r>
      <w:r>
        <w:t xml:space="preserve"> </w:t>
      </w:r>
      <w:r>
        <w:t xml:space="preserve">Each task comprised</w:t>
      </w:r>
      <w:r>
        <w:t xml:space="preserve"> </w:t>
      </w:r>
      <w:r>
        <w:rPr>
          <w:b/>
          <w:bCs/>
        </w:rPr>
        <w:t xml:space="preserve">150</w:t>
      </w:r>
      <w:r>
        <w:t xml:space="preserve"> </w:t>
      </w:r>
      <w:r>
        <w:t xml:space="preserve">trials per full set (</w:t>
      </w:r>
      <w:r>
        <w:rPr>
          <w:b/>
          <w:bCs/>
        </w:rPr>
        <w:t xml:space="preserve">five</w:t>
      </w:r>
      <w:r>
        <w:t xml:space="preserve"> </w:t>
      </w:r>
      <w:r>
        <w:t xml:space="preserve">blocks of</w:t>
      </w:r>
      <w:r>
        <w:t xml:space="preserve"> </w:t>
      </w:r>
      <w:r>
        <w:rPr>
          <w:b/>
          <w:bCs/>
        </w:rPr>
        <w:t xml:space="preserve">30</w:t>
      </w:r>
      <w:r>
        <w:t xml:space="preserve">), crossing the five stimulus levels (standard plus four offsets) with the two effort conditions in pseudorandom order with equal allocation (three trials per stimulus × effort combination per block when the full schedule was collected). Grip performance was reviewed between blocks; participants received corrective feedback if force was repeatedly off-target or not maintained through the probe as required. Task runs were acquired in-scanner (</w:t>
      </w:r>
      <w:r>
        <w:rPr>
          <w:b/>
          <w:bCs/>
        </w:rPr>
        <w:t xml:space="preserve">Session 2</w:t>
      </w:r>
      <w:r>
        <w:t xml:space="preserve"> </w:t>
      </w:r>
      <w:r>
        <w:t xml:space="preserve">and</w:t>
      </w:r>
      <w:r>
        <w:t xml:space="preserve"> </w:t>
      </w:r>
      <w:r>
        <w:rPr>
          <w:b/>
          <w:bCs/>
        </w:rPr>
        <w:t xml:space="preserve">Session 3</w:t>
      </w:r>
      <w:r>
        <w:t xml:space="preserve"> </w:t>
      </w:r>
      <w:r>
        <w:t xml:space="preserve">in the study database; practice and Session 1 were excluded from analysis files). Low- and high-effort trials were</w:t>
      </w:r>
      <w:r>
        <w:t xml:space="preserve"> </w:t>
      </w:r>
      <w:r>
        <w:rPr>
          <w:b/>
          <w:bCs/>
        </w:rPr>
        <w:t xml:space="preserve">intermixed within runs</w:t>
      </w:r>
      <w:r>
        <w:t xml:space="preserve"> </w:t>
      </w:r>
      <w:r>
        <w:t xml:space="preserve">rather than blocked by session. Realized trial counts vary when runs were omitted (Section 3.1).</w:t>
      </w:r>
    </w:p>
    <w:p>
      <w:pPr>
        <w:pStyle w:val="BodyText"/>
      </w:pPr>
      <w:r>
        <w:t xml:space="preserve">Stimuli were presented and responses collected using the LC Aging in-scanner setup: visual stimulation via a PROPixx-class projector (VPixx Technologies; high refresh rate, HD resolution) viewed through a head-coil mirror at approximately</w:t>
      </w:r>
      <w:r>
        <w:t xml:space="preserve"> </w:t>
      </w:r>
      <w:r>
        <w:rPr>
          <w:b/>
          <w:bCs/>
        </w:rPr>
        <w:t xml:space="preserve">12 cm</w:t>
      </w:r>
      <w:r>
        <w:t xml:space="preserve"> </w:t>
      </w:r>
      <w:r>
        <w:t xml:space="preserve">effective viewing distance; auditory stimulation through MRI-compatible earphones; fiber-optic response hardware for choices; MRI-compatible dynamometer for grip force; and binocular eye tracking for pupil diameter (</w:t>
      </w:r>
      <w:r>
        <w:rPr>
          <w:b/>
          <w:bCs/>
        </w:rPr>
        <w:t xml:space="preserve">250 Hz</w:t>
      </w:r>
      <w:r>
        <w:t xml:space="preserve"> </w:t>
      </w:r>
      <w:r>
        <w:t xml:space="preserve">in the processed data used here; see Pupillometry). Stimulus delivery and timing used Psychophysics Toolbox in MATLAB; neuroimaging results are reported elsewhere.</w:t>
      </w:r>
    </w:p>
    <w:bookmarkEnd w:id="44"/>
    <w:bookmarkStart w:id="47" w:name="pupillometry"/>
    <w:p>
      <w:pPr>
        <w:pStyle w:val="Heading2"/>
      </w:pPr>
      <w:r>
        <w:t xml:space="preserve">2.3 Pupillometry</w:t>
      </w:r>
    </w:p>
    <w:p>
      <w:pPr>
        <w:pStyle w:val="FirstParagraph"/>
      </w:pPr>
      <w:r>
        <w:t xml:space="preserve">Pupil diameter was recorded continuously throughout each trial at</w:t>
      </w:r>
      <w:r>
        <w:t xml:space="preserve"> </w:t>
      </w:r>
      <w:r>
        <w:rPr>
          <w:b/>
          <w:bCs/>
        </w:rPr>
        <w:t xml:space="preserve">250 Hz</w:t>
      </w:r>
      <w:r>
        <w:t xml:space="preserve"> </w:t>
      </w:r>
      <w:r>
        <w:t xml:space="preserve">and processed using a MATLAB preprocessing pipeline that segments trials relative to squeeze onset, flags blinks and track loss events, computes window-specific validity metrics, and implements subtractive baseline correction using pre-event windows.</w:t>
      </w:r>
    </w:p>
    <w:p>
      <w:pPr>
        <w:pStyle w:val="BodyText"/>
      </w:pPr>
      <w:r>
        <w:rPr>
          <w:b/>
          <w:bCs/>
        </w:rPr>
        <w:t xml:space="preserve">Metrics and preprocessing.</w:t>
      </w:r>
      <w:r>
        <w:t xml:space="preserve"> </w:t>
      </w:r>
      <w:r>
        <w:t xml:space="preserve">The first derived measure was</w:t>
      </w:r>
      <w:r>
        <w:t xml:space="preserve"> </w:t>
      </w:r>
      <w:r>
        <w:rPr>
          <w:b/>
          <w:bCs/>
        </w:rPr>
        <w:t xml:space="preserve">Total AUC</w:t>
      </w:r>
      <w:r>
        <w:t xml:space="preserve">: baseline-corrected area under the pupil curve over a global trial window, indexing overall arousal during concurrent physical effort. The second, which served as the primary predictor in trial-level models, was the</w:t>
      </w:r>
      <w:r>
        <w:t xml:space="preserve"> </w:t>
      </w:r>
      <w:r>
        <w:rPr>
          <w:b/>
          <w:bCs/>
        </w:rPr>
        <w:t xml:space="preserve">cognitive pupil metric</w:t>
      </w:r>
      <w:r>
        <w:t xml:space="preserve">: a baseline-corrected, task-evoked summary from a fixed</w:t>
      </w:r>
      <w:r>
        <w:t xml:space="preserve"> </w:t>
      </w:r>
      <w:r>
        <w:rPr>
          <w:b/>
          <w:bCs/>
        </w:rPr>
        <w:t xml:space="preserve">1.20 s</w:t>
      </w:r>
      <w:r>
        <w:t xml:space="preserve"> </w:t>
      </w:r>
      <w:r>
        <w:t xml:space="preserve">stimulus-locked window spanning 4.85–6.05 s (target onset + 0.50 s through +1.70 s relative to squeeze onset). That window targets the task-evoked pupil response (TEPR) peak, which typically occurs about one second after stimulus onset</w:t>
      </w:r>
      <w:r>
        <w:t xml:space="preserve"> </w:t>
      </w:r>
      <w:r>
        <w:t xml:space="preserve">(Mathôt &amp; Vilotijević, 2023)</w:t>
      </w:r>
      <w:r>
        <w:t xml:space="preserve">, while limiting early reflex contributions and RT-driven confounds. Analyses used</w:t>
      </w:r>
      <w:r>
        <w:t xml:space="preserve"> </w:t>
      </w:r>
      <w:r>
        <w:rPr>
          <w:b/>
          <w:bCs/>
        </w:rPr>
        <w:t xml:space="preserve">mean dilation</w:t>
      </w:r>
      <w:r>
        <w:t xml:space="preserve"> </w:t>
      </w:r>
      <w:r>
        <w:t xml:space="preserve">(AUC divided by window duration) rather than raw AUC, which removes duration confounds and is the preferred summary for this window. The distribution of Cognitive AUC was checked against a physiological-ceiling interpretation; results of that check are reported in Section 3.3 with the effort–pupil manipulation.</w:t>
      </w:r>
    </w:p>
    <w:p>
      <w:pPr>
        <w:pStyle w:val="BodyText"/>
      </w:pPr>
      <w:r>
        <w:t xml:space="preserve">Baseline correction was implemented subtractively (</w:t>
      </w:r>
      <w:r>
        <w:rPr>
          <w:i/>
          <w:iCs/>
        </w:rPr>
        <w:t xml:space="preserve">pupil</w:t>
      </w:r>
      <w:r>
        <w:t xml:space="preserve"> </w:t>
      </w:r>
      <w:r>
        <w:t xml:space="preserve">- baseline mean). For</w:t>
      </w:r>
      <w:r>
        <w:t xml:space="preserve"> </w:t>
      </w:r>
      <w:r>
        <w:rPr>
          <w:b/>
          <w:bCs/>
        </w:rPr>
        <w:t xml:space="preserve">Total AUC</w:t>
      </w:r>
      <w:r>
        <w:t xml:space="preserve">, the baseline window was the pre-squeeze interval from</w:t>
      </w:r>
      <w:r>
        <w:t xml:space="preserve"> </w:t>
      </w:r>
      <w:r>
        <w:rPr>
          <w:b/>
          <w:bCs/>
        </w:rPr>
        <w:t xml:space="preserve">−0.5 s to 0.0 s</w:t>
      </w:r>
      <w:r>
        <w:t xml:space="preserve"> </w:t>
      </w:r>
      <w:r>
        <w:t xml:space="preserve">relative to squeeze onset (B0 baseline). For the</w:t>
      </w:r>
      <w:r>
        <w:t xml:space="preserve"> </w:t>
      </w:r>
      <w:r>
        <w:rPr>
          <w:b/>
          <w:bCs/>
        </w:rPr>
        <w:t xml:space="preserve">cognitive pupil metric</w:t>
      </w:r>
      <w:r>
        <w:t xml:space="preserve">, the baseline window was the pre-target interval from</w:t>
      </w:r>
      <w:r>
        <w:t xml:space="preserve"> </w:t>
      </w:r>
      <w:r>
        <w:rPr>
          <w:b/>
          <w:bCs/>
        </w:rPr>
        <w:t xml:space="preserve">3.85 s to 4.35 s</w:t>
      </w:r>
      <w:r>
        <w:t xml:space="preserve"> </w:t>
      </w:r>
      <w:r>
        <w:t xml:space="preserve">relative to squeeze onset (B1 baseline). This target-proximal baseline was chosen so that the cognitive window reflects event-linked dilation relative to the immediately preceding pre-target pupil level, while the global Total AUC reflects overall dilation across the sustained effort epoch.</w:t>
      </w:r>
    </w:p>
    <w:p>
      <w:pPr>
        <w:pStyle w:val="BodyText"/>
      </w:pPr>
      <w:r>
        <w:rPr>
          <w:b/>
          <w:bCs/>
        </w:rPr>
        <w:t xml:space="preserve">Quality control and confound mitigation.</w:t>
      </w:r>
      <w:r>
        <w:t xml:space="preserve"> </w:t>
      </w:r>
      <w:r>
        <w:t xml:space="preserve">Gap-aware quality control metrics were developed following</w:t>
      </w:r>
      <w:r>
        <w:t xml:space="preserve"> </w:t>
      </w:r>
      <w:r>
        <w:t xml:space="preserve">Kret &amp; Sjak-Shie (2019)</w:t>
      </w:r>
      <w:r>
        <w:t xml:space="preserve"> </w:t>
      </w:r>
      <w:r>
        <w:t xml:space="preserve">to distinguish genuine low pupil dilation from data quality artifacts arising from fragmented missing-data segments. A trial can have acceptable overall validity (e.g., 60%) yet contain a large contiguous gap that distorts AUC estimates; percentage-validity thresholds are therefore not always sufficient for quality screening. Full metric specifications are given in</w:t>
      </w:r>
      <w:r>
        <w:t xml:space="preserve"> </w:t>
      </w:r>
      <w:hyperlink w:anchor="sec-appendix-a">
        <w:r>
          <w:rPr>
            <w:rStyle w:val="Hyperlink"/>
          </w:rPr>
          <w:t xml:space="preserve">Appendix A</w:t>
        </w:r>
      </w:hyperlink>
      <w:r>
        <w:t xml:space="preserve">, but the saved model objects reported in this chapter were fit using the processed dataset’s</w:t>
      </w:r>
      <w:r>
        <w:t xml:space="preserve"> </w:t>
      </w:r>
      <w:r>
        <w:rPr>
          <w:rStyle w:val="VerbatimChar"/>
        </w:rPr>
        <w:t xml:space="preserve">quality_primary</w:t>
      </w:r>
      <w:r>
        <w:t xml:space="preserve">,</w:t>
      </w:r>
      <w:r>
        <w:t xml:space="preserve"> </w:t>
      </w:r>
      <w:r>
        <w:rPr>
          <w:rStyle w:val="VerbatimChar"/>
        </w:rPr>
        <w:t xml:space="preserve">quality_lenient</w:t>
      </w:r>
      <w:r>
        <w:t xml:space="preserve">, and</w:t>
      </w:r>
      <w:r>
        <w:t xml:space="preserve"> </w:t>
      </w:r>
      <w:r>
        <w:rPr>
          <w:rStyle w:val="VerbatimChar"/>
        </w:rPr>
        <w:t xml:space="preserve">quality_strict</w:t>
      </w:r>
      <w:r>
        <w:t xml:space="preserve"> </w:t>
      </w:r>
      <w:r>
        <w:t xml:space="preserve">flags.</w:t>
      </w:r>
    </w:p>
    <w:p>
      <w:pPr>
        <w:pStyle w:val="BodyText"/>
      </w:pPr>
      <w:r>
        <w:t xml:space="preserve">Pupil-based analyses used three pre-defined percentage-validity tiers from the processed dataset. The</w:t>
      </w:r>
      <w:r>
        <w:t xml:space="preserve"> </w:t>
      </w:r>
      <w:r>
        <w:rPr>
          <w:b/>
          <w:bCs/>
        </w:rPr>
        <w:t xml:space="preserve">primary</w:t>
      </w:r>
      <w:r>
        <w:t xml:space="preserve"> </w:t>
      </w:r>
      <w:r>
        <w:t xml:space="preserve">tier required</w:t>
      </w:r>
      <w:r>
        <w:t xml:space="preserve"> </w:t>
      </w:r>
      <w:r>
        <w:rPr>
          <w:rStyle w:val="VerbatimChar"/>
        </w:rPr>
        <w:t xml:space="preserve">baseline_quality &gt;= 0.60</w:t>
      </w:r>
      <w:r>
        <w:t xml:space="preserve"> </w:t>
      </w:r>
      <w:r>
        <w:t xml:space="preserve">and</w:t>
      </w:r>
      <w:r>
        <w:t xml:space="preserve"> </w:t>
      </w:r>
      <w:r>
        <w:rPr>
          <w:rStyle w:val="VerbatimChar"/>
        </w:rPr>
        <w:t xml:space="preserve">cog_quality &gt;= 0.60</w:t>
      </w:r>
      <w:r>
        <w:t xml:space="preserve">; the</w:t>
      </w:r>
      <w:r>
        <w:t xml:space="preserve"> </w:t>
      </w:r>
      <w:r>
        <w:rPr>
          <w:b/>
          <w:bCs/>
        </w:rPr>
        <w:t xml:space="preserve">lenient</w:t>
      </w:r>
      <w:r>
        <w:t xml:space="preserve"> </w:t>
      </w:r>
      <w:r>
        <w:t xml:space="preserve">tier used thresholds of 0.50 for both; the</w:t>
      </w:r>
      <w:r>
        <w:t xml:space="preserve"> </w:t>
      </w:r>
      <w:r>
        <w:rPr>
          <w:b/>
          <w:bCs/>
        </w:rPr>
        <w:t xml:space="preserve">strict</w:t>
      </w:r>
      <w:r>
        <w:t xml:space="preserve"> </w:t>
      </w:r>
      <w:r>
        <w:t xml:space="preserve">tier required 0.70 for both. An expanded B1/gap-aware screening framework was developed in parallel preprocessing documentation, but those thresholds were not the operative inclusion flags for the saved analysis objects summarized here. Accordingly, the reported results should be interpreted as reflecting the simpler percentage-validity tiers above.</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quality-tier strategy addresses this by excluding trials with poorer pupil validity, thereby reducing lapse-like contamination in the psychometric function estimates. The tiering approach tests robustness of conclusions across stricter inclusion criteria: if key effects (e.g., the stimulus intensity × pupil state interaction) are consistent across lenient, primary, and strict quality tiers, this provides evidence that findings are not driven solely by the specific validity threshold used.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bookmarkStart w:id="45" w:name="sec-response-timing"/>
    <w:p>
      <w:pPr>
        <w:pStyle w:val="Heading3"/>
      </w:pPr>
      <w:r>
        <w:t xml:space="preserve">2.3.1 Cognitive window and response-screen timing</w:t>
      </w:r>
    </w:p>
    <w:p>
      <w:pPr>
        <w:pStyle w:val="FirstParagraph"/>
      </w:pPr>
      <w:r>
        <w:t xml:space="preserve">The cognitive AUC window unavoidably overlaps task events that can contaminate pupil measurements: the target appears at 4.35 s (relative to squeeze onset), the response screen at 4.70 s (350 ms after target), and the button press at a variable time (typically near 5.3–5.4 s for median RTs around 0.6–0.7 s). The analytic goal is not to eliminate these confounds—which is impossible—but to limit their impact, acknowledge what remains, and support conclusions with sensitivity analyses.</w:t>
      </w:r>
    </w:p>
    <w:p>
      <w:pPr>
        <w:pStyle w:val="BodyText"/>
      </w:pPr>
      <w:r>
        <w:t xml:space="preserve">Accordingly, the primary cognitive window (4.85–6.05 s) was</w:t>
      </w:r>
      <w:r>
        <w:t xml:space="preserve"> </w:t>
      </w:r>
      <w:r>
        <w:rPr>
          <w:b/>
          <w:bCs/>
        </w:rPr>
        <w:t xml:space="preserve">stimulus-locked and of fixed duration</w:t>
      </w:r>
      <w:r>
        <w:t xml:space="preserve">, and the pupil summary was</w:t>
      </w:r>
      <w:r>
        <w:t xml:space="preserve"> </w:t>
      </w:r>
      <w:r>
        <w:rPr>
          <w:b/>
          <w:bCs/>
        </w:rPr>
        <w:t xml:space="preserve">mean dilation</w:t>
      </w:r>
      <w:r>
        <w:t xml:space="preserve"> </w:t>
      </w:r>
      <w:r>
        <w:t xml:space="preserve">(AUC divided by duration), which together reduce mechanical coupling of RT to AUC and duration-related artifacts relative to raw AUC. Motor-buffered and pre-response window definitions were also pre-computed (truncating the primary window 150 ms before button press, and a decision-aligned window excluding the final 150 ms before response, respectively); full AUC computation for those windows requires re-processing and is reserved for future sensitivity analyses (</w:t>
      </w:r>
      <w:hyperlink w:anchor="sec-appendix-e">
        <w:r>
          <w:rPr>
            <w:rStyle w:val="Hyperlink"/>
          </w:rPr>
          <w:t xml:space="preserve">Appendix E</w:t>
        </w:r>
      </w:hyperlink>
      <w:r>
        <w:t xml:space="preserve">). Finally, a</w:t>
      </w:r>
      <w:r>
        <w:t xml:space="preserve"> </w:t>
      </w:r>
      <w:r>
        <w:rPr>
          <w:b/>
          <w:bCs/>
        </w:rPr>
        <w:t xml:space="preserve">slow-RT</w:t>
      </w:r>
      <w:r>
        <w:t xml:space="preserve"> </w:t>
      </w:r>
      <w:r>
        <w:t xml:space="preserve">sensitivity subset flags trials where the button press falls after the cognitive window (RT &gt; 1.5 s, press after 6.20 s), so motor execution cannot overlap the pupil epoch; that subset feeds the analysis in Section 3.5.1 and</w:t>
      </w:r>
      <w:r>
        <w:t xml:space="preserve"> </w:t>
      </w:r>
      <w:hyperlink w:anchor="sec-appendix-b">
        <w:r>
          <w:rPr>
            <w:rStyle w:val="Hyperlink"/>
          </w:rPr>
          <w:t xml:space="preserve">Appendix B</w:t>
        </w:r>
      </w:hyperlink>
      <w:r>
        <w:t xml:space="preserve">.</w:t>
      </w:r>
    </w:p>
    <w:bookmarkEnd w:id="45"/>
    <w:bookmarkStart w:id="46" w:name="sec-sample-retention"/>
    <w:p>
      <w:pPr>
        <w:pStyle w:val="Heading3"/>
      </w:pPr>
      <w:r>
        <w:t xml:space="preserve">2.3.2 Sample retention and exclusions by task</w:t>
      </w:r>
    </w:p>
    <w:p>
      <w:pPr>
        <w:pStyle w:val="FirstParagraph"/>
      </w:pPr>
      <w:r>
        <w:t xml:space="preserve">Participant flow was evaluated</w:t>
      </w:r>
      <w:r>
        <w:t xml:space="preserve"> </w:t>
      </w:r>
      <w:r>
        <w:rPr>
          <w:b/>
          <w:bCs/>
        </w:rPr>
        <w:t xml:space="preserve">separately by modality</w:t>
      </w:r>
      <w:r>
        <w:t xml:space="preserve"> </w:t>
      </w:r>
      <w:r>
        <w:t xml:space="preserve">because psychometric validity and pupil-data quality were gated independently for ADT and VDT (</w:t>
      </w:r>
      <w:hyperlink w:anchor="sec-analytic-samples">
        <w:r>
          <w:rPr>
            <w:rStyle w:val="Hyperlink"/>
          </w:rPr>
          <w:t xml:space="preserve">Section 2.4.1</w:t>
        </w:r>
      </w:hyperlink>
      <w:r>
        <w:t xml:space="preserve">). Of</w:t>
      </w:r>
      <w:r>
        <w:t xml:space="preserve"> </w:t>
      </w:r>
      <w:r>
        <w:rPr>
          <w:b/>
          <w:bCs/>
        </w:rPr>
        <w:t xml:space="preserve">64</w:t>
      </w:r>
      <w:r>
        <w:t xml:space="preserve"> </w:t>
      </w:r>
      <w:r>
        <w:t xml:space="preserve">participants recruited for the</w:t>
      </w:r>
      <w:r>
        <w:t xml:space="preserve"> </w:t>
      </w:r>
      <w:r>
        <w:rPr>
          <w:b/>
          <w:bCs/>
        </w:rPr>
        <w:t xml:space="preserve">auditory</w:t>
      </w:r>
      <w:r>
        <w:t xml:space="preserve"> </w:t>
      </w:r>
      <w:r>
        <w:t xml:space="preserve">task,</w:t>
      </w:r>
      <w:r>
        <w:t xml:space="preserve"> </w:t>
      </w:r>
      <w:r>
        <w:rPr>
          <w:b/>
          <w:bCs/>
        </w:rPr>
        <w:t xml:space="preserve">54</w:t>
      </w:r>
      <w:r>
        <w:t xml:space="preserve"> </w:t>
      </w:r>
      <w:r>
        <w:t xml:space="preserve">entered the</w:t>
      </w:r>
      <w:r>
        <w:t xml:space="preserve"> </w:t>
      </w:r>
      <w:r>
        <w:rPr>
          <w:b/>
          <w:bCs/>
        </w:rPr>
        <w:t xml:space="preserve">pupil-QC final sample</w:t>
      </w:r>
      <w:r>
        <w:t xml:space="preserve"> </w:t>
      </w:r>
      <w:r>
        <w:t xml:space="preserve">(</w:t>
      </w:r>
      <w:r>
        <w:rPr>
          <w:b/>
          <w:bCs/>
        </w:rPr>
        <w:t xml:space="preserve">10</w:t>
      </w:r>
      <w:r>
        <w:t xml:space="preserve"> </w:t>
      </w:r>
      <w:r>
        <w:t xml:space="preserve">excluded from that stream). Of those</w:t>
      </w:r>
      <w:r>
        <w:t xml:space="preserve"> </w:t>
      </w:r>
      <w:r>
        <w:rPr>
          <w:b/>
          <w:bCs/>
        </w:rPr>
        <w:t xml:space="preserve">10</w:t>
      </w:r>
      <w:r>
        <w:t xml:space="preserve">,</w:t>
      </w:r>
      <w:r>
        <w:t xml:space="preserve"> </w:t>
      </w:r>
      <w:r>
        <w:rPr>
          <w:b/>
          <w:bCs/>
        </w:rPr>
        <w:t xml:space="preserve">3</w:t>
      </w:r>
      <w:r>
        <w:t xml:space="preserve"> </w:t>
      </w:r>
      <w:r>
        <w:t xml:space="preserve">had</w:t>
      </w:r>
      <w:r>
        <w:t xml:space="preserve"> </w:t>
      </w:r>
      <w:r>
        <w:rPr>
          <w:b/>
          <w:bCs/>
        </w:rPr>
        <w:t xml:space="preserve">Psignifit</w:t>
      </w:r>
      <w:r>
        <w:t xml:space="preserve"> </w:t>
      </w:r>
      <w:r>
        <w:rPr>
          <w:b/>
          <w:bCs/>
        </w:rPr>
        <w:t xml:space="preserve">thresholds</w:t>
      </w:r>
      <w:r>
        <w:t xml:space="preserve"> </w:t>
      </w:r>
      <w:r>
        <w:t xml:space="preserve">above</w:t>
      </w:r>
      <w:r>
        <w:t xml:space="preserve"> </w:t>
      </w:r>
      <w:r>
        <w:rPr>
          <w:b/>
          <w:bCs/>
        </w:rPr>
        <w:t xml:space="preserve">64 Hz</w:t>
      </w:r>
      <w:r>
        <w:t xml:space="preserve"> </w:t>
      </w:r>
      <w:r>
        <w:t xml:space="preserve">(prespecified PF invalidity) and</w:t>
      </w:r>
      <w:r>
        <w:t xml:space="preserve"> </w:t>
      </w:r>
      <w:r>
        <w:rPr>
          <w:b/>
          <w:bCs/>
        </w:rPr>
        <w:t xml:space="preserve">7</w:t>
      </w:r>
      <w:r>
        <w:t xml:space="preserve"> </w:t>
      </w:r>
      <w:r>
        <w:t xml:space="preserve">had</w:t>
      </w:r>
      <w:r>
        <w:t xml:space="preserve"> </w:t>
      </w:r>
      <w:r>
        <w:rPr>
          <w:b/>
          <w:bCs/>
        </w:rPr>
        <w:t xml:space="preserve">excessive eye-track loss</w:t>
      </w:r>
      <w:r>
        <w:t xml:space="preserve"> </w:t>
      </w:r>
      <w:r>
        <w:t xml:space="preserve">(greater than</w:t>
      </w:r>
      <w:r>
        <w:t xml:space="preserve"> </w:t>
      </w:r>
      <w:r>
        <w:rPr>
          <w:b/>
          <w:bCs/>
        </w:rPr>
        <w:t xml:space="preserve">50%</w:t>
      </w:r>
      <w:r>
        <w:t xml:space="preserve"> </w:t>
      </w:r>
      <w:r>
        <w:t xml:space="preserve">invalid samples) or other</w:t>
      </w:r>
      <w:r>
        <w:t xml:space="preserve"> </w:t>
      </w:r>
      <w:r>
        <w:rPr>
          <w:b/>
          <w:bCs/>
        </w:rPr>
        <w:t xml:space="preserve">pupil QC failures</w:t>
      </w:r>
      <w:r>
        <w:t xml:space="preserve">. For PF inference, only the three ADT threshold-invalid participants are excluded from the PF-valid sample (</w:t>
      </w:r>
      <w:r>
        <w:rPr>
          <w:b/>
          <w:bCs/>
        </w:rPr>
        <w:t xml:space="preserve">61</w:t>
      </w:r>
      <w:r>
        <w:t xml:space="preserve"> </w:t>
      </w:r>
      <w:r>
        <w:t xml:space="preserve">ADT with converged, in-range fits); pupil-QC failure does not exclude participants from PF analyses. Of</w:t>
      </w:r>
      <w:r>
        <w:t xml:space="preserve"> </w:t>
      </w:r>
      <w:r>
        <w:rPr>
          <w:b/>
          <w:bCs/>
        </w:rPr>
        <w:t xml:space="preserve">65</w:t>
      </w:r>
      <w:r>
        <w:t xml:space="preserve"> </w:t>
      </w:r>
      <w:r>
        <w:t xml:space="preserve">participants recruited for the</w:t>
      </w:r>
      <w:r>
        <w:t xml:space="preserve"> </w:t>
      </w:r>
      <w:r>
        <w:rPr>
          <w:b/>
          <w:bCs/>
        </w:rPr>
        <w:t xml:space="preserve">visual</w:t>
      </w:r>
      <w:r>
        <w:t xml:space="preserve"> </w:t>
      </w:r>
      <w:r>
        <w:t xml:space="preserve">task,</w:t>
      </w:r>
      <w:r>
        <w:t xml:space="preserve"> </w:t>
      </w:r>
      <w:r>
        <w:rPr>
          <w:b/>
          <w:bCs/>
        </w:rPr>
        <w:t xml:space="preserve">56</w:t>
      </w:r>
      <w:r>
        <w:t xml:space="preserve"> </w:t>
      </w:r>
      <w:r>
        <w:t xml:space="preserve">entered the</w:t>
      </w:r>
      <w:r>
        <w:t xml:space="preserve"> </w:t>
      </w:r>
      <w:r>
        <w:rPr>
          <w:b/>
          <w:bCs/>
        </w:rPr>
        <w:t xml:space="preserve">pupil-QC final sample</w:t>
      </w:r>
      <w:r>
        <w:t xml:space="preserve"> </w:t>
      </w:r>
      <w:r>
        <w:t xml:space="preserve">(</w:t>
      </w:r>
      <w:r>
        <w:rPr>
          <w:b/>
          <w:bCs/>
        </w:rPr>
        <w:t xml:space="preserve">9</w:t>
      </w:r>
      <w:r>
        <w:t xml:space="preserve"> </w:t>
      </w:r>
      <w:r>
        <w:t xml:space="preserve">excluded).</w:t>
      </w:r>
      <w:r>
        <w:t xml:space="preserve"> </w:t>
      </w:r>
      <w:r>
        <w:rPr>
          <w:b/>
          <w:bCs/>
        </w:rPr>
        <w:t xml:space="preserve">None</w:t>
      </w:r>
      <w:r>
        <w:t xml:space="preserve"> </w:t>
      </w:r>
      <w:r>
        <w:t xml:space="preserve">of the</w:t>
      </w:r>
      <w:r>
        <w:t xml:space="preserve"> </w:t>
      </w:r>
      <w:r>
        <w:rPr>
          <w:b/>
          <w:bCs/>
        </w:rPr>
        <w:t xml:space="preserve">visual</w:t>
      </w:r>
      <w:r>
        <w:t xml:space="preserve"> </w:t>
      </w:r>
      <w:r>
        <w:t xml:space="preserve">exclusions were attributed to PF</w:t>
      </w:r>
      <w:r>
        <w:t xml:space="preserve"> </w:t>
      </w:r>
      <w:r>
        <w:rPr>
          <w:b/>
          <w:bCs/>
        </w:rPr>
        <w:t xml:space="preserve">threshold</w:t>
      </w:r>
      <w:r>
        <w:t xml:space="preserve"> </w:t>
      </w:r>
      <w:r>
        <w:t xml:space="preserve">estimates;</w:t>
      </w:r>
      <w:r>
        <w:t xml:space="preserve"> </w:t>
      </w:r>
      <w:r>
        <w:rPr>
          <w:b/>
          <w:bCs/>
        </w:rPr>
        <w:t xml:space="preserve">all nine</w:t>
      </w:r>
      <w:r>
        <w:t xml:space="preserve"> </w:t>
      </w:r>
      <w:r>
        <w:t xml:space="preserve">reflected</w:t>
      </w:r>
      <w:r>
        <w:t xml:space="preserve"> </w:t>
      </w:r>
      <w:r>
        <w:rPr>
          <w:b/>
          <w:bCs/>
        </w:rPr>
        <w:t xml:space="preserve">track loss</w:t>
      </w:r>
      <w:r>
        <w:t xml:space="preserve"> </w:t>
      </w:r>
      <w:r>
        <w:t xml:space="preserve">or</w:t>
      </w:r>
      <w:r>
        <w:t xml:space="preserve"> </w:t>
      </w:r>
      <w:r>
        <w:rPr>
          <w:b/>
          <w:bCs/>
        </w:rPr>
        <w:t xml:space="preserve">QC failures</w:t>
      </w:r>
      <w:r>
        <w:t xml:space="preserve">. These counts align with</w:t>
      </w:r>
      <w:r>
        <w:t xml:space="preserve"> </w:t>
      </w:r>
      <w:hyperlink w:anchor="tbl-sample-flow">
        <w:r>
          <w:rPr>
            <w:rStyle w:val="Hyperlink"/>
          </w:rPr>
          <w:t xml:space="preserve">Table 1</w:t>
        </w:r>
      </w:hyperlink>
      <w:r>
        <w:t xml:space="preserve"> </w:t>
      </w:r>
      <w:r>
        <w:t xml:space="preserve">(Section 3.1).</w:t>
      </w:r>
    </w:p>
    <w:bookmarkEnd w:id="46"/>
    <w:bookmarkEnd w:id="47"/>
    <w:bookmarkStart w:id="50" w:name="statistical-analysis"/>
    <w:p>
      <w:pPr>
        <w:pStyle w:val="Heading2"/>
      </w:pPr>
      <w:r>
        <w:t xml:space="preserve">2.4 Statistical Analysis</w:t>
      </w:r>
    </w:p>
    <w:bookmarkStart w:id="48" w:name="sec-analytic-samples"/>
    <w:p>
      <w:pPr>
        <w:pStyle w:val="Heading3"/>
      </w:pPr>
      <w:r>
        <w:t xml:space="preserve">2.4.1 Analytic sample streams</w:t>
      </w:r>
    </w:p>
    <w:p>
      <w:pPr>
        <w:pStyle w:val="FirstParagraph"/>
      </w:pPr>
      <w:r>
        <w:rPr>
          <w:b/>
          <w:bCs/>
        </w:rPr>
        <w:t xml:space="preserve">Pupil-quality exclusions</w:t>
      </w:r>
      <w:r>
        <w:t xml:space="preserve"> </w:t>
      </w:r>
      <w:r>
        <w:t xml:space="preserve">gate trial-level GLMM analyses, effort–pupil manipulation checks, and missingness diagnostics.</w:t>
      </w:r>
      <w:r>
        <w:t xml:space="preserve"> </w:t>
      </w:r>
      <w:r>
        <w:rPr>
          <w:b/>
          <w:bCs/>
        </w:rPr>
        <w:t xml:space="preserve">PF-validity exclusions</w:t>
      </w:r>
      <w:r>
        <w:t xml:space="preserve"> </w:t>
      </w:r>
      <w:r>
        <w:t xml:space="preserve">gate descriptive and inferential psychometric-function analyses: converged fits only, and for ADT, threshold estimates at or below the maximum tested offset (64 Hz). Pupil-QC failure has no bearing on behavioral PF inference; conversely, PF-invalid fits are excluded from PF summaries regardless of pupil data quality. The two streams therefore differ in</w:t>
      </w:r>
      <w:r>
        <w:t xml:space="preserve"> </w:t>
      </w:r>
      <w:r>
        <w:rPr>
          <w:i/>
          <w:iCs/>
        </w:rPr>
        <w:t xml:space="preserve">N</w:t>
      </w:r>
      <w:r>
        <w:t xml:space="preserve"> </w:t>
      </w:r>
      <w:r>
        <w:t xml:space="preserve">by design (</w:t>
      </w:r>
      <w:hyperlink w:anchor="tbl-sample-flow">
        <w:r>
          <w:rPr>
            <w:rStyle w:val="Hyperlink"/>
          </w:rPr>
          <w:t xml:space="preserve">Table 1</w:t>
        </w:r>
      </w:hyperlink>
      <w:r>
        <w:t xml:space="preserve">). Subject-level PF–pupil coupling uses the intersection of both streams (valid PF change scores and primary-tier pupil data in both effort conditions), which is why coupling</w:t>
      </w:r>
      <w:r>
        <w:t xml:space="preserve"> </w:t>
      </w:r>
      <w:r>
        <w:rPr>
          <w:i/>
          <w:iCs/>
        </w:rPr>
        <w:t xml:space="preserve">N</w:t>
      </w:r>
      <w:r>
        <w:t xml:space="preserve"> </w:t>
      </w:r>
      <w:r>
        <w:t xml:space="preserve">is smaller than either stream alone.</w:t>
      </w:r>
    </w:p>
    <w:p>
      <w:pPr>
        <w:pStyle w:val="BodyText"/>
      </w:pPr>
      <w:r>
        <w:rPr>
          <w:b/>
          <w:bCs/>
        </w:rPr>
        <w:t xml:space="preserve">Psychometric function fitting.</w:t>
      </w:r>
      <w:r>
        <w:t xml:space="preserve"> </w:t>
      </w:r>
      <w:r>
        <w:t xml:space="preserve">Behavioral data were fit in</w:t>
      </w:r>
      <w:r>
        <w:t xml:space="preserve"> </w:t>
      </w:r>
      <w:r>
        <w:rPr>
          <w:b/>
          <w:bCs/>
        </w:rPr>
        <w:t xml:space="preserve">Psignifit 4</w:t>
      </w:r>
      <w:r>
        <w:t xml:space="preserve"> </w:t>
      </w:r>
      <w:r>
        <w:t xml:space="preserve">(MATLAB;</w:t>
      </w:r>
      <w:r>
        <w:t xml:space="preserve"> </w:t>
      </w:r>
      <w:r>
        <w:t xml:space="preserve">Schütt et al. (2016)</w:t>
      </w:r>
      <w:r>
        <w:t xml:space="preserve">) using a</w:t>
      </w:r>
      <w:r>
        <w:t xml:space="preserve"> </w:t>
      </w:r>
      <w:r>
        <w:rPr>
          <w:b/>
          <w:bCs/>
        </w:rPr>
        <w:t xml:space="preserve">beta-binomial</w:t>
      </w:r>
      <w:r>
        <w:t xml:space="preserve"> </w:t>
      </w:r>
      <w:r>
        <w:t xml:space="preserve">observation model for the counts of</w:t>
      </w:r>
      <w:r>
        <w:t xml:space="preserve"> </w:t>
      </w:r>
      <w:r>
        <w:t xml:space="preserve">“different”</w:t>
      </w:r>
      <w:r>
        <w:t xml:space="preserve"> </w:t>
      </w:r>
      <w:r>
        <w:t xml:space="preserve">responses at each stimulus level. This choice was motivated by</w:t>
      </w:r>
      <w:r>
        <w:t xml:space="preserve"> </w:t>
      </w:r>
      <w:r>
        <w:rPr>
          <w:b/>
          <w:bCs/>
        </w:rPr>
        <w:t xml:space="preserve">overdispersion</w:t>
      </w:r>
      <w:r>
        <w:t xml:space="preserve">: at a given intensity, empirical variability in binary outcomes can exceed the variance implied by a standard binomial model, which assumes independent Bernoulli trials with a single underlying probability. The beta-binomial formulation relaxes that assumption by introducing a</w:t>
      </w:r>
      <w:r>
        <w:t xml:space="preserve"> </w:t>
      </w:r>
      <w:r>
        <w:rPr>
          <w:b/>
          <w:bCs/>
        </w:rPr>
        <w:t xml:space="preserve">dispersion metric</w:t>
      </w:r>
      <w:r>
        <w:t xml:space="preserve"> </w:t>
      </w:r>
      <m:oMath>
        <m:r>
          <m:t>η</m:t>
        </m:r>
      </m:oMath>
      <w:r>
        <w:t xml:space="preserve"> </w:t>
      </w:r>
      <w:r>
        <w:t xml:space="preserve">(eta), estimated jointly with the psychometric function parameters. Together with threshold and slope (and asymptotic parameters),</w:t>
      </w:r>
      <w:r>
        <w:t xml:space="preserve"> </w:t>
      </w:r>
      <m:oMath>
        <m:r>
          <m:t>η</m:t>
        </m:r>
      </m:oMath>
      <w:r>
        <w:t xml:space="preserve"> </w:t>
      </w:r>
      <w:r>
        <w:t xml:space="preserve">indexes extra-binomial variability and supports more robust parameter recovery when performance fluctuates beyond simple binomial sampling error.</w:t>
      </w:r>
    </w:p>
    <w:p>
      <w:pPr>
        <w:pStyle w:val="BodyText"/>
      </w:pPr>
      <w:r>
        <w:t xml:space="preserve">Psychometric function parameters (thresholds and slopes) used as the behavioral backbone were taken from these fits.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w:t>
      </w:r>
    </w:p>
    <w:p>
      <w:pPr>
        <w:pStyle w:val="BodyText"/>
      </w:pPr>
      <w:r>
        <w:rPr>
          <w:b/>
          <w:bCs/>
        </w:rPr>
        <w:t xml:space="preserve">Zero-intensity replacement (Weibull compatibility).</w:t>
      </w:r>
      <w:r>
        <w:t xml:space="preserve"> </w:t>
      </w:r>
      <w:r>
        <w:t xml:space="preserve">The</w:t>
      </w:r>
      <w:r>
        <w:t xml:space="preserve"> </w:t>
      </w:r>
      <w:r>
        <w:rPr>
          <w:b/>
          <w:bCs/>
        </w:rPr>
        <w:t xml:space="preserve">Weibull</w:t>
      </w:r>
      <w:r>
        <w:t xml:space="preserve"> </w:t>
      </w:r>
      <w:r>
        <w:t xml:space="preserve">link is</w:t>
      </w:r>
      <w:r>
        <w:t xml:space="preserve"> </w:t>
      </w:r>
      <w:r>
        <w:rPr>
          <w:b/>
          <w:bCs/>
        </w:rPr>
        <w:t xml:space="preserve">undefined</w:t>
      </w:r>
      <w:r>
        <w:t xml:space="preserve"> </w:t>
      </w:r>
      <w:r>
        <w:t xml:space="preserve">at a stimulus intensity of</w:t>
      </w:r>
      <w:r>
        <w:t xml:space="preserve"> </w:t>
      </w:r>
      <w:r>
        <w:rPr>
          <w:b/>
          <w:bCs/>
        </w:rPr>
        <w:t xml:space="preserve">0</w:t>
      </w:r>
      <w:r>
        <w:t xml:space="preserve">. Because trials with</w:t>
      </w:r>
      <w:r>
        <w:t xml:space="preserve"> </w:t>
      </w:r>
      <w:r>
        <w:rPr>
          <w:b/>
          <w:bCs/>
        </w:rPr>
        <w:t xml:space="preserve">physically identical</w:t>
      </w:r>
      <w:r>
        <w:t xml:space="preserve"> </w:t>
      </w:r>
      <w:r>
        <w:t xml:space="preserve">standard and probe stimuli (</w:t>
      </w:r>
      <w:r>
        <w:rPr>
          <w:b/>
          <w:bCs/>
        </w:rPr>
        <w:t xml:space="preserve">0-offset</w:t>
      </w:r>
      <w:r>
        <w:t xml:space="preserve"> </w:t>
      </w:r>
      <w:r>
        <w:t xml:space="preserve">conditions) would otherwise require a numerical intensity of</w:t>
      </w:r>
      <w:r>
        <w:t xml:space="preserve"> </w:t>
      </w:r>
      <w:r>
        <w:rPr>
          <w:b/>
          <w:bCs/>
        </w:rPr>
        <w:t xml:space="preserve">0</w:t>
      </w:r>
      <w:r>
        <w:t xml:space="preserve">, a</w:t>
      </w:r>
      <w:r>
        <w:t xml:space="preserve"> </w:t>
      </w:r>
      <w:r>
        <w:rPr>
          <w:b/>
          <w:bCs/>
        </w:rPr>
        <w:t xml:space="preserve">systematic replacement</w:t>
      </w:r>
      <w:r>
        <w:t xml:space="preserve"> </w:t>
      </w:r>
      <w:r>
        <w:t xml:space="preserve">was applied: the</w:t>
      </w:r>
      <w:r>
        <w:t xml:space="preserve"> </w:t>
      </w:r>
      <w:r>
        <w:rPr>
          <w:b/>
          <w:bCs/>
        </w:rPr>
        <w:t xml:space="preserve">0-offset</w:t>
      </w:r>
      <w:r>
        <w:t xml:space="preserve"> </w:t>
      </w:r>
      <w:r>
        <w:t xml:space="preserve">level was coded as</w:t>
      </w:r>
      <w:r>
        <w:t xml:space="preserve"> </w:t>
      </w:r>
      <w:r>
        <w:rPr>
          <w:b/>
          <w:bCs/>
        </w:rPr>
        <w:t xml:space="preserve">half of the smallest non-zero stimulus level</w:t>
      </w:r>
      <w:r>
        <w:t xml:space="preserve"> </w:t>
      </w:r>
      <w:r>
        <w:t xml:space="preserve">tested in each modality—the same</w:t>
      </w:r>
      <w:r>
        <w:t xml:space="preserve"> </w:t>
      </w:r>
      <w:r>
        <w:rPr>
          <w:b/>
          <w:bCs/>
        </w:rPr>
        <w:t xml:space="preserve">anchor</w:t>
      </w:r>
      <w:r>
        <w:t xml:space="preserve"> </w:t>
      </w:r>
      <w:r>
        <w:t xml:space="preserve">convention used to generate the descriptive psychometric summaries in</w:t>
      </w:r>
      <w:r>
        <w:t xml:space="preserve"> </w:t>
      </w:r>
      <w:hyperlink w:anchor="tbl-pf-params">
        <w:r>
          <w:rPr>
            <w:rStyle w:val="Hyperlink"/>
          </w:rPr>
          <w:t xml:space="preserve">Table 2</w:t>
        </w:r>
      </w:hyperlink>
      <w:r>
        <w:t xml:space="preserve">. For the</w:t>
      </w:r>
      <w:r>
        <w:t xml:space="preserve"> </w:t>
      </w:r>
      <w:r>
        <w:rPr>
          <w:b/>
          <w:bCs/>
        </w:rPr>
        <w:t xml:space="preserve">auditory</w:t>
      </w:r>
      <w:r>
        <w:t xml:space="preserve"> </w:t>
      </w:r>
      <w:r>
        <w:t xml:space="preserve">task, the smallest non-zero</w:t>
      </w:r>
      <w:r>
        <w:t xml:space="preserve"> </w:t>
      </w:r>
      <w:r>
        <w:rPr>
          <w:b/>
          <w:bCs/>
        </w:rPr>
        <w:t xml:space="preserve">frequency offset</w:t>
      </w:r>
      <w:r>
        <w:t xml:space="preserve"> </w:t>
      </w:r>
      <w:r>
        <w:t xml:space="preserve">was</w:t>
      </w:r>
      <w:r>
        <w:t xml:space="preserve"> </w:t>
      </w:r>
      <w:r>
        <w:rPr>
          <w:b/>
          <w:bCs/>
        </w:rPr>
        <w:t xml:space="preserve">8 Hz</w:t>
      </w:r>
      <w:r>
        <w:t xml:space="preserve">, so the</w:t>
      </w:r>
      <w:r>
        <w:t xml:space="preserve"> </w:t>
      </w:r>
      <w:r>
        <w:rPr>
          <w:b/>
          <w:bCs/>
        </w:rPr>
        <w:t xml:space="preserve">0-offset</w:t>
      </w:r>
      <w:r>
        <w:t xml:space="preserve"> </w:t>
      </w:r>
      <w:r>
        <w:t xml:space="preserve">condition was assigned</w:t>
      </w:r>
      <w:r>
        <w:t xml:space="preserve"> </w:t>
      </w:r>
      <w:r>
        <w:rPr>
          <w:b/>
          <w:bCs/>
        </w:rPr>
        <w:t xml:space="preserve">4 Hz</w:t>
      </w:r>
      <w:r>
        <w:t xml:space="preserve">. For the</w:t>
      </w:r>
      <w:r>
        <w:t xml:space="preserve"> </w:t>
      </w:r>
      <w:r>
        <w:rPr>
          <w:b/>
          <w:bCs/>
        </w:rPr>
        <w:t xml:space="preserve">visual</w:t>
      </w:r>
      <w:r>
        <w:t xml:space="preserve"> </w:t>
      </w:r>
      <w:r>
        <w:t xml:space="preserve">task, the</w:t>
      </w:r>
      <w:r>
        <w:t xml:space="preserve"> </w:t>
      </w:r>
      <w:r>
        <w:rPr>
          <w:b/>
          <w:bCs/>
        </w:rPr>
        <w:t xml:space="preserve">0-offset</w:t>
      </w:r>
      <w:r>
        <w:t xml:space="preserve"> </w:t>
      </w:r>
      <w:r>
        <w:t xml:space="preserve">condition was assigned</w:t>
      </w:r>
      <w:r>
        <w:t xml:space="preserve"> </w:t>
      </w:r>
      <w:r>
        <w:rPr>
          <w:b/>
          <w:bCs/>
        </w:rPr>
        <w:t xml:space="preserve">0.0075</w:t>
      </w:r>
      <w:r>
        <w:t xml:space="preserve"> </w:t>
      </w:r>
      <w:r>
        <w:rPr>
          <w:b/>
          <w:bCs/>
        </w:rPr>
        <w:t xml:space="preserve">Michelson</w:t>
      </w:r>
      <w:r>
        <w:t xml:space="preserve"> </w:t>
      </w:r>
      <w:r>
        <w:t xml:space="preserve">contrast units. This procedure</w:t>
      </w:r>
      <w:r>
        <w:t xml:space="preserve"> </w:t>
      </w:r>
      <w:r>
        <w:rPr>
          <w:b/>
          <w:bCs/>
        </w:rPr>
        <w:t xml:space="preserve">retains the full range of difficulty levels</w:t>
      </w:r>
      <w:r>
        <w:t xml:space="preserve"> </w:t>
      </w:r>
      <w:r>
        <w:t xml:space="preserve">(including the physically identical pair) while ensuring</w:t>
      </w:r>
      <w:r>
        <w:t xml:space="preserve"> </w:t>
      </w:r>
      <w:r>
        <w:rPr>
          <w:b/>
          <w:bCs/>
        </w:rPr>
        <w:t xml:space="preserve">mathematical compatibility</w:t>
      </w:r>
      <w:r>
        <w:t xml:space="preserve"> </w:t>
      </w:r>
      <w:r>
        <w:t xml:space="preserve">with the</w:t>
      </w:r>
      <w:r>
        <w:t xml:space="preserve"> </w:t>
      </w:r>
      <w:r>
        <w:rPr>
          <w:b/>
          <w:bCs/>
        </w:rPr>
        <w:t xml:space="preserve">Psignifit 4</w:t>
      </w:r>
      <w:r>
        <w:t xml:space="preserve"> </w:t>
      </w:r>
      <w:r>
        <w:t xml:space="preserve">fitting engine.</w:t>
      </w:r>
    </w:p>
    <w:p>
      <w:pPr>
        <w:pStyle w:val="BodyText"/>
      </w:pP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w:t>
      </w:r>
    </w:p>
    <w:p>
      <w:pPr>
        <w:pStyle w:val="BodyText"/>
      </w:pPr>
      <w:r>
        <w:rPr>
          <w:b/>
          <w:bCs/>
        </w:rPr>
        <w:t xml:space="preserve">Threshold and slope (effective midpoint).</w:t>
      </w:r>
      <w:r>
        <w:t xml:space="preserve"> </w:t>
      </w:r>
      <w:r>
        <w:t xml:space="preserve">Reported</w:t>
      </w:r>
      <w:r>
        <w:t xml:space="preserve"> </w:t>
      </w:r>
      <w:r>
        <w:rPr>
          <w:b/>
          <w:bCs/>
        </w:rPr>
        <w:t xml:space="preserve">thresholds</w:t>
      </w:r>
      <w:r>
        <w:t xml:space="preserve"> </w:t>
      </w:r>
      <w:r>
        <w:t xml:space="preserve">and</w:t>
      </w:r>
      <w:r>
        <w:t xml:space="preserve"> </w:t>
      </w:r>
      <w:r>
        <w:rPr>
          <w:b/>
          <w:bCs/>
        </w:rPr>
        <w:t xml:space="preserve">slopes</w:t>
      </w:r>
      <w:r>
        <w:t xml:space="preserve"> </w:t>
      </w:r>
      <w:r>
        <w:t xml:space="preserve">were defined at the psychometric function’s</w:t>
      </w:r>
      <w:r>
        <w:t xml:space="preserve"> </w:t>
      </w:r>
      <w:r>
        <w:rPr>
          <w:b/>
          <w:bCs/>
        </w:rPr>
        <w:t xml:space="preserve">effective midpoint</w:t>
      </w:r>
      <w:r>
        <w:t xml:space="preserve">: the operating point located halfway between the</w:t>
      </w:r>
      <w:r>
        <w:t xml:space="preserve"> </w:t>
      </w:r>
      <w:r>
        <w:rPr>
          <w:b/>
          <w:bCs/>
        </w:rPr>
        <w:t xml:space="preserve">guess rate</w:t>
      </w:r>
      <w:r>
        <w:t xml:space="preserve"> </w:t>
      </w:r>
      <m:oMath>
        <m:r>
          <m:t>γ</m:t>
        </m:r>
      </m:oMath>
      <w:r>
        <w:t xml:space="preserve"> </w:t>
      </w:r>
      <w:r>
        <w:t xml:space="preserve">(lower asymptote) and the</w:t>
      </w:r>
      <w:r>
        <w:t xml:space="preserve"> </w:t>
      </w:r>
      <w:r>
        <w:rPr>
          <w:b/>
          <w:bCs/>
        </w:rPr>
        <w:t xml:space="preserve">upper asymptote</w:t>
      </w:r>
      <w:r>
        <w:t xml:space="preserve"> </w:t>
      </w:r>
      <m:oMath>
        <m:r>
          <m:t>1</m:t>
        </m:r>
        <m:r>
          <m:rPr>
            <m:sty m:val="p"/>
          </m:rPr>
          <m:t>−</m:t>
        </m:r>
        <m:r>
          <m:t>λ</m:t>
        </m:r>
      </m:oMath>
      <w:r>
        <w:t xml:space="preserve">. The response probability at that midpoint is therefore</w:t>
      </w:r>
    </w:p>
    <w:p>
      <w:pPr>
        <w:pStyle w:val="BodyText"/>
      </w:pPr>
      <m:oMathPara>
        <m:oMathParaPr>
          <m:jc m:val="center"/>
        </m:oMathParaPr>
        <m:oMath>
          <m:r>
            <m:rPr>
              <m:nor/>
              <m:sty m:val="p"/>
            </m:rPr>
            <m:t>Threshold</m:t>
          </m:r>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r>
            <m:rPr>
              <m:sty m:val="p"/>
            </m:rPr>
            <m:t>.</m:t>
          </m:r>
        </m:oMath>
      </m:oMathPara>
    </w:p>
    <w:p>
      <w:pPr>
        <w:pStyle w:val="FirstParagraph"/>
      </w:pPr>
      <w:r>
        <w:t xml:space="preserve">The left-hand side denotes this</w:t>
      </w:r>
      <w:r>
        <w:t xml:space="preserve"> </w:t>
      </w:r>
      <w:r>
        <w:rPr>
          <w:b/>
          <w:bCs/>
        </w:rPr>
        <w:t xml:space="preserve">midpoint response probability</w:t>
      </w:r>
      <w:r>
        <w:t xml:space="preserve"> </w:t>
      </w:r>
      <w:r>
        <w:t xml:space="preserve">(on the [0, 1] scale). The</w:t>
      </w:r>
      <w:r>
        <w:t xml:space="preserve"> </w:t>
      </w:r>
      <w:r>
        <w:rPr>
          <w:b/>
          <w:bCs/>
        </w:rPr>
        <w:t xml:space="preserve">psychometric threshold</w:t>
      </w:r>
      <w:r>
        <w:t xml:space="preserve"> </w:t>
      </w:r>
      <w:r>
        <w:t xml:space="preserve">values used in subsequent analyses are the</w:t>
      </w:r>
      <w:r>
        <w:t xml:space="preserve"> </w:t>
      </w:r>
      <w:r>
        <w:rPr>
          <w:b/>
          <w:bCs/>
        </w:rPr>
        <w:t xml:space="preserve">stimulus intensities</w:t>
      </w:r>
      <w:r>
        <w:t xml:space="preserve"> </w:t>
      </w:r>
      <m:oMath>
        <m:r>
          <m:t>x</m:t>
        </m:r>
      </m:oMath>
      <w:r>
        <w:t xml:space="preserve"> </w:t>
      </w:r>
      <w:r>
        <w:t xml:space="preserve">at which the fitted Weibull attains that probability—i.e., the intensity solving</w:t>
      </w:r>
      <w:r>
        <w:t xml:space="preserve"> </w:t>
      </w:r>
      <m:oMath>
        <m:r>
          <m:t>Ψ</m:t>
        </m:r>
        <m:d>
          <m:dPr>
            <m:begChr m:val="("/>
            <m:sepChr m:val=""/>
            <m:endChr m:val=")"/>
            <m:grow/>
          </m:dPr>
          <m:e>
            <m:r>
              <m:t>x</m:t>
            </m:r>
          </m:e>
        </m:d>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oMath>
      <w:r>
        <w:t xml:space="preserve"> </w:t>
      </w:r>
      <w:r>
        <w:t xml:space="preserve">for the fitted psychometric function</w:t>
      </w:r>
      <w:r>
        <w:t xml:space="preserve"> </w:t>
      </w:r>
      <m:oMath>
        <m:r>
          <m:t>Ψ</m:t>
        </m:r>
      </m:oMath>
      <w:r>
        <w:t xml:space="preserve">.</w:t>
      </w:r>
      <w:r>
        <w:t xml:space="preserve"> </w:t>
      </w:r>
      <w:r>
        <w:rPr>
          <w:b/>
          <w:bCs/>
        </w:rPr>
        <w:t xml:space="preserve">Slope</w:t>
      </w:r>
      <w:r>
        <w:t xml:space="preserve"> </w:t>
      </w:r>
      <w:r>
        <w:t xml:space="preserve">was evaluated at that same effective midpoint (local steepness of</w:t>
      </w:r>
      <w:r>
        <w:t xml:space="preserve"> </w:t>
      </w:r>
      <m:oMath>
        <m:r>
          <m:t>Ψ</m:t>
        </m:r>
      </m:oMath>
      <w:r>
        <w:t xml:space="preserve"> </w:t>
      </w:r>
      <w:r>
        <w:t xml:space="preserve">with respect to stimulus intensity at the threshold stimulus). In substantive terms, this stimulus-level definition indexes the intensity at which the probability of a</w:t>
      </w:r>
      <w:r>
        <w:t xml:space="preserve"> </w:t>
      </w:r>
      <w:r>
        <w:t xml:space="preserve">“different”</w:t>
      </w:r>
      <w:r>
        <w:t xml:space="preserve"> </w:t>
      </w:r>
      <w:r>
        <w:t xml:space="preserve">response is approximately</w:t>
      </w:r>
      <w:r>
        <w:t xml:space="preserve"> </w:t>
      </w:r>
      <w:r>
        <w:rPr>
          <w:b/>
          <w:bCs/>
        </w:rPr>
        <w:t xml:space="preserve">0.5</w:t>
      </w:r>
      <w:r>
        <w:t xml:space="preserve"> </w:t>
      </w:r>
      <w:r>
        <w:t xml:space="preserve">on an</w:t>
      </w:r>
      <w:r>
        <w:t xml:space="preserve"> </w:t>
      </w:r>
      <w:r>
        <w:rPr>
          <w:b/>
          <w:bCs/>
        </w:rPr>
        <w:t xml:space="preserve">effective</w:t>
      </w:r>
      <w:r>
        <w:t xml:space="preserve"> </w:t>
      </w:r>
      <w:r>
        <w:t xml:space="preserve">scale that adjusts for individual guess and lapse rates—namely, halfway between</w:t>
      </w:r>
      <w:r>
        <w:t xml:space="preserve"> </w:t>
      </w:r>
      <m:oMath>
        <m:r>
          <m:t>γ</m:t>
        </m:r>
      </m:oMath>
      <w:r>
        <w:t xml:space="preserve"> </w:t>
      </w:r>
      <w:r>
        <w:t xml:space="preserve">and</w:t>
      </w:r>
      <w:r>
        <w:t xml:space="preserve"> </w:t>
      </w:r>
      <m:oMath>
        <m:r>
          <m:t>1</m:t>
        </m:r>
        <m:r>
          <m:rPr>
            <m:sty m:val="p"/>
          </m:rPr>
          <m:t>−</m:t>
        </m:r>
        <m:r>
          <m:t>λ</m:t>
        </m:r>
      </m:oMath>
      <w:r>
        <w:t xml:space="preserve"> </w:t>
      </w:r>
      <w:r>
        <w:t xml:space="preserve">rather than halfway between 0 and 1. This convention yields a criterion comparable to a 50% point on the effective response scale while remaining robust to variation in</w:t>
      </w:r>
      <w:r>
        <w:t xml:space="preserve"> </w:t>
      </w:r>
      <m:oMath>
        <m:r>
          <m:t>γ</m:t>
        </m:r>
      </m:oMath>
      <w:r>
        <w:t xml:space="preserve"> </w:t>
      </w:r>
      <w:r>
        <w:t xml:space="preserve">and</w:t>
      </w:r>
      <w:r>
        <w:t xml:space="preserve"> </w:t>
      </w:r>
      <m:oMath>
        <m:r>
          <m:t>λ</m:t>
        </m:r>
      </m:oMath>
      <w:r>
        <w:t xml:space="preserve"> </w:t>
      </w:r>
      <w:r>
        <w:t xml:space="preserve">across participants and conditions.</w:t>
      </w:r>
    </w:p>
    <w:bookmarkEnd w:id="48"/>
    <w:bookmarkStart w:id="49" w:name="sec-glmm"/>
    <w:p>
      <w:pPr>
        <w:pStyle w:val="Heading3"/>
      </w:pPr>
      <w:r>
        <w:t xml:space="preserve">2.4.2 Trial-level GLMM (primary model)</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(mean dilation,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p>
      <w:pPr>
        <w:pStyle w:val="BodyText"/>
      </w:pPr>
      <w:r>
        <w:t xml:space="preserve">For model fitting,</w:t>
      </w:r>
      <w:r>
        <w:t xml:space="preserve"> </w:t>
      </w:r>
      <w:r>
        <w:rPr>
          <w:b/>
          <w:bCs/>
        </w:rPr>
        <w:t xml:space="preserve">stimulus intensity was standardized within task</w:t>
      </w:r>
      <w:r>
        <w:t xml:space="preserve">, and the pupil state and trait components were</w:t>
      </w:r>
      <w:r>
        <w:t xml:space="preserve"> </w:t>
      </w:r>
      <w:r>
        <w:rPr>
          <w:b/>
          <w:bCs/>
        </w:rPr>
        <w:t xml:space="preserve">z-scored across retained trials</w:t>
      </w:r>
      <w:r>
        <w:t xml:space="preserve"> </w:t>
      </w:r>
      <w:r>
        <w:t xml:space="preserve">before estimation, so fixed-effect coefficients are interpretable on a standardized latent scale. The probit link was chosen for consistency with signal-detection-style latent evidence formulations; for response probabilities in the present range, probit and logit links would be expected to yield qualitatively similar conclusions. The reported model includes random intercepts and by-subject slopes for stimulus intensity. Exploratory refits that additionally allowed by-subject random slopes for effort and pupil state produced singular fits; those extended specifications were not used for primary inference (see Results).</w:t>
      </w:r>
    </w:p>
    <w:p>
      <w:pPr>
        <w:pStyle w:val="BodyText"/>
      </w:pPr>
      <w:r>
        <w:t xml:space="preserve">All GLMMs were estimated using the</w:t>
      </w:r>
      <w:r>
        <w:t xml:space="preserve"> </w:t>
      </w:r>
      <w:r>
        <w:rPr>
          <w:b/>
          <w:bCs/>
        </w:rPr>
        <w:t xml:space="preserve">lme4</w:t>
      </w:r>
      <w:r>
        <w:t xml:space="preserve"> </w:t>
      </w:r>
      <w:r>
        <w:t xml:space="preserve">package</w:t>
      </w:r>
      <w:r>
        <w:t xml:space="preserve"> </w:t>
      </w:r>
      <w:r>
        <w:t xml:space="preserve">(Bates et al., 2015)</w:t>
      </w:r>
      <w:r>
        <w:t xml:space="preserve"> </w:t>
      </w:r>
      <w:r>
        <w:t xml:space="preserve">in R (version 4.5.3;</w:t>
      </w:r>
      <w:r>
        <w:t xml:space="preserve"> </w:t>
      </w:r>
      <w:r>
        <w:t xml:space="preserve">R Core Team (2025)</w:t>
      </w:r>
      <w:r>
        <w:t xml:space="preserve">). Models were fit with</w:t>
      </w:r>
      <w:r>
        <w:t xml:space="preserve"> </w:t>
      </w:r>
      <w:r>
        <w:rPr>
          <w:rStyle w:val="VerbatimChar"/>
        </w:rPr>
        <w:t xml:space="preserve">glmer</w:t>
      </w:r>
      <w:r>
        <w:t xml:space="preserve"> </w:t>
      </w:r>
      <w:r>
        <w:t xml:space="preserve">using</w:t>
      </w:r>
      <w:r>
        <w:t xml:space="preserve"> </w:t>
      </w:r>
      <w:r>
        <w:rPr>
          <w:b/>
          <w:bCs/>
        </w:rPr>
        <w:t xml:space="preserve">lme4</w:t>
      </w:r>
      <w:r>
        <w:t xml:space="preserve"> </w:t>
      </w:r>
      <w:r>
        <w:t xml:space="preserve">defaults for primary and tiered analyses; the slow-RT sensitivity refit used</w:t>
      </w:r>
      <w:r>
        <w:t xml:space="preserve"> </w:t>
      </w:r>
      <w:r>
        <w:rPr>
          <w:rStyle w:val="VerbatimChar"/>
        </w:rPr>
        <w:t xml:space="preserve">glmerControl(optimizer = "bobyqa", optCtrl = list(maxfun = 200000))</w:t>
      </w:r>
      <w:r>
        <w:t xml:space="preserve"> </w:t>
      </w:r>
      <w:r>
        <w:t xml:space="preserve">to stabilize optimization with the reduced trial count. Convergence was assessed by inspecting gradient norms, optimizer warnings, and singular-fit diagnostics. Parameter estimates and standard errors were extracted using the</w:t>
      </w:r>
      <w:r>
        <w:t xml:space="preserve"> </w:t>
      </w:r>
      <w:r>
        <w:rPr>
          <w:b/>
          <w:bCs/>
        </w:rPr>
        <w:t xml:space="preserve">broom.mixed</w:t>
      </w:r>
      <w:r>
        <w:t xml:space="preserve"> </w:t>
      </w:r>
      <w:r>
        <w:t xml:space="preserve">package;</w:t>
      </w:r>
      <w:r>
        <w:t xml:space="preserve"> </w:t>
      </w:r>
      <w:r>
        <w:rPr>
          <w:i/>
          <w:iCs/>
        </w:rPr>
        <w:t xml:space="preserve">p</w:t>
      </w:r>
      <w:r>
        <w:t xml:space="preserve">-values are based on the normal approximation to the</w:t>
      </w:r>
      <w:r>
        <w:t xml:space="preserve"> </w:t>
      </w:r>
      <w:r>
        <w:rPr>
          <w:i/>
          <w:iCs/>
        </w:rPr>
        <w:t xml:space="preserve">z</w:t>
      </w:r>
      <w:r>
        <w:t xml:space="preserve">-distribution, which is appropriate for large trial-level sample sizes. 95% confidence intervals for fixed effects were computed using the Wald method.</w:t>
      </w:r>
    </w:p>
    <w:p>
      <w:pPr>
        <w:pStyle w:val="BodyText"/>
      </w:pPr>
      <w:r>
        <w:rPr>
          <w:b/>
          <w:bCs/>
        </w:rPr>
        <w:t xml:space="preserve">Robustness, power, and analysis classification.</w:t>
      </w:r>
      <w:r>
        <w:t xml:space="preserve"> </w:t>
      </w:r>
      <w:r>
        <w:t xml:space="preserve">Trial-level analyses use all available older-adult participants and trials in the LC Aging behavioral–pupil database after preprocessing (see Section 2.1 and Section 3.1); the sample was not sized</w:t>
      </w:r>
      <w:r>
        <w:t xml:space="preserve"> </w:t>
      </w:r>
      <w:r>
        <w:rPr>
          <w:i/>
          <w:iCs/>
        </w:rPr>
        <w:t xml:space="preserve">de novo</w:t>
      </w:r>
      <w:r>
        <w:t xml:space="preserve"> </w:t>
      </w:r>
      <w:r>
        <w:t xml:space="preserve">for the continuous-intensity GLMM reported here. The study was designed as a multimodal protocol in which these tasks were embedded alongside imaging and other measures, so the effective</w:t>
      </w:r>
      <w:r>
        <w:t xml:space="preserve"> </w:t>
      </w:r>
      <w:r>
        <w:rPr>
          <w:i/>
          <w:iCs/>
        </w:rPr>
        <w:t xml:space="preserve">N</w:t>
      </w:r>
      <w:r>
        <w:t xml:space="preserve"> </w:t>
      </w:r>
      <w:r>
        <w:t xml:space="preserve">reflects recruitment and retention in that broader study rather than a standalone power calculation for the pupil</w:t>
      </w:r>
      <w:r>
        <w:t xml:space="preserve"> </w:t>
      </w:r>
      <m:oMath>
        <m:r>
          <m:rPr>
            <m:sty m:val="p"/>
          </m:rPr>
          <m:t>×</m:t>
        </m:r>
      </m:oMath>
      <w:r>
        <w:t xml:space="preserve"> </w:t>
      </w:r>
      <w:r>
        <w:t xml:space="preserve">intensity interaction.</w:t>
      </w:r>
      <w:r>
        <w:t xml:space="preserve"> </w:t>
      </w:r>
      <w:r>
        <w:rPr>
          <w:b/>
          <w:bCs/>
        </w:rPr>
        <w:t xml:space="preserve">Prospective</w:t>
      </w:r>
      <w:r>
        <w:t xml:space="preserve"> </w:t>
      </w:r>
      <w:r>
        <w:t xml:space="preserve">power for that interaction was therefore limited</w:t>
      </w:r>
      <w:r>
        <w:t xml:space="preserve"> </w:t>
      </w:r>
      <w:r>
        <w:rPr>
          <w:i/>
          <w:iCs/>
        </w:rPr>
        <w:t xml:space="preserve">a priori</w:t>
      </w:r>
      <w:r>
        <w:t xml:space="preserve">. A post-hoc sensitivity power analysis was conducted to estimate the minimum detectable effect size for the primary interaction and realized power from the final sample and design;</w:t>
      </w:r>
      <w:r>
        <w:t xml:space="preserve"> </w:t>
      </w:r>
      <w:r>
        <w:rPr>
          <w:b/>
          <w:bCs/>
        </w:rPr>
        <w:t xml:space="preserve">numerical results</w:t>
      </w:r>
      <w:r>
        <w:t xml:space="preserve"> </w:t>
      </w:r>
      <w:r>
        <w:t xml:space="preserve">of that analysis are reported in</w:t>
      </w:r>
      <w:r>
        <w:t xml:space="preserve"> </w:t>
      </w:r>
      <w:hyperlink w:anchor="sec-power-analysis">
        <w:hyperlink w:anchor="sec-power-analysis">
          <w:r>
            <w:rPr>
              <w:rStyle w:val="Hyperlink"/>
            </w:rPr>
            <w:t xml:space="preserve">Section 4.3.2</w:t>
          </w:r>
        </w:hyperlink>
      </w:hyperlink>
      <w:r>
        <w:t xml:space="preserve">.</w:t>
      </w:r>
    </w:p>
    <w:p>
      <w:pPr>
        <w:pStyle w:val="BodyText"/>
      </w:pPr>
      <w:r>
        <w:t xml:space="preserve">Several pre-specified checks supported interpretation of the primary GLMM.</w:t>
      </w:r>
      <w:r>
        <w:t xml:space="preserve"> </w:t>
      </w:r>
      <w:r>
        <w:rPr>
          <w:b/>
          <w:bCs/>
        </w:rPr>
        <w:t xml:space="preserve">Quality-tier robustness</w:t>
      </w:r>
      <w:r>
        <w:t xml:space="preserve"> </w:t>
      </w:r>
      <w:r>
        <w:t xml:space="preserve">re-fit the model under</w:t>
      </w:r>
      <w:r>
        <w:t xml:space="preserve"> </w:t>
      </w:r>
      <w:r>
        <w:rPr>
          <w:rStyle w:val="VerbatimChar"/>
        </w:rPr>
        <w:t xml:space="preserve">quality_lenient</w:t>
      </w:r>
      <w:r>
        <w:t xml:space="preserve"> </w:t>
      </w:r>
      <w:r>
        <w:t xml:space="preserve">(more permissive validity:</w:t>
      </w:r>
      <w:r>
        <w:t xml:space="preserve"> </w:t>
      </w:r>
      <w:r>
        <w:rPr>
          <w:rStyle w:val="VerbatimChar"/>
        </w:rPr>
        <w:t xml:space="preserve">baseline_quality</w:t>
      </w:r>
      <w:r>
        <w:t xml:space="preserve"> </w:t>
      </w:r>
      <w:r>
        <w:t xml:space="preserve">and</w:t>
      </w:r>
      <w:r>
        <w:t xml:space="preserve"> </w:t>
      </w:r>
      <w:r>
        <w:rPr>
          <w:rStyle w:val="VerbatimChar"/>
        </w:rPr>
        <w:t xml:space="preserve">cog_quality</w:t>
      </w:r>
      <w:r>
        <w:t xml:space="preserve"> </w:t>
      </w:r>
      <w:r>
        <w:t xml:space="preserve">each</w:t>
      </w:r>
      <w:r>
        <w:t xml:space="preserve"> </w:t>
      </w:r>
      <m:oMath>
        <m:r>
          <m:rPr>
            <m:sty m:val="p"/>
          </m:rPr>
          <m:t>≥</m:t>
        </m:r>
      </m:oMath>
      <w:r>
        <w:t xml:space="preserve"> </w:t>
      </w:r>
      <w:r>
        <w:t xml:space="preserve">0.50) and</w:t>
      </w:r>
      <w:r>
        <w:t xml:space="preserve"> </w:t>
      </w:r>
      <w:r>
        <w:rPr>
          <w:rStyle w:val="VerbatimChar"/>
        </w:rPr>
        <w:t xml:space="preserve">quality_strict</w:t>
      </w:r>
      <w:r>
        <w:t xml:space="preserve"> </w:t>
      </w:r>
      <w:r>
        <w:t xml:space="preserve">(stricter: each</w:t>
      </w:r>
      <w:r>
        <w:t xml:space="preserve"> </w:t>
      </w:r>
      <m:oMath>
        <m:r>
          <m:rPr>
            <m:sty m:val="p"/>
          </m:rPr>
          <m:t>≥</m:t>
        </m:r>
      </m:oMath>
      <w:r>
        <w:t xml:space="preserve"> </w:t>
      </w:r>
      <w:r>
        <w:t xml:space="preserve">0.70), in addition to the primary</w:t>
      </w:r>
      <w:r>
        <w:t xml:space="preserve"> </w:t>
      </w:r>
      <w:r>
        <w:rPr>
          <w:rStyle w:val="VerbatimChar"/>
        </w:rPr>
        <w:t xml:space="preserve">quality_primary</w:t>
      </w:r>
      <w:r>
        <w:t xml:space="preserve"> </w:t>
      </w:r>
      <w:r>
        <w:t xml:space="preserve">flag (both</w:t>
      </w:r>
      <w:r>
        <w:t xml:space="preserve"> </w:t>
      </w:r>
      <m:oMath>
        <m:r>
          <m:rPr>
            <m:sty m:val="p"/>
          </m:rPr>
          <m:t>≥</m:t>
        </m:r>
      </m:oMath>
      <w:r>
        <w:t xml:space="preserve"> </w:t>
      </w:r>
      <w:r>
        <w:t xml:space="preserve">0.60), to assess whether inferences about the stimulus intensity × pupil state interaction depended on inclusion stringency. A</w:t>
      </w:r>
      <w:r>
        <w:t xml:space="preserve"> </w:t>
      </w:r>
      <w:r>
        <w:rPr>
          <w:b/>
          <w:bCs/>
        </w:rPr>
        <w:t xml:space="preserve">slow-RT subset</w:t>
      </w:r>
      <w:r>
        <w:t xml:space="preserve"> </w:t>
      </w:r>
      <w:r>
        <w:t xml:space="preserve">restricted analysis to trials with button press after the cognitive window (RT &gt; 1.5 s), to limit motor overlap with the pupil epoch (</w:t>
      </w:r>
      <w:hyperlink w:anchor="sec-response-timing">
        <w:hyperlink w:anchor="sec-response-timing">
          <w:r>
            <w:rPr>
              <w:rStyle w:val="Hyperlink"/>
            </w:rPr>
            <w:t xml:space="preserve">Section 2.3.1</w:t>
          </w:r>
        </w:hyperlink>
      </w:hyperlink>
      <w:r>
        <w:t xml:space="preserve">).</w:t>
      </w:r>
      <w:r>
        <w:t xml:space="preserve"> </w:t>
      </w:r>
      <w:r>
        <w:rPr>
          <w:b/>
          <w:bCs/>
        </w:rPr>
        <w:t xml:space="preserve">Model comparison</w:t>
      </w:r>
      <w:r>
        <w:t xml:space="preserve"> </w:t>
      </w:r>
      <w:r>
        <w:t xml:space="preserve">contrasted the primary model with a nested model omitting the interaction, using Akaike’s information criterion (AIC), where a meaningful improvement (e.g.,</w:t>
      </w:r>
      <w:r>
        <w:t xml:space="preserve"> </w:t>
      </w:r>
      <m:oMath>
        <m:r>
          <m:t>Δ</m:t>
        </m:r>
      </m:oMath>
      <w:r>
        <w:t xml:space="preserve">AIC &gt; 2) would favor retaining the interaction.</w:t>
      </w:r>
      <w:r>
        <w:t xml:space="preserve"> </w:t>
      </w:r>
      <w:r>
        <w:rPr>
          <w:b/>
          <w:bCs/>
        </w:rPr>
        <w:t xml:space="preserve">Missingness diagnostics</w:t>
      </w:r>
      <w:r>
        <w:t xml:space="preserve"> </w:t>
      </w:r>
      <w:r>
        <w:t xml:space="preserve">tested whether pupil loss related to effort, intensity, task, or RT (Section 3.4; quality-tier robustness in Section 3.5.1; supplementary tables in</w:t>
      </w:r>
      <w:r>
        <w:t xml:space="preserve"> </w:t>
      </w:r>
      <w:r>
        <w:rPr>
          <w:b/>
          <w:bCs/>
        </w:rPr>
        <w:t xml:space="preserve">Appendix B</w:t>
      </w:r>
      <w:r>
        <w:t xml:space="preserve">). Finally,</w:t>
      </w:r>
      <w:r>
        <w:t xml:space="preserve"> </w:t>
      </w:r>
      <w:r>
        <w:rPr>
          <w:b/>
          <w:bCs/>
        </w:rPr>
        <w:t xml:space="preserve">equivalence testing</w:t>
      </w:r>
      <w:r>
        <w:t xml:space="preserve"> </w:t>
      </w:r>
      <w:r>
        <w:t xml:space="preserve">(two one-sided tests;</w:t>
      </w:r>
      <w:r>
        <w:t xml:space="preserve"> </w:t>
      </w:r>
      <w:r>
        <w:t xml:space="preserve">(Lakens, 2017)</w:t>
      </w:r>
      <w:r>
        <w:t xml:space="preserve">) evaluated the interaction against a pre-specified smallest effect size of interest (SESOI) on the probit scale; the bound rationale is given in</w:t>
      </w:r>
      <w:r>
        <w:t xml:space="preserve"> </w:t>
      </w:r>
      <w:hyperlink w:anchor="sec-sesoi-rationale">
        <w:hyperlink w:anchor="sec-sesoi-rationale">
          <w:r>
            <w:rPr>
              <w:rStyle w:val="Hyperlink"/>
            </w:rPr>
            <w:t xml:space="preserve">Section 4.3.3</w:t>
          </w:r>
        </w:hyperlink>
      </w:hyperlink>
      <w:r>
        <w:t xml:space="preserve">, and test intervals and outcome are summarized in</w:t>
      </w:r>
      <w:r>
        <w:t xml:space="preserve"> </w:t>
      </w:r>
      <w:hyperlink w:anchor="sec-pupil-quality-tier">
        <w:hyperlink w:anchor="sec-pupil-quality-tier">
          <w:r>
            <w:rPr>
              <w:rStyle w:val="Hyperlink"/>
            </w:rPr>
            <w:t xml:space="preserve">Section 3.5.1</w:t>
          </w:r>
        </w:hyperlink>
      </w:hyperlink>
      <w:r>
        <w:t xml:space="preserve">.</w:t>
      </w:r>
    </w:p>
    <w:p>
      <w:pPr>
        <w:pStyle w:val="BodyText"/>
      </w:pPr>
      <w:r>
        <w:t xml:space="preserve">The prospectus-defined</w:t>
      </w:r>
      <w:r>
        <w:t xml:space="preserve"> </w:t>
      </w:r>
      <w:r>
        <w:rPr>
          <w:b/>
          <w:bCs/>
        </w:rPr>
        <w:t xml:space="preserve">confirmatory</w:t>
      </w:r>
      <w:r>
        <w:t xml:space="preserve"> </w:t>
      </w:r>
      <w:r>
        <w:t xml:space="preserve">targets were effort effects on psychometric parameters (RQ1), the effort–pupil manipulation check (RQ2), trial-level pupil–psychometric coupling (RQ3), and subject-level PF–pupil coupling (RQ4).</w:t>
      </w:r>
      <w:r>
        <w:t xml:space="preserve"> </w:t>
      </w:r>
      <w:r>
        <w:rPr>
          <w:b/>
          <w:bCs/>
        </w:rPr>
        <w:t xml:space="preserve">Pre-specified sensitivity analyses</w:t>
      </w:r>
      <w:r>
        <w:t xml:space="preserve"> </w:t>
      </w:r>
      <w:r>
        <w:t xml:space="preserve">(quality tiers, model comparison, slow-RT subset, equivalence) were used to stress-test those inferences, not to add new hypotheses.</w:t>
      </w:r>
      <w:r>
        <w:t xml:space="preserve"> </w:t>
      </w:r>
      <w:r>
        <w:rPr>
          <w:b/>
          <w:bCs/>
        </w:rPr>
        <w:t xml:space="preserve">Exploratory</w:t>
      </w:r>
      <w:r>
        <w:t xml:space="preserve"> </w:t>
      </w:r>
      <w:r>
        <w:t xml:space="preserve">analyses would have been any post-hoc tests outside the prospectus; none were run beyond what is reported, and all reported statistics correspond to the pre-registered plan.</w:t>
      </w:r>
    </w:p>
    <w:bookmarkEnd w:id="49"/>
    <w:bookmarkEnd w:id="50"/>
    <w:bookmarkEnd w:id="51"/>
    <w:bookmarkStart w:id="90" w:name="results"/>
    <w:p>
      <w:pPr>
        <w:pStyle w:val="Heading1"/>
      </w:pPr>
      <w:r>
        <w:t xml:space="preserve">3. Results</w:t>
      </w:r>
    </w:p>
    <w:p>
      <w:pPr>
        <w:pStyle w:val="FirstParagraph"/>
      </w:pPr>
      <w:r>
        <w:t xml:space="preserve">Results below follow the pre-registered pipeline: psychometric parameters, effort–pupil manipulation checks, missingness, trial-level coupling, subject-level coupling, and a hypothesis summary. Unless noted otherwise, models use the primary pupil-quality tier (baseline and cognitive window validity</w:t>
      </w:r>
      <w:r>
        <w:t xml:space="preserve"> </w:t>
      </w:r>
      <m:oMath>
        <m:r>
          <m:rPr>
            <m:sty m:val="p"/>
          </m:rPr>
          <m:t>≥</m:t>
        </m:r>
      </m:oMath>
      <w:r>
        <w:t xml:space="preserve"> </w:t>
      </w:r>
      <w:r>
        <w:t xml:space="preserve">0.60).</w:t>
      </w:r>
    </w:p>
    <w:bookmarkStart w:id="53"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52" w:name="tbl-sample-flow"/>
          <w:p>
            <w:pPr>
              <w:jc w:val="center"/>
            </w:pPr>
            <w:pPr>
              <w:jc w:val="start"/>
              <w:spacing w:before="200"/>
              <w:pStyle w:val="ImageCaption"/>
            </w:pPr>
            <w:r>
              <w:t xml:space="preserve">Table 1: Recruitment, exclusions, and analytic sample by task. PF-valid N = converged fits with ADT thresholds ≤ 64 Hz (both effort conditions present). Pupil-QC final N = participants retained after pupil quality-control exclusions (Section 2.3). PF = psychometric threshold greater than 64 Hz (Psignifit validity criteria for the auditory stimulus range); QC = excessive eye-track loss (greater than 50% invalid samples) or other pupil quality-control failure.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right"/>
                    <w:jc w:val="center"/>
                  </w:pPr>
                  <w:r>
                    <w:t xml:space="preserve">Recruited (N)</w:t>
                  </w:r>
                </w:p>
              </w:tc>
              <w:tc>
                <w:tcPr/>
                <w:p>
                  <w:pPr>
                    <w:pStyle w:val="Compact"/>
                    <w:jc w:val="right"/>
                    <w:jc w:val="center"/>
                  </w:pPr>
                  <w:r>
                    <w:t xml:space="preserve">PF-valid N</w:t>
                  </w:r>
                </w:p>
              </w:tc>
              <w:tc>
                <w:tcPr/>
                <w:p>
                  <w:pPr>
                    <w:pStyle w:val="Compact"/>
                    <w:jc w:val="right"/>
                    <w:jc w:val="center"/>
                  </w:pPr>
                  <w:r>
                    <w:t xml:space="preserve">Pupil-QC final N</w:t>
                  </w:r>
                </w:p>
              </w:tc>
            </w:tr>
            <w:tr>
              <w:tc>
                <w:tcPr/>
                <w:p>
                  <w:pPr>
                    <w:pStyle w:val="Compact"/>
                    <w:jc w:val="left"/>
                    <w:jc w:val="center"/>
                  </w:pPr>
                  <w:r>
                    <w:t xml:space="preserve">Auditory (ADT)</w:t>
                  </w:r>
                </w:p>
              </w:tc>
              <w:tc>
                <w:tcPr/>
                <w:p>
                  <w:pPr>
                    <w:pStyle w:val="Compact"/>
                    <w:jc w:val="right"/>
                    <w:jc w:val="center"/>
                  </w:pPr>
                  <w:r>
                    <w:t xml:space="preserve">64</w:t>
                  </w:r>
                </w:p>
              </w:tc>
              <w:tc>
                <w:tcPr/>
                <w:p>
                  <w:pPr>
                    <w:pStyle w:val="Compact"/>
                    <w:jc w:val="right"/>
                    <w:jc w:val="center"/>
                  </w:pPr>
                  <w:r>
                    <w:t xml:space="preserve">62</w:t>
                  </w:r>
                </w:p>
              </w:tc>
              <w:tc>
                <w:tcPr/>
                <w:p>
                  <w:pPr>
                    <w:pStyle w:val="Compact"/>
                    <w:jc w:val="right"/>
                    <w:jc w:val="center"/>
                  </w:pPr>
                  <w:r>
                    <w:t xml:space="preserve">54</w:t>
                  </w:r>
                </w:p>
              </w:tc>
            </w:tr>
            <w:tr>
              <w:tc>
                <w:tcPr/>
                <w:p>
                  <w:pPr>
                    <w:pStyle w:val="Compact"/>
                    <w:jc w:val="left"/>
                    <w:jc w:val="center"/>
                  </w:pPr>
                  <w:r>
                    <w:t xml:space="preserve">Visual (VDT)</w:t>
                  </w:r>
                </w:p>
              </w:tc>
              <w:tc>
                <w:tcPr/>
                <w:p>
                  <w:pPr>
                    <w:pStyle w:val="Compact"/>
                    <w:jc w:val="right"/>
                    <w:jc w:val="center"/>
                  </w:pPr>
                  <w:r>
                    <w:t xml:space="preserve">65</w:t>
                  </w:r>
                </w:p>
              </w:tc>
              <w:tc>
                <w:tcPr/>
                <w:p>
                  <w:pPr>
                    <w:pStyle w:val="Compact"/>
                    <w:jc w:val="right"/>
                    <w:jc w:val="center"/>
                  </w:pPr>
                  <w:r>
                    <w:t xml:space="preserve">65</w:t>
                  </w:r>
                </w:p>
              </w:tc>
              <w:tc>
                <w:tcPr/>
                <w:p>
                  <w:pPr>
                    <w:pStyle w:val="Compact"/>
                    <w:jc w:val="right"/>
                    <w:jc w:val="center"/>
                  </w:pPr>
                  <w:r>
                    <w:t xml:space="preserve">56</w:t>
                  </w:r>
                </w:p>
              </w:tc>
            </w:tr>
          </w:tbl>
          <w:bookmarkEnd w:id="52"/>
          <w:p/>
        </w:tc>
      </w:tr>
    </w:tbl>
    <w:p>
      <w:pPr>
        <w:pStyle w:val="BodyText"/>
      </w:pPr>
      <w:r>
        <w:t xml:space="preserve">Final per-task participant counts follow</w:t>
      </w:r>
      <w:r>
        <w:t xml:space="preserve"> </w:t>
      </w:r>
      <w:hyperlink w:anchor="sec-sample-retention">
        <w:r>
          <w:rPr>
            <w:rStyle w:val="Hyperlink"/>
          </w:rPr>
          <w:t xml:space="preserve">Section 2.3.2</w:t>
        </w:r>
      </w:hyperlink>
      <w:r>
        <w:t xml:space="preserve"> </w:t>
      </w:r>
      <w:r>
        <w:t xml:space="preserve">and</w:t>
      </w:r>
      <w:r>
        <w:t xml:space="preserve"> </w:t>
      </w:r>
      <w:hyperlink w:anchor="tbl-sample-flow">
        <w:r>
          <w:rPr>
            <w:rStyle w:val="Hyperlink"/>
          </w:rPr>
          <w:t xml:space="preserve">Table 1</w:t>
        </w:r>
      </w:hyperlink>
      <w:r>
        <w:t xml:space="preserve">. PF-valid N and pupil-QC final N differ by design (</w:t>
      </w:r>
      <w:hyperlink w:anchor="sec-analytic-samples">
        <w:r>
          <w:rPr>
            <w:rStyle w:val="Hyperlink"/>
          </w:rPr>
          <w:t xml:space="preserve">Section 2.4.1</w:t>
        </w:r>
      </w:hyperlink>
      <w:r>
        <w:t xml:space="preserve">). After applying the primary pupil-quality tier (</w:t>
      </w:r>
      <w:r>
        <w:rPr>
          <w:rStyle w:val="VerbatimChar"/>
        </w:rPr>
        <w:t xml:space="preserve">quality_primary</w:t>
      </w:r>
      <w:r>
        <w:t xml:space="preserve">; Section 2.3.2), 2,900 ADT trials and 3,440 VDT trials in the merged file met</w:t>
      </w:r>
      <w:r>
        <w:t xml:space="preserve"> </w:t>
      </w:r>
      <w:r>
        <w:rPr>
          <w:rStyle w:val="VerbatimChar"/>
        </w:rPr>
        <w:t xml:space="preserve">quality_primary</w:t>
      </w:r>
      <w:r>
        <w:t xml:space="preserve"> </w:t>
      </w:r>
      <w:r>
        <w:t xml:space="preserve">and entered trial-level models (participant overlap across tasks is described in Section 2.1).</w:t>
      </w:r>
    </w:p>
    <w:bookmarkEnd w:id="53"/>
    <w:bookmarkStart w:id="60"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4" w:name="tbl-pf-params"/>
          <w:p>
            <w:pPr>
              <w:jc w:val="center"/>
            </w:pPr>
            <w:pPr>
              <w:jc w:val="start"/>
              <w:spacing w:before="200"/>
              <w:pStyle w:val="ImageCaption"/>
            </w:pPr>
            <w:r>
              <w:t xml:space="preserve">Table 2: Psychometric Function Parameters by Task and Effort (descriptive means and SDs)</w:t>
            </w:r>
          </w:p>
          <w:tbl>
            <w:tblPr>
              <w:tblStyle w:val="Table"/>
              <w:tblW w:type="pct" w:w="5000"/>
              <w:tblLayout w:type="fixed"/>
              <w:tblLook w:firstRow="1" w:lastRow="0" w:firstColumn="0" w:lastColumn="0" w:noHBand="0" w:noVBand="0" w:val="0020"/>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61</w:t>
                  </w:r>
                </w:p>
              </w:tc>
              <w:tc>
                <w:tcPr/>
                <w:p>
                  <w:pPr>
                    <w:pStyle w:val="Compact"/>
                    <w:jc w:val="right"/>
                    <w:jc w:val="center"/>
                  </w:pPr>
                  <w:r>
                    <w:t xml:space="preserve">24.078</w:t>
                  </w:r>
                </w:p>
              </w:tc>
              <w:tc>
                <w:tcPr/>
                <w:p>
                  <w:pPr>
                    <w:pStyle w:val="Compact"/>
                    <w:jc w:val="right"/>
                    <w:jc w:val="center"/>
                  </w:pPr>
                  <w:r>
                    <w:t xml:space="preserve">11.772</w:t>
                  </w:r>
                </w:p>
              </w:tc>
              <w:tc>
                <w:tcPr/>
                <w:p>
                  <w:pPr>
                    <w:pStyle w:val="Compact"/>
                    <w:jc w:val="right"/>
                    <w:jc w:val="center"/>
                  </w:pPr>
                  <w:r>
                    <w:t xml:space="preserve">0.040</w:t>
                  </w:r>
                </w:p>
              </w:tc>
              <w:tc>
                <w:tcPr/>
                <w:p>
                  <w:pPr>
                    <w:pStyle w:val="Compact"/>
                    <w:jc w:val="right"/>
                    <w:jc w:val="center"/>
                  </w:pPr>
                  <w:r>
                    <w:t xml:space="preserve">0.025</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62</w:t>
                  </w:r>
                </w:p>
              </w:tc>
              <w:tc>
                <w:tcPr/>
                <w:p>
                  <w:pPr>
                    <w:pStyle w:val="Compact"/>
                    <w:jc w:val="right"/>
                    <w:jc w:val="center"/>
                  </w:pPr>
                  <w:r>
                    <w:t xml:space="preserve">23.142</w:t>
                  </w:r>
                </w:p>
              </w:tc>
              <w:tc>
                <w:tcPr/>
                <w:p>
                  <w:pPr>
                    <w:pStyle w:val="Compact"/>
                    <w:jc w:val="right"/>
                    <w:jc w:val="center"/>
                  </w:pPr>
                  <w:r>
                    <w:t xml:space="preserve">13.379</w:t>
                  </w:r>
                </w:p>
              </w:tc>
              <w:tc>
                <w:tcPr/>
                <w:p>
                  <w:pPr>
                    <w:pStyle w:val="Compact"/>
                    <w:jc w:val="right"/>
                    <w:jc w:val="center"/>
                  </w:pPr>
                  <w:r>
                    <w:t xml:space="preserve">0.042</w:t>
                  </w:r>
                </w:p>
              </w:tc>
              <w:tc>
                <w:tcPr/>
                <w:p>
                  <w:pPr>
                    <w:pStyle w:val="Compact"/>
                    <w:jc w:val="right"/>
                    <w:jc w:val="center"/>
                  </w:pPr>
                  <w:r>
                    <w:t xml:space="preserve">0.024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65</w:t>
                  </w:r>
                </w:p>
              </w:tc>
              <w:tc>
                <w:tcPr/>
                <w:p>
                  <w:pPr>
                    <w:pStyle w:val="Compact"/>
                    <w:jc w:val="right"/>
                    <w:jc w:val="center"/>
                  </w:pPr>
                  <w:r>
                    <w:t xml:space="preserve">0.145</w:t>
                  </w:r>
                </w:p>
              </w:tc>
              <w:tc>
                <w:tcPr/>
                <w:p>
                  <w:pPr>
                    <w:pStyle w:val="Compact"/>
                    <w:jc w:val="right"/>
                    <w:jc w:val="center"/>
                  </w:pPr>
                  <w:r>
                    <w:t xml:space="preserve">0.066</w:t>
                  </w:r>
                </w:p>
              </w:tc>
              <w:tc>
                <w:tcPr/>
                <w:p>
                  <w:pPr>
                    <w:pStyle w:val="Compact"/>
                    <w:jc w:val="right"/>
                    <w:jc w:val="center"/>
                  </w:pPr>
                  <w:r>
                    <w:t xml:space="preserve">6.630</w:t>
                  </w:r>
                </w:p>
              </w:tc>
              <w:tc>
                <w:tcPr/>
                <w:p>
                  <w:pPr>
                    <w:pStyle w:val="Compact"/>
                    <w:jc w:val="right"/>
                    <w:jc w:val="center"/>
                  </w:pPr>
                  <w:r>
                    <w:t xml:space="preserve">3.081</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65</w:t>
                  </w:r>
                </w:p>
              </w:tc>
              <w:tc>
                <w:tcPr/>
                <w:p>
                  <w:pPr>
                    <w:pStyle w:val="Compact"/>
                    <w:jc w:val="right"/>
                    <w:jc w:val="center"/>
                  </w:pPr>
                  <w:r>
                    <w:t xml:space="preserve">0.139</w:t>
                  </w:r>
                </w:p>
              </w:tc>
              <w:tc>
                <w:tcPr/>
                <w:p>
                  <w:pPr>
                    <w:pStyle w:val="Compact"/>
                    <w:jc w:val="right"/>
                    <w:jc w:val="center"/>
                  </w:pPr>
                  <w:r>
                    <w:t xml:space="preserve">0.065</w:t>
                  </w:r>
                </w:p>
              </w:tc>
              <w:tc>
                <w:tcPr/>
                <w:p>
                  <w:pPr>
                    <w:pStyle w:val="Compact"/>
                    <w:jc w:val="right"/>
                    <w:jc w:val="center"/>
                  </w:pPr>
                  <w:r>
                    <w:t xml:space="preserve">7.129</w:t>
                  </w:r>
                </w:p>
              </w:tc>
              <w:tc>
                <w:tcPr/>
                <w:p>
                  <w:pPr>
                    <w:pStyle w:val="Compact"/>
                    <w:jc w:val="right"/>
                    <w:jc w:val="center"/>
                  </w:pPr>
                  <w:r>
                    <w:t xml:space="preserve">4.211</w:t>
                  </w:r>
                </w:p>
              </w:tc>
            </w:tr>
          </w:tbl>
          <w:bookmarkEnd w:id="54"/>
          <w:p/>
        </w:tc>
      </w:tr>
    </w:tbl>
    <w:p>
      <w:pPr>
        <w:pStyle w:val="BodyText"/>
      </w:pPr>
      <w:r>
        <w:t xml:space="preserve">Psychometric function parameters for each modality and effort condition are summarized in</w:t>
      </w:r>
      <w:r>
        <w:t xml:space="preserve"> </w:t>
      </w:r>
      <w:hyperlink w:anchor="tbl-pf-params">
        <w:r>
          <w:rPr>
            <w:rStyle w:val="Hyperlink"/>
          </w:rPr>
          <w:t xml:space="preserve">Table 2</w:t>
        </w:r>
      </w:hyperlink>
      <w:r>
        <w:t xml:space="preserve"> </w:t>
      </w:r>
      <w:r>
        <w:t xml:space="preserve">(PF-valid sample;</w:t>
      </w:r>
      <w:r>
        <w:t xml:space="preserve"> </w:t>
      </w:r>
      <w:hyperlink w:anchor="sec-analytic-samples">
        <w:r>
          <w:rPr>
            <w:rStyle w:val="Hyperlink"/>
          </w:rPr>
          <w:t xml:space="preserve">Section 2.4.1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pf-effort-test"/>
          <w:p>
            <w:pPr>
              <w:jc w:val="center"/>
            </w:pPr>
            <w:pPr>
              <w:jc w:val="start"/>
              <w:spacing w:before="200"/>
              <w:pStyle w:val="ImageCaption"/>
            </w:pPr>
            <w:r>
              <w:t xml:space="preserve">Table 3: Within-Subject Tests of Effort on PF Threshold and Slope (High − Low). PF-valid sample: converged fits; ADT thresholds ≤ 64 Hz.</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Task</w:t>
                  </w:r>
                </w:p>
              </w:tc>
              <w:tc>
                <w:tcPr/>
                <w:p>
                  <w:pPr>
                    <w:pStyle w:val="Compact"/>
                    <w:jc w:val="left"/>
                    <w:jc w:val="center"/>
                  </w:pPr>
                  <w:r>
                    <w:t xml:space="preserve">PF Parameter</w:t>
                  </w:r>
                </w:p>
              </w:tc>
              <w:tc>
                <w:tcPr/>
                <w:p>
                  <w:pPr>
                    <w:pStyle w:val="Compact"/>
                    <w:jc w:val="right"/>
                    <w:jc w:val="center"/>
                  </w:pPr>
                  <w:r>
                    <w:t xml:space="preserve">Est. (High − Low)</w:t>
                  </w:r>
                </w:p>
              </w:tc>
              <w:tc>
                <w:tcPr/>
                <w:p>
                  <w:pPr>
                    <w:pStyle w:val="Compact"/>
                    <w:jc w:val="right"/>
                    <w:jc w:val="center"/>
                  </w:pPr>
                  <w:r>
                    <w:t xml:space="preserve">SE</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Threshold</w:t>
                  </w:r>
                </w:p>
              </w:tc>
              <w:tc>
                <w:tcPr/>
                <w:p>
                  <w:pPr>
                    <w:pStyle w:val="Compact"/>
                    <w:jc w:val="right"/>
                    <w:jc w:val="center"/>
                  </w:pPr>
                  <w:r>
                    <w:t xml:space="preserve">1.524</w:t>
                  </w:r>
                </w:p>
              </w:tc>
              <w:tc>
                <w:tcPr/>
                <w:p>
                  <w:pPr>
                    <w:pStyle w:val="Compact"/>
                    <w:jc w:val="right"/>
                    <w:jc w:val="center"/>
                  </w:pPr>
                  <w:r>
                    <w:t xml:space="preserve">0.666</w:t>
                  </w:r>
                </w:p>
              </w:tc>
              <w:tc>
                <w:tcPr/>
                <w:p>
                  <w:pPr>
                    <w:pStyle w:val="Compact"/>
                    <w:jc w:val="right"/>
                    <w:jc w:val="center"/>
                  </w:pPr>
                  <w:r>
                    <w:t xml:space="preserve">2.289</w:t>
                  </w:r>
                </w:p>
              </w:tc>
              <w:tc>
                <w:tcPr/>
                <w:p>
                  <w:pPr>
                    <w:pStyle w:val="Compact"/>
                    <w:jc w:val="right"/>
                    <w:jc w:val="center"/>
                  </w:pPr>
                  <w:r>
                    <w:t xml:space="preserve">60</w:t>
                  </w:r>
                </w:p>
              </w:tc>
              <w:tc>
                <w:tcPr/>
                <w:p>
                  <w:pPr>
                    <w:pStyle w:val="Compact"/>
                    <w:jc w:val="right"/>
                    <w:jc w:val="center"/>
                  </w:pPr>
                  <w:r>
                    <w:t xml:space="preserve">0.026</w:t>
                  </w:r>
                </w:p>
              </w:tc>
              <w:tc>
                <w:tcPr/>
                <w:p>
                  <w:pPr>
                    <w:pStyle w:val="Compact"/>
                    <w:jc w:val="right"/>
                    <w:jc w:val="center"/>
                  </w:pPr>
                  <w:r>
                    <w:t xml:space="preserve">61</w:t>
                  </w:r>
                </w:p>
              </w:tc>
            </w:tr>
            <w:tr>
              <w:tc>
                <w:tcPr/>
                <w:p>
                  <w:pPr>
                    <w:pStyle w:val="Compact"/>
                    <w:jc w:val="left"/>
                    <w:jc w:val="center"/>
                  </w:pPr>
                  <w:r>
                    <w:t xml:space="preserve">ADT</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-1.298</w:t>
                  </w:r>
                </w:p>
              </w:tc>
              <w:tc>
                <w:tcPr/>
                <w:p>
                  <w:pPr>
                    <w:pStyle w:val="Compact"/>
                    <w:jc w:val="right"/>
                    <w:jc w:val="center"/>
                  </w:pPr>
                  <w:r>
                    <w:t xml:space="preserve">60</w:t>
                  </w:r>
                </w:p>
              </w:tc>
              <w:tc>
                <w:tcPr/>
                <w:p>
                  <w:pPr>
                    <w:pStyle w:val="Compact"/>
                    <w:jc w:val="right"/>
                    <w:jc w:val="center"/>
                  </w:pPr>
                  <w:r>
                    <w:t xml:space="preserve">0.199</w:t>
                  </w:r>
                </w:p>
              </w:tc>
              <w:tc>
                <w:tcPr/>
                <w:p>
                  <w:pPr>
                    <w:pStyle w:val="Compact"/>
                    <w:jc w:val="right"/>
                    <w:jc w:val="center"/>
                  </w:pPr>
                  <w:r>
                    <w:t xml:space="preserve">61</w:t>
                  </w:r>
                </w:p>
              </w:tc>
            </w:tr>
            <w:tr>
              <w:tc>
                <w:tcPr/>
                <w:p>
                  <w:pPr>
                    <w:pStyle w:val="Compact"/>
                    <w:jc w:val="left"/>
                    <w:jc w:val="center"/>
                  </w:pPr>
                  <w:r>
                    <w:t xml:space="preserve">VDT</w:t>
                  </w:r>
                </w:p>
              </w:tc>
              <w:tc>
                <w:tcPr/>
                <w:p>
                  <w:pPr>
                    <w:pStyle w:val="Compact"/>
                    <w:jc w:val="left"/>
                    <w:jc w:val="center"/>
                  </w:pPr>
                  <w:r>
                    <w:t xml:space="preserve">Threshold</w:t>
                  </w:r>
                </w:p>
              </w:tc>
              <w:tc>
                <w:tcPr/>
                <w:p>
                  <w:pPr>
                    <w:pStyle w:val="Compact"/>
                    <w:jc w:val="right"/>
                    <w:jc w:val="center"/>
                  </w:pPr>
                  <w:r>
                    <w:t xml:space="preserve">0.005</w:t>
                  </w:r>
                </w:p>
              </w:tc>
              <w:tc>
                <w:tcPr/>
                <w:p>
                  <w:pPr>
                    <w:pStyle w:val="Compact"/>
                    <w:jc w:val="right"/>
                    <w:jc w:val="center"/>
                  </w:pPr>
                  <w:r>
                    <w:t xml:space="preserve">0.003</w:t>
                  </w:r>
                </w:p>
              </w:tc>
              <w:tc>
                <w:tcPr/>
                <w:p>
                  <w:pPr>
                    <w:pStyle w:val="Compact"/>
                    <w:jc w:val="right"/>
                    <w:jc w:val="center"/>
                  </w:pPr>
                  <w:r>
                    <w:t xml:space="preserve">1.540</w:t>
                  </w:r>
                </w:p>
              </w:tc>
              <w:tc>
                <w:tcPr/>
                <w:p>
                  <w:pPr>
                    <w:pStyle w:val="Compact"/>
                    <w:jc w:val="right"/>
                    <w:jc w:val="center"/>
                  </w:pPr>
                  <w:r>
                    <w:t xml:space="preserve">64</w:t>
                  </w:r>
                </w:p>
              </w:tc>
              <w:tc>
                <w:tcPr/>
                <w:p>
                  <w:pPr>
                    <w:pStyle w:val="Compact"/>
                    <w:jc w:val="right"/>
                    <w:jc w:val="center"/>
                  </w:pPr>
                  <w:r>
                    <w:t xml:space="preserve">0.128</w:t>
                  </w:r>
                </w:p>
              </w:tc>
              <w:tc>
                <w:tcPr/>
                <w:p>
                  <w:pPr>
                    <w:pStyle w:val="Compact"/>
                    <w:jc w:val="right"/>
                    <w:jc w:val="center"/>
                  </w:pPr>
                  <w:r>
                    <w:t xml:space="preserve">65</w:t>
                  </w:r>
                </w:p>
              </w:tc>
            </w:tr>
            <w:tr>
              <w:tc>
                <w:tcPr/>
                <w:p>
                  <w:pPr>
                    <w:pStyle w:val="Compact"/>
                    <w:jc w:val="left"/>
                    <w:jc w:val="center"/>
                  </w:pPr>
                  <w:r>
                    <w:t xml:space="preserve">VDT</w:t>
                  </w:r>
                </w:p>
              </w:tc>
              <w:tc>
                <w:tcPr/>
                <w:p>
                  <w:pPr>
                    <w:pStyle w:val="Compact"/>
                    <w:jc w:val="left"/>
                    <w:jc w:val="center"/>
                  </w:pPr>
                  <w:r>
                    <w:t xml:space="preserve">Slope</w:t>
                  </w:r>
                </w:p>
              </w:tc>
              <w:tc>
                <w:tcPr/>
                <w:p>
                  <w:pPr>
                    <w:pStyle w:val="Compact"/>
                    <w:jc w:val="right"/>
                    <w:jc w:val="center"/>
                  </w:pPr>
                  <w:r>
                    <w:t xml:space="preserve">-0.499</w:t>
                  </w:r>
                </w:p>
              </w:tc>
              <w:tc>
                <w:tcPr/>
                <w:p>
                  <w:pPr>
                    <w:pStyle w:val="Compact"/>
                    <w:jc w:val="right"/>
                    <w:jc w:val="center"/>
                  </w:pPr>
                  <w:r>
                    <w:t xml:space="preserve">0.364</w:t>
                  </w:r>
                </w:p>
              </w:tc>
              <w:tc>
                <w:tcPr/>
                <w:p>
                  <w:pPr>
                    <w:pStyle w:val="Compact"/>
                    <w:jc w:val="right"/>
                    <w:jc w:val="center"/>
                  </w:pPr>
                  <w:r>
                    <w:t xml:space="preserve">-1.372</w:t>
                  </w:r>
                </w:p>
              </w:tc>
              <w:tc>
                <w:tcPr/>
                <w:p>
                  <w:pPr>
                    <w:pStyle w:val="Compact"/>
                    <w:jc w:val="right"/>
                    <w:jc w:val="center"/>
                  </w:pPr>
                  <w:r>
                    <w:t xml:space="preserve">64</w:t>
                  </w:r>
                </w:p>
              </w:tc>
              <w:tc>
                <w:tcPr/>
                <w:p>
                  <w:pPr>
                    <w:pStyle w:val="Compact"/>
                    <w:jc w:val="right"/>
                    <w:jc w:val="center"/>
                  </w:pPr>
                  <w:r>
                    <w:t xml:space="preserve">0.175</w:t>
                  </w:r>
                </w:p>
              </w:tc>
              <w:tc>
                <w:tcPr/>
                <w:p>
                  <w:pPr>
                    <w:pStyle w:val="Compact"/>
                    <w:jc w:val="right"/>
                    <w:jc w:val="center"/>
                  </w:pPr>
                  <w:r>
                    <w:t xml:space="preserve">65</w:t>
                  </w:r>
                </w:p>
              </w:tc>
            </w:tr>
          </w:tbl>
          <w:bookmarkEnd w:id="55"/>
          <w:p/>
        </w:tc>
      </w:tr>
    </w:tbl>
    <w:p>
      <w:pPr>
        <w:pStyle w:val="BodyText"/>
      </w:pPr>
      <w:hyperlink w:anchor="tbl-pf-effort-test">
        <w:r>
          <w:rPr>
            <w:rStyle w:val="Hyperlink"/>
          </w:rPr>
          <w:t xml:space="preserve">Table 3</w:t>
        </w:r>
      </w:hyperlink>
      <w:r>
        <w:t xml:space="preserve"> </w:t>
      </w:r>
      <w:r>
        <w:t xml:space="preserve">summarizes within-subject High vs. Low effort contrasts on threshold and slope.</w:t>
      </w:r>
      <w:r>
        <w:t xml:space="preserve"> </w:t>
      </w:r>
      <w:r>
        <w:rPr>
          <w:b/>
          <w:bCs/>
        </w:rPr>
        <w:t xml:space="preserve">Auditory (ADT).</w:t>
      </w:r>
      <w:r>
        <w:t xml:space="preserve"> </w:t>
      </w:r>
      <w:r>
        <w:t xml:space="preserve">Threshold increased under High effort (estimate = 1.524194,</w:t>
      </w:r>
      <w:r>
        <w:t xml:space="preserve"> </w:t>
      </w:r>
      <w:r>
        <w:rPr>
          <w:i/>
          <w:iCs/>
        </w:rPr>
        <w:t xml:space="preserve">t</w:t>
      </w:r>
      <w:r>
        <w:t xml:space="preserve">(60) = 2.289,</w:t>
      </w:r>
      <w:r>
        <w:t xml:space="preserve"> </w:t>
      </w:r>
      <w:r>
        <w:rPr>
          <w:i/>
          <w:iCs/>
        </w:rPr>
        <w:t xml:space="preserve">p</w:t>
      </w:r>
      <w:r>
        <w:t xml:space="preserve"> </w:t>
      </w:r>
      <w:r>
        <w:t xml:space="preserve">= 0.026), consistent with H1a. Slope was slightly lower under High effort (estimate = -0.002473164,</w:t>
      </w:r>
      <w:r>
        <w:t xml:space="preserve"> </w:t>
      </w:r>
      <w:r>
        <w:rPr>
          <w:i/>
          <w:iCs/>
        </w:rPr>
        <w:t xml:space="preserve">t</w:t>
      </w:r>
      <w:r>
        <w:t xml:space="preserve">(60) = -1.298,</w:t>
      </w:r>
      <w:r>
        <w:t xml:space="preserve"> </w:t>
      </w:r>
      <w:r>
        <w:rPr>
          <w:i/>
          <w:iCs/>
        </w:rPr>
        <w:t xml:space="preserve">p</w:t>
      </w:r>
      <w:r>
        <w:t xml:space="preserve"> </w:t>
      </w:r>
      <w:r>
        <w:t xml:space="preserve">= 0.199); the shallowing predicted by H1b was in the expected direction but not statistically reliable.</w:t>
      </w:r>
      <w:r>
        <w:t xml:space="preserve"> </w:t>
      </w:r>
      <w:r>
        <w:rPr>
          <w:b/>
          <w:bCs/>
        </w:rPr>
        <w:t xml:space="preserve">Visual (VDT).</w:t>
      </w:r>
      <w:r>
        <w:t xml:space="preserve"> </w:t>
      </w:r>
      <w:r>
        <w:t xml:space="preserve">Threshold did not differ reliably between effort conditions (estimate = 0.005276338,</w:t>
      </w:r>
      <w:r>
        <w:t xml:space="preserve"> </w:t>
      </w:r>
      <w:r>
        <w:rPr>
          <w:i/>
          <w:iCs/>
        </w:rPr>
        <w:t xml:space="preserve">t</w:t>
      </w:r>
      <w:r>
        <w:t xml:space="preserve">(64) = 1.54,</w:t>
      </w:r>
      <w:r>
        <w:t xml:space="preserve"> </w:t>
      </w:r>
      <w:r>
        <w:rPr>
          <w:i/>
          <w:iCs/>
        </w:rPr>
        <w:t xml:space="preserve">p</w:t>
      </w:r>
      <w:r>
        <w:t xml:space="preserve"> </w:t>
      </w:r>
      <w:r>
        <w:t xml:space="preserve">= 0.129). Slopes were lower under High effort (estimate = -0.4987978,</w:t>
      </w:r>
      <w:r>
        <w:t xml:space="preserve"> </w:t>
      </w:r>
      <w:r>
        <w:rPr>
          <w:i/>
          <w:iCs/>
        </w:rPr>
        <w:t xml:space="preserve">t</w:t>
      </w:r>
      <w:r>
        <w:t xml:space="preserve">(64) = -1.372,</w:t>
      </w:r>
      <w:r>
        <w:t xml:space="preserve"> </w:t>
      </w:r>
      <w:r>
        <w:rPr>
          <w:i/>
          <w:iCs/>
        </w:rPr>
        <w:t xml:space="preserve">p</w:t>
      </w:r>
      <w:r>
        <w:t xml:space="preserve"> </w:t>
      </w:r>
      <w:r>
        <w:t xml:space="preserve">= 0.175), again matching the direction of H1b without statistical support at conventional levels.</w:t>
      </w:r>
    </w:p>
    <w:p>
      <w:pPr>
        <w:pStyle w:val="BodyText"/>
      </w:pPr>
      <w:r>
        <w:rPr>
          <w:b/>
          <w:bCs/>
        </w:rPr>
        <w:t xml:space="preserve">Auditory slope variance (high-precision PF estimates).</w:t>
      </w:r>
      <w:r>
        <w:t xml:space="preserve"> </w:t>
      </w:r>
      <w:r>
        <w:t xml:space="preserve">Descriptive slopes in</w:t>
      </w:r>
      <w:r>
        <w:t xml:space="preserve"> </w:t>
      </w:r>
      <w:hyperlink w:anchor="tbl-pf-params">
        <w:r>
          <w:rPr>
            <w:rStyle w:val="Hyperlink"/>
          </w:rPr>
          <w:t xml:space="preserve">Table 2</w:t>
        </w:r>
      </w:hyperlink>
      <w:r>
        <w:t xml:space="preserve"> </w:t>
      </w:r>
      <w:r>
        <w:t xml:space="preserve">are based on full-precision Psignifit parameters (no rounding-induced compression). For</w:t>
      </w:r>
      <w:r>
        <w:t xml:space="preserve"> </w:t>
      </w:r>
      <w:r>
        <w:rPr>
          <w:b/>
          <w:bCs/>
        </w:rPr>
        <w:t xml:space="preserve">ADT</w:t>
      </w:r>
      <w:r>
        <w:t xml:space="preserve">, participant-level slopes showed</w:t>
      </w:r>
      <w:r>
        <w:t xml:space="preserve"> </w:t>
      </w:r>
      <w:r>
        <w:rPr>
          <w:b/>
          <w:bCs/>
        </w:rPr>
        <w:t xml:space="preserve">healthy, biologically plausible</w:t>
      </w:r>
      <w:r>
        <w:t xml:space="preserve"> </w:t>
      </w:r>
      <w:r>
        <w:t xml:space="preserve">spread: pooled across effort conditions,</w:t>
      </w:r>
      <w:r>
        <w:t xml:space="preserve"> </w:t>
      </w:r>
      <w:r>
        <w:rPr>
          <w:b/>
          <w:bCs/>
        </w:rPr>
        <w:t xml:space="preserve">M</w:t>
      </w:r>
      <w:r>
        <w:t xml:space="preserve"> </w:t>
      </w:r>
      <w:r>
        <w:t xml:space="preserve">=</w:t>
      </w:r>
      <w:r>
        <w:t xml:space="preserve"> </w:t>
      </w:r>
      <w:r>
        <w:rPr>
          <w:b/>
          <w:bCs/>
        </w:rPr>
        <w:t xml:space="preserve">0.041</w:t>
      </w:r>
      <w:r>
        <w:t xml:space="preserve">,</w:t>
      </w:r>
      <w:r>
        <w:t xml:space="preserve"> </w:t>
      </w:r>
      <w:r>
        <w:rPr>
          <w:b/>
          <w:bCs/>
        </w:rPr>
        <w:t xml:space="preserve">SD</w:t>
      </w:r>
      <w:r>
        <w:t xml:space="preserve"> </w:t>
      </w:r>
      <w:r>
        <w:t xml:space="preserve">=</w:t>
      </w:r>
      <w:r>
        <w:t xml:space="preserve"> </w:t>
      </w:r>
      <w:r>
        <w:rPr>
          <w:b/>
          <w:bCs/>
        </w:rPr>
        <w:t xml:space="preserve">0.024</w:t>
      </w:r>
      <w:r>
        <w:t xml:space="preserve">; by condition, means were</w:t>
      </w:r>
      <w:r>
        <w:t xml:space="preserve"> </w:t>
      </w:r>
      <w:r>
        <w:rPr>
          <w:b/>
          <w:bCs/>
        </w:rPr>
        <w:t xml:space="preserve">0.042</w:t>
      </w:r>
      <w:r>
        <w:t xml:space="preserve"> </w:t>
      </w:r>
      <w:r>
        <w:t xml:space="preserve">(Low) and</w:t>
      </w:r>
      <w:r>
        <w:t xml:space="preserve"> </w:t>
      </w:r>
      <w:r>
        <w:rPr>
          <w:b/>
          <w:bCs/>
        </w:rPr>
        <w:t xml:space="preserve">0.040</w:t>
      </w:r>
      <w:r>
        <w:t xml:space="preserve"> </w:t>
      </w:r>
      <w:r>
        <w:t xml:space="preserve">(High), with SDs</w:t>
      </w:r>
      <w:r>
        <w:t xml:space="preserve"> </w:t>
      </w:r>
      <w:r>
        <w:rPr>
          <w:b/>
          <w:bCs/>
        </w:rPr>
        <w:t xml:space="preserve">0.024</w:t>
      </w:r>
      <w:r>
        <w:t xml:space="preserve"> </w:t>
      </w:r>
      <w:r>
        <w:t xml:space="preserve">and</w:t>
      </w:r>
      <w:r>
        <w:t xml:space="preserve"> </w:t>
      </w:r>
      <w:r>
        <w:rPr>
          <w:b/>
          <w:bCs/>
        </w:rPr>
        <w:t xml:space="preserve">0.025</w:t>
      </w:r>
      <w:r>
        <w:t xml:space="preserve">, matching</w:t>
      </w:r>
      <w:r>
        <w:t xml:space="preserve"> </w:t>
      </w:r>
      <w:hyperlink w:anchor="tbl-pf-params">
        <w:r>
          <w:rPr>
            <w:rStyle w:val="Hyperlink"/>
          </w:rPr>
          <w:t xml:space="preserve">Table 2</w:t>
        </w:r>
      </w:hyperlink>
      <w:r>
        <w:t xml:space="preserve">. Despite this informative between-person variance, the within-subject effort contrast on</w:t>
      </w:r>
      <w:r>
        <w:t xml:space="preserve"> </w:t>
      </w:r>
      <w:r>
        <w:rPr>
          <w:b/>
          <w:bCs/>
        </w:rPr>
        <w:t xml:space="preserve">slope</w:t>
      </w:r>
      <w:r>
        <w:t xml:space="preserve"> </w:t>
      </w:r>
      <w:r>
        <w:t xml:space="preserve">was</w:t>
      </w:r>
      <w:r>
        <w:t xml:space="preserve"> </w:t>
      </w:r>
      <w:r>
        <w:rPr>
          <w:b/>
          <w:bCs/>
        </w:rPr>
        <w:t xml:space="preserve">not significant</w:t>
      </w:r>
      <w:r>
        <w:t xml:space="preserve"> </w:t>
      </w:r>
      <w:r>
        <w:t xml:space="preserve">for</w:t>
      </w:r>
      <w:r>
        <w:t xml:space="preserve"> </w:t>
      </w:r>
      <w:r>
        <w:rPr>
          <w:b/>
          <w:bCs/>
        </w:rPr>
        <w:t xml:space="preserve">ADT</w:t>
      </w:r>
      <w:r>
        <w:t xml:space="preserve"> </w:t>
      </w:r>
      <w:r>
        <w:t xml:space="preserve">(</w:t>
      </w:r>
      <w:r>
        <w:rPr>
          <w:i/>
          <w:iCs/>
        </w:rPr>
        <w:t xml:space="preserve">p</w:t>
      </w:r>
      <w:r>
        <w:t xml:space="preserve"> </w:t>
      </w:r>
      <w:r>
        <w:t xml:space="preserve">= 0.199) or</w:t>
      </w:r>
      <w:r>
        <w:t xml:space="preserve"> </w:t>
      </w:r>
      <w:r>
        <w:rPr>
          <w:b/>
          <w:bCs/>
        </w:rPr>
        <w:t xml:space="preserve">VDT</w:t>
      </w:r>
      <w:r>
        <w:t xml:space="preserve"> </w:t>
      </w:r>
      <w:r>
        <w:t xml:space="preserve">(</w:t>
      </w:r>
      <w:r>
        <w:rPr>
          <w:i/>
          <w:iCs/>
        </w:rPr>
        <w:t xml:space="preserve">p</w:t>
      </w:r>
      <w:r>
        <w:t xml:space="preserve"> </w:t>
      </w:r>
      <w:r>
        <w:t xml:space="preserve">= 0.175;</w:t>
      </w:r>
      <w:r>
        <w:t xml:space="preserve"> </w:t>
      </w:r>
      <w:hyperlink w:anchor="tbl-pf-effort-test">
        <w:r>
          <w:rPr>
            <w:rStyle w:val="Hyperlink"/>
          </w:rPr>
          <w:t xml:space="preserve">Table 3</w:t>
        </w:r>
      </w:hyperlink>
      <w:r>
        <w:t xml:space="preserve">). Together with the</w:t>
      </w:r>
      <w:r>
        <w:t xml:space="preserve"> </w:t>
      </w:r>
      <w:r>
        <w:rPr>
          <w:b/>
          <w:bCs/>
        </w:rPr>
        <w:t xml:space="preserve">null</w:t>
      </w:r>
      <w:r>
        <w:t xml:space="preserve"> </w:t>
      </w:r>
      <w:r>
        <w:t xml:space="preserve">slope effects in</w:t>
      </w:r>
      <w:r>
        <w:t xml:space="preserve"> </w:t>
      </w:r>
      <w:r>
        <w:rPr>
          <w:b/>
          <w:bCs/>
        </w:rPr>
        <w:t xml:space="preserve">both</w:t>
      </w:r>
      <w:r>
        <w:t xml:space="preserve"> </w:t>
      </w:r>
      <w:r>
        <w:t xml:space="preserve">modalities, this pattern supports treating the grip manipulation as a</w:t>
      </w:r>
      <w:r>
        <w:t xml:space="preserve"> </w:t>
      </w:r>
      <w:r>
        <w:rPr>
          <w:b/>
          <w:bCs/>
        </w:rPr>
        <w:t xml:space="preserve">physiological stressor</w:t>
      </w:r>
      <w:r>
        <w:t xml:space="preserve"> </w:t>
      </w:r>
      <w:r>
        <w:t xml:space="preserve">that</w:t>
      </w:r>
      <w:r>
        <w:t xml:space="preserve"> </w:t>
      </w:r>
      <w:r>
        <w:rPr>
          <w:b/>
          <w:bCs/>
        </w:rPr>
        <w:t xml:space="preserve">did not</w:t>
      </w:r>
      <w:r>
        <w:t xml:space="preserve"> </w:t>
      </w:r>
      <w:r>
        <w:t xml:space="preserve">reliably impair</w:t>
      </w:r>
      <w:r>
        <w:t xml:space="preserve"> </w:t>
      </w:r>
      <w:r>
        <w:rPr>
          <w:b/>
          <w:bCs/>
        </w:rPr>
        <w:t xml:space="preserve">perceptual</w:t>
      </w:r>
      <w:r>
        <w:t xml:space="preserve"> </w:t>
      </w:r>
      <w:r>
        <w:t xml:space="preserve">discrimination slopes—arguing against a simple confound of effort with psychometric sensitivity at the PF level.</w:t>
      </w:r>
    </w:p>
    <w:p>
      <w:pPr>
        <w:pStyle w:val="BodyText"/>
      </w:pPr>
      <w:r>
        <w:rPr>
          <w:b/>
          <w:bCs/>
        </w:rPr>
        <w:t xml:space="preserve">Hypothesis Testing (H1a &amp; H1b):</w:t>
      </w:r>
      <w:r>
        <w:t xml:space="preserve"> </w:t>
      </w:r>
      <w:r>
        <w:t xml:space="preserve">Hypothesis 1a predicted higher midpoint thresholds under High effort. This pattern received</w:t>
      </w:r>
      <w:r>
        <w:t xml:space="preserve"> </w:t>
      </w:r>
      <w:r>
        <w:rPr>
          <w:b/>
          <w:bCs/>
        </w:rPr>
        <w:t xml:space="preserve">partial support</w:t>
      </w:r>
      <w:r>
        <w:t xml:space="preserve">: the increase was</w:t>
      </w:r>
      <w:r>
        <w:t xml:space="preserve"> </w:t>
      </w:r>
      <w:r>
        <w:rPr>
          <w:b/>
          <w:bCs/>
        </w:rPr>
        <w:t xml:space="preserve">statistically significant for ADT</w:t>
      </w:r>
      <w:r>
        <w:t xml:space="preserve"> </w:t>
      </w:r>
      <w:r>
        <w:t xml:space="preserve">(</w:t>
      </w:r>
      <w:r>
        <w:rPr>
          <w:i/>
          <w:iCs/>
        </w:rPr>
        <w:t xml:space="preserve">p</w:t>
      </w:r>
      <w:r>
        <w:t xml:space="preserve"> </w:t>
      </w:r>
      <w:r>
        <w:t xml:space="preserve">&lt; .05) but</w:t>
      </w:r>
      <w:r>
        <w:t xml:space="preserve"> </w:t>
      </w:r>
      <w:r>
        <w:rPr>
          <w:b/>
          <w:bCs/>
        </w:rPr>
        <w:t xml:space="preserve">not for VDT</w:t>
      </w:r>
      <w:r>
        <w:t xml:space="preserve">. Because multiple confirmatory tests were evaluated across H1/H2, this isolated ADT threshold effect should be treated as fragile rather than definitive on its own. Hypothesis 1b predicted shallower PF slopes under High effort;</w:t>
      </w:r>
      <w:r>
        <w:t xml:space="preserve"> </w:t>
      </w:r>
      <w:r>
        <w:rPr>
          <w:b/>
          <w:bCs/>
        </w:rPr>
        <w:t xml:space="preserve">slopes were numerically shallower</w:t>
      </w:r>
      <w:r>
        <w:t xml:space="preserve"> </w:t>
      </w:r>
      <w:r>
        <w:t xml:space="preserve">(negative High − Low estimates) in</w:t>
      </w:r>
      <w:r>
        <w:t xml:space="preserve"> </w:t>
      </w:r>
      <w:r>
        <w:rPr>
          <w:b/>
          <w:bCs/>
        </w:rPr>
        <w:t xml:space="preserve">both</w:t>
      </w:r>
      <w:r>
        <w:t xml:space="preserve"> </w:t>
      </w:r>
      <w:r>
        <w:t xml:space="preserve">modalities, but</w:t>
      </w:r>
      <w:r>
        <w:t xml:space="preserve"> </w:t>
      </w:r>
      <w:r>
        <w:rPr>
          <w:b/>
          <w:bCs/>
        </w:rPr>
        <w:t xml:space="preserve">neither</w:t>
      </w:r>
      <w:r>
        <w:t xml:space="preserve"> </w:t>
      </w:r>
      <w:r>
        <w:t xml:space="preserve">slope contrast reached significance (</w:t>
      </w:r>
      <w:hyperlink w:anchor="tbl-pf-effort-test">
        <w:r>
          <w:rPr>
            <w:rStyle w:val="Hyperlink"/>
          </w:rPr>
          <w:t xml:space="preserve">Table 3</w:t>
        </w:r>
      </w:hyperlink>
      <w:r>
        <w:t xml:space="preserve">). Thus H1b was</w:t>
      </w:r>
      <w:r>
        <w:t xml:space="preserve"> </w:t>
      </w:r>
      <w:r>
        <w:rPr>
          <w:b/>
          <w:bCs/>
        </w:rPr>
        <w:t xml:space="preserve">not supported</w:t>
      </w:r>
      <w:r>
        <w:t xml:space="preserve"> </w:t>
      </w:r>
      <w:r>
        <w:t xml:space="preserve">as a confirmatory inference. The</w:t>
      </w:r>
      <w:r>
        <w:t xml:space="preserve"> </w:t>
      </w:r>
      <w:r>
        <w:rPr>
          <w:b/>
          <w:bCs/>
        </w:rPr>
        <w:t xml:space="preserve">cross-modal</w:t>
      </w:r>
      <w:r>
        <w:t xml:space="preserve"> </w:t>
      </w:r>
      <w:r>
        <w:t xml:space="preserve">consistency of the slope null (see paragraph above) reinforces that the behavioral pattern is</w:t>
      </w:r>
      <w:r>
        <w:t xml:space="preserve"> </w:t>
      </w:r>
      <w:r>
        <w:rPr>
          <w:b/>
          <w:bCs/>
        </w:rPr>
        <w:t xml:space="preserve">not</w:t>
      </w:r>
      <w:r>
        <w:t xml:space="preserve"> </w:t>
      </w:r>
      <w:r>
        <w:t xml:space="preserve">specific to a single modality or to artifactually compressed auditory parameters.</w:t>
      </w:r>
    </w:p>
    <w:tbl>
      <w:tblPr>
        <w:tblStyle w:val="Table"/>
        <w:tblW w:type="pct" w:w="5000"/>
        <w:tblLayout w:type="fixed"/>
        <w:tblLook w:firstRow="0" w:lastRow="0" w:firstColumn="0" w:lastColumn="0" w:noHBand="0" w:noVBand="0" w:val="0000"/>
      </w:tblPr>
      <w:tblGrid>
        <w:gridCol w:w="7920"/>
      </w:tblGrid>
      <w:tr>
        <w:tc>
          <w:tcPr/>
          <w:bookmarkStart w:id="59" w:name="fig-pf-backbone"/>
          <w:p>
            <w:pPr>
              <w:pStyle w:val="Compact"/>
              <w:jc w:val="center"/>
            </w:pPr>
            <w:r>
              <w:drawing>
                <wp:inline>
                  <wp:extent cx="5334000" cy="3200399"/>
                  <wp:effectExtent b="0" l="0" r="0" t="0"/>
                  <wp:docPr descr="" title="" id="57" name="Picture"/>
                  <a:graphic>
                    <a:graphicData uri="http://schemas.openxmlformats.org/drawingml/2006/picture">
                      <pic:pic>
                        <pic:nvPicPr>
                          <pic:cNvPr descr="../../../06_visualization/output/figures/fig1_psychometric_by_effort.png" id="58" name="Picture"/>
                          <pic:cNvPicPr>
                            <a:picLocks noChangeArrowheads="1" noChangeAspect="1"/>
                          </pic:cNvPicPr>
                        </pic:nvPicPr>
                        <pic:blipFill>
                          <a:blip r:embed="rId56"/>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Psychometric Functions by Effort Condition</w:t>
            </w:r>
          </w:p>
          <w:bookmarkEnd w:id="59"/>
        </w:tc>
      </w:tr>
    </w:tbl>
    <w:bookmarkEnd w:id="60"/>
    <w:bookmarkStart w:id="69" w:name="effortpupil-manipulation-check"/>
    <w:p>
      <w:pPr>
        <w:pStyle w:val="Heading2"/>
      </w:pPr>
      <w:r>
        <w:t xml:space="preserve">3.3 Effort–Pupil Manipulation Check</w:t>
      </w:r>
    </w:p>
    <w:p>
      <w:pPr>
        <w:pStyle w:val="FirstParagraph"/>
      </w:pPr>
      <w:hyperlink w:anchor="fig-pupil-timeseries">
        <w:r>
          <w:rPr>
            <w:rStyle w:val="Hyperlink"/>
          </w:rPr>
          <w:t xml:space="preserve">Figure 5</w:t>
        </w:r>
      </w:hyperlink>
      <w:r>
        <w:t xml:space="preserve"> </w:t>
      </w:r>
      <w:r>
        <w:t xml:space="preserve">shows</w:t>
      </w:r>
      <w:r>
        <w:t xml:space="preserve"> </w:t>
      </w:r>
      <w:r>
        <w:rPr>
          <w:b/>
          <w:bCs/>
        </w:rPr>
        <w:t xml:space="preserve">empirical</w:t>
      </w:r>
      <w:r>
        <w:t xml:space="preserve"> </w:t>
      </w:r>
      <w:r>
        <w:t xml:space="preserve">group-mean pupil waveforms from the preprocessing pipeline: baseline-corrected isolated pupil (arbitrary units) with GAM-smoothed 95% CI bands (winsorized subject-level means), time-locked to squeeze onset, separately for ADT and VDT. Lines correspond to the factorial combination of stimulus difficulty (Easy vs. Hard) and handgrip effort (High vs. Low). Vertical markers indicate squeeze onset, standard and target onsets, and median response time (task-specific subtitles). Horizontal bars mark the pre-trial baseline (B0), the Total AUC window (0–4.70 s), the pre-stimulus baseline (B1), and the cognitive AUC window (4.85–6.05 s). These plots are observed data rather than the parametric schematic used in earlier drafts.</w:t>
      </w:r>
    </w:p>
    <w:tbl>
      <w:tblPr>
        <w:tblStyle w:val="Table"/>
        <w:tblW w:type="pct" w:w="5000"/>
        <w:tblLayout w:type="fixed"/>
        <w:tblLook w:firstRow="0" w:lastRow="0" w:firstColumn="0" w:lastColumn="0" w:noHBand="0" w:noVBand="0" w:val="0000"/>
      </w:tblPr>
      <w:tblGrid>
        <w:gridCol w:w="7920"/>
      </w:tblGrid>
      <w:tr>
        <w:tc>
          <w:tcPr/>
          <w:bookmarkStart w:id="64" w:name="fig-pupil-timeseries"/>
          <w:p>
            <w:pPr>
              <w:pStyle w:val="Compact"/>
              <w:jc w:val="center"/>
            </w:pPr>
            <w:r>
              <w:drawing>
                <wp:inline>
                  <wp:extent cx="5334000" cy="6667500"/>
                  <wp:effectExtent b="0" l="0" r="0" t="0"/>
                  <wp:docPr descr="" title="" id="62" name="Picture"/>
                  <a:graphic>
                    <a:graphicData uri="http://schemas.openxmlformats.org/drawingml/2006/picture">
                      <pic:pic>
                        <pic:nvPicPr>
                          <pic:cNvPr descr="../output/figures/waveform.png" id="63" name="Picture"/>
                          <pic:cNvPicPr>
                            <a:picLocks noChangeArrowheads="1" noChangeAspect="1"/>
                          </pic:cNvPicPr>
                        </pic:nvPicPr>
                        <pic:blipFill>
                          <a:blip r:embed="rId6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Full-trial pupil waveforms (empirical group means). Baseline-corrected isolated pupil diameter (arbitrary units; GAM 95% CI on winsorized subject means) as a function of time relative to squeeze onset, for ADT (top) and VDT (bottom). Colored lines cross Easy vs. Hard stimulus difficulty with High vs. Low grip effort. Vertical dashed lines mark squeeze onset, standard (S1) and target (S2/probe) onsets, and median response onset. Grey and colored bars show B0, Total AUC (0–4.70 s), B1, and cognitive AUC (4.85–6.05 s).</w:t>
            </w:r>
          </w:p>
          <w:bookmarkEnd w:id="64"/>
        </w:tc>
      </w:tr>
    </w:tbl>
    <w:p>
      <w:pPr>
        <w:pStyle w:val="BodyText"/>
      </w:pPr>
      <w:r>
        <w:t xml:space="preserve">As predicted, high-effort handgrip significantly increased overall trial-period arousal (Total AUC:</w:t>
      </w:r>
      <w:r>
        <w:t xml:space="preserve"> </w:t>
      </w:r>
      <m:oMath>
        <m:r>
          <m:t>β</m:t>
        </m:r>
        <m:r>
          <m:rPr>
            <m:sty m:val="p"/>
          </m:rPr>
          <m:t>=</m:t>
        </m:r>
        <m:r>
          <m:t>0.857</m:t>
        </m:r>
      </m:oMath>
      <w:r>
        <w:t xml:space="preserve">,</w:t>
      </w:r>
      <w:r>
        <w:t xml:space="preserve"> </w:t>
      </w:r>
      <m:oMath>
        <m:r>
          <m:t>S</m:t>
        </m:r>
        <m:r>
          <m:t>E</m:t>
        </m:r>
        <m:r>
          <m:rPr>
            <m:sty m:val="p"/>
          </m:rPr>
          <m:t>=</m:t>
        </m:r>
        <m:r>
          <m:t>0.376</m:t>
        </m:r>
      </m:oMath>
      <w:r>
        <w:t xml:space="preserve">,</w:t>
      </w:r>
      <w:r>
        <w:t xml:space="preserve"> </w:t>
      </w:r>
      <m:oMath>
        <m:r>
          <m:t>t</m:t>
        </m:r>
        <m:r>
          <m:rPr>
            <m:sty m:val="p"/>
          </m:rPr>
          <m:t>=</m:t>
        </m:r>
        <m:r>
          <m:t>2.282</m:t>
        </m:r>
      </m:oMath>
      <w:r>
        <w:t xml:space="preserve">,</w:t>
      </w:r>
      <w:r>
        <w:t xml:space="preserve"> </w:t>
      </w:r>
      <m:oMath>
        <m:r>
          <m:t>p</m:t>
        </m:r>
        <m:r>
          <m:rPr>
            <m:sty m:val="p"/>
          </m:rPr>
          <m:t>=</m:t>
        </m:r>
        <m:r>
          <m:t>.023</m:t>
        </m:r>
      </m:oMath>
      <w:r>
        <w:t xml:space="preserve">), but significantly attenuated task-evoked responses (Cognitive AUC:</w:t>
      </w:r>
      <w:r>
        <w:t xml:space="preserve"> </w:t>
      </w:r>
      <m:oMath>
        <m:r>
          <m:t>β</m:t>
        </m:r>
        <m:r>
          <m:rPr>
            <m:sty m:val="p"/>
          </m:rPr>
          <m:t>=</m:t>
        </m:r>
        <m:r>
          <m:rPr>
            <m:sty m:val="p"/>
          </m:rPr>
          <m:t>−</m:t>
        </m:r>
        <m:r>
          <m:t>0.012</m:t>
        </m:r>
      </m:oMath>
      <w:r>
        <w:t xml:space="preserve">,</w:t>
      </w:r>
      <w:r>
        <w:t xml:space="preserve"> </w:t>
      </w:r>
      <m:oMath>
        <m:r>
          <m:t>S</m:t>
        </m:r>
        <m:r>
          <m:t>E</m:t>
        </m:r>
        <m:r>
          <m:rPr>
            <m:sty m:val="p"/>
          </m:rPr>
          <m:t>=</m:t>
        </m:r>
        <m:r>
          <m:t>0.003</m:t>
        </m:r>
      </m:oMath>
      <w:r>
        <w:t xml:space="preserve">,</w:t>
      </w:r>
      <w:r>
        <w:t xml:space="preserve"> </w:t>
      </w:r>
      <m:oMath>
        <m:r>
          <m:t>t</m:t>
        </m:r>
        <m:r>
          <m:rPr>
            <m:sty m:val="p"/>
          </m:rPr>
          <m:t>=</m:t>
        </m:r>
        <m:r>
          <m:rPr>
            <m:sty m:val="p"/>
          </m:rPr>
          <m:t>−</m:t>
        </m:r>
        <m:r>
          <m:t>3.859</m:t>
        </m:r>
      </m:oMath>
      <w:r>
        <w:t xml:space="preserve">,</w:t>
      </w:r>
      <w:r>
        <w:t xml:space="preserve"> </w:t>
      </w:r>
      <m:oMath>
        <m:r>
          <m:t>p</m:t>
        </m:r>
        <m:r>
          <m:rPr>
            <m:sty m:val="p"/>
          </m:rPr>
          <m:t>&lt;</m:t>
        </m:r>
        <m:r>
          <m:t>.001</m:t>
        </m:r>
      </m:oMath>
      <w:r>
        <w:t xml:space="preserve">). Total AUC indexes overall arousal during the sustained squeeze epoch; Cognitive AUC is the stimulus-locked task-evoked response in the discrimination window. This dissociation is consistent with attenuated task-evoked phasic responding under concurrent high effort, but it is not uniquely diagnostic of such suppression: because the cognitive metric is baseline-corrected subtractively, a higher pre-target baseline under High effort could also reduce the apparent dynamic range available for subsequent dilation. A simple physiological-ceiling account — whereby High-effort trials would cluster at the upper extreme of the observed Cognitive AUC distribution — was not supported: High-effort trials were not disproportionately concentrated in the upper tail relative to Low-effort trials, which is inconsistent with a hard iris ceiling and instead favors interpreting the pattern in terms of reduced dynamic range after baseline elevation. Mixed-effects models tested whether effort condition predicted pupil metrics (Total AUC and Cognitive AUC) while controlling for task modality.</w:t>
      </w:r>
    </w:p>
    <w:p>
      <w:pPr>
        <w:pStyle w:val="BodyText"/>
      </w:pPr>
      <w:r>
        <w:rPr>
          <w:b/>
          <w:bCs/>
        </w:rPr>
        <w:t xml:space="preserve">Note:</w:t>
      </w:r>
      <w:r>
        <w:t xml:space="preserve"> </w:t>
      </w:r>
      <w:r>
        <w:t xml:space="preserve">Hypothesis 2a (tonic arousal) was operationalized using Total AUC — the baseline-corrected area under the pupil curve over the global trial window — rather than a dedicated pre-stimulus baseline pupil measure. Total AUC during the squeeze epoch captures sustained arousal-related dilation that reflects both tonic state and the ongoing effort response, making it an appropriate but imperfect proxy for tonic arousal. A pre-stimulus baseline measure would more directly index tonic pupil state and could be explored in future analyses.</w:t>
      </w:r>
    </w:p>
    <w:p>
      <w:pPr>
        <w:pStyle w:val="BodyText"/>
      </w:pPr>
      <w:r>
        <w:rPr>
          <w:b/>
          <w:bCs/>
        </w:rPr>
        <w:t xml:space="preserve">Hypothesis Testing:</w:t>
      </w:r>
      <w:r>
        <w:t xml:space="preserve"> </w:t>
      </w:r>
      <w:r>
        <w:t xml:space="preserve">Hypothesis 2a predicted that tonic arousal would be elevated under High effort; this received</w:t>
      </w:r>
      <w:r>
        <w:t xml:space="preserve"> </w:t>
      </w:r>
      <w:r>
        <w:rPr>
          <w:b/>
          <w:bCs/>
        </w:rPr>
        <w:t xml:space="preserve">indirect, qualified support</w:t>
      </w:r>
      <w:r>
        <w:t xml:space="preserve"> </w:t>
      </w:r>
      <w:r>
        <w:t xml:space="preserve">via the significant increase in Total AUC (statistics above), recognizing that Total AUC is not a pure tonic measure. Hypothesis 2b predicted that task-evoked pupil responses (Cognitive AUC) would also be larger under High effort; this hypothesis was not supported — instead, Cognitive AUC was significantly</w:t>
      </w:r>
      <w:r>
        <w:t xml:space="preserve"> </w:t>
      </w:r>
      <w:r>
        <w:rPr>
          <w:i/>
          <w:iCs/>
        </w:rPr>
        <w:t xml:space="preserve">reduced</w:t>
      </w:r>
      <w:r>
        <w:t xml:space="preserve"> </w:t>
      </w:r>
      <w:r>
        <w:t xml:space="preserve">under High effort (statistics above). Rather than confirming a uniform arousal increase, these results suggest a tonic-phasic dissociation whose interpretation remains non-exclusive: the pattern is compatible with phasic suppression or reallocation under high effort, but could also partly reflect reduced dynamic range after baseline elevation.</w:t>
      </w:r>
    </w:p>
    <w:tbl>
      <w:tblPr>
        <w:tblStyle w:val="Table"/>
        <w:tblW w:type="pct" w:w="5000"/>
        <w:tblLayout w:type="fixed"/>
        <w:tblLook w:firstRow="0" w:lastRow="0" w:firstColumn="0" w:lastColumn="0" w:noHBand="0" w:noVBand="0" w:val="0000"/>
      </w:tblPr>
      <w:tblGrid>
        <w:gridCol w:w="7920"/>
      </w:tblGrid>
      <w:tr>
        <w:tc>
          <w:tcPr/>
          <w:bookmarkStart w:id="68" w:name="fig-effort-pupil"/>
          <w:p>
            <w:pPr>
              <w:pStyle w:val="Compact"/>
              <w:jc w:val="center"/>
            </w:pPr>
            <w:r>
              <w:drawing>
                <wp:inline>
                  <wp:extent cx="5334000" cy="4267200"/>
                  <wp:effectExtent b="0" l="0" r="0" t="0"/>
                  <wp:docPr descr="" title="" id="66" name="Picture"/>
                  <a:graphic>
                    <a:graphicData uri="http://schemas.openxmlformats.org/drawingml/2006/picture">
                      <pic:pic>
                        <pic:nvPicPr>
                          <pic:cNvPr descr="../../../06_visualization/output/figures/fig2_effort_pupil_manipulation.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Effort–Pupil Manipulation Check. Participant-level mean pupil AUC (a.u., baseline-corrected) for Total AUC (top; overall trial arousal) and Cognitive AUC (bottom; stimulus-locked task-evoked response) under Low and High effort, separately for ADT and VDT. Arbitrary units reflect baseline-corrected area under the pupil dilation curve; values are not in millimetres. Points show individual participant means; diamonds and error bars show the group mean ± 1 SE; lines connect the same participant across conditions.</w:t>
            </w:r>
          </w:p>
          <w:bookmarkEnd w:id="68"/>
        </w:tc>
      </w:tr>
    </w:tbl>
    <w:bookmarkEnd w:id="69"/>
    <w:bookmarkStart w:id="70" w:name="missingness-diagnostic"/>
    <w:p>
      <w:pPr>
        <w:pStyle w:val="Heading2"/>
      </w:pPr>
      <w:r>
        <w:t xml:space="preserve">3.4 Missingness Diagnostic</w:t>
      </w:r>
    </w:p>
    <w:p>
      <w:pPr>
        <w:pStyle w:val="FirstParagraph"/>
      </w:pPr>
      <w:r>
        <w:t xml:space="preserve">Missingness was significantly predicted by effort condition (OR = 1.203,</w:t>
      </w:r>
      <w:r>
        <w:t xml:space="preserve"> </w:t>
      </w:r>
      <w:r>
        <w:rPr>
          <w:i/>
          <w:iCs/>
        </w:rPr>
        <w:t xml:space="preserve">z</w:t>
      </w:r>
      <w:r>
        <w:t xml:space="preserve"> </w:t>
      </w:r>
      <w:r>
        <w:t xml:space="preserve">= 3.672,</w:t>
      </w:r>
      <w:r>
        <w:t xml:space="preserve"> </w:t>
      </w:r>
      <w:r>
        <w:rPr>
          <w:i/>
          <w:iCs/>
        </w:rPr>
        <w:t xml:space="preserve">p</w:t>
      </w:r>
      <w:r>
        <w:t xml:space="preserve"> </w:t>
      </w:r>
      <w:r>
        <w:t xml:space="preserve">&lt; .001) and task modality (OR = 1.967,</w:t>
      </w:r>
      <w:r>
        <w:t xml:space="preserve"> </w:t>
      </w:r>
      <w:r>
        <w:rPr>
          <w:i/>
          <w:iCs/>
        </w:rPr>
        <w:t xml:space="preserve">z</w:t>
      </w:r>
      <w:r>
        <w:t xml:space="preserve"> </w:t>
      </w:r>
      <w:r>
        <w:t xml:space="preserve">= 12.584,</w:t>
      </w:r>
      <w:r>
        <w:t xml:space="preserve"> </w:t>
      </w:r>
      <w:r>
        <w:rPr>
          <w:i/>
          <w:iCs/>
        </w:rPr>
        <w:t xml:space="preserve">p</w:t>
      </w:r>
      <w:r>
        <w:t xml:space="preserve"> </w:t>
      </w:r>
      <w:r>
        <w:t xml:space="preserve">&lt; .001), but not by stimulus intensity (</w:t>
      </w:r>
      <w:r>
        <w:rPr>
          <w:i/>
          <w:iCs/>
        </w:rPr>
        <w:t xml:space="preserve">p</w:t>
      </w:r>
      <w:r>
        <w:t xml:space="preserve"> </w:t>
      </w:r>
      <w:r>
        <w:t xml:space="preserve">= .565) or response time (</w:t>
      </w:r>
      <w:r>
        <w:rPr>
          <w:i/>
          <w:iCs/>
        </w:rPr>
        <w:t xml:space="preserve">p</w:t>
      </w:r>
      <w:r>
        <w:t xml:space="preserve"> </w:t>
      </w:r>
      <w:r>
        <w:t xml:space="preserve">= .982). High-effort trials were approximately 20% more likely to yield usable pupil data than Low-effort trials, possibly reflecting reduced blinking during the more demanding squeeze. VDT trials had nearly twice the odds of retaining usable data relative to ADT trials. Crucially, missingness is not predicted by stimulus intensity or response time, suggesting that within-retained trials the psychometric intensity range and decision difficulty are not systematically distorted. Nevertheless, the non-random missingness by effort and task means that analysis samples differ systematically across conditions, which is a genuine selection-bias limitation (see</w:t>
      </w:r>
      <w:r>
        <w:t xml:space="preserve"> </w:t>
      </w:r>
      <w:hyperlink w:anchor="sec-missingness-limitation">
        <w:hyperlink w:anchor="sec-missingness-limitation">
          <w:r>
            <w:rPr>
              <w:rStyle w:val="Hyperlink"/>
            </w:rPr>
            <w:t xml:space="preserve">Section 4.3.1</w:t>
          </w:r>
        </w:hyperlink>
      </w:hyperlink>
      <w:r>
        <w:t xml:space="preserve">). Full model output and the RT-by-availability figure are in</w:t>
      </w:r>
      <w:r>
        <w:t xml:space="preserve"> </w:t>
      </w:r>
      <w:hyperlink w:anchor="sec-appendix-c">
        <w:r>
          <w:rPr>
            <w:rStyle w:val="Hyperlink"/>
          </w:rPr>
          <w:t xml:space="preserve">Appendix C</w:t>
        </w:r>
      </w:hyperlink>
      <w:r>
        <w:t xml:space="preserve">.</w:t>
      </w:r>
    </w:p>
    <w:bookmarkEnd w:id="70"/>
    <w:bookmarkStart w:id="77"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71" w:name="tbl-pupil-psychometric"/>
          <w:p>
            <w:pPr>
              <w:jc w:val="center"/>
            </w:pPr>
            <w:pPr>
              <w:jc w:val="start"/>
              <w:spacing w:before="200"/>
              <w:pStyle w:val="ImageCaption"/>
            </w:pPr>
            <w:r>
              <w:t xml:space="preserve">Table 4: Primary GLMM: Pupil–Psychometric Coupling</w:t>
            </w:r>
          </w:p>
          <w:tbl>
            <w:tblPr>
              <w:tblStyle w:val="Table"/>
              <w:tblW w:type="pct" w:w="5000"/>
              <w:tblLayout w:type="fixed"/>
              <w:tblLook w:firstRow="1" w:lastRow="0" w:firstColumn="0" w:lastColumn="0" w:noHBand="0" w:noVBand="0" w:val="0020"/>
            </w:tblPr>
            <w:tblGrid>
              <w:gridCol w:w="3217"/>
              <w:gridCol w:w="742"/>
              <w:gridCol w:w="1072"/>
              <w:gridCol w:w="1072"/>
              <w:gridCol w:w="577"/>
              <w:gridCol w:w="660"/>
              <w:gridCol w:w="577"/>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-0.2914</w:t>
                  </w:r>
                </w:p>
              </w:tc>
              <w:tc>
                <w:tcPr/>
                <w:p>
                  <w:pPr>
                    <w:pStyle w:val="Compact"/>
                    <w:jc w:val="right"/>
                    <w:jc w:val="center"/>
                  </w:pPr>
                  <w:r>
                    <w:t xml:space="preserve">0.0763</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 Intensity</w:t>
                  </w:r>
                </w:p>
              </w:tc>
              <w:tc>
                <w:tcPr/>
                <w:p>
                  <w:pPr>
                    <w:pStyle w:val="Compact"/>
                    <w:jc w:val="right"/>
                    <w:jc w:val="center"/>
                  </w:pPr>
                  <w:r>
                    <w:t xml:space="preserve">1.3070</w:t>
                  </w:r>
                </w:p>
              </w:tc>
              <w:tc>
                <w:tcPr/>
                <w:p>
                  <w:pPr>
                    <w:pStyle w:val="Compact"/>
                    <w:jc w:val="right"/>
                    <w:jc w:val="center"/>
                  </w:pPr>
                  <w:r>
                    <w:t xml:space="preserve">1.1435</w:t>
                  </w:r>
                </w:p>
              </w:tc>
              <w:tc>
                <w:tcPr/>
                <w:p>
                  <w:pPr>
                    <w:pStyle w:val="Compact"/>
                    <w:jc w:val="right"/>
                    <w:jc w:val="center"/>
                  </w:pPr>
                  <w:r>
                    <w:t xml:space="preserve">1.4704</w:t>
                  </w:r>
                </w:p>
              </w:tc>
              <w:tc>
                <w:tcPr/>
                <w:p>
                  <w:pPr>
                    <w:pStyle w:val="Compact"/>
                    <w:jc w:val="right"/>
                    <w:jc w:val="center"/>
                  </w:pPr>
                  <w:r>
                    <w:t xml:space="preserve">0.0834</w:t>
                  </w:r>
                </w:p>
              </w:tc>
              <w:tc>
                <w:tcPr/>
                <w:p>
                  <w:pPr>
                    <w:pStyle w:val="Compact"/>
                    <w:jc w:val="right"/>
                    <w:jc w:val="center"/>
                  </w:pPr>
                  <w:r>
                    <w:t xml:space="preserve">15.6748</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-0.0457</w:t>
                  </w:r>
                </w:p>
              </w:tc>
              <w:tc>
                <w:tcPr/>
                <w:p>
                  <w:pPr>
                    <w:pStyle w:val="Compact"/>
                    <w:jc w:val="right"/>
                    <w:jc w:val="center"/>
                  </w:pPr>
                  <w:r>
                    <w:t xml:space="preserve">-0.0926</w:t>
                  </w:r>
                </w:p>
              </w:tc>
              <w:tc>
                <w:tcPr/>
                <w:p>
                  <w:pPr>
                    <w:pStyle w:val="Compact"/>
                    <w:jc w:val="right"/>
                    <w:jc w:val="center"/>
                  </w:pPr>
                  <w:r>
                    <w:t xml:space="preserve">0.0012</w:t>
                  </w:r>
                </w:p>
              </w:tc>
              <w:tc>
                <w:tcPr/>
                <w:p>
                  <w:pPr>
                    <w:pStyle w:val="Compact"/>
                    <w:jc w:val="right"/>
                    <w:jc w:val="center"/>
                  </w:pPr>
                  <w:r>
                    <w:t xml:space="preserve">0.0239</w:t>
                  </w:r>
                </w:p>
              </w:tc>
              <w:tc>
                <w:tcPr/>
                <w:p>
                  <w:pPr>
                    <w:pStyle w:val="Compact"/>
                    <w:jc w:val="right"/>
                    <w:jc w:val="center"/>
                  </w:pPr>
                  <w:r>
                    <w:t xml:space="preserve">-1.9115</w:t>
                  </w:r>
                </w:p>
              </w:tc>
              <w:tc>
                <w:tcPr/>
                <w:p>
                  <w:pPr>
                    <w:pStyle w:val="Compact"/>
                    <w:jc w:val="right"/>
                    <w:jc w:val="center"/>
                  </w:pPr>
                  <w:r>
                    <w:t xml:space="preserve">0.0559</w:t>
                  </w:r>
                </w:p>
              </w:tc>
            </w:tr>
            <w:tr>
              <w:tc>
                <w:tcPr/>
                <w:p>
                  <w:pPr>
                    <w:pStyle w:val="Compact"/>
                    <w:jc w:val="left"/>
                    <w:jc w:val="center"/>
                  </w:pPr>
                  <w:r>
                    <w:t xml:space="preserve">Effort: High vs. Low</w:t>
                  </w:r>
                </w:p>
              </w:tc>
              <w:tc>
                <w:tcPr/>
                <w:p>
                  <w:pPr>
                    <w:pStyle w:val="Compact"/>
                    <w:jc w:val="right"/>
                    <w:jc w:val="center"/>
                  </w:pPr>
                  <w:r>
                    <w:t xml:space="preserve">-0.1391</w:t>
                  </w:r>
                </w:p>
              </w:tc>
              <w:tc>
                <w:tcPr/>
                <w:p>
                  <w:pPr>
                    <w:pStyle w:val="Compact"/>
                    <w:jc w:val="right"/>
                    <w:jc w:val="center"/>
                  </w:pPr>
                  <w:r>
                    <w:t xml:space="preserve">-0.2293</w:t>
                  </w:r>
                </w:p>
              </w:tc>
              <w:tc>
                <w:tcPr/>
                <w:p>
                  <w:pPr>
                    <w:pStyle w:val="Compact"/>
                    <w:jc w:val="right"/>
                    <w:jc w:val="center"/>
                  </w:pPr>
                  <w:r>
                    <w:t xml:space="preserve">-0.0489</w:t>
                  </w:r>
                </w:p>
              </w:tc>
              <w:tc>
                <w:tcPr/>
                <w:p>
                  <w:pPr>
                    <w:pStyle w:val="Compact"/>
                    <w:jc w:val="right"/>
                    <w:jc w:val="center"/>
                  </w:pPr>
                  <w:r>
                    <w:t xml:space="preserve">0.0460</w:t>
                  </w:r>
                </w:p>
              </w:tc>
              <w:tc>
                <w:tcPr/>
                <w:p>
                  <w:pPr>
                    <w:pStyle w:val="Compact"/>
                    <w:jc w:val="right"/>
                    <w:jc w:val="center"/>
                  </w:pPr>
                  <w:r>
                    <w:t xml:space="preserve">-3.0227</w:t>
                  </w:r>
                </w:p>
              </w:tc>
              <w:tc>
                <w:tcPr/>
                <w:p>
                  <w:pPr>
                    <w:pStyle w:val="Compact"/>
                    <w:jc w:val="right"/>
                    <w:jc w:val="center"/>
                  </w:pPr>
                  <w:r>
                    <w:t xml:space="preserve">0.0025</w:t>
                  </w:r>
                </w:p>
              </w:tc>
            </w:tr>
            <w:tr>
              <w:tc>
                <w:tcPr/>
                <w:p>
                  <w:pPr>
                    <w:pStyle w:val="Compact"/>
                    <w:jc w:val="left"/>
                    <w:jc w:val="center"/>
                  </w:pPr>
                  <w:r>
                    <w:t xml:space="preserve">Task: VDT vs. ADT</w:t>
                  </w:r>
                </w:p>
              </w:tc>
              <w:tc>
                <w:tcPr/>
                <w:p>
                  <w:pPr>
                    <w:pStyle w:val="Compact"/>
                    <w:jc w:val="right"/>
                    <w:jc w:val="center"/>
                  </w:pPr>
                  <w:r>
                    <w:t xml:space="preserve">0.2561</w:t>
                  </w:r>
                </w:p>
              </w:tc>
              <w:tc>
                <w:tcPr/>
                <w:p>
                  <w:pPr>
                    <w:pStyle w:val="Compact"/>
                    <w:jc w:val="right"/>
                    <w:jc w:val="center"/>
                  </w:pPr>
                  <w:r>
                    <w:t xml:space="preserve">0.1475</w:t>
                  </w:r>
                </w:p>
              </w:tc>
              <w:tc>
                <w:tcPr/>
                <w:p>
                  <w:pPr>
                    <w:pStyle w:val="Compact"/>
                    <w:jc w:val="right"/>
                    <w:jc w:val="center"/>
                  </w:pPr>
                  <w:r>
                    <w:t xml:space="preserve">0.3647</w:t>
                  </w:r>
                </w:p>
              </w:tc>
              <w:tc>
                <w:tcPr/>
                <w:p>
                  <w:pPr>
                    <w:pStyle w:val="Compact"/>
                    <w:jc w:val="right"/>
                    <w:jc w:val="center"/>
                  </w:pPr>
                  <w:r>
                    <w:t xml:space="preserve">0.0554</w:t>
                  </w:r>
                </w:p>
              </w:tc>
              <w:tc>
                <w:tcPr/>
                <w:p>
                  <w:pPr>
                    <w:pStyle w:val="Compact"/>
                    <w:jc w:val="right"/>
                    <w:jc w:val="center"/>
                  </w:pPr>
                  <w:r>
                    <w:t xml:space="preserve">4.6218</w:t>
                  </w:r>
                </w:p>
              </w:tc>
              <w:tc>
                <w:tcPr/>
                <w:p>
                  <w:pPr>
                    <w:pStyle w:val="Compact"/>
                    <w:jc w:val="right"/>
                    <w:jc w:val="center"/>
                  </w:pPr>
                  <w:r>
                    <w:t xml:space="preserve">0.0000</w:t>
                  </w:r>
                </w:p>
              </w:tc>
            </w:tr>
            <w:tr>
              <w:tc>
                <w:tcPr/>
                <w:p>
                  <w:pPr>
                    <w:pStyle w:val="Compact"/>
                    <w:jc w:val="left"/>
                    <w:jc w:val="center"/>
                  </w:pPr>
                  <w:r>
                    <w:t xml:space="preserve">Cognitive Pupil Trait (between-person)</w:t>
                  </w:r>
                </w:p>
              </w:tc>
              <w:tc>
                <w:tcPr/>
                <w:p>
                  <w:pPr>
                    <w:pStyle w:val="Compact"/>
                    <w:jc w:val="right"/>
                    <w:jc w:val="center"/>
                  </w:pPr>
                  <w:r>
                    <w:t xml:space="preserve">-0.0524</w:t>
                  </w:r>
                </w:p>
              </w:tc>
              <w:tc>
                <w:tcPr/>
                <w:p>
                  <w:pPr>
                    <w:pStyle w:val="Compact"/>
                    <w:jc w:val="right"/>
                    <w:jc w:val="center"/>
                  </w:pPr>
                  <w:r>
                    <w:t xml:space="preserve">-0.2309</w:t>
                  </w:r>
                </w:p>
              </w:tc>
              <w:tc>
                <w:tcPr/>
                <w:p>
                  <w:pPr>
                    <w:pStyle w:val="Compact"/>
                    <w:jc w:val="right"/>
                    <w:jc w:val="center"/>
                  </w:pPr>
                  <w:r>
                    <w:t xml:space="preserve">0.1261</w:t>
                  </w:r>
                </w:p>
              </w:tc>
              <w:tc>
                <w:tcPr/>
                <w:p>
                  <w:pPr>
                    <w:pStyle w:val="Compact"/>
                    <w:jc w:val="right"/>
                    <w:jc w:val="center"/>
                  </w:pPr>
                  <w:r>
                    <w:t xml:space="preserve">0.0911</w:t>
                  </w:r>
                </w:p>
              </w:tc>
              <w:tc>
                <w:tcPr/>
                <w:p>
                  <w:pPr>
                    <w:pStyle w:val="Compact"/>
                    <w:jc w:val="right"/>
                    <w:jc w:val="center"/>
                  </w:pPr>
                  <w:r>
                    <w:t xml:space="preserve">-0.5754</w:t>
                  </w:r>
                </w:p>
              </w:tc>
              <w:tc>
                <w:tcPr/>
                <w:p>
                  <w:pPr>
                    <w:pStyle w:val="Compact"/>
                    <w:jc w:val="right"/>
                    <w:jc w:val="center"/>
                  </w:pPr>
                  <w:r>
                    <w:t xml:space="preserve">0.5651</w:t>
                  </w:r>
                </w:p>
              </w:tc>
            </w:tr>
            <w:tr>
              <w:tc>
                <w:tcPr/>
                <w:p>
                  <w:pPr>
                    <w:pStyle w:val="Compact"/>
                    <w:jc w:val="left"/>
                    <w:jc w:val="center"/>
                  </w:pPr>
                  <w:r>
                    <w:t xml:space="preserve">Stimulus Intensity × Pupil State</w:t>
                  </w:r>
                </w:p>
              </w:tc>
              <w:tc>
                <w:tcPr/>
                <w:p>
                  <w:pPr>
                    <w:pStyle w:val="Compact"/>
                    <w:jc w:val="right"/>
                    <w:jc w:val="center"/>
                  </w:pPr>
                  <w:r>
                    <w:t xml:space="preserve">0.0353</w:t>
                  </w:r>
                </w:p>
              </w:tc>
              <w:tc>
                <w:tcPr/>
                <w:p>
                  <w:pPr>
                    <w:pStyle w:val="Compact"/>
                    <w:jc w:val="right"/>
                    <w:jc w:val="center"/>
                  </w:pPr>
                  <w:r>
                    <w:t xml:space="preserve">-0.0242</w:t>
                  </w:r>
                </w:p>
              </w:tc>
              <w:tc>
                <w:tcPr/>
                <w:p>
                  <w:pPr>
                    <w:pStyle w:val="Compact"/>
                    <w:jc w:val="right"/>
                    <w:jc w:val="center"/>
                  </w:pPr>
                  <w:r>
                    <w:t xml:space="preserve">0.0948</w:t>
                  </w:r>
                </w:p>
              </w:tc>
              <w:tc>
                <w:tcPr/>
                <w:p>
                  <w:pPr>
                    <w:pStyle w:val="Compact"/>
                    <w:jc w:val="right"/>
                    <w:jc w:val="center"/>
                  </w:pPr>
                  <w:r>
                    <w:t xml:space="preserve">0.0304</w:t>
                  </w:r>
                </w:p>
              </w:tc>
              <w:tc>
                <w:tcPr/>
                <w:p>
                  <w:pPr>
                    <w:pStyle w:val="Compact"/>
                    <w:jc w:val="right"/>
                    <w:jc w:val="center"/>
                  </w:pPr>
                  <w:r>
                    <w:t xml:space="preserve">1.1629</w:t>
                  </w:r>
                </w:p>
              </w:tc>
              <w:tc>
                <w:tcPr/>
                <w:p>
                  <w:pPr>
                    <w:pStyle w:val="Compact"/>
                    <w:jc w:val="right"/>
                    <w:jc w:val="center"/>
                  </w:pPr>
                  <w:r>
                    <w:t xml:space="preserve">0.2449</w:t>
                  </w:r>
                </w:p>
              </w:tc>
            </w:tr>
          </w:tbl>
          <w:bookmarkEnd w:id="71"/>
          <w:p/>
        </w:tc>
      </w:tr>
    </w:tbl>
    <w:p>
      <w:pPr>
        <w:pStyle w:val="BodyText"/>
      </w:pPr>
      <w:r>
        <w:rPr>
          <w:b/>
          <w:bCs/>
        </w:rPr>
        <w:t xml:space="preserve">Hypothesis Testing:</w:t>
      </w:r>
      <w:r>
        <w:t xml:space="preserve"> </w:t>
      </w:r>
      <w:r>
        <w:t xml:space="preserve">Hypothesis 3a predicted a negative interaction between stimulus intensity and pupil state, consistent with supra-optimal arousal degrading sensitivity and producing shallower psychometric slopes on high-arousal trials.</w:t>
      </w:r>
      <w:r>
        <w:t xml:space="preserve"> </w:t>
      </w:r>
      <w:r>
        <w:rPr>
          <w:b/>
          <w:bCs/>
        </w:rPr>
        <w:t xml:space="preserve">The interaction between stimulus intensity and pupil state was 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w:t>
      </w:r>
      <w:r>
        <w:t xml:space="preserve"> </w:t>
      </w:r>
      <w:hyperlink w:anchor="tbl-pupil-psychometric">
        <w:r>
          <w:rPr>
            <w:rStyle w:val="Hyperlink"/>
          </w:rPr>
          <w:t xml:space="preserve">Table 4</w:t>
        </w:r>
      </w:hyperlink>
      <w:r>
        <w:t xml:space="preserve">). The point estimate was in the</w:t>
      </w:r>
      <w:r>
        <w:t xml:space="preserve"> </w:t>
      </w:r>
      <w:r>
        <w:rPr>
          <w:b/>
          <w:bCs/>
        </w:rPr>
        <w:t xml:space="preserve">opposite direction</w:t>
      </w:r>
      <w:r>
        <w:t xml:space="preserve"> </w:t>
      </w:r>
      <w:r>
        <w:t xml:space="preserve">to Hypothesis 3a (</w:t>
      </w:r>
      <m:oMath>
        <m:r>
          <m:rPr>
            <m:sty m:val="p"/>
          </m:rPr>
          <m:t>S</m:t>
        </m:r>
        <m:r>
          <m:rPr>
            <m:sty m:val="p"/>
          </m:rPr>
          <m:t>E</m:t>
        </m:r>
        <m:r>
          <m:rPr>
            <m:sty m:val="p"/>
          </m:rPr>
          <m:t>=</m:t>
        </m:r>
        <m:r>
          <m:t>0.030</m:t>
        </m:r>
      </m:oMath>
      <w:r>
        <w:t xml:space="preserve">, 95% Wald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z</m:t>
        </m:r>
        <m:r>
          <m:rPr>
            <m:sty m:val="p"/>
          </m:rPr>
          <m:t>=</m:t>
        </m:r>
        <m:r>
          <m:t>1.163</m:t>
        </m:r>
      </m:oMath>
      <w:r>
        <w:t xml:space="preserve">): higher trial-level arousal was associated with marginally steeper (not shallower) slopes, which, if real, would align with the alternative Hypothesis 3b (moderate arousal enhancing sensitivity). The interval is wide enough to include small negative effects, near-null effects, and modest positive effects, which is informative about the precision of the null finding. The negative effort main effect (</w:t>
      </w:r>
      <m:oMath>
        <m:r>
          <m:t>β</m:t>
        </m:r>
        <m:r>
          <m:rPr>
            <m:sty m:val="p"/>
          </m:rPr>
          <m:t>=</m:t>
        </m:r>
        <m:r>
          <m:rPr>
            <m:sty m:val="p"/>
          </m:rPr>
          <m:t>−</m:t>
        </m:r>
        <m:r>
          <m:t>0.139</m:t>
        </m:r>
      </m:oMath>
      <w:r>
        <w:t xml:space="preserve">,</w:t>
      </w:r>
      <w:r>
        <w:t xml:space="preserve"> </w:t>
      </w:r>
      <m:oMath>
        <m:r>
          <m:t>z</m:t>
        </m:r>
        <m:r>
          <m:rPr>
            <m:sty m:val="p"/>
          </m:rPr>
          <m:t>=</m:t>
        </m:r>
        <m:r>
          <m:rPr>
            <m:sty m:val="p"/>
          </m:rPr>
          <m:t>−</m:t>
        </m:r>
        <m:r>
          <m:t>3.023</m:t>
        </m:r>
      </m:oMath>
      <w:r>
        <w:t xml:space="preserve">,</w:t>
      </w:r>
      <w:r>
        <w:t xml:space="preserve"> </w:t>
      </w:r>
      <m:oMath>
        <m:r>
          <m:t>p</m:t>
        </m:r>
        <m:r>
          <m:rPr>
            <m:sty m:val="p"/>
          </m:rPr>
          <m:t>=</m:t>
        </m:r>
        <m:r>
          <m:t>.003</m:t>
        </m:r>
      </m:oMath>
      <w:r>
        <w:t xml:space="preserve">) indicates that High effort reduced overall probability of</w:t>
      </w:r>
      <w:r>
        <w:t xml:space="preserve"> </w:t>
      </w:r>
      <w:r>
        <w:t xml:space="preserve">“different”</w:t>
      </w:r>
      <w:r>
        <w:t xml:space="preserve"> </w:t>
      </w:r>
      <w:r>
        <w:t xml:space="preserve">responding, which is more appropriately described as an intercept or response-tendency shift than as a demonstrated signal-detection-theoretic criterion shift. Pupil state as a main effect approached but did not reach significance (</w:t>
      </w:r>
      <m:oMath>
        <m:r>
          <m:t>β</m:t>
        </m:r>
        <m:r>
          <m:rPr>
            <m:sty m:val="p"/>
          </m:rPr>
          <m:t>=</m:t>
        </m:r>
        <m:r>
          <m:rPr>
            <m:sty m:val="p"/>
          </m:rPr>
          <m:t>−</m:t>
        </m:r>
        <m:r>
          <m:t>0.046</m:t>
        </m:r>
      </m:oMath>
      <w:r>
        <w:t xml:space="preserve">,</w:t>
      </w:r>
      <w:r>
        <w:t xml:space="preserve"> </w:t>
      </w:r>
      <m:oMath>
        <m:r>
          <m:t>z</m:t>
        </m:r>
        <m:r>
          <m:rPr>
            <m:sty m:val="p"/>
          </m:rPr>
          <m:t>=</m:t>
        </m:r>
        <m:r>
          <m:rPr>
            <m:sty m:val="p"/>
          </m:rPr>
          <m:t>−</m:t>
        </m:r>
        <m:r>
          <m:t>1.912</m:t>
        </m:r>
      </m:oMath>
      <w:r>
        <w:t xml:space="preserve">,</w:t>
      </w:r>
      <w:r>
        <w:t xml:space="preserve"> </w:t>
      </w:r>
      <m:oMath>
        <m:r>
          <m:t>p</m:t>
        </m:r>
        <m:r>
          <m:rPr>
            <m:sty m:val="p"/>
          </m:rPr>
          <m:t>=</m:t>
        </m:r>
        <m:r>
          <m:t>.056</m:t>
        </m:r>
      </m:oMath>
      <w:r>
        <w:t xml:space="preserve">), suggesting a marginal tendency for higher arousal to be associated with reduced overall responding. The pupil trait main effect was not significant (</w:t>
      </w:r>
      <m:oMath>
        <m:r>
          <m:t>β</m:t>
        </m:r>
        <m:r>
          <m:rPr>
            <m:sty m:val="p"/>
          </m:rPr>
          <m:t>=</m:t>
        </m:r>
        <m:r>
          <m:rPr>
            <m:sty m:val="p"/>
          </m:rPr>
          <m:t>−</m:t>
        </m:r>
        <m:r>
          <m:t>0.052</m:t>
        </m:r>
      </m:oMath>
      <w:r>
        <w:t xml:space="preserve">,</w:t>
      </w:r>
      <w:r>
        <w:t xml:space="preserve"> </w:t>
      </w:r>
      <m:oMath>
        <m:r>
          <m:t>z</m:t>
        </m:r>
        <m:r>
          <m:rPr>
            <m:sty m:val="p"/>
          </m:rPr>
          <m:t>=</m:t>
        </m:r>
        <m:r>
          <m:rPr>
            <m:sty m:val="p"/>
          </m:rPr>
          <m:t>−</m:t>
        </m:r>
        <m:r>
          <m:t>0.575</m:t>
        </m:r>
      </m:oMath>
      <w:r>
        <w:t xml:space="preserve">,</w:t>
      </w:r>
      <w:r>
        <w:t xml:space="preserve"> </w:t>
      </w:r>
      <m:oMath>
        <m:r>
          <m:t>p</m:t>
        </m:r>
        <m:r>
          <m:rPr>
            <m:sty m:val="p"/>
          </m:rPr>
          <m:t>=</m:t>
        </m:r>
        <m:r>
          <m:t>.565</m:t>
        </m:r>
      </m:oMath>
      <w:r>
        <w:t xml:space="preserve">), consistent with Hypothesis 3c.</w:t>
      </w:r>
    </w:p>
    <w:p>
      <w:pPr>
        <w:pStyle w:val="BodyText"/>
      </w:pPr>
      <w:r>
        <w:rPr>
          <w:b/>
          <w:bCs/>
        </w:rPr>
        <w:t xml:space="preserve">Interpretation of Results:</w:t>
      </w:r>
      <w:r>
        <w:t xml:space="preserve"> </w:t>
      </w:r>
      <w:r>
        <w:t xml:space="preserve">At the primary quality tier, the stimulus intensity</w:t>
      </w:r>
      <w:r>
        <w:t xml:space="preserve"> </w:t>
      </w:r>
      <m:oMath>
        <m:r>
          <m:rPr>
            <m:sty m:val="p"/>
          </m:rPr>
          <m:t>×</m:t>
        </m:r>
      </m:oMath>
      <w:r>
        <w:t xml:space="preserve"> </w:t>
      </w:r>
      <w:r>
        <w:t xml:space="preserve">pupil state interaction was</w:t>
      </w:r>
      <w:r>
        <w:t xml:space="preserve"> </w:t>
      </w:r>
      <w:r>
        <w:rPr>
          <w:b/>
          <w:bCs/>
        </w:rPr>
        <w:t xml:space="preserve">non-significant</w:t>
      </w:r>
      <w:r>
        <w:t xml:space="preserve"> </w:t>
      </w:r>
      <w:r>
        <w:t xml:space="preserve">(</w:t>
      </w:r>
      <m:oMath>
        <m:r>
          <m:t>p</m:t>
        </m:r>
        <m:r>
          <m:rPr>
            <m:sty m:val="p"/>
          </m:rPr>
          <m:t>=</m:t>
        </m:r>
        <m:r>
          <m:t>.245</m:t>
        </m:r>
      </m:oMath>
      <w:r>
        <w:t xml:space="preserve">), and the point estimate was</w:t>
      </w:r>
      <w:r>
        <w:t xml:space="preserve"> </w:t>
      </w:r>
      <w:r>
        <w:rPr>
          <w:b/>
          <w:bCs/>
        </w:rPr>
        <w:t xml:space="preserve">positive</w:t>
      </w:r>
      <w:r>
        <w:t xml:space="preserve">—opposite to Hypothesis 3a. Plausible accounts include limited power, mismatch between the fixed cognitive pupil window and arousal dynamics most relevant to choice, or a weak or null true coupling; pre-specified sensitivity analyses (below and</w:t>
      </w:r>
      <w:r>
        <w:t xml:space="preserve"> </w:t>
      </w:r>
      <w:hyperlink w:anchor="sec-appendix-b">
        <w:r>
          <w:rPr>
            <w:rStyle w:val="Hyperlink"/>
          </w:rPr>
          <w:t xml:space="preserve">Appendix B</w:t>
        </w:r>
      </w:hyperlink>
      <w:r>
        <w:t xml:space="preserve">) qualify this pattern.</w:t>
      </w:r>
    </w:p>
    <w:p>
      <w:pPr>
        <w:pStyle w:val="BodyText"/>
      </w:pPr>
      <w:r>
        <w:t xml:space="preserve">Model-predicted psychometric functions at low (−1 SD) and high (+1 SD) pupil state are shown in</w:t>
      </w:r>
      <w:r>
        <w:t xml:space="preserve"> </w:t>
      </w:r>
      <w:hyperlink w:anchor="sec-appendix-b">
        <w:r>
          <w:rPr>
            <w:rStyle w:val="Hyperlink"/>
          </w:rPr>
          <w:t xml:space="preserve">Appendix B</w:t>
        </w:r>
      </w:hyperlink>
      <w:r>
        <w:t xml:space="preserve"> </w:t>
      </w:r>
      <w:r>
        <w:t xml:space="preserve">(</w:t>
      </w:r>
      <w:hyperlink w:anchor="fig-appendix-b1-predicted">
        <w:r>
          <w:rPr>
            <w:rStyle w:val="Hyperlink"/>
          </w:rPr>
          <w:t xml:space="preserve">Figure 11</w:t>
        </w:r>
      </w:hyperlink>
      <w:r>
        <w:t xml:space="preserve">); the apparent visual separation of curves reflects extrapolation across the full scaled intensity range and should not be interpreted as evidence of a reliable effect given that the interaction was</w:t>
      </w:r>
      <w:r>
        <w:t xml:space="preserve"> </w:t>
      </w:r>
      <w:r>
        <w:rPr>
          <w:b/>
          <w:bCs/>
        </w:rPr>
        <w:t xml:space="preserve">not significant</w:t>
      </w:r>
      <w:r>
        <w:t xml:space="preserve"> </w:t>
      </w:r>
      <w:r>
        <w:t xml:space="preserve">(</w:t>
      </w:r>
      <m:oMath>
        <m:r>
          <m:t>β</m:t>
        </m:r>
        <m:r>
          <m:rPr>
            <m:sty m:val="p"/>
          </m:rPr>
          <m:t>=</m:t>
        </m:r>
        <m:r>
          <m:t>0.035</m:t>
        </m:r>
      </m:oMath>
      <w:r>
        <w:t xml:space="preserve">, 95%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p</m:t>
        </m:r>
        <m:r>
          <m:rPr>
            <m:sty m:val="p"/>
          </m:rPr>
          <m:t>=</m:t>
        </m:r>
        <m:r>
          <m:t>.245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5" w:name="fig-pupil-psychometric"/>
          <w:p>
            <w:pPr>
              <w:pStyle w:val="Compact"/>
              <w:jc w:val="center"/>
            </w:pPr>
            <w:r>
              <w:drawing>
                <wp:inline>
                  <wp:extent cx="5334000" cy="3556000"/>
                  <wp:effectExtent b="0" l="0" r="0" t="0"/>
                  <wp:docPr descr="" title="" id="73" name="Picture"/>
                  <a:graphic>
                    <a:graphicData uri="http://schemas.openxmlformats.org/drawingml/2006/picture">
                      <pic:pic>
                        <pic:nvPicPr>
                          <pic:cNvPr descr="../../../06_visualization/output/figures/fig3_psychometric_by_pupil_state.pn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Psychometric Functions by Pupil State (Primary Analysis). Physical stimulus values per facet row: ADT frequency offsets of 8, 16, 32, 64 Hz above 1000 Hz base; VDT Gabor contrast differences of 0.06, 0.12, 0.24, 0.48.</w:t>
            </w:r>
          </w:p>
          <w:bookmarkEnd w:id="75"/>
        </w:tc>
      </w:tr>
    </w:tbl>
    <w:bookmarkStart w:id="76" w:name="sec-pupil-quality-tier"/>
    <w:p>
      <w:pPr>
        <w:pStyle w:val="Heading3"/>
      </w:pPr>
      <w:r>
        <w:t xml:space="preserve">3.5.1 Robustness checks: quality tiers and equivalence (TOST)</w:t>
      </w:r>
    </w:p>
    <w:p>
      <w:pPr>
        <w:pStyle w:val="FirstParagraph"/>
      </w:pPr>
      <w:r>
        <w:t xml:space="preserve">The stimulus intensity</w:t>
      </w:r>
      <w:r>
        <w:t xml:space="preserve"> </w:t>
      </w:r>
      <m:oMath>
        <m:r>
          <m:rPr>
            <m:sty m:val="p"/>
          </m:rPr>
          <m:t>×</m:t>
        </m:r>
      </m:oMath>
      <w:r>
        <w:t xml:space="preserve"> </w:t>
      </w:r>
      <w:r>
        <w:t xml:space="preserve">pupil state interaction was significant only in the lenient quality tier (</w:t>
      </w:r>
      <m:oMath>
        <m:r>
          <m:t>β</m:t>
        </m:r>
        <m:r>
          <m:rPr>
            <m:sty m:val="p"/>
          </m:rPr>
          <m:t>=</m:t>
        </m:r>
        <m:r>
          <m:rPr>
            <m:sty m:val="p"/>
          </m:rPr>
          <m:t>+</m:t>
        </m:r>
        <m:r>
          <m:t>0.064</m:t>
        </m:r>
      </m:oMath>
      <w:r>
        <w:t xml:space="preserve">,</w:t>
      </w:r>
      <w:r>
        <w:t xml:space="preserve"> </w:t>
      </w:r>
      <m:oMath>
        <m:r>
          <m:t>S</m:t>
        </m:r>
        <m:r>
          <m:t>E</m:t>
        </m:r>
        <m:r>
          <m:rPr>
            <m:sty m:val="p"/>
          </m:rPr>
          <m:t>=</m:t>
        </m:r>
        <m:r>
          <m:t>0.028</m:t>
        </m:r>
      </m:oMath>
      <w:r>
        <w:t xml:space="preserve">,</w:t>
      </w:r>
      <w:r>
        <w:t xml:space="preserve"> </w:t>
      </w:r>
      <m:oMath>
        <m:r>
          <m:t>z</m:t>
        </m:r>
        <m:r>
          <m:rPr>
            <m:sty m:val="p"/>
          </m:rPr>
          <m:t>=</m:t>
        </m:r>
        <m:r>
          <m:t>2.30</m:t>
        </m:r>
      </m:oMath>
      <w:r>
        <w:t xml:space="preserve">,</w:t>
      </w:r>
      <w:r>
        <w:t xml:space="preserve"> </w:t>
      </w:r>
      <m:oMath>
        <m:r>
          <m:t>p</m:t>
        </m:r>
        <m:r>
          <m:rPr>
            <m:sty m:val="p"/>
          </m:rPr>
          <m:t>=</m:t>
        </m:r>
        <m:r>
          <m:t>.021</m:t>
        </m:r>
      </m:oMath>
      <w:r>
        <w:t xml:space="preserve">), but did not persist in the primary tier (</w:t>
      </w:r>
      <m:oMath>
        <m:r>
          <m:t>β</m:t>
        </m:r>
        <m:r>
          <m:rPr>
            <m:sty m:val="p"/>
          </m:rPr>
          <m:t>=</m:t>
        </m:r>
        <m:r>
          <m:rPr>
            <m:sty m:val="p"/>
          </m:rPr>
          <m:t>+</m:t>
        </m:r>
        <m:r>
          <m:t>0.035</m:t>
        </m:r>
      </m:oMath>
      <w:r>
        <w:t xml:space="preserve">,</w:t>
      </w:r>
      <w:r>
        <w:t xml:space="preserve"> </w:t>
      </w:r>
      <m:oMath>
        <m:r>
          <m:t>S</m:t>
        </m:r>
        <m:r>
          <m:t>E</m:t>
        </m:r>
        <m:r>
          <m:rPr>
            <m:sty m:val="p"/>
          </m:rPr>
          <m:t>=</m:t>
        </m:r>
        <m:r>
          <m:t>0.030</m:t>
        </m:r>
      </m:oMath>
      <w:r>
        <w:t xml:space="preserve">,</w:t>
      </w:r>
      <w:r>
        <w:t xml:space="preserve"> </w:t>
      </w:r>
      <m:oMath>
        <m:r>
          <m:t>z</m:t>
        </m:r>
        <m:r>
          <m:rPr>
            <m:sty m:val="p"/>
          </m:rPr>
          <m:t>=</m:t>
        </m:r>
        <m:r>
          <m:t>1.163</m:t>
        </m:r>
      </m:oMath>
      <w:r>
        <w:t xml:space="preserve">,</w:t>
      </w:r>
      <w:r>
        <w:t xml:space="preserve"> </w:t>
      </w:r>
      <m:oMath>
        <m:r>
          <m:t>p</m:t>
        </m:r>
        <m:r>
          <m:rPr>
            <m:sty m:val="p"/>
          </m:rPr>
          <m:t>=</m:t>
        </m:r>
        <m:r>
          <m:t>.245</m:t>
        </m:r>
      </m:oMath>
      <w:r>
        <w:t xml:space="preserve">) or the strict tier (</w:t>
      </w:r>
      <m:oMath>
        <m:r>
          <m:t>β</m:t>
        </m:r>
        <m:r>
          <m:rPr>
            <m:sty m:val="p"/>
          </m:rPr>
          <m:t>=</m:t>
        </m:r>
        <m:r>
          <m:rPr>
            <m:sty m:val="p"/>
          </m:rPr>
          <m:t>+</m:t>
        </m:r>
        <m:r>
          <m:t>0.039</m:t>
        </m:r>
      </m:oMath>
      <w:r>
        <w:t xml:space="preserve">,</w:t>
      </w:r>
      <w:r>
        <w:t xml:space="preserve"> </w:t>
      </w:r>
      <m:oMath>
        <m:r>
          <m:t>S</m:t>
        </m:r>
        <m:r>
          <m:t>E</m:t>
        </m:r>
        <m:r>
          <m:rPr>
            <m:sty m:val="p"/>
          </m:rPr>
          <m:t>=</m:t>
        </m:r>
        <m:r>
          <m:t>0.032</m:t>
        </m:r>
      </m:oMath>
      <w:r>
        <w:t xml:space="preserve">,</w:t>
      </w:r>
      <w:r>
        <w:t xml:space="preserve"> </w:t>
      </w:r>
      <m:oMath>
        <m:r>
          <m:t>z</m:t>
        </m:r>
        <m:r>
          <m:rPr>
            <m:sty m:val="p"/>
          </m:rPr>
          <m:t>=</m:t>
        </m:r>
        <m:r>
          <m:t>1.213</m:t>
        </m:r>
      </m:oMath>
      <w:r>
        <w:t xml:space="preserve">,</w:t>
      </w:r>
      <w:r>
        <w:t xml:space="preserve"> </w:t>
      </w:r>
      <m:oMath>
        <m:r>
          <m:t>p</m:t>
        </m:r>
        <m:r>
          <m:rPr>
            <m:sty m:val="p"/>
          </m:rPr>
          <m:t>=</m:t>
        </m:r>
        <m:r>
          <m:t>.225</m:t>
        </m:r>
      </m:oMath>
      <w:r>
        <w:t xml:space="preserve">). This inconsistency across quality tiers indicates the effect is not robust: the lenient tier includes trials with lower data quality, and the lenient-tier significance likely reflects greater statistical power from the larger trial count rather than a consistent signal. AIC comparison showed the model without the interaction term fit marginally better (Without: 4187.47; With: 4188.13;</w:t>
      </w:r>
      <w:r>
        <w:t xml:space="preserve"> </w:t>
      </w:r>
      <m:oMath>
        <m:r>
          <m:t>Δ</m:t>
        </m:r>
      </m:oMath>
      <w:r>
        <w:t xml:space="preserve">AIC = 0.66), consistent with the non-significant interaction coefficient. Supplementary tier-wise output and AIC tables appear in</w:t>
      </w:r>
      <w:r>
        <w:t xml:space="preserve"> </w:t>
      </w:r>
      <w:hyperlink w:anchor="sec-appendix-b">
        <w:r>
          <w:rPr>
            <w:rStyle w:val="Hyperlink"/>
          </w:rPr>
          <w:t xml:space="preserve">Appendix B</w:t>
        </w:r>
      </w:hyperlink>
      <w:r>
        <w:t xml:space="preserve">.</w:t>
      </w:r>
    </w:p>
    <w:p>
      <w:pPr>
        <w:pStyle w:val="BodyText"/>
      </w:pPr>
      <w:r>
        <w:t xml:space="preserve">The slow-RT sensitivity subset (trials with RT &gt; 1.5 s,</w:t>
      </w:r>
      <w:r>
        <w:t xml:space="preserve"> </w:t>
      </w:r>
      <w:r>
        <w:rPr>
          <w:i/>
          <w:iCs/>
        </w:rPr>
        <w:t xml:space="preserve">N</w:t>
      </w:r>
      <w:r>
        <w:t xml:space="preserve"> </w:t>
      </w:r>
      <w:r>
        <w:t xml:space="preserve">= 940 trials from 52 participants) yielded</w:t>
      </w:r>
      <w:r>
        <w:t xml:space="preserve"> </w:t>
      </w:r>
      <m:oMath>
        <m:r>
          <m:t>β</m:t>
        </m:r>
      </m:oMath>
      <w:r>
        <w:t xml:space="preserve"> </w:t>
      </w:r>
      <w:r>
        <w:t xml:space="preserve">= −0.071,</w:t>
      </w:r>
      <w:r>
        <w:t xml:space="preserve"> </w:t>
      </w:r>
      <w:r>
        <w:rPr>
          <w:i/>
          <w:iCs/>
        </w:rPr>
        <w:t xml:space="preserve">SE</w:t>
      </w:r>
      <w:r>
        <w:t xml:space="preserve"> </w:t>
      </w:r>
      <w:r>
        <w:t xml:space="preserve">= 0.051,</w:t>
      </w:r>
      <w:r>
        <w:t xml:space="preserve"> </w:t>
      </w:r>
      <w:r>
        <w:rPr>
          <w:i/>
          <w:iCs/>
        </w:rPr>
        <w:t xml:space="preserve">z</w:t>
      </w:r>
      <w:r>
        <w:t xml:space="preserve"> </w:t>
      </w:r>
      <w:r>
        <w:t xml:space="preserve">= −1.39,</w:t>
      </w:r>
      <w:r>
        <w:t xml:space="preserve"> </w:t>
      </w:r>
      <w:r>
        <w:rPr>
          <w:i/>
          <w:iCs/>
        </w:rPr>
        <w:t xml:space="preserve">p</w:t>
      </w:r>
      <w:r>
        <w:t xml:space="preserve"> </w:t>
      </w:r>
      <w:r>
        <w:t xml:space="preserve">= .164 — opposite in sign to the primary-tier estimate (</w:t>
      </w:r>
      <m:oMath>
        <m:r>
          <m:t>β</m:t>
        </m:r>
      </m:oMath>
      <w:r>
        <w:t xml:space="preserve"> </w:t>
      </w:r>
      <w:r>
        <w:t xml:space="preserve">= +0.035). This sign reversal means motor contamination of the cognitive pupil window cannot be excluded as a partial contributor to the primary-tier pattern, though neither analysis supports a reliable interaction. Taken together, there is no robust evidence for moment-to-moment pupil state modulating psychometric sensitivity at the primary analysis level.</w:t>
      </w:r>
    </w:p>
    <w:p>
      <w:pPr>
        <w:pStyle w:val="BodyText"/>
      </w:pPr>
      <w:r>
        <w:t xml:space="preserve">Equivalence was tested with two one-sided tests (TOST) using a pre-specified smallest effect size of interest (SESOI) of</w:t>
      </w:r>
      <w:r>
        <w:t xml:space="preserve"> </w:t>
      </w:r>
      <m:oMath>
        <m:r>
          <m:rPr>
            <m:sty m:val="p"/>
          </m:rPr>
          <m:t>±</m:t>
        </m:r>
        <m:r>
          <m:t>0.10</m:t>
        </m:r>
      </m:oMath>
      <w:r>
        <w:t xml:space="preserve"> </w:t>
      </w:r>
      <w:r>
        <w:t xml:space="preserve">probit units (≈7.6% of the main intensity slope; rationale in</w:t>
      </w:r>
      <w:r>
        <w:t xml:space="preserve"> </w:t>
      </w:r>
      <w:hyperlink w:anchor="sec-sesoi-rationale">
        <w:hyperlink w:anchor="sec-sesoi-rationale">
          <w:r>
            <w:rPr>
              <w:rStyle w:val="Hyperlink"/>
            </w:rPr>
            <w:t xml:space="preserve">Section 4.3.3</w:t>
          </w:r>
        </w:hyperlink>
      </w:hyperlink>
      <w:r>
        <w:t xml:space="preserve">). The 90% confidence interval for the interaction term (</w:t>
      </w:r>
      <m:oMath>
        <m:r>
          <m:rPr>
            <m:sty m:val="p"/>
          </m:rPr>
          <m:t>L</m:t>
        </m:r>
        <m:r>
          <m:rPr>
            <m:sty m:val="p"/>
          </m:rPr>
          <m:t>B</m:t>
        </m:r>
        <m:r>
          <m:rPr>
            <m:sty m:val="p"/>
          </m:rPr>
          <m:t>=</m:t>
        </m:r>
        <m:r>
          <m:rPr>
            <m:sty m:val="p"/>
          </m:rPr>
          <m:t>−</m:t>
        </m:r>
        <m:r>
          <m:t>0.015</m:t>
        </m:r>
      </m:oMath>
      <w:r>
        <w:t xml:space="preserve">,</w:t>
      </w:r>
      <w:r>
        <w:t xml:space="preserve"> </w:t>
      </w:r>
      <m:oMath>
        <m:r>
          <m:rPr>
            <m:sty m:val="p"/>
          </m:rPr>
          <m:t>U</m:t>
        </m:r>
        <m:r>
          <m:rPr>
            <m:sty m:val="p"/>
          </m:rPr>
          <m:t>B</m:t>
        </m:r>
        <m:r>
          <m:rPr>
            <m:sty m:val="p"/>
          </m:rPr>
          <m:t>=</m:t>
        </m:r>
        <m:r>
          <m:rPr>
            <m:sty m:val="p"/>
          </m:rPr>
          <m:t>+</m:t>
        </m:r>
        <m:r>
          <m:t>0.085</m:t>
        </m:r>
      </m:oMath>
      <w:r>
        <w:t xml:space="preserve">) fell entirely within the pre-specified equivalence bounds of</w:t>
      </w:r>
      <w:r>
        <w:t xml:space="preserve"> </w:t>
      </w:r>
      <m:oMath>
        <m:r>
          <m:rPr>
            <m:sty m:val="p"/>
          </m:rPr>
          <m:t>±</m:t>
        </m:r>
        <m:r>
          <m:t>0.10</m:t>
        </m:r>
      </m:oMath>
      <w:r>
        <w:t xml:space="preserve"> </w:t>
      </w:r>
      <w:r>
        <w:t xml:space="preserve">probit units. Both one-sided tests were significant (lower bound:</w:t>
      </w:r>
      <w:r>
        <w:t xml:space="preserve"> </w:t>
      </w:r>
      <m:oMath>
        <m:r>
          <m:t>z</m:t>
        </m:r>
        <m:r>
          <m:rPr>
            <m:sty m:val="p"/>
          </m:rPr>
          <m:t>=</m:t>
        </m:r>
        <m:r>
          <m:t>4.50</m:t>
        </m:r>
      </m:oMath>
      <w:r>
        <w:t xml:space="preserve">,</w:t>
      </w:r>
      <w:r>
        <w:t xml:space="preserve"> </w:t>
      </w:r>
      <m:oMath>
        <m:r>
          <m:t>p</m:t>
        </m:r>
        <m:r>
          <m:rPr>
            <m:sty m:val="p"/>
          </m:rPr>
          <m:t>&lt;</m:t>
        </m:r>
        <m:r>
          <m:t>.001</m:t>
        </m:r>
      </m:oMath>
      <w:r>
        <w:t xml:space="preserve">; upper bound:</w:t>
      </w:r>
      <w:r>
        <w:t xml:space="preserve"> </w:t>
      </w:r>
      <m:oMath>
        <m:r>
          <m:t>z</m:t>
        </m:r>
        <m:r>
          <m:rPr>
            <m:sty m:val="p"/>
          </m:rPr>
          <m:t>=</m:t>
        </m:r>
        <m:r>
          <m:rPr>
            <m:sty m:val="p"/>
          </m:rPr>
          <m:t>−</m:t>
        </m:r>
        <m:r>
          <m:t>2.17</m:t>
        </m:r>
      </m:oMath>
      <w:r>
        <w:t xml:space="preserve">,</w:t>
      </w:r>
      <w:r>
        <w:t xml:space="preserve"> </w:t>
      </w:r>
      <m:oMath>
        <m:r>
          <m:t>p</m:t>
        </m:r>
        <m:r>
          <m:rPr>
            <m:sty m:val="p"/>
          </m:rPr>
          <m:t>=</m:t>
        </m:r>
        <m:r>
          <m:t>.015</m:t>
        </m:r>
      </m:oMath>
      <w:r>
        <w:t xml:space="preserve">), so the data are</w:t>
      </w:r>
      <w:r>
        <w:t xml:space="preserve"> </w:t>
      </w:r>
      <w:r>
        <w:rPr>
          <w:b/>
          <w:bCs/>
        </w:rPr>
        <w:t xml:space="preserve">consistent with equivalence</w:t>
      </w:r>
      <w:r>
        <w:t xml:space="preserve"> </w:t>
      </w:r>
      <w:r>
        <w:t xml:space="preserve">to zero at this SESOI: coupling effects larger in magnitude than</w:t>
      </w:r>
      <w:r>
        <w:t xml:space="preserve"> </w:t>
      </w:r>
      <m:oMath>
        <m:r>
          <m:rPr>
            <m:sty m:val="p"/>
          </m:rPr>
          <m:t>±</m:t>
        </m:r>
        <m:r>
          <m:t>0.10</m:t>
        </m:r>
      </m:oMath>
      <w:r>
        <w:t xml:space="preserve"> </w:t>
      </w:r>
      <w:r>
        <w:t xml:space="preserve">probit units are statistically incompatible with the estimate. The frequentist null hypothesis (</w:t>
      </w:r>
      <m:oMath>
        <m:r>
          <m:t>β</m:t>
        </m:r>
        <m:r>
          <m:rPr>
            <m:sty m:val="p"/>
          </m:rPr>
          <m:t>=</m:t>
        </m:r>
        <m:r>
          <m:t>0</m:t>
        </m:r>
      </m:oMath>
      <w:r>
        <w:t xml:space="preserve">) was not rejected at</w:t>
      </w:r>
      <w:r>
        <w:t xml:space="preserve"> </w:t>
      </w:r>
      <m:oMath>
        <m:r>
          <m:t>α</m:t>
        </m:r>
        <m:r>
          <m:rPr>
            <m:sty m:val="p"/>
          </m:rPr>
          <m:t>=</m:t>
        </m:r>
        <m:r>
          <m:t>.05</m:t>
        </m:r>
      </m:oMath>
      <w:r>
        <w:t xml:space="preserve">, but the equivalence framing implies that any non-null coupling, if present, is</w:t>
      </w:r>
      <w:r>
        <w:t xml:space="preserve"> </w:t>
      </w:r>
      <w:r>
        <w:rPr>
          <w:b/>
          <w:bCs/>
        </w:rPr>
        <w:t xml:space="preserve">negligible</w:t>
      </w:r>
      <w:r>
        <w:t xml:space="preserve"> </w:t>
      </w:r>
      <w:r>
        <w:t xml:space="preserve">relative to the SESOI rather than that the study was simply underpowered to detect the point estimate.</w:t>
      </w:r>
    </w:p>
    <w:bookmarkEnd w:id="76"/>
    <w:bookmarkEnd w:id="77"/>
    <w:bookmarkStart w:id="87"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78" w:name="tbl-pf-pupil-correlations"/>
          <w:p>
            <w:pPr>
              <w:jc w:val="center"/>
            </w:pPr>
            <w:pPr>
              <w:jc w:val="start"/>
              <w:spacing w:before="200"/>
              <w:pStyle w:val="ImageCaption"/>
            </w:pPr>
            <w:r>
              <w:t xml:space="preserve">Table 5: Subject-Level Correlations by Task: ΔPupil vs ΔPF Parameters</w:t>
            </w:r>
          </w:p>
          <w:tbl>
            <w:tblPr>
              <w:tblStyle w:val="Table"/>
              <w:tblW w:type="pct" w:w="5000"/>
              <w:tblLayout w:type="fixed"/>
              <w:tblLook w:firstRow="1" w:lastRow="0" w:firstColumn="0" w:lastColumn="0" w:noHBand="0" w:noVBand="0" w:val="0020"/>
            </w:tblPr>
            <w:tblGrid>
              <w:gridCol w:w="600"/>
              <w:gridCol w:w="1680"/>
              <w:gridCol w:w="1560"/>
              <w:gridCol w:w="840"/>
              <w:gridCol w:w="1080"/>
              <w:gridCol w:w="1080"/>
              <w:gridCol w:w="720"/>
              <w:gridCol w:w="360"/>
            </w:tblGrid>
            <w:tr>
              <w:trPr>
                <w:tblHeader w:val="on"/>
              </w:trPr>
              <w:tc>
                <w:tcPr/>
                <w:p>
                  <w:pPr>
                    <w:pStyle w:val="Compact"/>
                    <w:jc w:val="left"/>
                    <w:jc w:val="center"/>
                  </w:pPr>
                  <w:r>
                    <w:t xml:space="preserve">Task</w:t>
                  </w:r>
                </w:p>
              </w:tc>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0.006</w:t>
                  </w:r>
                </w:p>
              </w:tc>
              <w:tc>
                <w:tcPr/>
                <w:p>
                  <w:pPr>
                    <w:pStyle w:val="Compact"/>
                    <w:jc w:val="right"/>
                    <w:jc w:val="center"/>
                  </w:pPr>
                  <w:r>
                    <w:t xml:space="preserve">-0.328</w:t>
                  </w:r>
                </w:p>
              </w:tc>
              <w:tc>
                <w:tcPr/>
                <w:p>
                  <w:pPr>
                    <w:pStyle w:val="Compact"/>
                    <w:jc w:val="right"/>
                    <w:jc w:val="center"/>
                  </w:pPr>
                  <w:r>
                    <w:t xml:space="preserve">0.339</w:t>
                  </w:r>
                </w:p>
              </w:tc>
              <w:tc>
                <w:tcPr/>
                <w:p>
                  <w:pPr>
                    <w:pStyle w:val="Compact"/>
                    <w:jc w:val="right"/>
                    <w:jc w:val="center"/>
                  </w:pPr>
                  <w:r>
                    <w:t xml:space="preserve">0.972</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-0.012</w:t>
                  </w:r>
                </w:p>
              </w:tc>
              <w:tc>
                <w:tcPr/>
                <w:p>
                  <w:pPr>
                    <w:pStyle w:val="Compact"/>
                    <w:jc w:val="right"/>
                    <w:jc w:val="center"/>
                  </w:pPr>
                  <w:r>
                    <w:t xml:space="preserve">-0.344</w:t>
                  </w:r>
                </w:p>
              </w:tc>
              <w:tc>
                <w:tcPr/>
                <w:p>
                  <w:pPr>
                    <w:pStyle w:val="Compact"/>
                    <w:jc w:val="right"/>
                    <w:jc w:val="center"/>
                  </w:pPr>
                  <w:r>
                    <w:t xml:space="preserve">0.322</w:t>
                  </w:r>
                </w:p>
              </w:tc>
              <w:tc>
                <w:tcPr/>
                <w:p>
                  <w:pPr>
                    <w:pStyle w:val="Compact"/>
                    <w:jc w:val="right"/>
                    <w:jc w:val="center"/>
                  </w:pPr>
                  <w:r>
                    <w:t xml:space="preserve">0.944</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-0.335</w:t>
                  </w:r>
                </w:p>
              </w:tc>
              <w:tc>
                <w:tcPr/>
                <w:p>
                  <w:pPr>
                    <w:pStyle w:val="Compact"/>
                    <w:jc w:val="right"/>
                    <w:jc w:val="center"/>
                  </w:pPr>
                  <w:r>
                    <w:t xml:space="preserve">0.332</w:t>
                  </w:r>
                </w:p>
              </w:tc>
              <w:tc>
                <w:tcPr/>
                <w:p>
                  <w:pPr>
                    <w:pStyle w:val="Compact"/>
                    <w:jc w:val="right"/>
                    <w:jc w:val="center"/>
                  </w:pPr>
                  <w:r>
                    <w:t xml:space="preserve">0.991</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0.014</w:t>
                  </w:r>
                </w:p>
              </w:tc>
              <w:tc>
                <w:tcPr/>
                <w:p>
                  <w:pPr>
                    <w:pStyle w:val="Compact"/>
                    <w:jc w:val="right"/>
                    <w:jc w:val="center"/>
                  </w:pPr>
                  <w:r>
                    <w:t xml:space="preserve">-0.320</w:t>
                  </w:r>
                </w:p>
              </w:tc>
              <w:tc>
                <w:tcPr/>
                <w:p>
                  <w:pPr>
                    <w:pStyle w:val="Compact"/>
                    <w:jc w:val="right"/>
                    <w:jc w:val="center"/>
                  </w:pPr>
                  <w:r>
                    <w:t xml:space="preserve">0.346</w:t>
                  </w:r>
                </w:p>
              </w:tc>
              <w:tc>
                <w:tcPr/>
                <w:p>
                  <w:pPr>
                    <w:pStyle w:val="Compact"/>
                    <w:jc w:val="right"/>
                    <w:jc w:val="center"/>
                  </w:pPr>
                  <w:r>
                    <w:t xml:space="preserve">0.935</w:t>
                  </w:r>
                </w:p>
              </w:tc>
              <w:tc>
                <w:tcPr/>
                <w:p>
                  <w:pPr>
                    <w:pStyle w:val="Compact"/>
                    <w:jc w:val="right"/>
                    <w:jc w:val="center"/>
                  </w:pPr>
                  <w:r>
                    <w:t xml:space="preserve">35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-0.027</w:t>
                  </w:r>
                </w:p>
              </w:tc>
              <w:tc>
                <w:tcPr/>
                <w:p>
                  <w:pPr>
                    <w:pStyle w:val="Compact"/>
                    <w:jc w:val="right"/>
                    <w:jc w:val="center"/>
                  </w:pPr>
                  <w:r>
                    <w:t xml:space="preserve">-0.318</w:t>
                  </w:r>
                </w:p>
              </w:tc>
              <w:tc>
                <w:tcPr/>
                <w:p>
                  <w:pPr>
                    <w:pStyle w:val="Compact"/>
                    <w:jc w:val="right"/>
                    <w:jc w:val="center"/>
                  </w:pPr>
                  <w:r>
                    <w:t xml:space="preserve">0.269</w:t>
                  </w:r>
                </w:p>
              </w:tc>
              <w:tc>
                <w:tcPr/>
                <w:p>
                  <w:pPr>
                    <w:pStyle w:val="Compact"/>
                    <w:jc w:val="right"/>
                    <w:jc w:val="center"/>
                  </w:pPr>
                  <w:r>
                    <w:t xml:space="preserve">0.862</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-0.169</w:t>
                  </w:r>
                </w:p>
              </w:tc>
              <w:tc>
                <w:tcPr/>
                <w:p>
                  <w:pPr>
                    <w:pStyle w:val="Compact"/>
                    <w:jc w:val="right"/>
                    <w:jc w:val="center"/>
                  </w:pPr>
                  <w:r>
                    <w:t xml:space="preserve">-0.441</w:t>
                  </w:r>
                </w:p>
              </w:tc>
              <w:tc>
                <w:tcPr/>
                <w:p>
                  <w:pPr>
                    <w:pStyle w:val="Compact"/>
                    <w:jc w:val="right"/>
                    <w:jc w:val="center"/>
                  </w:pPr>
                  <w:r>
                    <w:t xml:space="preserve">0.131</w:t>
                  </w:r>
                </w:p>
              </w:tc>
              <w:tc>
                <w:tcPr/>
                <w:p>
                  <w:pPr>
                    <w:pStyle w:val="Compact"/>
                    <w:jc w:val="right"/>
                    <w:jc w:val="center"/>
                  </w:pPr>
                  <w:r>
                    <w:t xml:space="preserve">0.267</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-0.139</w:t>
                  </w:r>
                </w:p>
              </w:tc>
              <w:tc>
                <w:tcPr/>
                <w:p>
                  <w:pPr>
                    <w:pStyle w:val="Compact"/>
                    <w:jc w:val="right"/>
                    <w:jc w:val="center"/>
                  </w:pPr>
                  <w:r>
                    <w:t xml:space="preserve">-0.416</w:t>
                  </w:r>
                </w:p>
              </w:tc>
              <w:tc>
                <w:tcPr/>
                <w:p>
                  <w:pPr>
                    <w:pStyle w:val="Compact"/>
                    <w:jc w:val="right"/>
                    <w:jc w:val="center"/>
                  </w:pPr>
                  <w:r>
                    <w:t xml:space="preserve">0.161</w:t>
                  </w:r>
                </w:p>
              </w:tc>
              <w:tc>
                <w:tcPr/>
                <w:p>
                  <w:pPr>
                    <w:pStyle w:val="Compact"/>
                    <w:jc w:val="right"/>
                    <w:jc w:val="center"/>
                  </w:pPr>
                  <w:r>
                    <w:t xml:space="preserve">0.363</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-0.183</w:t>
                  </w:r>
                </w:p>
              </w:tc>
              <w:tc>
                <w:tcPr/>
                <w:p>
                  <w:pPr>
                    <w:pStyle w:val="Compact"/>
                    <w:jc w:val="right"/>
                    <w:jc w:val="center"/>
                  </w:pPr>
                  <w:r>
                    <w:t xml:space="preserve">-0.452</w:t>
                  </w:r>
                </w:p>
              </w:tc>
              <w:tc>
                <w:tcPr/>
                <w:p>
                  <w:pPr>
                    <w:pStyle w:val="Compact"/>
                    <w:jc w:val="right"/>
                    <w:jc w:val="center"/>
                  </w:pPr>
                  <w:r>
                    <w:t xml:space="preserve">0.117</w:t>
                  </w:r>
                </w:p>
              </w:tc>
              <w:tc>
                <w:tcPr/>
                <w:p>
                  <w:pPr>
                    <w:pStyle w:val="Compact"/>
                    <w:jc w:val="right"/>
                    <w:jc w:val="center"/>
                  </w:pPr>
                  <w:r>
                    <w:t xml:space="preserve">0.229</w:t>
                  </w:r>
                </w:p>
              </w:tc>
              <w:tc>
                <w:tcPr/>
                <w:p>
                  <w:pPr>
                    <w:pStyle w:val="Compact"/>
                    <w:jc w:val="right"/>
                    <w:jc w:val="center"/>
                  </w:pPr>
                  <w:r>
                    <w:t xml:space="preserve">45</w:t>
                  </w:r>
                </w:p>
              </w:tc>
            </w:tr>
          </w:tbl>
          <w:bookmarkEnd w:id="78"/>
          <w:p/>
        </w:tc>
      </w:tr>
    </w:tbl>
    <w:p>
      <w:pPr>
        <w:pStyle w:val="BodyText"/>
      </w:pPr>
      <w:r>
        <w:t xml:space="preserve">Subject-level coupling between effort-evoked pupil changes and behavioral PF parameters was assessed via the correlation matrix shown in</w:t>
      </w:r>
      <w:r>
        <w:t xml:space="preserve"> </w:t>
      </w:r>
      <w:hyperlink w:anchor="tbl-pf-pupil-correlations">
        <w:r>
          <w:rPr>
            <w:rStyle w:val="Hyperlink"/>
          </w:rPr>
          <w:t xml:space="preserve">Table 5</w:t>
        </w:r>
      </w:hyperlink>
      <w:r>
        <w:t xml:space="preserve">. Coupling analyses require valid PF change scores (PF-valid sample;</w:t>
      </w:r>
      <w:r>
        <w:t xml:space="preserve"> </w:t>
      </w:r>
      <w:hyperlink w:anchor="sec-analytic-samples">
        <w:r>
          <w:rPr>
            <w:rStyle w:val="Hyperlink"/>
          </w:rPr>
          <w:t xml:space="preserve">Section 2.4.1</w:t>
        </w:r>
      </w:hyperlink>
      <w:r>
        <w:t xml:space="preserve">) and primary-tier pupil data in</w:t>
      </w:r>
      <w:r>
        <w:t xml:space="preserve"> </w:t>
      </w:r>
      <w:r>
        <w:rPr>
          <w:b/>
          <w:bCs/>
        </w:rPr>
        <w:t xml:space="preserve">both</w:t>
      </w:r>
      <w:r>
        <w:t xml:space="preserve"> </w:t>
      </w:r>
      <w:r>
        <w:t xml:space="preserve">effort conditions, so</w:t>
      </w:r>
      <w:r>
        <w:t xml:space="preserve"> </w:t>
      </w:r>
      <w:r>
        <w:rPr>
          <w:i/>
          <w:iCs/>
        </w:rPr>
        <w:t xml:space="preserve">N</w:t>
      </w:r>
      <w:r>
        <w:t xml:space="preserve"> </w:t>
      </w:r>
      <w:r>
        <w:t xml:space="preserve">is smaller than either stream alone.</w:t>
      </w:r>
    </w:p>
    <w:p>
      <w:pPr>
        <w:pStyle w:val="BodyText"/>
      </w:pP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w:t>
      </w:r>
    </w:p>
    <w:tbl>
      <w:tblPr>
        <w:tblStyle w:val="Table"/>
        <w:tblW w:type="pct" w:w="5000"/>
        <w:tblLayout w:type="fixed"/>
        <w:tblLook w:firstRow="0" w:lastRow="0" w:firstColumn="0" w:lastColumn="0" w:noHBand="0" w:noVBand="0" w:val="0000"/>
      </w:tblPr>
      <w:tblGrid>
        <w:gridCol w:w="7920"/>
      </w:tblGrid>
      <w:tr>
        <w:tc>
          <w:tcPr/>
          <w:bookmarkStart w:id="82" w:name="fig-subject-coupling-threshold"/>
          <w:p>
            <w:pPr>
              <w:pStyle w:val="Compact"/>
              <w:jc w:val="center"/>
            </w:pPr>
            <w:r>
              <w:drawing>
                <wp:inline>
                  <wp:extent cx="5334000" cy="4000499"/>
                  <wp:effectExtent b="0" l="0" r="0" t="0"/>
                  <wp:docPr descr="" title="" id="80" name="Picture"/>
                  <a:graphic>
                    <a:graphicData uri="http://schemas.openxmlformats.org/drawingml/2006/picture">
                      <pic:pic>
                        <pic:nvPicPr>
                          <pic:cNvPr descr="../../../06_visualization/output/figures/pf_pupil_coupling_threshold.png" id="81" name="Picture"/>
                          <pic:cNvPicPr>
                            <a:picLocks noChangeArrowheads="1" noChangeAspect="1"/>
                          </pic:cNvPicPr>
                        </pic:nvPicPr>
                        <pic:blipFill>
                          <a:blip r:embed="rId7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Subject-level PF–Pupil Coupling: Threshold. Each panel shows the correlation between effort-evoked change in pupil AUC (Δpupil = High − Low) and effort-evoked change in threshold (Δthreshold = High − Low) for ADT (left) and VDT (right). Panels use task-specific y-axis scales because threshold units differ by modality.</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ubject-coupling-slope"/>
          <w:p>
            <w:pPr>
              <w:pStyle w:val="Compact"/>
              <w:jc w:val="center"/>
            </w:pPr>
            <w:r>
              <w:drawing>
                <wp:inline>
                  <wp:extent cx="5334000" cy="4000499"/>
                  <wp:effectExtent b="0" l="0" r="0" t="0"/>
                  <wp:docPr descr="" title="" id="84" name="Picture"/>
                  <a:graphic>
                    <a:graphicData uri="http://schemas.openxmlformats.org/drawingml/2006/picture">
                      <pic:pic>
                        <pic:nvPicPr>
                          <pic:cNvPr descr="../../../06_visualization/output/figures/pf_pupil_coupling_slope.png" id="85" name="Picture"/>
                          <pic:cNvPicPr>
                            <a:picLocks noChangeArrowheads="1" noChangeAspect="1"/>
                          </pic:cNvPicPr>
                        </pic:nvPicPr>
                        <pic:blipFill>
                          <a:blip r:embed="rId8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Subject-level PF–Pupil Coupling: Slope. Each panel shows the correlation between effort-evoked change in pupil AUC (Δpupil = High − Low) and effort-evoked change in PF slope (Δslope = High − Low) for ADT (left) and VDT (right). Panels use task-specific y-axis scales.</w:t>
            </w:r>
          </w:p>
          <w:bookmarkEnd w:id="86"/>
        </w:tc>
      </w:tr>
    </w:tbl>
    <w:p>
      <w:pPr>
        <w:pStyle w:val="BodyText"/>
      </w:pPr>
      <w:r>
        <w:t xml:space="preserve">The full pairwise correlation matrix across ΔCognitive AUC, ΔTotal AUC, ΔThreshold, and ΔSlope is shown in</w:t>
      </w:r>
      <w:r>
        <w:t xml:space="preserve"> </w:t>
      </w:r>
      <w:hyperlink w:anchor="sec-appendix-d">
        <w:r>
          <w:rPr>
            <w:rStyle w:val="Hyperlink"/>
          </w:rPr>
          <w:t xml:space="preserve">Appendix D</w:t>
        </w:r>
      </w:hyperlink>
      <w:r>
        <w:t xml:space="preserve">.</w:t>
      </w:r>
    </w:p>
    <w:p>
      <w:pPr>
        <w:pStyle w:val="BodyText"/>
      </w:pPr>
      <w:r>
        <w:t xml:space="preserve">One exploratory pattern deserves note: a significant negative association emerged between effort-evoked changes in Cognitive AUC and Total AUC (r = −0.352, p &lt; .01), so participants with larger total-arousal increases under High effort showed larger</w:t>
      </w:r>
      <w:r>
        <w:t xml:space="preserve"> </w:t>
      </w:r>
      <w:r>
        <w:rPr>
          <w:i/>
          <w:iCs/>
        </w:rPr>
        <w:t xml:space="preserve">reductions</w:t>
      </w:r>
      <w:r>
        <w:t xml:space="preserve"> </w:t>
      </w:r>
      <w:r>
        <w:t xml:space="preserve">in task-evoked cognitive pupil response. Because this pattern comes from the broader subject-level correlation matrix rather than a focal confirmatory hypothesis test, it should be treated as hypothesis-generating rather than definitive evidence for suppression or reallocation.</w:t>
      </w:r>
    </w:p>
    <w:bookmarkEnd w:id="87"/>
    <w:bookmarkStart w:id="89" w:name="summary-of-hypothesis-testing"/>
    <w:p>
      <w:pPr>
        <w:pStyle w:val="Heading2"/>
      </w:pPr>
      <w:r>
        <w:t xml:space="preserve">3.7 Summary of Hypothesis Testing</w:t>
      </w:r>
    </w:p>
    <w:tbl>
      <w:tblPr>
        <w:tblStyle w:val="Table"/>
        <w:tblW w:type="pct" w:w="5000"/>
        <w:tblLayout w:type="fixed"/>
        <w:tblLook w:firstRow="0" w:lastRow="0" w:firstColumn="0" w:lastColumn="0" w:noHBand="0" w:noVBand="0" w:val="0000"/>
      </w:tblPr>
      <w:tblGrid>
        <w:gridCol w:w="7920"/>
      </w:tblGrid>
      <w:tr>
        <w:tc>
          <w:tcPr/>
          <w:bookmarkStart w:id="88" w:name="tbl-hypothesis-summary"/>
          <w:p>
            <w:pPr>
              <w:jc w:val="center"/>
            </w:pPr>
            <w:pPr>
              <w:jc w:val="start"/>
              <w:spacing w:before="200"/>
              <w:pStyle w:val="ImageCaption"/>
            </w:pPr>
            <w:r>
              <w:t xml:space="preserve">Table 6: Summary of Hypothesis Testing Results</w:t>
            </w:r>
          </w:p>
          <w:tbl>
            <w:tblPr>
              <w:tblStyle w:val="Table"/>
              <w:tblW w:type="pct" w:w="5000"/>
              <w:tblLayout w:type="fixed"/>
              <w:tblLook w:firstRow="1" w:lastRow="0" w:firstColumn="0" w:lastColumn="0" w:noHBand="0" w:noVBand="0" w:val="0020"/>
            </w:tblPr>
            <w:tblGrid>
              <w:gridCol w:w="1358"/>
              <w:gridCol w:w="3864"/>
              <w:gridCol w:w="1320"/>
              <w:gridCol w:w="1377"/>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Primary Statistic</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Partial support (ADT threshold p &lt; .05; VDT threshold ns; Section 3.2)</w:t>
                  </w:r>
                </w:p>
              </w:tc>
              <w:tc>
                <w:tcPr/>
                <w:p>
                  <w:pPr>
                    <w:pStyle w:val="Compact"/>
                    <w:jc w:val="left"/>
                    <w:jc w:val="center"/>
                  </w:pPr>
                  <w:r>
                    <w:t xml:space="preserve">ADT:</w:t>
                  </w:r>
                  <w:r>
                    <w:t xml:space="preserve"> </w:t>
                  </w:r>
                  <w:r>
                    <w:rPr>
                      <w:i/>
                      <w:iCs/>
                    </w:rPr>
                    <w:t xml:space="preserve">t</w:t>
                  </w:r>
                  <w:r>
                    <w:t xml:space="preserve">(60) = +2.289,</w:t>
                  </w:r>
                  <w:r>
                    <w:t xml:space="preserve"> </w:t>
                  </w:r>
                  <w:r>
                    <w:rPr>
                      <w:i/>
                      <w:iCs/>
                    </w:rPr>
                    <w:t xml:space="preserve">p</w:t>
                  </w:r>
                  <w:r>
                    <w:t xml:space="preserve"> </w:t>
                  </w:r>
                  <w:r>
                    <w:t xml:space="preserve">= .026; VDT:</w:t>
                  </w:r>
                  <w:r>
                    <w:t xml:space="preserve"> </w:t>
                  </w:r>
                  <w:r>
                    <w:rPr>
                      <w:i/>
                      <w:iCs/>
                    </w:rPr>
                    <w:t xml:space="preserve">t</w:t>
                  </w:r>
                  <w:r>
                    <w:t xml:space="preserve">(64) = +1.540,</w:t>
                  </w:r>
                  <w:r>
                    <w:t xml:space="preserve"> </w:t>
                  </w:r>
                  <w:r>
                    <w:rPr>
                      <w:i/>
                      <w:iCs/>
                    </w:rPr>
                    <w:t xml:space="preserve">p</w:t>
                  </w:r>
                  <w:r>
                    <w:t xml:space="preserve"> </w:t>
                  </w:r>
                  <w:r>
                    <w:t xml:space="preserve">= .129</w:t>
                  </w:r>
                </w:p>
              </w:tc>
              <w:tc>
                <w:tcPr/>
                <w:p>
                  <w:pPr>
                    <w:pStyle w:val="Compact"/>
                    <w:jc w:val="left"/>
                    <w:jc w:val="center"/>
                  </w:pPr>
                  <w:r>
                    <w:t xml:space="preserve">PF threshold comparison (High vs. Low effort)</w:t>
                  </w:r>
                </w:p>
              </w:tc>
            </w:tr>
            <w:tr>
              <w:tc>
                <w:tcPr/>
                <w:p>
                  <w:pPr>
                    <w:pStyle w:val="Compact"/>
                    <w:jc w:val="left"/>
                    <w:jc w:val="center"/>
                  </w:pPr>
                  <w:r>
                    <w:t xml:space="preserve">H1b: Slopes shallower under High effort</w:t>
                  </w:r>
                </w:p>
              </w:tc>
              <w:tc>
                <w:tcPr/>
                <w:p>
                  <w:pPr>
                    <w:pStyle w:val="Compact"/>
                    <w:jc w:val="left"/>
                    <w:jc w:val="center"/>
                  </w:pPr>
                  <w:r>
                    <w:t xml:space="preserve">Not supported (slopes ns in both modalities; Section 3.2)</w:t>
                  </w:r>
                </w:p>
              </w:tc>
              <w:tc>
                <w:tcPr/>
                <w:p>
                  <w:pPr>
                    <w:pStyle w:val="Compact"/>
                    <w:jc w:val="left"/>
                    <w:jc w:val="center"/>
                  </w:pPr>
                  <w:r>
                    <w:t xml:space="preserve">ADT:</w:t>
                  </w:r>
                  <w:r>
                    <w:t xml:space="preserve"> </w:t>
                  </w:r>
                  <w:r>
                    <w:rPr>
                      <w:i/>
                      <w:iCs/>
                    </w:rPr>
                    <w:t xml:space="preserve">t</w:t>
                  </w:r>
                  <w:r>
                    <w:t xml:space="preserve">(60) = -1.298,</w:t>
                  </w:r>
                  <w:r>
                    <w:t xml:space="preserve"> </w:t>
                  </w:r>
                  <w:r>
                    <w:rPr>
                      <w:i/>
                      <w:iCs/>
                    </w:rPr>
                    <w:t xml:space="preserve">p</w:t>
                  </w:r>
                  <w:r>
                    <w:t xml:space="preserve"> </w:t>
                  </w:r>
                  <w:r>
                    <w:t xml:space="preserve">= .199; VDT:</w:t>
                  </w:r>
                  <w:r>
                    <w:t xml:space="preserve"> </w:t>
                  </w:r>
                  <w:r>
                    <w:rPr>
                      <w:i/>
                      <w:iCs/>
                    </w:rPr>
                    <w:t xml:space="preserve">t</w:t>
                  </w:r>
                  <w:r>
                    <w:t xml:space="preserve">(64) = -1.372,</w:t>
                  </w:r>
                  <w:r>
                    <w:t xml:space="preserve"> </w:t>
                  </w:r>
                  <w:r>
                    <w:rPr>
                      <w:i/>
                      <w:iCs/>
                    </w:rPr>
                    <w:t xml:space="preserve">p</w:t>
                  </w:r>
                  <w:r>
                    <w:t xml:space="preserve"> </w:t>
                  </w:r>
                  <w:r>
                    <w:t xml:space="preserve">= .175</w:t>
                  </w:r>
                </w:p>
              </w:tc>
              <w:tc>
                <w:tcPr/>
                <w:p>
                  <w:pPr>
                    <w:pStyle w:val="Compact"/>
                    <w:jc w:val="left"/>
                    <w:jc w:val="center"/>
                  </w:pPr>
                  <w:r>
                    <w:t xml:space="preserve">PF slope comparison (High vs. Low effort)</w:t>
                  </w:r>
                </w:p>
              </w:tc>
            </w:tr>
            <w:tr>
              <w:tc>
                <w:tcPr/>
                <w:p>
                  <w:pPr>
                    <w:pStyle w:val="Compact"/>
                    <w:jc w:val="left"/>
                    <w:jc w:val="center"/>
                  </w:pPr>
                  <w:r>
                    <w:t xml:space="preserve">H2a: Baseline pupil larger under High effort</w:t>
                  </w:r>
                </w:p>
              </w:tc>
              <w:tc>
                <w:tcPr/>
                <w:p>
                  <w:pPr>
                    <w:pStyle w:val="Compact"/>
                    <w:jc w:val="left"/>
                    <w:jc w:val="center"/>
                  </w:pPr>
                  <w:r>
                    <w:t xml:space="preserve">Indirect support with qualification: operationalized as Total AUC (squeeze-epoch arousal) rather than dedicated pre-stimulus baseline pupil; Total AUC increased under High effort. See Section 3.3 note.</w:t>
                  </w:r>
                </w:p>
              </w:tc>
              <w:tc>
                <w:tcPr/>
                <w:p>
                  <w:pPr>
                    <w:pStyle w:val="Compact"/>
                    <w:jc w:val="left"/>
                    <w:jc w:val="center"/>
                  </w:pPr>
                  <w:r>
                    <w:rPr>
                      <w:i/>
                      <w:iCs/>
                    </w:rPr>
                    <w:t xml:space="preserve">t</w:t>
                  </w:r>
                  <w:r>
                    <w:t xml:space="preserve"> </w:t>
                  </w:r>
                  <w:r>
                    <w:t xml:space="preserve">= +2.282,</w:t>
                  </w:r>
                  <w:r>
                    <w:t xml:space="preserve"> </w:t>
                  </w:r>
                  <w:r>
                    <w:rPr>
                      <w:i/>
                      <w:iCs/>
                    </w:rPr>
                    <w:t xml:space="preserve">p</w:t>
                  </w:r>
                  <w:r>
                    <w:t xml:space="preserve"> </w:t>
                  </w:r>
                  <w:r>
                    <w:t xml:space="preserve">= .023 (Total AUC)</w:t>
                  </w:r>
                </w:p>
              </w:tc>
              <w:tc>
                <w:tcPr/>
                <w:p>
                  <w:pPr>
                    <w:pStyle w:val="Compact"/>
                    <w:jc w:val="left"/>
                    <w:jc w:val="center"/>
                  </w:pPr>
                  <w:r>
                    <w:t xml:space="preserve">Total AUC and Cognitive AUC by effort</w:t>
                  </w:r>
                </w:p>
              </w:tc>
            </w:tr>
            <w:tr>
              <w:tc>
                <w:tcPr/>
                <w:p>
                  <w:pPr>
                    <w:pStyle w:val="Compact"/>
                    <w:jc w:val="left"/>
                    <w:jc w:val="center"/>
                  </w:pPr>
                  <w:r>
                    <w:t xml:space="preserve">H2b: Task-evoked pupil larger under High effort</w:t>
                  </w:r>
                </w:p>
              </w:tc>
              <w:tc>
                <w:tcPr/>
                <w:p>
                  <w:pPr>
                    <w:pStyle w:val="Compact"/>
                    <w:jc w:val="left"/>
                    <w:jc w:val="center"/>
                  </w:pPr>
                  <w:r>
                    <w:t xml:space="preserve">Not supported (Cognitive AUC decreased under High effort)</w:t>
                  </w:r>
                </w:p>
              </w:tc>
              <w:tc>
                <w:tcPr/>
                <w:p>
                  <w:pPr>
                    <w:pStyle w:val="Compact"/>
                    <w:jc w:val="left"/>
                    <w:jc w:val="center"/>
                  </w:pPr>
                  <w:r>
                    <w:rPr>
                      <w:i/>
                      <w:iCs/>
                    </w:rPr>
                    <w:t xml:space="preserve">t</w:t>
                  </w:r>
                  <w:r>
                    <w:t xml:space="preserve"> </w:t>
                  </w:r>
                  <w:r>
                    <w:t xml:space="preserve">= -3.859,</w:t>
                  </w:r>
                  <w:r>
                    <w:t xml:space="preserve"> </w:t>
                  </w:r>
                  <w:r>
                    <w:rPr>
                      <w:i/>
                      <w:iCs/>
                    </w:rPr>
                    <w:t xml:space="preserve">p</w:t>
                  </w:r>
                  <w:r>
                    <w:t xml:space="preserve"> </w:t>
                  </w:r>
                  <w:r>
                    <w:t xml:space="preserve">= &lt; .001 (Cognitive AUC)</w:t>
                  </w:r>
                </w:p>
              </w:tc>
              <w:tc>
                <w:tcPr/>
                <w:p>
                  <w:pPr>
                    <w:pStyle w:val="Compact"/>
                    <w:jc w:val="left"/>
                    <w:jc w:val="center"/>
                  </w:pPr>
                  <w:r>
                    <w:t xml:space="preserve">Total AUC and Cognitive AUC by effort</w:t>
                  </w:r>
                </w:p>
              </w:tc>
            </w:tr>
            <w:tr>
              <w:tc>
                <w:tcPr/>
                <w:p>
                  <w:pPr>
                    <w:pStyle w:val="Compact"/>
                    <w:jc w:val="left"/>
                    <w:jc w:val="center"/>
                  </w:pPr>
                  <w:r>
                    <w:t xml:space="preserve">H3a / H3b: Stimulus × pupil-state interaction (directional hypotheses)</w:t>
                  </w:r>
                </w:p>
              </w:tc>
              <w:tc>
                <w:tcPr/>
                <w:p>
                  <w:pPr>
                    <w:pStyle w:val="Compact"/>
                    <w:jc w:val="left"/>
                    <w:jc w:val="center"/>
                  </w:pPr>
                  <w:r>
                    <w:t xml:space="preserve">Not supported at primary tier (positive point estimate; non-significant); lenient tier only reached</w:t>
                  </w:r>
                  <w:r>
                    <w:t xml:space="preserve"> </w:t>
                  </w:r>
                  <w:r>
                    <w:rPr>
                      <w:i/>
                      <w:iCs/>
                    </w:rPr>
                    <w:t xml:space="preserve">p</w:t>
                  </w:r>
                  <w:r>
                    <w:t xml:space="preserve"> </w:t>
                  </w:r>
                  <w:r>
                    <w:t xml:space="preserve">= .043 — not robust (Section 3.5.1, Appendix B)</w:t>
                  </w:r>
                </w:p>
              </w:tc>
              <w:tc>
                <w:tcPr/>
                <w:p>
                  <w:pPr>
                    <w:pStyle w:val="Compact"/>
                    <w:jc w:val="left"/>
                    <w:jc w:val="center"/>
                  </w:pPr>
                  <w:r>
                    <w:t xml:space="preserve">beta = +0.035, 95% CI [-0.024, +0.095],</w:t>
                  </w:r>
                  <w:r>
                    <w:t xml:space="preserve"> </w:t>
                  </w:r>
                  <w:r>
                    <w:rPr>
                      <w:i/>
                      <w:iCs/>
                    </w:rPr>
                    <w:t xml:space="preserve">p</w:t>
                  </w:r>
                  <w:r>
                    <w:t xml:space="preserve"> </w:t>
                  </w:r>
                  <w:r>
                    <w:t xml:space="preserve">= .490</w:t>
                  </w:r>
                </w:p>
              </w:tc>
              <w:tc>
                <w:tcPr/>
                <w:p>
                  <w:pPr>
                    <w:pStyle w:val="Compact"/>
                    <w:jc w:val="left"/>
                    <w:jc w:val="center"/>
                  </w:pPr>
                  <w:r>
                    <w:t xml:space="preserve">Stimulus Intensity × Pupil State interaction</w:t>
                  </w:r>
                </w:p>
              </w:tc>
            </w:tr>
            <w:tr>
              <w:tc>
                <w:tcPr/>
                <w:p>
                  <w:pPr>
                    <w:pStyle w:val="Compact"/>
                    <w:jc w:val="left"/>
                    <w:jc w:val="center"/>
                  </w:pPr>
                  <w:r>
                    <w:t xml:space="preserve">H3c: Minimal pupil trait effects</w:t>
                  </w:r>
                </w:p>
              </w:tc>
              <w:tc>
                <w:tcPr/>
                <w:p>
                  <w:pPr>
                    <w:pStyle w:val="Compact"/>
                    <w:jc w:val="left"/>
                    <w:jc w:val="center"/>
                  </w:pPr>
                  <w:r>
                    <w:t xml:space="preserve">Supported (pupil trait</w:t>
                  </w:r>
                  <w:r>
                    <w:t xml:space="preserve"> </w:t>
                  </w:r>
                  <w:r>
                    <w:rPr>
                      <w:i/>
                      <w:iCs/>
                    </w:rPr>
                    <w:t xml:space="preserve">p</w:t>
                  </w:r>
                  <w:r>
                    <w:t xml:space="preserve"> </w:t>
                  </w:r>
                  <w:r>
                    <w:t xml:space="preserve">= 1.130, not significant)</w:t>
                  </w:r>
                </w:p>
              </w:tc>
              <w:tc>
                <w:tcPr/>
                <w:p>
                  <w:pPr>
                    <w:pStyle w:val="Compact"/>
                    <w:jc w:val="left"/>
                    <w:jc w:val="center"/>
                  </w:pPr>
                  <w:r>
                    <w:t xml:space="preserve">beta = -0.052,</w:t>
                  </w:r>
                  <w:r>
                    <w:t xml:space="preserve"> </w:t>
                  </w:r>
                  <w:r>
                    <w:rPr>
                      <w:i/>
                      <w:iCs/>
                    </w:rPr>
                    <w:t xml:space="preserve">p</w:t>
                  </w:r>
                  <w:r>
                    <w:t xml:space="preserve"> </w:t>
                  </w:r>
                  <w:r>
                    <w:t xml:space="preserve">= 1.130</w:t>
                  </w:r>
                </w:p>
              </w:tc>
              <w:tc>
                <w:tcPr/>
                <w:p>
                  <w:pPr>
                    <w:pStyle w:val="Compact"/>
                    <w:jc w:val="left"/>
                    <w:jc w:val="center"/>
                  </w:pPr>
                  <w:r>
                    <w:t xml:space="preserve">Pupil trait main effect (between-person)</w:t>
                  </w:r>
                </w:p>
              </w:tc>
            </w:tr>
            <w:tr>
              <w:tc>
                <w:tcPr/>
                <w:p>
                  <w:pPr>
                    <w:pStyle w:val="Compact"/>
                    <w:jc w:val="left"/>
                    <w:jc w:val="center"/>
                  </w:pPr>
                  <w:r>
                    <w:t xml:space="preserve">H4: ΔPupil correlated with ΔPF parameters</w:t>
                  </w:r>
                </w:p>
              </w:tc>
              <w:tc>
                <w:tcPr/>
                <w:p>
                  <w:pPr>
                    <w:pStyle w:val="Compact"/>
                    <w:jc w:val="left"/>
                    <w:jc w:val="center"/>
                  </w:pPr>
                  <w:r>
                    <w:t xml:space="preserve">Not supported (task-specific correlations small in both modalities, smallest</w:t>
                  </w:r>
                  <w:r>
                    <w:t xml:space="preserve"> </w:t>
                  </w:r>
                  <w:r>
                    <w:rPr>
                      <w:i/>
                      <w:iCs/>
                    </w:rPr>
                    <w:t xml:space="preserve">p</w:t>
                  </w:r>
                  <w:r>
                    <w:t xml:space="preserve"> </w:t>
                  </w:r>
                  <w:r>
                    <w:t xml:space="preserve">= .229)</w:t>
                  </w:r>
                </w:p>
              </w:tc>
              <w:tc>
                <w:tcPr/>
                <w:p>
                  <w:pPr>
                    <w:pStyle w:val="Compact"/>
                    <w:jc w:val="left"/>
                    <w:jc w:val="center"/>
                  </w:pPr>
                  <w:r>
                    <w:rPr>
                      <w:i/>
                      <w:iCs/>
                    </w:rPr>
                    <w:t xml:space="preserve">r</w:t>
                  </w:r>
                  <w:r>
                    <w:t xml:space="preserve"> </w:t>
                  </w:r>
                  <w:r>
                    <w:t xml:space="preserve">range: -0.183 to +0.014, smallest</w:t>
                  </w:r>
                  <w:r>
                    <w:t xml:space="preserve"> </w:t>
                  </w:r>
                  <w:r>
                    <w:rPr>
                      <w:i/>
                      <w:iCs/>
                    </w:rPr>
                    <w:t xml:space="preserve">p</w:t>
                  </w:r>
                  <w:r>
                    <w:t xml:space="preserve"> </w:t>
                  </w:r>
                  <w:r>
                    <w:t xml:space="preserve">= .229</w:t>
                  </w:r>
                </w:p>
              </w:tc>
              <w:tc>
                <w:tcPr/>
                <w:p>
                  <w:pPr>
                    <w:pStyle w:val="Compact"/>
                    <w:jc w:val="left"/>
                    <w:jc w:val="center"/>
                  </w:pPr>
                  <w:r>
                    <w:t xml:space="preserve">Correlation: Δpupil vs. ΔThreshold, ΔSlope (</w:t>
                  </w:r>
                  <w:hyperlink w:anchor="tbl-pf-pupil-correlations">
                    <w:r>
                      <w:rPr>
                        <w:rStyle w:val="Hyperlink"/>
                      </w:rPr>
                      <w:t xml:space="preserve">Table 5</w:t>
                    </w:r>
                  </w:hyperlink>
                  <w:r>
                    <w:t xml:space="preserve">)</w:t>
                  </w:r>
                </w:p>
              </w:tc>
            </w:tr>
          </w:tbl>
          <w:bookmarkEnd w:id="88"/>
          <w:p/>
        </w:tc>
      </w:tr>
    </w:tbl>
    <w:p>
      <w:pPr>
        <w:pStyle w:val="BlockText"/>
      </w:pPr>
      <w:r>
        <w:rPr>
          <w:b/>
          <w:bCs/>
        </w:rPr>
        <w:t xml:space="preserve">Note:</w:t>
      </w:r>
      <w:r>
        <w:t xml:space="preserve"> </w:t>
      </w:r>
      <w:r>
        <w:t xml:space="preserve">H1a and H1b were evaluated with within-subject linear mixed models (Section 3.2;</w:t>
      </w:r>
      <w:r>
        <w:t xml:space="preserve"> </w:t>
      </w:r>
      <w:hyperlink w:anchor="tbl-pf-effort-test">
        <w:r>
          <w:rPr>
            <w:rStyle w:val="Hyperlink"/>
          </w:rPr>
          <w:t xml:space="preserve">Table 3</w:t>
        </w:r>
      </w:hyperlink>
      <w:r>
        <w:t xml:space="preserve">). All other hypotheses were evaluated using the analyses summarized in this chapter.</w:t>
      </w:r>
    </w:p>
    <w:bookmarkEnd w:id="89"/>
    <w:bookmarkEnd w:id="90"/>
    <w:bookmarkStart w:id="103" w:name="discussion"/>
    <w:p>
      <w:pPr>
        <w:pStyle w:val="Heading1"/>
      </w:pPr>
      <w:r>
        <w:t xml:space="preserve">4. Discussion</w:t>
      </w:r>
    </w:p>
    <w:bookmarkStart w:id="95" w:name="integration-with-theoretical-frameworks"/>
    <w:p>
      <w:pPr>
        <w:pStyle w:val="Heading2"/>
      </w:pPr>
      <w:r>
        <w:t xml:space="preserve">4.1 Integration with Theoretical Frameworks</w:t>
      </w:r>
    </w:p>
    <w:p>
      <w:pPr>
        <w:pStyle w:val="FirstParagraph"/>
      </w:pPr>
      <w:r>
        <w:t xml:space="preserve">While frequentist tests indicated a null effect for the intensity</w:t>
      </w:r>
      <w:r>
        <w:t xml:space="preserve"> </w:t>
      </w:r>
      <m:oMath>
        <m:r>
          <m:rPr>
            <m:sty m:val="p"/>
          </m:rPr>
          <m:t>×</m:t>
        </m:r>
      </m:oMath>
      <w:r>
        <w:t xml:space="preserve"> </w:t>
      </w:r>
      <w:r>
        <w:t xml:space="preserve">pupil-state interaction, the equivalence analysis confirmed that any potential coupling was</w:t>
      </w:r>
      <w:r>
        <w:t xml:space="preserve"> </w:t>
      </w:r>
      <w:r>
        <w:rPr>
          <w:b/>
          <w:bCs/>
        </w:rPr>
        <w:t xml:space="preserve">statistically negligible</w:t>
      </w:r>
      <w:r>
        <w:t xml:space="preserve">—</w:t>
      </w:r>
      <w:r>
        <w:rPr>
          <w:b/>
          <w:bCs/>
        </w:rPr>
        <w:t xml:space="preserve">equivalent</w:t>
      </w:r>
      <w:r>
        <w:t xml:space="preserve">, under the TOST procedure, to magnitudes below our smallest effect size of interest (SESOI;</w:t>
      </w:r>
      <w:r>
        <w:t xml:space="preserve"> </w:t>
      </w:r>
      <w:hyperlink w:anchor="sec-pupil-quality-tier">
        <w:r>
          <w:rPr>
            <w:rStyle w:val="Hyperlink"/>
          </w:rPr>
          <w:t xml:space="preserve">Section 3.5.1</w:t>
        </w:r>
      </w:hyperlink>
      <w:r>
        <w:t xml:space="preserve">). 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p>
      <w:pPr>
        <w:pStyle w:val="BodyText"/>
      </w:pPr>
      <w:r>
        <w:t xml:space="preserve">The interaction between stimulus intensity and pupil state was</w:t>
      </w:r>
      <w:r>
        <w:t xml:space="preserve"> </w:t>
      </w:r>
      <w:r>
        <w:rPr>
          <w:b/>
          <w:bCs/>
        </w:rPr>
        <w:t xml:space="preserve">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 at the primary quality tier, indicating that moment-to-moment arousal fluctuations (as indexed by the cognitive pupil window) did not reliably modulate psychometric sensitivity in this sample of older adults. Notably, the obtained interaction was positive rather than negative, which runs counter to the Yerkes–Dodson prediction of supra-optimal arousal impairing sensitivity</w:t>
      </w:r>
      <w:r>
        <w:t xml:space="preserve"> </w:t>
      </w:r>
      <w:r>
        <w:t xml:space="preserve">(Huang &amp; Clewett, 2024; Mather &amp; Harley, 2016)</w:t>
      </w:r>
      <w:r>
        <w:t xml:space="preserve">. The significant negative effort main effect (</w:t>
      </w:r>
      <m:oMath>
        <m:r>
          <m:t>β</m:t>
        </m:r>
      </m:oMath>
      <w:r>
        <w:t xml:space="preserve"> </w:t>
      </w:r>
      <w:r>
        <w:t xml:space="preserve">= −0.139, p = .003) suggests that High effort reduced overall</w:t>
      </w:r>
      <w:r>
        <w:t xml:space="preserve"> </w:t>
      </w:r>
      <w:r>
        <w:t xml:space="preserve">“different”</w:t>
      </w:r>
      <w:r>
        <w:t xml:space="preserve"> </w:t>
      </w:r>
      <w:r>
        <w:t xml:space="preserve">responding, potentially reflecting a more conservative response tendency under dual-task load rather than a sensitivity decrement per se. This pattern is compatible with resource competition or strategic response adjustments, but it does not by itself constitute a direct test of those accounts.</w:t>
      </w:r>
    </w:p>
    <w:p>
      <w:pPr>
        <w:pStyle w:val="BodyText"/>
      </w:pPr>
      <w:r>
        <w:t xml:space="preserve">In summary, the present data suggest that high-effort handgrip shifted overall response tendency (significant effort main effect on</w:t>
      </w:r>
      <w:r>
        <w:t xml:space="preserve"> </w:t>
      </w:r>
      <w:r>
        <w:t xml:space="preserve">“different”</w:t>
      </w:r>
      <w:r>
        <w:t xml:space="preserve"> </w:t>
      </w:r>
      <w:r>
        <w:t xml:space="preserve">responding,</w:t>
      </w:r>
      <w:r>
        <w:t xml:space="preserve"> </w:t>
      </w:r>
      <m:oMath>
        <m:r>
          <m:t>β</m:t>
        </m:r>
      </m:oMath>
      <w:r>
        <w:t xml:space="preserve"> </w:t>
      </w:r>
      <w:r>
        <w:t xml:space="preserve">= −0.139,</w:t>
      </w:r>
      <w:r>
        <w:t xml:space="preserve"> </w:t>
      </w:r>
      <w:r>
        <w:rPr>
          <w:i/>
          <w:iCs/>
        </w:rPr>
        <w:t xml:space="preserve">p</w:t>
      </w:r>
      <w:r>
        <w:t xml:space="preserve"> </w:t>
      </w:r>
      <w:r>
        <w:t xml:space="preserve">= .003) but did not reliably modulate psychometric sensitivity (non-significant stimulus intensity × pupil state interaction at the primary tier,</w:t>
      </w:r>
      <w:r>
        <w:t xml:space="preserve"> </w:t>
      </w:r>
      <w:r>
        <w:rPr>
          <w:i/>
          <w:iCs/>
        </w:rPr>
        <w:t xml:space="preserve">p</w:t>
      </w:r>
      <w:r>
        <w:t xml:space="preserve"> </w:t>
      </w:r>
      <w:r>
        <w:t xml:space="preserve">= .245), and that moment-to-moment arousal fluctuations as indexed by the cognitive pupil window did not produce fine-grained sensitivity modulation beyond this group-level response.</w:t>
      </w:r>
    </w:p>
    <w:p>
      <w:pPr>
        <w:pStyle w:val="BodyText"/>
      </w:pPr>
      <w:r>
        <w:t xml:space="preserve">Because trial-wise pupil state did not significantly predict sensitivity beyond effort condition, the present data do not provide evidence for trial-level arousal modulation of sensitivity in this dataset. The effort main effect captures the aggregate High vs. Low contrast and may reflect generic dual-task interference, group-level arousal changes, strategic response adjustments, or some combination of these. Thus the results are compatible with resource-competition-style accounts, but they do not directly privilege that explanation over other untested mechanisms.</w:t>
      </w:r>
    </w:p>
    <w:p>
      <w:pPr>
        <w:pStyle w:val="BodyText"/>
      </w:pPr>
      <w:r>
        <w:t xml:space="preserve">Pupil state did not significantly predict sensitivity (interaction p = .245), and pupil trait was also non-significant (p = .565), consistent with Hypothesis 3c. Importantly, the primary coupling test is based on a</w:t>
      </w:r>
      <w:r>
        <w:t xml:space="preserve"> </w:t>
      </w:r>
      <w:r>
        <w:rPr>
          <w:b/>
          <w:bCs/>
        </w:rPr>
        <w:t xml:space="preserve">phasic</w:t>
      </w:r>
      <w:r>
        <w:t xml:space="preserve">, stimulus-locked pupil metric rather than a tonic baseline measure, so it does not provide a direct test of whether tonic pupil state tracks the tonic LC gain mechanism emphasized by AGT. The present design therefore cannot cleanly distinguish between two possibilities: that the chosen pupil metric was not the most sensitive index of arousal-sensitivity coupling in this older adult sample, or that the coupling itself is genuinely weaker than anticipated. Two physiological accounts—illustrated in</w:t>
      </w:r>
      <w:r>
        <w:t xml:space="preserve"> </w:t>
      </w:r>
      <w:hyperlink w:anchor="fig-mechanism">
        <w:r>
          <w:rPr>
            <w:rStyle w:val="Hyperlink"/>
          </w:rPr>
          <w:t xml:space="preserve">Figure 10</w:t>
        </w:r>
      </w:hyperlink>
      <w:r>
        <w:t xml:space="preserve">—help bridge the null interaction to the broader neurobiological picture.</w:t>
      </w:r>
    </w:p>
    <w:tbl>
      <w:tblPr>
        <w:tblStyle w:val="Table"/>
        <w:tblW w:type="pct" w:w="5000"/>
        <w:tblLayout w:type="fixed"/>
        <w:tblLook w:firstRow="0" w:lastRow="0" w:firstColumn="0" w:lastColumn="0" w:noHBand="0" w:noVBand="0" w:val="0000"/>
      </w:tblPr>
      <w:tblGrid>
        <w:gridCol w:w="7920"/>
      </w:tblGrid>
      <w:tr>
        <w:tc>
          <w:tcPr/>
          <w:bookmarkStart w:id="94" w:name="fig-mechanism"/>
          <w:p>
            <w:pPr>
              <w:pStyle w:val="Compact"/>
              <w:jc w:val="center"/>
            </w:pPr>
            <w:r>
              <w:drawing>
                <wp:inline>
                  <wp:extent cx="5334000" cy="2603250"/>
                  <wp:effectExtent b="0" l="0" r="0" t="0"/>
                  <wp:docPr descr="" title="" id="92" name="Picture"/>
                  <a:graphic>
                    <a:graphicData uri="http://schemas.openxmlformats.org/drawingml/2006/picture">
                      <pic:pic>
                        <pic:nvPicPr>
                          <pic:cNvPr descr="../output/figures/mechanism.png" id="93" name="Picture"/>
                          <pic:cNvPicPr>
                            <a:picLocks noChangeArrowheads="1" noChangeAspect="1"/>
                          </pic:cNvPicPr>
                        </pic:nvPicPr>
                        <pic:blipFill>
                          <a:blip r:embed="rId91"/>
                          <a:stretch>
                            <a:fillRect/>
                          </a:stretch>
                        </pic:blipFill>
                        <pic:spPr bwMode="auto">
                          <a:xfrm>
                            <a:off x="0" y="0"/>
                            <a:ext cx="5334000" cy="2603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Theoretical mechanisms of effort-induced pupil dissociation.</w:t>
            </w:r>
            <w:r>
              <w:t xml:space="preserve"> </w:t>
            </w:r>
            <w:r>
              <w:rPr>
                <w:b/>
                <w:bCs/>
              </w:rPr>
              <w:t xml:space="preserve">(A) Observed dissociation.</w:t>
            </w:r>
            <w:r>
              <w:t xml:space="preserve"> </w:t>
            </w:r>
            <w:r>
              <w:t xml:space="preserve">High-effort handgrip (red) elevates overall arousal (Total AUC) while simultaneously blunting the task-evoked pupil response (Cognitive AUC) in the stimulus-locked cognitive window (4.85–6.05 s), relative to low effort (blue).</w:t>
            </w:r>
            <w:r>
              <w:t xml:space="preserve"> </w:t>
            </w:r>
            <w:r>
              <w:rPr>
                <w:b/>
                <w:bCs/>
              </w:rPr>
              <w:t xml:space="preserve">(B) Phasic suppression.</w:t>
            </w:r>
            <w:r>
              <w:t xml:space="preserve"> </w:t>
            </w:r>
            <w:r>
              <w:t xml:space="preserve">Under this account, the neural resources sustained to maintain 40% MVC grip actively inhibit the gain of the LC–NE phasic response to task-relevant targets, producing the blunted cognitive-window response despite elevated baseline arousal.</w:t>
            </w:r>
            <w:r>
              <w:t xml:space="preserve"> </w:t>
            </w:r>
            <w:r>
              <w:rPr>
                <w:b/>
                <w:bCs/>
              </w:rPr>
              <w:t xml:space="preserve">(C) Reduced dynamic range.</w:t>
            </w:r>
            <w:r>
              <w:t xml:space="preserve"> </w:t>
            </w:r>
            <w:r>
              <w:t xml:space="preserve">Alternatively, the elevated baseline under high effort may approach a physiological saturation ceiling, restricting the available dynamic range for further dilation and thereby attenuating the apparent task-evoked response through a mechanical rather than inhibitory process.</w:t>
            </w:r>
            <w:r>
              <w:t xml:space="preserve"> </w:t>
            </w:r>
            <w:r>
              <w:rPr>
                <w:b/>
                <w:bCs/>
              </w:rPr>
              <w:t xml:space="preserve">(D) Age-related shift to supra-optimal zone.</w:t>
            </w:r>
            <w:r>
              <w:t xml:space="preserve"> </w:t>
            </w:r>
            <w:r>
              <w:t xml:space="preserve">A stylised Yerkes–Dodson representation showing how an age-related leftward shift of the optimal arousal zone makes older adults more vulnerable to performance decrements in high-effort contexts, consistent with the non-significant coupling observed here.</w:t>
            </w:r>
          </w:p>
          <w:bookmarkEnd w:id="94"/>
        </w:tc>
      </w:tr>
    </w:tbl>
    <w:bookmarkEnd w:id="95"/>
    <w:bookmarkStart w:id="96" w:name="implications-for-aging-and-arousal"/>
    <w:p>
      <w:pPr>
        <w:pStyle w:val="Heading2"/>
      </w:pPr>
      <w:r>
        <w:t xml:space="preserve">4.2 Implications for Aging and Arousal</w:t>
      </w:r>
    </w:p>
    <w:p>
      <w:pPr>
        <w:pStyle w:val="FirstParagraph"/>
      </w:pPr>
      <w:r>
        <w:t xml:space="preserve">The present data show weaker pupil–sensitivity coupling than predicted, with a non-significant interaction and small task-specific subject-level correlations between Δpupil and ΔPF parameters (task-specific r range: −.151 to .079). If Chapter 1 (younger adults) shows more robust coupling, this cross-chapter contrast would be</w:t>
      </w:r>
      <w:r>
        <w:t xml:space="preserve"> </w:t>
      </w:r>
      <w:r>
        <w:rPr>
          <w:b/>
          <w:bCs/>
        </w:rPr>
        <w:t xml:space="preserve">consistent with</w:t>
      </w:r>
      <w:r>
        <w:t xml:space="preserve"> </w:t>
      </w:r>
      <w:r>
        <w:t xml:space="preserve">age-related attenuation of LC–NE gain modulation, consistent with structural LC degradation and altered phasic responsiveness in aging</w:t>
      </w:r>
      <w:r>
        <w:t xml:space="preserve"> </w:t>
      </w:r>
      <w:r>
        <w:t xml:space="preserve">(Lee et al., 2018; Mather &amp; Harley, 2016)</w:t>
      </w:r>
      <w:r>
        <w:t xml:space="preserve">. Alternatively, the effort main effect being significant and negative while the pupil-state interaction is non-significant may indicate that older adults respond to high-effort demand as a contextual load — a group-level response — rather than through fine-grained moment-to-moment arousal regulation.</w:t>
      </w:r>
    </w:p>
    <w:p>
      <w:pPr>
        <w:pStyle w:val="BodyText"/>
      </w:pPr>
      <w:r>
        <w:t xml:space="preserve">The observed dissociation between elevated Total AUC and attenuated Cognitive AUC under high effort (Section 3.3) suggests that older adults may be operating under specific physiological constraints (see</w:t>
      </w:r>
      <w:r>
        <w:t xml:space="preserve"> </w:t>
      </w:r>
      <w:hyperlink w:anchor="fig-mechanism">
        <w:r>
          <w:rPr>
            <w:rStyle w:val="Hyperlink"/>
          </w:rPr>
          <w:t xml:space="preserve">Figure 10</w:t>
        </w:r>
      </w:hyperlink>
      <w:r>
        <w:t xml:space="preserve">). One possibility (</w:t>
      </w:r>
      <w:hyperlink w:anchor="fig-mechanism">
        <w:r>
          <w:rPr>
            <w:rStyle w:val="Hyperlink"/>
          </w:rPr>
          <w:t xml:space="preserve">Figure 10</w:t>
        </w:r>
      </w:hyperlink>
      <w:r>
        <w:t xml:space="preserve">, panel B) is</w:t>
      </w:r>
      <w:r>
        <w:t xml:space="preserve"> </w:t>
      </w:r>
      <w:r>
        <w:rPr>
          <w:b/>
          <w:bCs/>
        </w:rPr>
        <w:t xml:space="preserve">phasic suppression</w:t>
      </w:r>
      <w:r>
        <w:t xml:space="preserve">: the neural resources required to maintain a 40% MVC grip actively compete with, or inhibit the gain of, the LC–NE phasic response to the target stimulus, producing a blunted cognitive-window dilation despite elevated overall arousal. A complementary account (</w:t>
      </w:r>
      <w:hyperlink w:anchor="fig-mechanism">
        <w:r>
          <w:rPr>
            <w:rStyle w:val="Hyperlink"/>
          </w:rPr>
          <w:t xml:space="preserve">Figure 10</w:t>
        </w:r>
      </w:hyperlink>
      <w:r>
        <w:t xml:space="preserve">, panel C) is</w:t>
      </w:r>
      <w:r>
        <w:t xml:space="preserve"> </w:t>
      </w:r>
      <w:r>
        <w:rPr>
          <w:b/>
          <w:bCs/>
        </w:rPr>
        <w:t xml:space="preserve">reduced dynamic range</w:t>
      </w:r>
      <w:r>
        <w:t xml:space="preserve">: the high baseline arousal elicited by physical effort may bring the pupil near its upper physiological limit, mechanically restricting the amplitude of any further event-locked dilation. Both mechanisms would produce the same surface signature — lower Cognitive AUC under high effort — but differ in whether the source is active inhibition or passive saturation. Empirically distinguishing them would require either a dedicated within-session ceiling check (comparing raw pupil diameter under High effort against each participant’s observed maximum) or a deconvolution-based pupil model that separates tonic and phasic components.</w:t>
      </w:r>
    </w:p>
    <w:p>
      <w:pPr>
        <w:pStyle w:val="BodyText"/>
      </w:pPr>
      <w:r>
        <w:t xml:space="preserve">Either way, the saturation or suppression interpretation is consistent with the age-related positioning on the Yerkes–Dodson curve shown in</w:t>
      </w:r>
      <w:r>
        <w:t xml:space="preserve"> </w:t>
      </w:r>
      <w:hyperlink w:anchor="fig-mechanism">
        <w:r>
          <w:rPr>
            <w:rStyle w:val="Hyperlink"/>
          </w:rPr>
          <w:t xml:space="preserve">Figure 10</w:t>
        </w:r>
      </w:hyperlink>
      <w:r>
        <w:t xml:space="preserve"> </w:t>
      </w:r>
      <w:r>
        <w:t xml:space="preserve">(panel D). If older adults’ optimal arousal zone is shifted leftward relative to younger adults, a high-effort context is more likely to push them into a supra-optimal region where fine-grained, trial-by-trial sensitivity modulation is degraded. This would explain why effort produced a significant group-level shift in response tendency (</w:t>
      </w:r>
      <m:oMath>
        <m:r>
          <m:t>β</m:t>
        </m:r>
      </m:oMath>
      <w:r>
        <w:t xml:space="preserve"> </w:t>
      </w:r>
      <w:r>
        <w:t xml:space="preserve">= −0.139,</w:t>
      </w:r>
      <w:r>
        <w:t xml:space="preserve"> </w:t>
      </w:r>
      <w:r>
        <w:rPr>
          <w:i/>
          <w:iCs/>
        </w:rPr>
        <w:t xml:space="preserve">p</w:t>
      </w:r>
      <w:r>
        <w:t xml:space="preserve"> </w:t>
      </w:r>
      <w:r>
        <w:t xml:space="preserve">= .003) without generating the continuous, within-trial arousal–sensitivity coupling captured by the stimulus intensity × pupil state interaction (</w:t>
      </w:r>
      <m:oMath>
        <m:r>
          <m:t>β</m:t>
        </m:r>
      </m:oMath>
      <w:r>
        <w:t xml:space="preserve"> </w:t>
      </w:r>
      <w:r>
        <w:t xml:space="preserve">= +0.035,</w:t>
      </w:r>
      <w:r>
        <w:t xml:space="preserve"> </w:t>
      </w:r>
      <w:r>
        <w:rPr>
          <w:i/>
          <w:iCs/>
        </w:rPr>
        <w:t xml:space="preserve">p</w:t>
      </w:r>
      <w:r>
        <w:t xml:space="preserve"> </w:t>
      </w:r>
      <w:r>
        <w:t xml:space="preserve">= .245).</w:t>
      </w:r>
    </w:p>
    <w:p>
      <w:pPr>
        <w:pStyle w:val="BodyText"/>
      </w:pPr>
      <w:r>
        <w:t xml:space="preserve">At the same time, subject-level changes in Cognitive AUC and Total AUC were negatively correlated across participants (Section 3.6; r = −0.352, p &lt; .01), indicating that larger effort-evoked total arousal co-occurred with larger</w:t>
      </w:r>
      <w:r>
        <w:t xml:space="preserve"> </w:t>
      </w:r>
      <w:r>
        <w:rPr>
          <w:i/>
          <w:iCs/>
        </w:rPr>
        <w:t xml:space="preserve">reductions</w:t>
      </w:r>
      <w:r>
        <w:t xml:space="preserve"> </w:t>
      </w:r>
      <w:r>
        <w:t xml:space="preserve">in task-evoked cognitive pupil response. This exploratory pattern parallels the Section 3.3 dissociation and is consistent with a suppression or reallocation account, but it should be treated as hypothesis-generating rather than confirmatory.</w:t>
      </w:r>
    </w:p>
    <w:bookmarkEnd w:id="96"/>
    <w:bookmarkStart w:id="100" w:name="limitations"/>
    <w:p>
      <w:pPr>
        <w:pStyle w:val="Heading2"/>
      </w:pPr>
      <w:r>
        <w:t xml:space="preserve">4.3 Limitations</w:t>
      </w:r>
    </w:p>
    <w:p>
      <w:pPr>
        <w:pStyle w:val="FirstParagraph"/>
      </w:pPr>
      <w:r>
        <w:t xml:space="preserve">Several limitations should be considered when interpreting the findings. Pupil data quality varies across older adults due to factors such as eye-tracking challenges, increased blink rates, and age-related changes in pupil dynamics. The reported analyses therefore use tiered validity filters (</w:t>
      </w:r>
      <w:r>
        <w:rPr>
          <w:rStyle w:val="VerbatimChar"/>
        </w:rPr>
        <w:t xml:space="preserve">quality_primary</w:t>
      </w:r>
      <w:r>
        <w:t xml:space="preserve">,</w:t>
      </w:r>
      <w:r>
        <w:t xml:space="preserve"> </w:t>
      </w:r>
      <w:r>
        <w:rPr>
          <w:rStyle w:val="VerbatimChar"/>
        </w:rPr>
        <w:t xml:space="preserve">quality_lenient</w:t>
      </w:r>
      <w:r>
        <w:t xml:space="preserve">,</w:t>
      </w:r>
      <w:r>
        <w:t xml:space="preserve"> </w:t>
      </w:r>
      <w:r>
        <w:rPr>
          <w:rStyle w:val="VerbatimChar"/>
        </w:rPr>
        <w:t xml:space="preserve">quality_strict</w:t>
      </w:r>
      <w:r>
        <w:t xml:space="preserve">) and test whether conclusions are robust to stricter or more permissive inclusion criteria. Expanded gap-aware quality metrics were developed for this project and remain useful for future refinements, but they were not the operative gates for the saved model objects reported here. Even with quality filtering, some participants had limited usable pupil data, which reduced power for detecting state-level effects.</w:t>
      </w:r>
    </w:p>
    <w:bookmarkStart w:id="97" w:name="sec-missingness-limitation"/>
    <w:p>
      <w:pPr>
        <w:pStyle w:val="Heading3"/>
      </w:pPr>
      <w:r>
        <w:t xml:space="preserve">4.3.1 Missingness and selection bias</w:t>
      </w:r>
    </w:p>
    <w:p>
      <w:pPr>
        <w:pStyle w:val="FirstParagraph"/>
      </w:pPr>
      <w:r>
        <w:t xml:space="preserve">Missingness was non-random: High-effort trials had significantly higher odds of usable pupil data than Low-effort trials (OR = 1.203,</w:t>
      </w:r>
      <w:r>
        <w:t xml:space="preserve"> </w:t>
      </w:r>
      <w:r>
        <w:rPr>
          <w:i/>
          <w:iCs/>
        </w:rPr>
        <w:t xml:space="preserve">p</w:t>
      </w:r>
      <w:r>
        <w:t xml:space="preserve"> </w:t>
      </w:r>
      <w:r>
        <w:t xml:space="preserve">&lt; .001), and VDT trials had nearly twice the odds of usable data compared to ADT trials (OR = 1.967,</w:t>
      </w:r>
      <w:r>
        <w:t xml:space="preserve"> </w:t>
      </w:r>
      <w:r>
        <w:rPr>
          <w:i/>
          <w:iCs/>
        </w:rPr>
        <w:t xml:space="preserve">p</w:t>
      </w:r>
      <w:r>
        <w:t xml:space="preserve"> </w:t>
      </w:r>
      <w:r>
        <w:t xml:space="preserve">&lt; .001; Section 3.4). This means the analysis samples are not identical across conditions, introducing potential selection bias. The effort-direction effect (more data retained under High effort, likely due to reduced blinking during demanding grip) does not obviously favour the null hypothesis, but the modality difference — far more ADT data missing — limits the symmetry of cross-task comparisons. Missingness was not predicted by stimulus intensity (</w:t>
      </w:r>
      <w:r>
        <w:rPr>
          <w:i/>
          <w:iCs/>
        </w:rPr>
        <w:t xml:space="preserve">p</w:t>
      </w:r>
      <w:r>
        <w:t xml:space="preserve"> </w:t>
      </w:r>
      <w:r>
        <w:t xml:space="preserve">= .565) or response time (</w:t>
      </w:r>
      <w:r>
        <w:rPr>
          <w:i/>
          <w:iCs/>
        </w:rPr>
        <w:t xml:space="preserve">p</w:t>
      </w:r>
      <w:r>
        <w:t xml:space="preserve"> </w:t>
      </w:r>
      <w:r>
        <w:t xml:space="preserve">= .982), suggesting that the psychometric intensity structure of retained trials is not systematically distorted. However, these diagnostics do not rule out missing-not-at-random mechanisms in which the physiological state being indexed by the pupil itself contributes to track loss or blink-related dropout. The robustness checks across quality tiers (Appendix B) further indicate that primary-tier findings are not uniquely driven by the specific inclusion threshold, though systematic missingness remains an inherent limitation of older-adult pupillometry in this paradigm.</w:t>
      </w:r>
    </w:p>
    <w:p>
      <w:pPr>
        <w:pStyle w:val="BodyText"/>
      </w:pPr>
      <w:r>
        <w:t xml:space="preserve">The PF-based behavioral backbone also has important design limitations. Individual Weibull fits were estimated with free guess and lapse parameters from a small number of stimulus levels per condition, which can leave slope estimates weakly constrained at the participant level when the effective stimulus grid is coarse. Cross-checking against raw Psignifit</w:t>
      </w:r>
      <w:r>
        <w:t xml:space="preserve"> </w:t>
      </w:r>
      <w:r>
        <w:rPr>
          <w:rStyle w:val="VerbatimChar"/>
        </w:rPr>
        <w:t xml:space="preserve">.mat</w:t>
      </w:r>
      <w:r>
        <w:t xml:space="preserve"> </w:t>
      </w:r>
      <w:r>
        <w:t xml:space="preserve">outputs can still be useful for boundary- or lapse-driven behavior in individual participants.</w:t>
      </w:r>
    </w:p>
    <w:bookmarkEnd w:id="97"/>
    <w:bookmarkStart w:id="98" w:name="sec-power-analysis"/>
    <w:p>
      <w:pPr>
        <w:pStyle w:val="Heading3"/>
      </w:pPr>
      <w:r>
        <w:t xml:space="preserve">4.3.2 Post-hoc power analysis</w:t>
      </w:r>
    </w:p>
    <w:p>
      <w:pPr>
        <w:pStyle w:val="FirstParagraph"/>
      </w:pPr>
      <w:r>
        <w:t xml:space="preserve">To evaluate whether the non-significant primary interaction reflects a true absence of effect or insufficient statistical power, we conducted a sensitivity power analysis estimating the minimum detectable effect size for the primary interaction given the present design. Using the observed design parameters—approximately 54 participants contributing a mean of 98.6 primary-tier trials each (total ~5,322 observations), with a nominal Type I error rate (alpha) of .05 and power = 0.80—the minimum detectable effect for the stimulus intensity x pupil state interaction (expressed as a standardized probit coefficient) was approximately beta_min = 0.085. The obtained coefficient (beta = +0.035) is smaller than this threshold, consistent with limited precision: post-hoc power to detect an effect of the observed magnitude (two-sided Wald test) was approximately 21%. Roughly, achieving 80% power to detect an interaction of similar magnitude to the point estimate would require on the order of 5.8 times the effective sample size of the present analysis (order-of-magnitude approximately 313 participants if precision scaled with the square root of sample size in the usual way). These estimates suggest that the null primary interaction should be interpreted cautiously as evidence of a weak or inconclusive effect rather than as a definitive absence of coupling, and that adequately powered replication would require a substantially larger sample and/or improved pupil data retention. Importantly, post-hoc power and the equivalence result (</w:t>
      </w:r>
      <w:hyperlink w:anchor="sec-pupil-quality-tier">
        <w:r>
          <w:rPr>
            <w:rStyle w:val="Hyperlink"/>
          </w:rPr>
          <w:t xml:space="preserve">Section 3.5.1</w:t>
        </w:r>
      </w:hyperlink>
      <w:r>
        <w:t xml:space="preserve">) address complementary questions: realized power reflects the study’s ability to detect an effect of the observed magnitude, whereas the equivalence test establishes that effects outside the SESOI bounds for the interaction are ruled out by the reported 90% CI. Together, these findings indicate that any true coupling in this older-adult sample is likely small in absolute terms, even if its precise magnitude remains uncertain.</w:t>
      </w:r>
    </w:p>
    <w:bookmarkEnd w:id="98"/>
    <w:bookmarkStart w:id="99" w:name="sec-sesoi-rationale"/>
    <w:p>
      <w:pPr>
        <w:pStyle w:val="Heading3"/>
      </w:pPr>
      <w:r>
        <w:t xml:space="preserve">4.3.3 Equivalence bound rationale</w:t>
      </w:r>
    </w:p>
    <w:p>
      <w:pPr>
        <w:pStyle w:val="FirstParagraph"/>
      </w:pPr>
      <w:r>
        <w:t xml:space="preserve">The pre-specified smallest effect size of interest (SESOI) for the stimulus intensity × pupil-state interaction was set to</w:t>
      </w:r>
      <w:r>
        <w:t xml:space="preserve"> </w:t>
      </w:r>
      <m:oMath>
        <m:r>
          <m:rPr>
            <m:sty m:val="p"/>
          </m:rPr>
          <m:t>±</m:t>
        </m:r>
        <m:r>
          <m:t>0.10</m:t>
        </m:r>
      </m:oMath>
      <w:r>
        <w:t xml:space="preserve"> </w:t>
      </w:r>
      <w:r>
        <w:t xml:space="preserve">probit units on the standardized latent scale used in the primary GLMM. This bound corresponds to roughly 7.6% of the main intensity slope (</w:t>
      </w:r>
      <m:oMath>
        <m:sSub>
          <m:e>
            <m:r>
              <m:t>β</m:t>
            </m:r>
          </m:e>
          <m:sub>
            <m:r>
              <m:t>1</m:t>
            </m:r>
          </m:sub>
        </m:sSub>
        <m:r>
          <m:rPr>
            <m:sty m:val="p"/>
          </m:rPr>
          <m:t>≈</m:t>
        </m:r>
        <m:r>
          <m:t>1.31</m:t>
        </m:r>
      </m:oMath>
      <w:r>
        <w:t xml:space="preserve">), a magnitude that would imply a practically meaningful shift in psychometric steepness across the observed pupil-state range. Equivalence testing therefore asks whether the data are compatible with coupling effects</w:t>
      </w:r>
      <w:r>
        <w:t xml:space="preserve"> </w:t>
      </w:r>
      <w:r>
        <w:rPr>
          <w:b/>
          <w:bCs/>
        </w:rPr>
        <w:t xml:space="preserve">smaller</w:t>
      </w:r>
      <w:r>
        <w:t xml:space="preserve"> </w:t>
      </w:r>
      <w:r>
        <w:t xml:space="preserve">than this bound, not merely whether the frequentist null can be rejected.</w:t>
      </w:r>
    </w:p>
    <w:p>
      <w:pPr>
        <w:pStyle w:val="BodyText"/>
      </w:pPr>
      <w:r>
        <w:t xml:space="preserve">The primary cognitive pupil metric uses a fixed 1.20-second stimulus-locked window (4.85-6.05s) to reduce RT confounding and capture the TEPR peak. However, this window unavoidably overlaps with multiple task events: the response screen appears at 4.70s (only 350ms after target onset at 4.35s), and button presses occur at variable times (typically 5.3-5.4s for median RTs). This temporal overlap creates potential confounds from visual/attentional responses to the response screen and motor/blink artifacts from button presses.</w:t>
      </w:r>
    </w:p>
    <w:p>
      <w:pPr>
        <w:pStyle w:val="BodyText"/>
      </w:pPr>
      <w:r>
        <w:t xml:space="preserve">Several mitigation strategies are implemented. Mean dilation (AUC/duration) is used rather than raw AUC to remove duration confounds; sensitivity analyses use slow-RT trials where motor cannot contaminate the primary window; and motor-buffered and pre-response window definitions are computed and available for future sensitivity analyses when full AUC computation is completed. However, complete elimination of temporal overlap confounds is impossible given the task design, and the primary window represents a trade-off between capturing relevant arousal dynamics and minimizing measurement artifacts. Response-locked metrics (available for future sensitivity analyses) can capture decision-related arousal more directly but are more susceptible to RT confounding. The choice of window definition represents a trade-off between physiological validity and measurement confounds.</w:t>
      </w:r>
    </w:p>
    <w:p>
      <w:pPr>
        <w:pStyle w:val="BodyText"/>
      </w:pPr>
      <w:r>
        <w:t xml:space="preserve">Notably, the slow-RT sensitivity subset (trials with RT &gt; 1.5 s, where button press falls outside the cognitive window) yielded an interaction estimate of opposite sign (</w:t>
      </w:r>
      <m:oMath>
        <m:r>
          <m:t>β</m:t>
        </m:r>
      </m:oMath>
      <w:r>
        <w:t xml:space="preserve"> </w:t>
      </w:r>
      <w:r>
        <w:t xml:space="preserve">= −0.071,</w:t>
      </w:r>
      <w:r>
        <w:t xml:space="preserve"> </w:t>
      </w:r>
      <w:r>
        <w:rPr>
          <w:i/>
          <w:iCs/>
        </w:rPr>
        <w:t xml:space="preserve">p</w:t>
      </w:r>
      <w:r>
        <w:t xml:space="preserve"> </w:t>
      </w:r>
      <w:r>
        <w:t xml:space="preserve">= .164) relative to the primary-tier estimate (</w:t>
      </w:r>
      <m:oMath>
        <m:r>
          <m:t>β</m:t>
        </m:r>
      </m:oMath>
      <w:r>
        <w:t xml:space="preserve"> </w:t>
      </w:r>
      <w:r>
        <w:t xml:space="preserve">= +0.035,</w:t>
      </w:r>
      <w:r>
        <w:t xml:space="preserve"> </w:t>
      </w:r>
      <w:r>
        <w:rPr>
          <w:i/>
          <w:iCs/>
        </w:rPr>
        <w:t xml:space="preserve">p</w:t>
      </w:r>
      <w:r>
        <w:t xml:space="preserve"> </w:t>
      </w:r>
      <w:r>
        <w:t xml:space="preserve">= .245; Section 3.5.1). Although neither estimate is statistically significant, the sign reversal indicates that motor or response-screen contamination of the cognitive window plausibly contributed to the positive direction of the primary-tier point estimate. This prevents a clean attribution of even the non-significant positive trend to genuine arousal–sensitivity coupling. Future analyses using motor-buffered or response-locked pupil windows (</w:t>
      </w:r>
      <w:hyperlink w:anchor="sec-appendix-e">
        <w:r>
          <w:rPr>
            <w:rStyle w:val="Hyperlink"/>
          </w:rPr>
          <w:t xml:space="preserve">Appendix E</w:t>
        </w:r>
      </w:hyperlink>
      <w:r>
        <w:t xml:space="preserve">) would provide a cleaner test.</w:t>
      </w:r>
    </w:p>
    <w:bookmarkEnd w:id="99"/>
    <w:bookmarkEnd w:id="100"/>
    <w:bookmarkStart w:id="101"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In Chapter 2, trial-level pupil × sensitivity coupling was not statistically reliable at the primary quality tier, and subject-level Δpupil–ΔPF correlations were near zero. Chapter 1 will provide the younger-adult benchmark for direct comparison; until then, the present chapter documents weak primary-tier coupling and inconsistent lenient-tier significance in older adults.</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101"/>
    <w:bookmarkStart w:id="102" w:name="conclusions-and-future-directions"/>
    <w:p>
      <w:pPr>
        <w:pStyle w:val="Heading2"/>
      </w:pPr>
      <w:r>
        <w:t xml:space="preserve">4.5 Conclusions and Future Directions</w:t>
      </w:r>
    </w:p>
    <w:p>
      <w:pPr>
        <w:pStyle w:val="FirstParagraph"/>
      </w:pPr>
      <w:r>
        <w:t xml:space="preserve">Chapter 2 provides a systematic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work could test whether alternative pupil windows—motor-buffered, pre-response, or response-locked summaries—show clearer arousal–sensitivity coupling once full AUCs are computed; compare younger and older adults on the same coupling question; use the computational models in Chapter 3 to link behavior to latent decision parameters; and apply event-based GLM or deconvolution to separate target-, response-screen-, and motor-related pupil components.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p>
      <w:r>
        <w:br w:type="page"/>
      </w:r>
    </w:p>
    <w:bookmarkEnd w:id="102"/>
    <w:bookmarkEnd w:id="103"/>
    <w:bookmarkStart w:id="188" w:name="references"/>
    <w:p>
      <w:pPr>
        <w:pStyle w:val="Heading1"/>
      </w:pPr>
      <w:r>
        <w:t xml:space="preserve">5. References</w:t>
      </w:r>
    </w:p>
    <w:bookmarkStart w:id="187" w:name="refs"/>
    <w:bookmarkStart w:id="104"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104"/>
    <w:bookmarkStart w:id="106"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05">
        <w:r>
          <w:rPr>
            <w:rStyle w:val="Hyperlink"/>
          </w:rPr>
          <w:t xml:space="preserve">https://doi.org/10.1146/annurev.neuro.28.061604.135709</w:t>
        </w:r>
      </w:hyperlink>
    </w:p>
    <w:bookmarkEnd w:id="106"/>
    <w:bookmarkStart w:id="108"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7">
        <w:r>
          <w:rPr>
            <w:rStyle w:val="Hyperlink"/>
          </w:rPr>
          <w:t xml:space="preserve">https://doi.org/10.1037/pag0000730</w:t>
        </w:r>
      </w:hyperlink>
    </w:p>
    <w:bookmarkEnd w:id="108"/>
    <w:bookmarkStart w:id="110"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09">
        <w:r>
          <w:rPr>
            <w:rStyle w:val="Hyperlink"/>
          </w:rPr>
          <w:t xml:space="preserve">https://doi.org/10.18637/jss.v067.i01</w:t>
        </w:r>
      </w:hyperlink>
    </w:p>
    <w:bookmarkEnd w:id="110"/>
    <w:bookmarkStart w:id="112"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11">
        <w:r>
          <w:rPr>
            <w:rStyle w:val="Hyperlink"/>
          </w:rPr>
          <w:t xml:space="preserve">https://doi.org/10.1037/0033-2909.91.2.276</w:t>
        </w:r>
      </w:hyperlink>
    </w:p>
    <w:bookmarkEnd w:id="112"/>
    <w:bookmarkStart w:id="114"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13">
        <w:r>
          <w:rPr>
            <w:rStyle w:val="Hyperlink"/>
          </w:rPr>
          <w:t xml:space="preserve">https://doi.org/10.1016/j.ijpsycho.2014.03.005</w:t>
        </w:r>
      </w:hyperlink>
    </w:p>
    <w:bookmarkEnd w:id="114"/>
    <w:bookmarkStart w:id="116"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15">
        <w:r>
          <w:rPr>
            <w:rStyle w:val="Hyperlink"/>
          </w:rPr>
          <w:t xml:space="preserve">https://doi.org/10.1145/3173574.3173856</w:t>
        </w:r>
      </w:hyperlink>
    </w:p>
    <w:bookmarkEnd w:id="116"/>
    <w:bookmarkStart w:id="118"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7">
        <w:r>
          <w:rPr>
            <w:rStyle w:val="Hyperlink"/>
          </w:rPr>
          <w:t xml:space="preserve">https://doi.org/10.1038/nn.3428</w:t>
        </w:r>
      </w:hyperlink>
    </w:p>
    <w:bookmarkEnd w:id="118"/>
    <w:bookmarkStart w:id="120"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19">
        <w:r>
          <w:rPr>
            <w:rStyle w:val="Hyperlink"/>
          </w:rPr>
          <w:t xml:space="preserve">https://doi.org/10.4135/9781446247600.n6</w:t>
        </w:r>
      </w:hyperlink>
    </w:p>
    <w:bookmarkEnd w:id="120"/>
    <w:bookmarkStart w:id="122"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21">
        <w:r>
          <w:rPr>
            <w:rStyle w:val="Hyperlink"/>
          </w:rPr>
          <w:t xml:space="preserve">https://doi.org/10.3758/CABN.10.2.252</w:t>
        </w:r>
      </w:hyperlink>
    </w:p>
    <w:bookmarkEnd w:id="122"/>
    <w:bookmarkStart w:id="124"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23">
        <w:r>
          <w:rPr>
            <w:rStyle w:val="Hyperlink"/>
          </w:rPr>
          <w:t xml:space="preserve">https://doi.org/10.1093/schbul/sbl051</w:t>
        </w:r>
      </w:hyperlink>
    </w:p>
    <w:bookmarkEnd w:id="124"/>
    <w:bookmarkStart w:id="125"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25"/>
    <w:bookmarkStart w:id="127"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27"/>
    <w:bookmarkStart w:id="129"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28">
        <w:r>
          <w:rPr>
            <w:rStyle w:val="Hyperlink"/>
          </w:rPr>
          <w:t xml:space="preserve">https://doi.org/10.4324/9781315744094</w:t>
        </w:r>
      </w:hyperlink>
    </w:p>
    <w:bookmarkEnd w:id="129"/>
    <w:bookmarkStart w:id="131"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30">
        <w:r>
          <w:rPr>
            <w:rStyle w:val="Hyperlink"/>
          </w:rPr>
          <w:t xml:space="preserve">https://doi.org/10.1007/978-3-031-54896-3_1</w:t>
        </w:r>
      </w:hyperlink>
    </w:p>
    <w:bookmarkEnd w:id="131"/>
    <w:bookmarkStart w:id="132"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32"/>
    <w:bookmarkStart w:id="134"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33">
        <w:r>
          <w:rPr>
            <w:rStyle w:val="Hyperlink"/>
          </w:rPr>
          <w:t xml:space="preserve">https://doi.org/10.1016/j.neuron.2015.11.028</w:t>
        </w:r>
      </w:hyperlink>
    </w:p>
    <w:bookmarkEnd w:id="134"/>
    <w:bookmarkStart w:id="135" w:name="ref-kahneman1973"/>
    <w:p>
      <w:pPr>
        <w:pStyle w:val="Bibliography"/>
      </w:pPr>
      <w:r>
        <w:t xml:space="preserve">Kahneman, D. (1973).</w:t>
      </w:r>
      <w:r>
        <w:t xml:space="preserve"> </w:t>
      </w:r>
      <w:r>
        <w:rPr>
          <w:i/>
          <w:iCs/>
        </w:rPr>
        <w:t xml:space="preserve">Attention and effort</w:t>
      </w:r>
      <w:r>
        <w:t xml:space="preserve">. Prentice-Hall.</w:t>
      </w:r>
    </w:p>
    <w:bookmarkEnd w:id="135"/>
    <w:bookmarkStart w:id="137"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36">
        <w:r>
          <w:rPr>
            <w:rStyle w:val="Hyperlink"/>
          </w:rPr>
          <w:t xml:space="preserve">https://doi.org/10.1126/science.154.3756.1583</w:t>
        </w:r>
      </w:hyperlink>
    </w:p>
    <w:bookmarkEnd w:id="137"/>
    <w:bookmarkStart w:id="138"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138"/>
    <w:bookmarkStart w:id="139"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39"/>
    <w:bookmarkStart w:id="141"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40">
        <w:r>
          <w:rPr>
            <w:rStyle w:val="Hyperlink"/>
          </w:rPr>
          <w:t xml:space="preserve">https://doi.org/10.1177/1948550617697177</w:t>
        </w:r>
      </w:hyperlink>
    </w:p>
    <w:bookmarkEnd w:id="141"/>
    <w:bookmarkStart w:id="143"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42">
        <w:r>
          <w:rPr>
            <w:rStyle w:val="Hyperlink"/>
          </w:rPr>
          <w:t xml:space="preserve">https://doi.org/10.1152/japplphysiol.01022.2013</w:t>
        </w:r>
      </w:hyperlink>
    </w:p>
    <w:bookmarkEnd w:id="143"/>
    <w:bookmarkStart w:id="145"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44">
        <w:r>
          <w:rPr>
            <w:rStyle w:val="Hyperlink"/>
          </w:rPr>
          <w:t xml:space="preserve">https://doi.org/10.1038/s41562-018-0344-1</w:t>
        </w:r>
      </w:hyperlink>
    </w:p>
    <w:bookmarkEnd w:id="145"/>
    <w:bookmarkStart w:id="146"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46"/>
    <w:bookmarkStart w:id="148"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47">
        <w:r>
          <w:rPr>
            <w:rStyle w:val="Hyperlink"/>
          </w:rPr>
          <w:t xml:space="preserve">https://doi.org/10.1161/01.RES.57.3.461</w:t>
        </w:r>
      </w:hyperlink>
    </w:p>
    <w:bookmarkEnd w:id="148"/>
    <w:bookmarkStart w:id="150"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49">
        <w:r>
          <w:rPr>
            <w:rStyle w:val="Hyperlink"/>
          </w:rPr>
          <w:t xml:space="preserve">https://doi.org/10.1017/S0140525X15000667</w:t>
        </w:r>
      </w:hyperlink>
    </w:p>
    <w:bookmarkEnd w:id="150"/>
    <w:bookmarkStart w:id="152"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51">
        <w:r>
          <w:rPr>
            <w:rStyle w:val="Hyperlink"/>
          </w:rPr>
          <w:t xml:space="preserve">https://doi.org/10.1016/j.tics.2016.01.001</w:t>
        </w:r>
      </w:hyperlink>
    </w:p>
    <w:bookmarkEnd w:id="152"/>
    <w:bookmarkStart w:id="153" w:name="ref-mathot2023methods"/>
    <w:p>
      <w:pPr>
        <w:pStyle w:val="Bibliography"/>
      </w:pPr>
      <w:r>
        <w:t xml:space="preserve">Mathôt, S., &amp; Vilotijević, A. (2023). Methods in cognitive pupillometry: Design, preprocessing, and statistical analysis.</w:t>
      </w:r>
      <w:r>
        <w:t xml:space="preserve"> </w:t>
      </w:r>
      <w:r>
        <w:rPr>
          <w:i/>
          <w:iCs/>
        </w:rPr>
        <w:t xml:space="preserve">Behavior Research Methods</w:t>
      </w:r>
      <w:r>
        <w:t xml:space="preserve">,</w:t>
      </w:r>
      <w:r>
        <w:t xml:space="preserve"> </w:t>
      </w:r>
      <w:r>
        <w:rPr>
          <w:i/>
          <w:iCs/>
        </w:rPr>
        <w:t xml:space="preserve">55</w:t>
      </w:r>
      <w:r>
        <w:t xml:space="preserve">(6), 3055–3077.</w:t>
      </w:r>
    </w:p>
    <w:bookmarkEnd w:id="153"/>
    <w:bookmarkStart w:id="155"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54">
        <w:r>
          <w:rPr>
            <w:rStyle w:val="Hyperlink"/>
          </w:rPr>
          <w:t xml:space="preserve">https://doi.org/10.1016/j.visres.2009.10.012</w:t>
        </w:r>
      </w:hyperlink>
    </w:p>
    <w:bookmarkEnd w:id="155"/>
    <w:bookmarkStart w:id="157"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56">
        <w:r>
          <w:rPr>
            <w:rStyle w:val="Hyperlink"/>
          </w:rPr>
          <w:t xml:space="preserve">https://doi.org/10.1016/j.neubiorev.2021.12.010</w:t>
        </w:r>
      </w:hyperlink>
    </w:p>
    <w:bookmarkEnd w:id="157"/>
    <w:bookmarkStart w:id="159"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58">
        <w:r>
          <w:rPr>
            <w:rStyle w:val="Hyperlink"/>
          </w:rPr>
          <w:t xml:space="preserve">https://doi.org/10.1002/hbm.22466</w:t>
        </w:r>
      </w:hyperlink>
    </w:p>
    <w:bookmarkEnd w:id="159"/>
    <w:bookmarkStart w:id="161"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60">
        <w:r>
          <w:rPr>
            <w:rStyle w:val="Hyperlink"/>
          </w:rPr>
          <w:t xml:space="preserve">https://doi.org/10.1037/0033-295X.91.2.216</w:t>
        </w:r>
      </w:hyperlink>
    </w:p>
    <w:bookmarkEnd w:id="161"/>
    <w:bookmarkStart w:id="162"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62"/>
    <w:bookmarkStart w:id="163"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63"/>
    <w:bookmarkStart w:id="164"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64"/>
    <w:bookmarkStart w:id="165"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65"/>
    <w:bookmarkStart w:id="166"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66"/>
    <w:bookmarkStart w:id="168"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67">
        <w:r>
          <w:rPr>
            <w:rStyle w:val="Hyperlink"/>
          </w:rPr>
          <w:t xml:space="preserve">https://doi.org/10.1002/9781118133880.hop204011</w:t>
        </w:r>
      </w:hyperlink>
    </w:p>
    <w:bookmarkEnd w:id="168"/>
    <w:bookmarkStart w:id="170"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69">
        <w:r>
          <w:rPr>
            <w:rStyle w:val="Hyperlink"/>
          </w:rPr>
          <w:t xml:space="preserve">https://www.R-project.org/</w:t>
        </w:r>
      </w:hyperlink>
    </w:p>
    <w:bookmarkEnd w:id="170"/>
    <w:bookmarkStart w:id="172"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71">
        <w:r>
          <w:rPr>
            <w:rStyle w:val="Hyperlink"/>
          </w:rPr>
          <w:t xml:space="preserve">https://doi.org/10.1037/0033-295X.103.3.403</w:t>
        </w:r>
      </w:hyperlink>
    </w:p>
    <w:bookmarkEnd w:id="172"/>
    <w:bookmarkStart w:id="174"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73">
        <w:r>
          <w:rPr>
            <w:rStyle w:val="Hyperlink"/>
          </w:rPr>
          <w:t xml:space="preserve">https://doi.org/10.1152/japplphysiol.91539.2008</w:t>
        </w:r>
      </w:hyperlink>
    </w:p>
    <w:bookmarkEnd w:id="174"/>
    <w:bookmarkStart w:id="175"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75"/>
    <w:bookmarkStart w:id="177"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76">
        <w:r>
          <w:rPr>
            <w:rStyle w:val="Hyperlink"/>
          </w:rPr>
          <w:t xml:space="preserve">https://doi.org/10.1111/j.1748-1716.2010.02144.x</w:t>
        </w:r>
      </w:hyperlink>
    </w:p>
    <w:bookmarkEnd w:id="177"/>
    <w:bookmarkStart w:id="179"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78">
        <w:r>
          <w:rPr>
            <w:rStyle w:val="Hyperlink"/>
          </w:rPr>
          <w:t xml:space="preserve">https://doi.org/10.1037/0882-7974.18.3.443</w:t>
        </w:r>
      </w:hyperlink>
    </w:p>
    <w:bookmarkEnd w:id="179"/>
    <w:bookmarkStart w:id="180"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80"/>
    <w:bookmarkStart w:id="182"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81">
        <w:r>
          <w:rPr>
            <w:rStyle w:val="Hyperlink"/>
          </w:rPr>
          <w:t xml:space="preserve">https://doi.org/10.1518/001872008X288394</w:t>
        </w:r>
      </w:hyperlink>
    </w:p>
    <w:bookmarkEnd w:id="182"/>
    <w:bookmarkStart w:id="184"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83">
        <w:r>
          <w:rPr>
            <w:rStyle w:val="Hyperlink"/>
          </w:rPr>
          <w:t xml:space="preserve">https://doi.org/10.1016/S0966-6362(01)00156-4</w:t>
        </w:r>
      </w:hyperlink>
    </w:p>
    <w:bookmarkEnd w:id="184"/>
    <w:bookmarkStart w:id="186"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85">
        <w:r>
          <w:rPr>
            <w:rStyle w:val="Hyperlink"/>
          </w:rPr>
          <w:t xml:space="preserve">https://doi.org/10.1002/cne.920180503</w:t>
        </w:r>
      </w:hyperlink>
    </w:p>
    <w:bookmarkEnd w:id="186"/>
    <w:bookmarkEnd w:id="187"/>
    <w:p>
      <w:r>
        <w:br w:type="page"/>
      </w:r>
    </w:p>
    <w:bookmarkEnd w:id="188"/>
    <w:bookmarkStart w:id="209" w:name="appendix"/>
    <w:p>
      <w:pPr>
        <w:pStyle w:val="Heading1"/>
      </w:pPr>
      <w:r>
        <w:t xml:space="preserve">6. Appendix</w:t>
      </w:r>
    </w:p>
    <w:bookmarkStart w:id="189" w:name="sec-appendix-a"/>
    <w:p>
      <w:pPr>
        <w:pStyle w:val="Heading2"/>
      </w:pPr>
      <w:r>
        <w:t xml:space="preserve">6.1 Appendix A: Gap-Aware QC Metric Specifications</w:t>
      </w:r>
    </w:p>
    <w:p>
      <w:pPr>
        <w:pStyle w:val="FirstParagraph"/>
      </w:pPr>
      <w:r>
        <w:t xml:space="preserve">In addition to percentage-validity thresholds, gap-aware quality control metrics identify trials with problematic missing-data patterns. Percentage-validity thresholds are necessary but not sufficient: a trial can have acceptable overall validity (e.g., 60%) but contain large contiguous gaps that distort AUC estimates. Following</w:t>
      </w:r>
      <w:r>
        <w:t xml:space="preserve"> </w:t>
      </w:r>
      <w:r>
        <w:t xml:space="preserve">Kret &amp; Sjak-Shie (2019)</w:t>
      </w:r>
      <w:r>
        <w:t xml:space="preserve">, each trial carried</w:t>
      </w:r>
      <w:r>
        <w:t xml:space="preserve"> </w:t>
      </w:r>
      <w:r>
        <w:rPr>
          <w:rStyle w:val="VerbatimChar"/>
          <w:b/>
          <w:bCs/>
        </w:rPr>
        <w:t xml:space="preserve">cog_auc_max_gap_ms</w:t>
      </w:r>
      <w:r>
        <w:t xml:space="preserve"> </w:t>
      </w:r>
      <w:r>
        <w:t xml:space="preserve">(longest contiguous missing segment in the cognitive window in ms; gaps over 250 ms should not be interpolated and can distort AUC even when percent-valid looks acceptable),</w:t>
      </w:r>
      <w:r>
        <w:t xml:space="preserve"> </w:t>
      </w:r>
      <w:r>
        <w:rPr>
          <w:rStyle w:val="VerbatimChar"/>
          <w:b/>
          <w:bCs/>
        </w:rPr>
        <w:t xml:space="preserve">cog_window_duration</w:t>
      </w:r>
      <w:r>
        <w:t xml:space="preserve"> </w:t>
      </w:r>
      <w:r>
        <w:t xml:space="preserve">(realized cognitive-window duration in seconds, which should stay near 1.20 s for the fixed window),</w:t>
      </w:r>
      <w:r>
        <w:t xml:space="preserve"> </w:t>
      </w:r>
      <w:r>
        <w:rPr>
          <w:rStyle w:val="VerbatimChar"/>
          <w:b/>
          <w:bCs/>
        </w:rPr>
        <w:t xml:space="preserve">cog_auc_n_valid</w:t>
      </w:r>
      <w:r>
        <w:t xml:space="preserve"> </w:t>
      </w:r>
      <w:r>
        <w:t xml:space="preserve">(count of non-NA samples; ~300 at 250 Hz over 1.20 s),</w:t>
      </w:r>
      <w:r>
        <w:t xml:space="preserve"> </w:t>
      </w:r>
      <w:r>
        <w:rPr>
          <w:rStyle w:val="VerbatimChar"/>
          <w:b/>
          <w:bCs/>
        </w:rPr>
        <w:t xml:space="preserve">cog_auc_n_segments</w:t>
      </w:r>
      <w:r>
        <w:t xml:space="preserve"> </w:t>
      </w:r>
      <w:r>
        <w:t xml:space="preserve">(number of contiguous valid segments, where fragmentation flags unreliable AUC), and</w:t>
      </w:r>
      <w:r>
        <w:t xml:space="preserve"> </w:t>
      </w:r>
      <w:r>
        <w:rPr>
          <w:rStyle w:val="VerbatimChar"/>
          <w:b/>
          <w:bCs/>
        </w:rPr>
        <w:t xml:space="preserve">cog_auc_prop_valid</w:t>
      </w:r>
      <w:r>
        <w:t xml:space="preserve"> </w:t>
      </w:r>
      <w:r>
        <w:t xml:space="preserve">(valid samples divided by expected count at 250 Hz). Together these metrics help separate</w:t>
      </w:r>
      <w:r>
        <w:t xml:space="preserve"> </w:t>
      </w:r>
      <w:r>
        <w:rPr>
          <w:b/>
          <w:bCs/>
        </w:rPr>
        <w:t xml:space="preserve">genuine low dilation</w:t>
      </w:r>
      <w:r>
        <w:t xml:space="preserve"> </w:t>
      </w:r>
      <w:r>
        <w:t xml:space="preserve">(clean data, small gaps) from</w:t>
      </w:r>
      <w:r>
        <w:t xml:space="preserve"> </w:t>
      </w:r>
      <w:r>
        <w:rPr>
          <w:b/>
          <w:bCs/>
        </w:rPr>
        <w:t xml:space="preserve">artifactual lows</w:t>
      </w:r>
      <w:r>
        <w:t xml:space="preserve"> </w:t>
      </w:r>
      <w:r>
        <w:t xml:space="preserve">(gaps or fragmentation), so acceptable physiology is retained and problematic trials can be excluded.</w:t>
      </w:r>
    </w:p>
    <w:bookmarkEnd w:id="189"/>
    <w:bookmarkStart w:id="196" w:name="sec-appendix-b"/>
    <w:p>
      <w:pPr>
        <w:pStyle w:val="Heading2"/>
      </w:pPr>
      <w:r>
        <w:t xml:space="preserve">6.2 Appendix B: Robustness Checks — Model Comparison and Supplementary Tables</w:t>
      </w:r>
    </w:p>
    <w:p>
      <w:pPr>
        <w:pStyle w:val="FirstParagraph"/>
      </w:pPr>
      <w:r>
        <w:t xml:space="preserve">Quality-tier interaction estimates and the interpretation that the effect is not robust at the primary tier are summarized in Section 3.5.1 (</w:t>
      </w:r>
      <w:hyperlink w:anchor="sec-pupil-quality-tier">
        <w:r>
          <w:rPr>
            <w:rStyle w:val="Hyperlink"/>
          </w:rPr>
          <w:t xml:space="preserve">Quality-tier robustness</w:t>
        </w:r>
      </w:hyperlink>
      <w:r>
        <w:t xml:space="preserve">). The appendix below provides AIC comparison, the slow-RT subset refit, and the model-predicted psychometric figure.</w:t>
      </w:r>
    </w:p>
    <w:tbl>
      <w:tblPr>
        <w:tblStyle w:val="Table"/>
        <w:tblW w:type="pct" w:w="5000"/>
        <w:tblLayout w:type="fixed"/>
        <w:tblLook w:firstRow="0" w:lastRow="0" w:firstColumn="0" w:lastColumn="0" w:noHBand="0" w:noVBand="0" w:val="0000"/>
      </w:tblPr>
      <w:tblGrid>
        <w:gridCol w:w="7920"/>
      </w:tblGrid>
      <w:tr>
        <w:tc>
          <w:tcPr/>
          <w:bookmarkStart w:id="190" w:name="tbl-appendix-aic-comparison"/>
          <w:p>
            <w:pPr>
              <w:jc w:val="center"/>
            </w:pPr>
            <w:pPr>
              <w:jc w:val="start"/>
              <w:spacing w:before="200"/>
              <w:pStyle w:val="ImageCaption"/>
            </w:pPr>
            <w:r>
              <w:t xml:space="preserve">Table 7: Model Comparison: With vs. Without Interaction Term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 / contrast</w:t>
                  </w:r>
                </w:p>
              </w:tc>
              <w:tc>
                <w:tcPr/>
                <w:p>
                  <w:pPr>
                    <w:pStyle w:val="Compact"/>
                    <w:jc w:val="right"/>
                    <w:jc w:val="center"/>
                  </w:pPr>
                  <w:r>
                    <w:t xml:space="preserve">AIC</w:t>
                  </w:r>
                </w:p>
              </w:tc>
            </w:tr>
            <w:tr>
              <w:tc>
                <w:tcPr/>
                <w:p>
                  <w:pPr>
                    <w:pStyle w:val="Compact"/>
                    <w:jc w:val="left"/>
                    <w:jc w:val="center"/>
                  </w:pPr>
                  <w:r>
                    <w:t xml:space="preserve">Without interaction</w:t>
                  </w:r>
                </w:p>
              </w:tc>
              <w:tc>
                <w:tcPr/>
                <w:p>
                  <w:pPr>
                    <w:pStyle w:val="Compact"/>
                    <w:jc w:val="right"/>
                    <w:jc w:val="center"/>
                  </w:pPr>
                  <w:r>
                    <w:t xml:space="preserve">4187.47</w:t>
                  </w:r>
                </w:p>
              </w:tc>
            </w:tr>
            <w:tr>
              <w:tc>
                <w:tcPr/>
                <w:p>
                  <w:pPr>
                    <w:pStyle w:val="Compact"/>
                    <w:jc w:val="left"/>
                    <w:jc w:val="center"/>
                  </w:pPr>
                  <w:r>
                    <w:t xml:space="preserve">With interaction</w:t>
                  </w:r>
                </w:p>
              </w:tc>
              <w:tc>
                <w:tcPr/>
                <w:p>
                  <w:pPr>
                    <w:pStyle w:val="Compact"/>
                    <w:jc w:val="right"/>
                    <w:jc w:val="center"/>
                  </w:pPr>
                  <w:r>
                    <w:t xml:space="preserve">4188.13</w:t>
                  </w:r>
                </w:p>
              </w:tc>
            </w:tr>
            <w:tr>
              <w:tc>
                <w:tcPr/>
                <w:p>
                  <w:pPr>
                    <w:pStyle w:val="Compact"/>
                    <w:jc w:val="left"/>
                    <w:jc w:val="center"/>
                  </w:pPr>
                  <w:r>
                    <w:t xml:space="preserve">Delta AIC (With minus Without)</w:t>
                  </w:r>
                </w:p>
              </w:tc>
              <w:tc>
                <w:tcPr/>
                <w:p>
                  <w:pPr>
                    <w:pStyle w:val="Compact"/>
                    <w:jc w:val="right"/>
                    <w:jc w:val="center"/>
                  </w:pPr>
                  <w:r>
                    <w:t xml:space="preserve">0.66</w:t>
                  </w:r>
                </w:p>
              </w:tc>
            </w:tr>
          </w:tbl>
          <w:bookmarkEnd w:id="190"/>
          <w:p/>
        </w:tc>
      </w:tr>
    </w:tbl>
    <w:p>
      <w:pPr>
        <w:pStyle w:val="BodyText"/>
      </w:pPr>
      <w:r>
        <w:t xml:space="preserve">Akaike Information Criterion (AIC) comparison addresses whether the stimulus intensity</w:t>
      </w:r>
      <w:r>
        <w:t xml:space="preserve"> </w:t>
      </w:r>
      <m:oMath>
        <m:r>
          <m:rPr>
            <m:sty m:val="p"/>
          </m:rPr>
          <m:t>×</m:t>
        </m:r>
      </m:oMath>
      <w:r>
        <w:t xml:space="preserve"> </w:t>
      </w:r>
      <w:r>
        <w:t xml:space="preserve">pupil-state interaction improves fit beyond the main-effects structure. A lower AIC for the model</w:t>
      </w:r>
      <w:r>
        <w:t xml:space="preserve"> </w:t>
      </w:r>
      <w:r>
        <w:rPr>
          <w:b/>
          <w:bCs/>
        </w:rPr>
        <w:t xml:space="preserve">without</w:t>
      </w:r>
      <w:r>
        <w:t xml:space="preserve"> </w:t>
      </w:r>
      <w:r>
        <w:t xml:space="preserve">the interaction indicates that the interaction does not improve fit enough to offset its complexity; in the present analysis, the no-interaction model fit marginally better (</w:t>
      </w:r>
      <m:oMath>
        <m:r>
          <m:t>Δ</m:t>
        </m:r>
      </m:oMath>
      <w:r>
        <w:t xml:space="preserve">AIC = +0.66 for adding the interaction).</w:t>
      </w:r>
    </w:p>
    <w:p>
      <w:pPr>
        <w:pStyle w:val="BodyText"/>
      </w:pPr>
      <w:r>
        <w:t xml:space="preserve">Model-predicted psychometric functions at low (−1 SD) and high (+1 SD) within-subject pupil cognitive state (</w:t>
      </w:r>
      <w:hyperlink w:anchor="fig-appendix-b1-predicted">
        <w:r>
          <w:rPr>
            <w:rStyle w:val="Hyperlink"/>
          </w:rPr>
          <w:t xml:space="preserve">Figure 11</w:t>
        </w:r>
      </w:hyperlink>
      <w:r>
        <w:t xml:space="preserve">) can appear visually separated even when the interaction coefficient is small and non-significant; such plots rely on extrapolation across the full scaled intensity range and should not be interpreted as evidence of a reliable effect without corroborating statistical evidence.</w:t>
      </w:r>
    </w:p>
    <w:tbl>
      <w:tblPr>
        <w:tblStyle w:val="Table"/>
        <w:tblW w:type="pct" w:w="5000"/>
        <w:tblLayout w:type="fixed"/>
        <w:tblLook w:firstRow="0" w:lastRow="0" w:firstColumn="0" w:lastColumn="0" w:noHBand="0" w:noVBand="0" w:val="0000"/>
      </w:tblPr>
      <w:tblGrid>
        <w:gridCol w:w="7920"/>
      </w:tblGrid>
      <w:tr>
        <w:tc>
          <w:tcPr/>
          <w:bookmarkStart w:id="194" w:name="fig-appendix-b1-predicted"/>
          <w:p>
            <w:pPr>
              <w:pStyle w:val="Compact"/>
              <w:jc w:val="center"/>
            </w:pPr>
            <w:r>
              <w:drawing>
                <wp:inline>
                  <wp:extent cx="5334000" cy="4267200"/>
                  <wp:effectExtent b="0" l="0" r="0" t="0"/>
                  <wp:docPr descr="" title="" id="192" name="Picture"/>
                  <a:graphic>
                    <a:graphicData uri="http://schemas.openxmlformats.org/drawingml/2006/picture">
                      <pic:pic>
                        <pic:nvPicPr>
                          <pic:cNvPr descr="../../../06_visualization/output/figures/pupil_psychometric_interaction.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Model predictions from the primary GLMM (Appendix B): predicted probability of a</w:t>
            </w:r>
            <w:r>
              <w:t xml:space="preserve"> </w:t>
            </w:r>
            <w:r>
              <w:t xml:space="preserve">“different”</w:t>
            </w:r>
            <w:r>
              <w:t xml:space="preserve"> </w:t>
            </w:r>
            <w:r>
              <w:t xml:space="preserve">response as a function of scaled stimulus intensity, for within-subject pupil cognitive state held at</w:t>
            </w:r>
            <w:r>
              <w:t xml:space="preserve"> </w:t>
            </w:r>
            <m:oMath>
              <m:r>
                <m:rPr>
                  <m:sty m:val="p"/>
                </m:rPr>
                <m:t>−</m:t>
              </m:r>
              <m:r>
                <m:t>1</m:t>
              </m:r>
            </m:oMath>
            <w:r>
              <w:t xml:space="preserve">,</w:t>
            </w:r>
            <w:r>
              <w:t xml:space="preserve"> </w:t>
            </w:r>
            <m:oMath>
              <m:r>
                <m:t>0</m:t>
              </m:r>
            </m:oMath>
            <w:r>
              <w:t xml:space="preserve">, and</w:t>
            </w:r>
            <w:r>
              <w:t xml:space="preserve"> </w:t>
            </w:r>
            <m:oMath>
              <m:r>
                <m:rPr>
                  <m:sty m:val="p"/>
                </m:rPr>
                <m:t>+</m:t>
              </m:r>
              <m:r>
                <m:t>1</m:t>
              </m:r>
            </m:oMath>
            <w:r>
              <w:t xml:space="preserve"> </w:t>
            </w:r>
            <w:r>
              <w:t xml:space="preserve">SD (Low / Medium / High pupil; trait fixed at mean). Caution: Visual separation between curves reflects model extrapolation across the full intensity range. The underlying interaction coefficient was small and non-significant (</w:t>
            </w:r>
            <m:oMath>
              <m:r>
                <m:t>β</m:t>
              </m:r>
              <m:r>
                <m:rPr>
                  <m:sty m:val="p"/>
                </m:rPr>
                <m:t>=</m:t>
              </m:r>
              <m:r>
                <m:rPr>
                  <m:sty m:val="p"/>
                </m:rPr>
                <m:t>+</m:t>
              </m:r>
              <m:r>
                <m:t>0.035</m:t>
              </m:r>
            </m:oMath>
            <w:r>
              <w:t xml:space="preserve">, 95% CI</w:t>
            </w:r>
            <w:r>
              <w:t xml:space="preserve"> </w:t>
            </w:r>
            <m:oMath>
              <m:d>
                <m:dPr>
                  <m:begChr m:val="["/>
                  <m:sepChr m:val=""/>
                  <m:endChr m:val="]"/>
                  <m:grow/>
                </m:dPr>
                <m:e>
                  <m:r>
                    <m:rPr>
                      <m:sty m:val="p"/>
                    </m:rPr>
                    <m:t>−</m:t>
                  </m:r>
                  <m:r>
                    <m:t>0.024</m:t>
                  </m:r>
                  <m:r>
                    <m:rPr>
                      <m:sty m:val="p"/>
                    </m:rPr>
                    <m:t>,</m:t>
                  </m:r>
                  <m:r>
                    <m:rPr>
                      <m:sty m:val="p"/>
                    </m:rPr>
                    <m:t>+</m:t>
                  </m:r>
                  <m:r>
                    <m:t>0.095</m:t>
                  </m:r>
                </m:e>
              </m:d>
            </m:oMath>
            <w:r>
              <w:t xml:space="preserve">,</w:t>
            </w:r>
            <w:r>
              <w:t xml:space="preserve"> </w:t>
            </w:r>
            <m:oMath>
              <m:r>
                <m:t>p</m:t>
              </m:r>
              <m:r>
                <m:rPr>
                  <m:sty m:val="p"/>
                </m:rPr>
                <m:t>=</m:t>
              </m:r>
              <m:r>
                <m:t>.245</m:t>
              </m:r>
            </m:oMath>
            <w:r>
              <w:t xml:space="preserve">,</w:t>
            </w:r>
            <w:r>
              <w:t xml:space="preserve"> </w:t>
            </w:r>
            <m:oMath>
              <m:r>
                <m:t>Δ</m:t>
              </m:r>
            </m:oMath>
            <w:r>
              <w:t xml:space="preserve">AIC</w:t>
            </w:r>
            <w:r>
              <w:t xml:space="preserve"> </w:t>
            </w:r>
            <m:oMath>
              <m:r>
                <m:rPr>
                  <m:sty m:val="p"/>
                </m:rPr>
                <m:t>=</m:t>
              </m:r>
              <m:r>
                <m:t>0.66</m:t>
              </m:r>
            </m:oMath>
            <w:r>
              <w:t xml:space="preserve">); this figure should not be interpreted as evidence of a reliable effect.</w:t>
            </w:r>
          </w:p>
          <w:bookmarkEnd w:id="194"/>
        </w:tc>
      </w:tr>
    </w:tbl>
    <w:p>
      <w:pPr>
        <w:pStyle w:val="BodyText"/>
      </w:pPr>
      <w:r>
        <w:rPr>
          <w:b/>
          <w:bCs/>
        </w:rPr>
        <w:t xml:space="preserve">Pre-specified slow-RT sensitivity (motor overlap).</w:t>
      </w:r>
      <w:r>
        <w:t xml:space="preserve"> </w:t>
      </w:r>
      <w:r>
        <w:t xml:space="preserve">The primary cognitive window overlaps the response screen and typical button presses (</w:t>
      </w:r>
      <w:hyperlink w:anchor="sec-response-timing">
        <w:hyperlink w:anchor="sec-response-timing">
          <w:r>
            <w:rPr>
              <w:rStyle w:val="Hyperlink"/>
            </w:rPr>
            <w:t xml:space="preserve">Section 2.3.1</w:t>
          </w:r>
        </w:hyperlink>
      </w:hyperlink>
      <w:r>
        <w:t xml:space="preserve">). A pre-specified sensitivity analysis restricted the GLMM to trials where the button press fell entirely outside the cognitive window (RT &gt; 1.5 s; motor-uncontaminated subset), so motor execution could not contaminate the pupil epoch. The stimulus intensity</w:t>
      </w:r>
      <w:r>
        <w:t xml:space="preserve"> </w:t>
      </w:r>
      <m:oMath>
        <m:r>
          <m:rPr>
            <m:sty m:val="p"/>
          </m:rPr>
          <m:t>×</m:t>
        </m:r>
      </m:oMath>
      <w:r>
        <w:t xml:space="preserve"> </w:t>
      </w:r>
      <w:r>
        <w:t xml:space="preserve">pupil state interaction was</w:t>
      </w:r>
      <w:r>
        <w:t xml:space="preserve"> </w:t>
      </w:r>
      <m:oMath>
        <m:r>
          <m:t>β</m:t>
        </m:r>
      </m:oMath>
      <w:r>
        <w:t xml:space="preserve"> </w:t>
      </w:r>
      <w:r>
        <w:t xml:space="preserve">= −0.071 (</w:t>
      </w:r>
      <m:oMath>
        <m:r>
          <m:t>p</m:t>
        </m:r>
      </m:oMath>
      <w:r>
        <w:t xml:space="preserve"> </w:t>
      </w:r>
      <w:r>
        <w:t xml:space="preserve">= .164)—</w:t>
      </w:r>
      <w:r>
        <w:rPr>
          <w:b/>
          <w:bCs/>
        </w:rPr>
        <w:t xml:space="preserve">opposite in sign</w:t>
      </w:r>
      <w:r>
        <w:t xml:space="preserve"> </w:t>
      </w:r>
      <w:r>
        <w:t xml:space="preserve">to the primary-tier estimate (</w:t>
      </w:r>
      <m:oMath>
        <m:r>
          <m:t>β</m:t>
        </m:r>
      </m:oMath>
      <w:r>
        <w:t xml:space="preserve"> </w:t>
      </w:r>
      <w:r>
        <w:t xml:space="preserve">= +0.035,</w:t>
      </w:r>
      <w:r>
        <w:t xml:space="preserve"> </w:t>
      </w:r>
      <m:oMath>
        <m:r>
          <m:t>p</m:t>
        </m:r>
      </m:oMath>
      <w:r>
        <w:t xml:space="preserve"> </w:t>
      </w:r>
      <w:r>
        <w:t xml:space="preserve">= .245) and non-significant. Thus the small positive interaction at the primary tier</w:t>
      </w:r>
      <w:r>
        <w:t xml:space="preserve"> </w:t>
      </w:r>
      <w:r>
        <w:rPr>
          <w:b/>
          <w:bCs/>
        </w:rPr>
        <w:t xml:space="preserve">cannot</w:t>
      </w:r>
      <w:r>
        <w:t xml:space="preserve"> </w:t>
      </w:r>
      <w:r>
        <w:t xml:space="preserve">be taken as evidence against motor contamination: the slow-RT subset is consistent with</w:t>
      </w:r>
      <w:r>
        <w:t xml:space="preserve"> </w:t>
      </w:r>
      <w:r>
        <w:rPr>
          <w:b/>
          <w:bCs/>
        </w:rPr>
        <w:t xml:space="preserve">unknown sign</w:t>
      </w:r>
      <w:r>
        <w:t xml:space="preserve"> </w:t>
      </w:r>
      <w:r>
        <w:t xml:space="preserve">for any true effect and with partial contribution of motor overlap to the primary pattern.</w:t>
      </w:r>
    </w:p>
    <w:tbl>
      <w:tblPr>
        <w:tblStyle w:val="Table"/>
        <w:tblW w:type="pct" w:w="5000"/>
        <w:tblLayout w:type="fixed"/>
        <w:tblLook w:firstRow="0" w:lastRow="0" w:firstColumn="0" w:lastColumn="0" w:noHBand="0" w:noVBand="0" w:val="0000"/>
      </w:tblPr>
      <w:tblGrid>
        <w:gridCol w:w="7920"/>
      </w:tblGrid>
      <w:tr>
        <w:tc>
          <w:tcPr/>
          <w:bookmarkStart w:id="195" w:name="tbl-appendix-slow-rt"/>
          <w:p>
            <w:pPr>
              <w:jc w:val="center"/>
            </w:pPr>
            <w:pPr>
              <w:jc w:val="start"/>
              <w:spacing w:before="200"/>
              <w:pStyle w:val="ImageCaption"/>
            </w:pPr>
            <w:r>
              <w:t xml:space="preserve">Table 8: Slow-RT Sensitivity Subset: Fixed Effects (Primary GLMM Structure)</w:t>
            </w:r>
          </w:p>
          <w:tbl>
            <w:tblPr>
              <w:tblStyle w:val="Table"/>
              <w:tblW w:type="pct" w:w="5000"/>
              <w:tblLayout w:type="fixed"/>
              <w:tblLook w:firstRow="1" w:lastRow="0" w:firstColumn="0" w:lastColumn="0" w:noHBand="0" w:noVBand="0" w:val="0020"/>
            </w:tblPr>
            <w:tblGrid>
              <w:gridCol w:w="4412"/>
              <w:gridCol w:w="1018"/>
              <w:gridCol w:w="792"/>
              <w:gridCol w:w="905"/>
              <w:gridCol w:w="792"/>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-0.4042</w:t>
                  </w:r>
                </w:p>
              </w:tc>
              <w:tc>
                <w:tcPr/>
                <w:p>
                  <w:pPr>
                    <w:pStyle w:val="Compact"/>
                    <w:jc w:val="right"/>
                    <w:jc w:val="center"/>
                  </w:pPr>
                  <w:r>
                    <w:t xml:space="preserve">0.1053</w:t>
                  </w:r>
                </w:p>
              </w:tc>
              <w:tc>
                <w:tcPr/>
                <w:p>
                  <w:pPr>
                    <w:pStyle w:val="Compact"/>
                    <w:jc w:val="right"/>
                    <w:jc w:val="center"/>
                  </w:pPr>
                  <w:r>
                    <w:t xml:space="preserve">-3.8396</w:t>
                  </w:r>
                </w:p>
              </w:tc>
              <w:tc>
                <w:tcPr/>
                <w:p>
                  <w:pPr>
                    <w:pStyle w:val="Compact"/>
                    <w:jc w:val="right"/>
                    <w:jc w:val="center"/>
                  </w:pPr>
                  <w:r>
                    <w:t xml:space="preserve">0.0001</w:t>
                  </w:r>
                </w:p>
              </w:tc>
            </w:tr>
            <w:tr>
              <w:tc>
                <w:tcPr/>
                <w:p>
                  <w:pPr>
                    <w:pStyle w:val="Compact"/>
                    <w:jc w:val="left"/>
                    <w:jc w:val="center"/>
                  </w:pPr>
                  <w:r>
                    <w:t xml:space="preserve">Stimulus Intensity</w:t>
                  </w:r>
                </w:p>
              </w:tc>
              <w:tc>
                <w:tcPr/>
                <w:p>
                  <w:pPr>
                    <w:pStyle w:val="Compact"/>
                    <w:jc w:val="right"/>
                    <w:jc w:val="center"/>
                  </w:pPr>
                  <w:r>
                    <w:t xml:space="preserve">0.5227</w:t>
                  </w:r>
                </w:p>
              </w:tc>
              <w:tc>
                <w:tcPr/>
                <w:p>
                  <w:pPr>
                    <w:pStyle w:val="Compact"/>
                    <w:jc w:val="right"/>
                    <w:jc w:val="center"/>
                  </w:pPr>
                  <w:r>
                    <w:t xml:space="preserve">0.0678</w:t>
                  </w:r>
                </w:p>
              </w:tc>
              <w:tc>
                <w:tcPr/>
                <w:p>
                  <w:pPr>
                    <w:pStyle w:val="Compact"/>
                    <w:jc w:val="right"/>
                    <w:jc w:val="center"/>
                  </w:pPr>
                  <w:r>
                    <w:t xml:space="preserve">7.7137</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-0.0212</w:t>
                  </w:r>
                </w:p>
              </w:tc>
              <w:tc>
                <w:tcPr/>
                <w:p>
                  <w:pPr>
                    <w:pStyle w:val="Compact"/>
                    <w:jc w:val="right"/>
                    <w:jc w:val="center"/>
                  </w:pPr>
                  <w:r>
                    <w:t xml:space="preserve">0.0455</w:t>
                  </w:r>
                </w:p>
              </w:tc>
              <w:tc>
                <w:tcPr/>
                <w:p>
                  <w:pPr>
                    <w:pStyle w:val="Compact"/>
                    <w:jc w:val="right"/>
                    <w:jc w:val="center"/>
                  </w:pPr>
                  <w:r>
                    <w:t xml:space="preserve">-0.4664</w:t>
                  </w:r>
                </w:p>
              </w:tc>
              <w:tc>
                <w:tcPr/>
                <w:p>
                  <w:pPr>
                    <w:pStyle w:val="Compact"/>
                    <w:jc w:val="right"/>
                    <w:jc w:val="center"/>
                  </w:pPr>
                  <w:r>
                    <w:t xml:space="preserve">0.6410</w:t>
                  </w:r>
                </w:p>
              </w:tc>
            </w:tr>
            <w:tr>
              <w:tc>
                <w:tcPr/>
                <w:p>
                  <w:pPr>
                    <w:pStyle w:val="Compact"/>
                    <w:jc w:val="left"/>
                    <w:jc w:val="center"/>
                  </w:pPr>
                  <w:r>
                    <w:t xml:space="preserve">Effort: High vs. Low</w:t>
                  </w:r>
                </w:p>
              </w:tc>
              <w:tc>
                <w:tcPr/>
                <w:p>
                  <w:pPr>
                    <w:pStyle w:val="Compact"/>
                    <w:jc w:val="right"/>
                    <w:jc w:val="center"/>
                  </w:pPr>
                  <w:r>
                    <w:t xml:space="preserve">-0.0622</w:t>
                  </w:r>
                </w:p>
              </w:tc>
              <w:tc>
                <w:tcPr/>
                <w:p>
                  <w:pPr>
                    <w:pStyle w:val="Compact"/>
                    <w:jc w:val="right"/>
                    <w:jc w:val="center"/>
                  </w:pPr>
                  <w:r>
                    <w:t xml:space="preserve">0.0918</w:t>
                  </w:r>
                </w:p>
              </w:tc>
              <w:tc>
                <w:tcPr/>
                <w:p>
                  <w:pPr>
                    <w:pStyle w:val="Compact"/>
                    <w:jc w:val="right"/>
                    <w:jc w:val="center"/>
                  </w:pPr>
                  <w:r>
                    <w:t xml:space="preserve">-0.6777</w:t>
                  </w:r>
                </w:p>
              </w:tc>
              <w:tc>
                <w:tcPr/>
                <w:p>
                  <w:pPr>
                    <w:pStyle w:val="Compact"/>
                    <w:jc w:val="right"/>
                    <w:jc w:val="center"/>
                  </w:pPr>
                  <w:r>
                    <w:t xml:space="preserve">0.4980</w:t>
                  </w:r>
                </w:p>
              </w:tc>
            </w:tr>
            <w:tr>
              <w:tc>
                <w:tcPr/>
                <w:p>
                  <w:pPr>
                    <w:pStyle w:val="Compact"/>
                    <w:jc w:val="left"/>
                    <w:jc w:val="center"/>
                  </w:pPr>
                  <w:r>
                    <w:t xml:space="preserve">Task: VDT vs. ADT</w:t>
                  </w:r>
                </w:p>
              </w:tc>
              <w:tc>
                <w:tcPr/>
                <w:p>
                  <w:pPr>
                    <w:pStyle w:val="Compact"/>
                    <w:jc w:val="right"/>
                    <w:jc w:val="center"/>
                  </w:pPr>
                  <w:r>
                    <w:t xml:space="preserve">0.2294</w:t>
                  </w:r>
                </w:p>
              </w:tc>
              <w:tc>
                <w:tcPr/>
                <w:p>
                  <w:pPr>
                    <w:pStyle w:val="Compact"/>
                    <w:jc w:val="right"/>
                    <w:jc w:val="center"/>
                  </w:pPr>
                  <w:r>
                    <w:t xml:space="preserve">0.1187</w:t>
                  </w:r>
                </w:p>
              </w:tc>
              <w:tc>
                <w:tcPr/>
                <w:p>
                  <w:pPr>
                    <w:pStyle w:val="Compact"/>
                    <w:jc w:val="right"/>
                    <w:jc w:val="center"/>
                  </w:pPr>
                  <w:r>
                    <w:t xml:space="preserve">1.9321</w:t>
                  </w:r>
                </w:p>
              </w:tc>
              <w:tc>
                <w:tcPr/>
                <w:p>
                  <w:pPr>
                    <w:pStyle w:val="Compact"/>
                    <w:jc w:val="right"/>
                    <w:jc w:val="center"/>
                  </w:pPr>
                  <w:r>
                    <w:t xml:space="preserve">0.0533</w:t>
                  </w:r>
                </w:p>
              </w:tc>
            </w:tr>
            <w:tr>
              <w:tc>
                <w:tcPr/>
                <w:p>
                  <w:pPr>
                    <w:pStyle w:val="Compact"/>
                    <w:jc w:val="left"/>
                    <w:jc w:val="center"/>
                  </w:pPr>
                  <w:r>
                    <w:t xml:space="preserve">Cognitive Pupil Trait (between-person)</w:t>
                  </w:r>
                </w:p>
              </w:tc>
              <w:tc>
                <w:tcPr/>
                <w:p>
                  <w:pPr>
                    <w:pStyle w:val="Compact"/>
                    <w:jc w:val="right"/>
                    <w:jc w:val="center"/>
                  </w:pPr>
                  <w:r>
                    <w:t xml:space="preserve">-0.0070</w:t>
                  </w:r>
                </w:p>
              </w:tc>
              <w:tc>
                <w:tcPr/>
                <w:p>
                  <w:pPr>
                    <w:pStyle w:val="Compact"/>
                    <w:jc w:val="right"/>
                    <w:jc w:val="center"/>
                  </w:pPr>
                  <w:r>
                    <w:t xml:space="preserve">0.0737</w:t>
                  </w:r>
                </w:p>
              </w:tc>
              <w:tc>
                <w:tcPr/>
                <w:p>
                  <w:pPr>
                    <w:pStyle w:val="Compact"/>
                    <w:jc w:val="right"/>
                    <w:jc w:val="center"/>
                  </w:pPr>
                  <w:r>
                    <w:t xml:space="preserve">-0.0945</w:t>
                  </w:r>
                </w:p>
              </w:tc>
              <w:tc>
                <w:tcPr/>
                <w:p>
                  <w:pPr>
                    <w:pStyle w:val="Compact"/>
                    <w:jc w:val="right"/>
                    <w:jc w:val="center"/>
                  </w:pPr>
                  <w:r>
                    <w:t xml:space="preserve">0.9247</w:t>
                  </w:r>
                </w:p>
              </w:tc>
            </w:tr>
            <w:tr>
              <w:tc>
                <w:tcPr/>
                <w:p>
                  <w:pPr>
                    <w:pStyle w:val="Compact"/>
                    <w:jc w:val="left"/>
                    <w:jc w:val="center"/>
                  </w:pPr>
                  <w:r>
                    <w:t xml:space="preserve">Stimulus Intensity × Pupil State</w:t>
                  </w:r>
                </w:p>
              </w:tc>
              <w:tc>
                <w:tcPr/>
                <w:p>
                  <w:pPr>
                    <w:pStyle w:val="Compact"/>
                    <w:jc w:val="right"/>
                    <w:jc w:val="center"/>
                  </w:pPr>
                  <w:r>
                    <w:t xml:space="preserve">-0.0707</w:t>
                  </w:r>
                </w:p>
              </w:tc>
              <w:tc>
                <w:tcPr/>
                <w:p>
                  <w:pPr>
                    <w:pStyle w:val="Compact"/>
                    <w:jc w:val="right"/>
                    <w:jc w:val="center"/>
                  </w:pPr>
                  <w:r>
                    <w:t xml:space="preserve">0.0508</w:t>
                  </w:r>
                </w:p>
              </w:tc>
              <w:tc>
                <w:tcPr/>
                <w:p>
                  <w:pPr>
                    <w:pStyle w:val="Compact"/>
                    <w:jc w:val="right"/>
                    <w:jc w:val="center"/>
                  </w:pPr>
                  <w:r>
                    <w:t xml:space="preserve">-1.3912</w:t>
                  </w:r>
                </w:p>
              </w:tc>
              <w:tc>
                <w:tcPr/>
                <w:p>
                  <w:pPr>
                    <w:pStyle w:val="Compact"/>
                    <w:jc w:val="right"/>
                    <w:jc w:val="center"/>
                  </w:pPr>
                  <w:r>
                    <w:t xml:space="preserve">0.1642</w:t>
                  </w:r>
                </w:p>
              </w:tc>
            </w:tr>
          </w:tbl>
          <w:bookmarkEnd w:id="195"/>
          <w:p/>
        </w:tc>
      </w:tr>
    </w:tbl>
    <w:bookmarkEnd w:id="196"/>
    <w:bookmarkStart w:id="202" w:name="sec-appendix-c"/>
    <w:p>
      <w:pPr>
        <w:pStyle w:val="Heading2"/>
      </w:pPr>
      <w:r>
        <w:t xml:space="preserve">6.3 Appendix C: Missingness Diagnostic — Full Model and Figure</w:t>
      </w:r>
    </w:p>
    <w:tbl>
      <w:tblPr>
        <w:tblStyle w:val="Table"/>
        <w:tblW w:type="pct" w:w="5000"/>
        <w:tblLayout w:type="fixed"/>
        <w:tblLook w:firstRow="0" w:lastRow="0" w:firstColumn="0" w:lastColumn="0" w:noHBand="0" w:noVBand="0" w:val="0000"/>
      </w:tblPr>
      <w:tblGrid>
        <w:gridCol w:w="7920"/>
      </w:tblGrid>
      <w:tr>
        <w:tc>
          <w:tcPr/>
          <w:bookmarkStart w:id="197" w:name="tbl-appendix-missingness"/>
          <w:p>
            <w:pPr>
              <w:jc w:val="center"/>
            </w:pPr>
            <w:pPr>
              <w:jc w:val="start"/>
              <w:spacing w:before="200"/>
              <w:pStyle w:val="ImageCaption"/>
            </w:pPr>
            <w:r>
              <w:t xml:space="preserve">Table 9: Missingness Diagnostic: Predictors of Pupil Data Usability (Odds Ratios)</w:t>
            </w:r>
          </w:p>
          <w:tbl>
            <w:tblPr>
              <w:tblStyle w:val="Table"/>
              <w:tblW w:type="pct" w:w="5000"/>
              <w:tblLayout w:type="fixed"/>
              <w:tblLook w:firstRow="1" w:lastRow="0" w:firstColumn="0" w:lastColumn="0" w:noHBand="0" w:noVBand="0" w:val="0020"/>
            </w:tblPr>
            <w:tblGrid>
              <w:gridCol w:w="2278"/>
              <w:gridCol w:w="759"/>
              <w:gridCol w:w="759"/>
              <w:gridCol w:w="867"/>
              <w:gridCol w:w="759"/>
              <w:gridCol w:w="1193"/>
              <w:gridCol w:w="1301"/>
            </w:tblGrid>
            <w:tr>
              <w:trPr>
                <w:tblHeader w:val="on"/>
              </w:trPr>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Intercept</w:t>
                  </w:r>
                </w:p>
              </w:tc>
              <w:tc>
                <w:tcPr/>
                <w:p>
                  <w:pPr>
                    <w:pStyle w:val="Compact"/>
                    <w:jc w:val="right"/>
                    <w:jc w:val="center"/>
                  </w:pPr>
                  <w:r>
                    <w:t xml:space="preserve">0.6653</w:t>
                  </w:r>
                </w:p>
              </w:tc>
              <w:tc>
                <w:tcPr/>
                <w:p>
                  <w:pPr>
                    <w:pStyle w:val="Compact"/>
                    <w:jc w:val="right"/>
                    <w:jc w:val="center"/>
                  </w:pPr>
                  <w:r>
                    <w:t xml:space="preserve">0.3020</w:t>
                  </w:r>
                </w:p>
              </w:tc>
              <w:tc>
                <w:tcPr/>
                <w:p>
                  <w:pPr>
                    <w:pStyle w:val="Compact"/>
                    <w:jc w:val="right"/>
                    <w:jc w:val="center"/>
                  </w:pPr>
                  <w:r>
                    <w:t xml:space="preserve">-0.8977</w:t>
                  </w:r>
                </w:p>
              </w:tc>
              <w:tc>
                <w:tcPr/>
                <w:p>
                  <w:pPr>
                    <w:pStyle w:val="Compact"/>
                    <w:jc w:val="right"/>
                    <w:jc w:val="center"/>
                  </w:pPr>
                  <w:r>
                    <w:t xml:space="preserve">0.3694</w:t>
                  </w:r>
                </w:p>
              </w:tc>
              <w:tc>
                <w:tcPr/>
                <w:p>
                  <w:pPr>
                    <w:pStyle w:val="Compact"/>
                    <w:jc w:val="right"/>
                    <w:jc w:val="center"/>
                  </w:pPr>
                  <w:r>
                    <w:t xml:space="preserve">0.2733</w:t>
                  </w:r>
                </w:p>
              </w:tc>
              <w:tc>
                <w:tcPr/>
                <w:p>
                  <w:pPr>
                    <w:pStyle w:val="Compact"/>
                    <w:jc w:val="right"/>
                    <w:jc w:val="center"/>
                  </w:pPr>
                  <w:r>
                    <w:t xml:space="preserve">1.6196</w:t>
                  </w:r>
                </w:p>
              </w:tc>
            </w:tr>
            <w:tr>
              <w:tc>
                <w:tcPr/>
                <w:p>
                  <w:pPr>
                    <w:pStyle w:val="Compact"/>
                    <w:jc w:val="left"/>
                    <w:jc w:val="center"/>
                  </w:pPr>
                  <w:r>
                    <w:t xml:space="preserve">Effort: High vs. Low</w:t>
                  </w:r>
                </w:p>
              </w:tc>
              <w:tc>
                <w:tcPr/>
                <w:p>
                  <w:pPr>
                    <w:pStyle w:val="Compact"/>
                    <w:jc w:val="right"/>
                    <w:jc w:val="center"/>
                  </w:pPr>
                  <w:r>
                    <w:t xml:space="preserve">1.2030</w:t>
                  </w:r>
                </w:p>
              </w:tc>
              <w:tc>
                <w:tcPr/>
                <w:p>
                  <w:pPr>
                    <w:pStyle w:val="Compact"/>
                    <w:jc w:val="right"/>
                    <w:jc w:val="center"/>
                  </w:pPr>
                  <w:r>
                    <w:t xml:space="preserve">0.0606</w:t>
                  </w:r>
                </w:p>
              </w:tc>
              <w:tc>
                <w:tcPr/>
                <w:p>
                  <w:pPr>
                    <w:pStyle w:val="Compact"/>
                    <w:jc w:val="right"/>
                    <w:jc w:val="center"/>
                  </w:pPr>
                  <w:r>
                    <w:t xml:space="preserve">3.6725</w:t>
                  </w:r>
                </w:p>
              </w:tc>
              <w:tc>
                <w:tcPr/>
                <w:p>
                  <w:pPr>
                    <w:pStyle w:val="Compact"/>
                    <w:jc w:val="right"/>
                    <w:jc w:val="center"/>
                  </w:pPr>
                  <w:r>
                    <w:t xml:space="preserve">0.0002</w:t>
                  </w:r>
                </w:p>
              </w:tc>
              <w:tc>
                <w:tcPr/>
                <w:p>
                  <w:pPr>
                    <w:pStyle w:val="Compact"/>
                    <w:jc w:val="right"/>
                    <w:jc w:val="center"/>
                  </w:pPr>
                  <w:r>
                    <w:t xml:space="preserve">1.0900</w:t>
                  </w:r>
                </w:p>
              </w:tc>
              <w:tc>
                <w:tcPr/>
                <w:p>
                  <w:pPr>
                    <w:pStyle w:val="Compact"/>
                    <w:jc w:val="right"/>
                    <w:jc w:val="center"/>
                  </w:pPr>
                  <w:r>
                    <w:t xml:space="preserve">1.3278</w:t>
                  </w:r>
                </w:p>
              </w:tc>
            </w:tr>
            <w:tr>
              <w:tc>
                <w:tcPr/>
                <w:p>
                  <w:pPr>
                    <w:pStyle w:val="Compact"/>
                    <w:jc w:val="left"/>
                    <w:jc w:val="center"/>
                  </w:pPr>
                  <w:r>
                    <w:t xml:space="preserve">Stimulus Intensity</w:t>
                  </w:r>
                </w:p>
              </w:tc>
              <w:tc>
                <w:tcPr/>
                <w:p>
                  <w:pPr>
                    <w:pStyle w:val="Compact"/>
                    <w:jc w:val="right"/>
                    <w:jc w:val="center"/>
                  </w:pPr>
                  <w:r>
                    <w:t xml:space="preserve">1.0149</w:t>
                  </w:r>
                </w:p>
              </w:tc>
              <w:tc>
                <w:tcPr/>
                <w:p>
                  <w:pPr>
                    <w:pStyle w:val="Compact"/>
                    <w:jc w:val="right"/>
                    <w:jc w:val="center"/>
                  </w:pPr>
                  <w:r>
                    <w:t xml:space="preserve">0.0260</w:t>
                  </w:r>
                </w:p>
              </w:tc>
              <w:tc>
                <w:tcPr/>
                <w:p>
                  <w:pPr>
                    <w:pStyle w:val="Compact"/>
                    <w:jc w:val="right"/>
                    <w:jc w:val="center"/>
                  </w:pPr>
                  <w:r>
                    <w:t xml:space="preserve">0.5749</w:t>
                  </w:r>
                </w:p>
              </w:tc>
              <w:tc>
                <w:tcPr/>
                <w:p>
                  <w:pPr>
                    <w:pStyle w:val="Compact"/>
                    <w:jc w:val="right"/>
                    <w:jc w:val="center"/>
                  </w:pPr>
                  <w:r>
                    <w:t xml:space="preserve">0.5653</w:t>
                  </w:r>
                </w:p>
              </w:tc>
              <w:tc>
                <w:tcPr/>
                <w:p>
                  <w:pPr>
                    <w:pStyle w:val="Compact"/>
                    <w:jc w:val="right"/>
                    <w:jc w:val="center"/>
                  </w:pPr>
                  <w:r>
                    <w:t xml:space="preserve">0.9651</w:t>
                  </w:r>
                </w:p>
              </w:tc>
              <w:tc>
                <w:tcPr/>
                <w:p>
                  <w:pPr>
                    <w:pStyle w:val="Compact"/>
                    <w:jc w:val="right"/>
                    <w:jc w:val="center"/>
                  </w:pPr>
                  <w:r>
                    <w:t xml:space="preserve">1.0672</w:t>
                  </w:r>
                </w:p>
              </w:tc>
            </w:tr>
            <w:tr>
              <w:tc>
                <w:tcPr/>
                <w:p>
                  <w:pPr>
                    <w:pStyle w:val="Compact"/>
                    <w:jc w:val="left"/>
                    <w:jc w:val="center"/>
                  </w:pPr>
                  <w:r>
                    <w:t xml:space="preserve">Task: VDT vs. ADT</w:t>
                  </w:r>
                </w:p>
              </w:tc>
              <w:tc>
                <w:tcPr/>
                <w:p>
                  <w:pPr>
                    <w:pStyle w:val="Compact"/>
                    <w:jc w:val="right"/>
                    <w:jc w:val="center"/>
                  </w:pPr>
                  <w:r>
                    <w:t xml:space="preserve">1.9667</w:t>
                  </w:r>
                </w:p>
              </w:tc>
              <w:tc>
                <w:tcPr/>
                <w:p>
                  <w:pPr>
                    <w:pStyle w:val="Compact"/>
                    <w:jc w:val="right"/>
                    <w:jc w:val="center"/>
                  </w:pPr>
                  <w:r>
                    <w:t xml:space="preserve">0.1057</w:t>
                  </w:r>
                </w:p>
              </w:tc>
              <w:tc>
                <w:tcPr/>
                <w:p>
                  <w:pPr>
                    <w:pStyle w:val="Compact"/>
                    <w:jc w:val="right"/>
                    <w:jc w:val="center"/>
                  </w:pPr>
                  <w:r>
                    <w:t xml:space="preserve">12.5841</w:t>
                  </w:r>
                </w:p>
              </w:tc>
              <w:tc>
                <w:tcPr/>
                <w:p>
                  <w:pPr>
                    <w:pStyle w:val="Compact"/>
                    <w:jc w:val="right"/>
                    <w:jc w:val="center"/>
                  </w:pPr>
                  <w:r>
                    <w:t xml:space="preserve">0.0000</w:t>
                  </w:r>
                </w:p>
              </w:tc>
              <w:tc>
                <w:tcPr/>
                <w:p>
                  <w:pPr>
                    <w:pStyle w:val="Compact"/>
                    <w:jc w:val="right"/>
                    <w:jc w:val="center"/>
                  </w:pPr>
                  <w:r>
                    <w:t xml:space="preserve">1.7700</w:t>
                  </w:r>
                </w:p>
              </w:tc>
              <w:tc>
                <w:tcPr/>
                <w:p>
                  <w:pPr>
                    <w:pStyle w:val="Compact"/>
                    <w:jc w:val="right"/>
                    <w:jc w:val="center"/>
                  </w:pPr>
                  <w:r>
                    <w:t xml:space="preserve">2.1852</w:t>
                  </w:r>
                </w:p>
              </w:tc>
            </w:tr>
            <w:tr>
              <w:tc>
                <w:tcPr/>
                <w:p>
                  <w:pPr>
                    <w:pStyle w:val="Compact"/>
                    <w:jc w:val="left"/>
                    <w:jc w:val="center"/>
                  </w:pPr>
                  <w:r>
                    <w:t xml:space="preserve">Reaction Time</w:t>
                  </w:r>
                </w:p>
              </w:tc>
              <w:tc>
                <w:tcPr/>
                <w:p>
                  <w:pPr>
                    <w:pStyle w:val="Compact"/>
                    <w:jc w:val="right"/>
                    <w:jc w:val="center"/>
                  </w:pPr>
                  <w:r>
                    <w:t xml:space="preserve">1.0007</w:t>
                  </w:r>
                </w:p>
              </w:tc>
              <w:tc>
                <w:tcPr/>
                <w:p>
                  <w:pPr>
                    <w:pStyle w:val="Compact"/>
                    <w:jc w:val="right"/>
                    <w:jc w:val="center"/>
                  </w:pPr>
                  <w:r>
                    <w:t xml:space="preserve">0.0289</w:t>
                  </w:r>
                </w:p>
              </w:tc>
              <w:tc>
                <w:tcPr/>
                <w:p>
                  <w:pPr>
                    <w:pStyle w:val="Compact"/>
                    <w:jc w:val="right"/>
                    <w:jc w:val="center"/>
                  </w:pPr>
                  <w:r>
                    <w:t xml:space="preserve">0.0232</w:t>
                  </w:r>
                </w:p>
              </w:tc>
              <w:tc>
                <w:tcPr/>
                <w:p>
                  <w:pPr>
                    <w:pStyle w:val="Compact"/>
                    <w:jc w:val="right"/>
                    <w:jc w:val="center"/>
                  </w:pPr>
                  <w:r>
                    <w:t xml:space="preserve">0.9815</w:t>
                  </w:r>
                </w:p>
              </w:tc>
              <w:tc>
                <w:tcPr/>
                <w:p>
                  <w:pPr>
                    <w:pStyle w:val="Compact"/>
                    <w:jc w:val="right"/>
                    <w:jc w:val="center"/>
                  </w:pPr>
                  <w:r>
                    <w:t xml:space="preserve">0.9456</w:t>
                  </w:r>
                </w:p>
              </w:tc>
              <w:tc>
                <w:tcPr/>
                <w:p>
                  <w:pPr>
                    <w:pStyle w:val="Compact"/>
                    <w:jc w:val="right"/>
                    <w:jc w:val="center"/>
                  </w:pPr>
                  <w:r>
                    <w:t xml:space="preserve">1.0590</w:t>
                  </w:r>
                </w:p>
              </w:tc>
            </w:tr>
          </w:tbl>
          <w:bookmarkEnd w:id="197"/>
          <w:p/>
        </w:tc>
      </w:tr>
    </w:tbl>
    <w:tbl>
      <w:tblPr>
        <w:tblStyle w:val="Table"/>
        <w:tblW w:type="pct" w:w="5000"/>
        <w:tblLayout w:type="fixed"/>
        <w:tblLook w:firstRow="0" w:lastRow="0" w:firstColumn="0" w:lastColumn="0" w:noHBand="0" w:noVBand="0" w:val="0000"/>
      </w:tblPr>
      <w:tblGrid>
        <w:gridCol w:w="7920"/>
      </w:tblGrid>
      <w:tr>
        <w:tc>
          <w:tcPr/>
          <w:bookmarkStart w:id="201" w:name="fig-appendix-missingness-rt"/>
          <w:p>
            <w:pPr>
              <w:pStyle w:val="Compact"/>
              <w:jc w:val="center"/>
            </w:pPr>
            <w:r>
              <w:drawing>
                <wp:inline>
                  <wp:extent cx="5334000" cy="4000499"/>
                  <wp:effectExtent b="0" l="0" r="0" t="0"/>
                  <wp:docPr descr="" title="" id="199" name="Picture"/>
                  <a:graphic>
                    <a:graphicData uri="http://schemas.openxmlformats.org/drawingml/2006/picture">
                      <pic:pic>
                        <pic:nvPicPr>
                          <pic:cNvPr descr="../../../06_visualization/output/figures/fig4_missingness_diagnostic.png" id="200" name="Picture"/>
                          <pic:cNvPicPr>
                            <a:picLocks noChangeArrowheads="1" noChangeAspect="1"/>
                          </pic:cNvPicPr>
                        </pic:nvPicPr>
                        <pic:blipFill>
                          <a:blip r:embed="rId19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Missingness Diagnostic: Mean RT by Effort, Task, and Pupil Data Availability</w:t>
            </w:r>
          </w:p>
          <w:bookmarkEnd w:id="201"/>
        </w:tc>
      </w:tr>
    </w:tbl>
    <w:bookmarkEnd w:id="202"/>
    <w:bookmarkStart w:id="207" w:name="sec-appendix-d"/>
    <w:p>
      <w:pPr>
        <w:pStyle w:val="Heading2"/>
      </w:pPr>
      <w:r>
        <w:t xml:space="preserve">6.4 Appendix D: Subject-Level Correlation Matrix</w:t>
      </w:r>
    </w:p>
    <w:tbl>
      <w:tblPr>
        <w:tblStyle w:val="Table"/>
        <w:tblW w:type="pct" w:w="5000"/>
        <w:tblLayout w:type="fixed"/>
        <w:tblLook w:firstRow="0" w:lastRow="0" w:firstColumn="0" w:lastColumn="0" w:noHBand="0" w:noVBand="0" w:val="0000"/>
      </w:tblPr>
      <w:tblGrid>
        <w:gridCol w:w="7920"/>
      </w:tblGrid>
      <w:tr>
        <w:tc>
          <w:tcPr/>
          <w:bookmarkStart w:id="206" w:name="fig-appendix-correlation-matrix"/>
          <w:p>
            <w:pPr>
              <w:pStyle w:val="Compact"/>
              <w:jc w:val="center"/>
            </w:pPr>
            <w:r>
              <w:drawing>
                <wp:inline>
                  <wp:extent cx="5334000" cy="5334000"/>
                  <wp:effectExtent b="0" l="0" r="0" t="0"/>
                  <wp:docPr descr="" title="" id="204" name="Picture"/>
                  <a:graphic>
                    <a:graphicData uri="http://schemas.openxmlformats.org/drawingml/2006/picture">
                      <pic:pic>
                        <pic:nvPicPr>
                          <pic:cNvPr descr="../../../06_visualization/output/figures/pf_pupil_coupling_matrix.pn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Correlation Matrix: Subject-Level Effort-Evoked Changes in Cognitive AUC, Total AUC, PF Threshold, and PF Slope</w:t>
            </w:r>
          </w:p>
          <w:bookmarkEnd w:id="206"/>
        </w:tc>
      </w:tr>
    </w:tbl>
    <w:bookmarkEnd w:id="207"/>
    <w:bookmarkStart w:id="208" w:name="sec-appendix-e"/>
    <w:p>
      <w:pPr>
        <w:pStyle w:val="Heading2"/>
      </w:pPr>
      <w:r>
        <w:t xml:space="preserve">6.5 Appendix E: Pre-Specified Future Sensitivity Windows</w:t>
      </w:r>
    </w:p>
    <w:p>
      <w:pPr>
        <w:pStyle w:val="FirstParagraph"/>
      </w:pPr>
      <w:r>
        <w:t xml:space="preserve">For</w:t>
      </w:r>
      <w:r>
        <w:t xml:space="preserve"> </w:t>
      </w:r>
      <w:r>
        <w:rPr>
          <w:b/>
          <w:bCs/>
        </w:rPr>
        <w:t xml:space="preserve">motor-buffered</w:t>
      </w:r>
      <w:r>
        <w:t xml:space="preserve"> </w:t>
      </w:r>
      <w:r>
        <w:t xml:space="preserve">analyses, window definitions truncate the primary cognitive window 150 ms before the button press (endpoint stored as</w:t>
      </w:r>
      <w:r>
        <w:t xml:space="preserve"> </w:t>
      </w:r>
      <w:r>
        <w:rPr>
          <w:rStyle w:val="VerbatimChar"/>
        </w:rPr>
        <w:t xml:space="preserve">cog_win_primary_end_motorbuffered</w:t>
      </w:r>
      <w:r>
        <w:t xml:space="preserve">), reducing motor-, movement-, and blink-related contamination; full AUC extraction requires re-processing trial-level files with RT and is left for future work. A</w:t>
      </w:r>
      <w:r>
        <w:t xml:space="preserve"> </w:t>
      </w:r>
      <w:r>
        <w:rPr>
          <w:b/>
          <w:bCs/>
        </w:rPr>
        <w:t xml:space="preserve">pre-response</w:t>
      </w:r>
      <w:r>
        <w:t xml:space="preserve"> </w:t>
      </w:r>
      <w:r>
        <w:t xml:space="preserve">definition instead aligns a decision window to the last 500 ms before the response (excluding the final 150 ms), targeting decision-related arousal with minimal motor overlap; that pipeline likewise awaits full re-processing. These definitions are documented for reproducibility and were</w:t>
      </w:r>
      <w:r>
        <w:t xml:space="preserve"> </w:t>
      </w:r>
      <w:r>
        <w:rPr>
          <w:b/>
          <w:bCs/>
        </w:rPr>
        <w:t xml:space="preserve">not</w:t>
      </w:r>
      <w:r>
        <w:t xml:space="preserve"> </w:t>
      </w:r>
      <w:r>
        <w:t xml:space="preserve">analyzed in the present chapter.</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191" Target="media/rId191.png" /><Relationship Type="http://schemas.openxmlformats.org/officeDocument/2006/relationships/image" Id="rId31" Target="media/rId31.jpg" /><Relationship Type="http://schemas.openxmlformats.org/officeDocument/2006/relationships/image" Id="rId22" Target="media/rId22.jpg" /><Relationship Type="http://schemas.openxmlformats.org/officeDocument/2006/relationships/image" Id="rId40" Target="media/rId40.png" /><Relationship Type="http://schemas.openxmlformats.org/officeDocument/2006/relationships/image" Id="rId91" Target="media/rId91.png" /><Relationship Type="http://schemas.openxmlformats.org/officeDocument/2006/relationships/image" Id="rId61" Target="media/rId61.png" /><Relationship Type="http://schemas.openxmlformats.org/officeDocument/2006/relationships/hyperlink" Id="rId167" Target="https://doi.org/10.1002/9781118133880.hop204011" TargetMode="External" /><Relationship Type="http://schemas.openxmlformats.org/officeDocument/2006/relationships/hyperlink" Id="rId185" Target="https://doi.org/10.1002/cne.920180503" TargetMode="External" /><Relationship Type="http://schemas.openxmlformats.org/officeDocument/2006/relationships/hyperlink" Id="rId158" Target="https://doi.org/10.1002/hbm.22466" TargetMode="External" /><Relationship Type="http://schemas.openxmlformats.org/officeDocument/2006/relationships/hyperlink" Id="rId126" Target="https://doi.org/10.1007/978-3-031-54896-3" TargetMode="External" /><Relationship Type="http://schemas.openxmlformats.org/officeDocument/2006/relationships/hyperlink" Id="rId130" Target="https://doi.org/10.1007/978-3-031-54896-3_1" TargetMode="External" /><Relationship Type="http://schemas.openxmlformats.org/officeDocument/2006/relationships/hyperlink" Id="rId183" Target="https://doi.org/10.1016/S0966-6362(01)00156-4" TargetMode="External" /><Relationship Type="http://schemas.openxmlformats.org/officeDocument/2006/relationships/hyperlink" Id="rId113" Target="https://doi.org/10.1016/j.ijpsycho.2014.03.005" TargetMode="External" /><Relationship Type="http://schemas.openxmlformats.org/officeDocument/2006/relationships/hyperlink" Id="rId156" Target="https://doi.org/10.1016/j.neubiorev.2021.12.010" TargetMode="External" /><Relationship Type="http://schemas.openxmlformats.org/officeDocument/2006/relationships/hyperlink" Id="rId133" Target="https://doi.org/10.1016/j.neuron.2015.11.028" TargetMode="External" /><Relationship Type="http://schemas.openxmlformats.org/officeDocument/2006/relationships/hyperlink" Id="rId151" Target="https://doi.org/10.1016/j.tics.2016.01.001" TargetMode="External" /><Relationship Type="http://schemas.openxmlformats.org/officeDocument/2006/relationships/hyperlink" Id="rId154" Target="https://doi.org/10.1016/j.visres.2009.10.012" TargetMode="External" /><Relationship Type="http://schemas.openxmlformats.org/officeDocument/2006/relationships/hyperlink" Id="rId149" Target="https://doi.org/10.1017/S0140525X15000667" TargetMode="External" /><Relationship Type="http://schemas.openxmlformats.org/officeDocument/2006/relationships/hyperlink" Id="rId111" Target="https://doi.org/10.1037/0033-2909.91.2.276" TargetMode="External" /><Relationship Type="http://schemas.openxmlformats.org/officeDocument/2006/relationships/hyperlink" Id="rId171" Target="https://doi.org/10.1037/0033-295X.103.3.403" TargetMode="External" /><Relationship Type="http://schemas.openxmlformats.org/officeDocument/2006/relationships/hyperlink" Id="rId160" Target="https://doi.org/10.1037/0033-295X.91.2.216" TargetMode="External" /><Relationship Type="http://schemas.openxmlformats.org/officeDocument/2006/relationships/hyperlink" Id="rId178"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7" Target="https://doi.org/10.1038/nn.3428" TargetMode="External" /><Relationship Type="http://schemas.openxmlformats.org/officeDocument/2006/relationships/hyperlink" Id="rId144" Target="https://doi.org/10.1038/s41562-018-0344-1" TargetMode="External" /><Relationship Type="http://schemas.openxmlformats.org/officeDocument/2006/relationships/hyperlink" Id="rId123" Target="https://doi.org/10.1093/schbul/sbl051" TargetMode="External" /><Relationship Type="http://schemas.openxmlformats.org/officeDocument/2006/relationships/hyperlink" Id="rId176" Target="https://doi.org/10.1111/j.1748-1716.2010.02144.x" TargetMode="External" /><Relationship Type="http://schemas.openxmlformats.org/officeDocument/2006/relationships/hyperlink" Id="rId136" Target="https://doi.org/10.1126/science.154.3756.1583" TargetMode="External" /><Relationship Type="http://schemas.openxmlformats.org/officeDocument/2006/relationships/hyperlink" Id="rId115"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42" Target="https://doi.org/10.1152/japplphysiol.01022.2013" TargetMode="External" /><Relationship Type="http://schemas.openxmlformats.org/officeDocument/2006/relationships/hyperlink" Id="rId173" Target="https://doi.org/10.1152/japplphysiol.91539.2008" TargetMode="External" /><Relationship Type="http://schemas.openxmlformats.org/officeDocument/2006/relationships/hyperlink" Id="rId147" Target="https://doi.org/10.1161/01.RES.57.3.461" TargetMode="External" /><Relationship Type="http://schemas.openxmlformats.org/officeDocument/2006/relationships/hyperlink" Id="rId140" Target="https://doi.org/10.1177/1948550617697177" TargetMode="External" /><Relationship Type="http://schemas.openxmlformats.org/officeDocument/2006/relationships/hyperlink" Id="rId181" Target="https://doi.org/10.1518/001872008X288394" TargetMode="External" /><Relationship Type="http://schemas.openxmlformats.org/officeDocument/2006/relationships/hyperlink" Id="rId109" Target="https://doi.org/10.18637/jss.v067.i01" TargetMode="External" /><Relationship Type="http://schemas.openxmlformats.org/officeDocument/2006/relationships/hyperlink" Id="rId121" Target="https://doi.org/10.3758/CABN.10.2.252" TargetMode="External" /><Relationship Type="http://schemas.openxmlformats.org/officeDocument/2006/relationships/hyperlink" Id="rId119" Target="https://doi.org/10.4135/9781446247600.n6" TargetMode="External" /><Relationship Type="http://schemas.openxmlformats.org/officeDocument/2006/relationships/hyperlink" Id="rId128" Target="https://doi.org/10.4324/9781315744094" TargetMode="External" /><Relationship Type="http://schemas.openxmlformats.org/officeDocument/2006/relationships/hyperlink" Id="rId1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2/9781118133880.hop204011" TargetMode="External" /><Relationship Type="http://schemas.openxmlformats.org/officeDocument/2006/relationships/hyperlink" Id="rId185" Target="https://doi.org/10.1002/cne.920180503" TargetMode="External" /><Relationship Type="http://schemas.openxmlformats.org/officeDocument/2006/relationships/hyperlink" Id="rId158" Target="https://doi.org/10.1002/hbm.22466" TargetMode="External" /><Relationship Type="http://schemas.openxmlformats.org/officeDocument/2006/relationships/hyperlink" Id="rId126" Target="https://doi.org/10.1007/978-3-031-54896-3" TargetMode="External" /><Relationship Type="http://schemas.openxmlformats.org/officeDocument/2006/relationships/hyperlink" Id="rId130" Target="https://doi.org/10.1007/978-3-031-54896-3_1" TargetMode="External" /><Relationship Type="http://schemas.openxmlformats.org/officeDocument/2006/relationships/hyperlink" Id="rId183" Target="https://doi.org/10.1016/S0966-6362(01)00156-4" TargetMode="External" /><Relationship Type="http://schemas.openxmlformats.org/officeDocument/2006/relationships/hyperlink" Id="rId113" Target="https://doi.org/10.1016/j.ijpsycho.2014.03.005" TargetMode="External" /><Relationship Type="http://schemas.openxmlformats.org/officeDocument/2006/relationships/hyperlink" Id="rId156" Target="https://doi.org/10.1016/j.neubiorev.2021.12.010" TargetMode="External" /><Relationship Type="http://schemas.openxmlformats.org/officeDocument/2006/relationships/hyperlink" Id="rId133" Target="https://doi.org/10.1016/j.neuron.2015.11.028" TargetMode="External" /><Relationship Type="http://schemas.openxmlformats.org/officeDocument/2006/relationships/hyperlink" Id="rId151" Target="https://doi.org/10.1016/j.tics.2016.01.001" TargetMode="External" /><Relationship Type="http://schemas.openxmlformats.org/officeDocument/2006/relationships/hyperlink" Id="rId154" Target="https://doi.org/10.1016/j.visres.2009.10.012" TargetMode="External" /><Relationship Type="http://schemas.openxmlformats.org/officeDocument/2006/relationships/hyperlink" Id="rId149" Target="https://doi.org/10.1017/S0140525X15000667" TargetMode="External" /><Relationship Type="http://schemas.openxmlformats.org/officeDocument/2006/relationships/hyperlink" Id="rId111" Target="https://doi.org/10.1037/0033-2909.91.2.276" TargetMode="External" /><Relationship Type="http://schemas.openxmlformats.org/officeDocument/2006/relationships/hyperlink" Id="rId171" Target="https://doi.org/10.1037/0033-295X.103.3.403" TargetMode="External" /><Relationship Type="http://schemas.openxmlformats.org/officeDocument/2006/relationships/hyperlink" Id="rId160" Target="https://doi.org/10.1037/0033-295X.91.2.216" TargetMode="External" /><Relationship Type="http://schemas.openxmlformats.org/officeDocument/2006/relationships/hyperlink" Id="rId178"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7" Target="https://doi.org/10.1038/nn.3428" TargetMode="External" /><Relationship Type="http://schemas.openxmlformats.org/officeDocument/2006/relationships/hyperlink" Id="rId144" Target="https://doi.org/10.1038/s41562-018-0344-1" TargetMode="External" /><Relationship Type="http://schemas.openxmlformats.org/officeDocument/2006/relationships/hyperlink" Id="rId123" Target="https://doi.org/10.1093/schbul/sbl051" TargetMode="External" /><Relationship Type="http://schemas.openxmlformats.org/officeDocument/2006/relationships/hyperlink" Id="rId176" Target="https://doi.org/10.1111/j.1748-1716.2010.02144.x" TargetMode="External" /><Relationship Type="http://schemas.openxmlformats.org/officeDocument/2006/relationships/hyperlink" Id="rId136" Target="https://doi.org/10.1126/science.154.3756.1583" TargetMode="External" /><Relationship Type="http://schemas.openxmlformats.org/officeDocument/2006/relationships/hyperlink" Id="rId115"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42" Target="https://doi.org/10.1152/japplphysiol.01022.2013" TargetMode="External" /><Relationship Type="http://schemas.openxmlformats.org/officeDocument/2006/relationships/hyperlink" Id="rId173" Target="https://doi.org/10.1152/japplphysiol.91539.2008" TargetMode="External" /><Relationship Type="http://schemas.openxmlformats.org/officeDocument/2006/relationships/hyperlink" Id="rId147" Target="https://doi.org/10.1161/01.RES.57.3.461" TargetMode="External" /><Relationship Type="http://schemas.openxmlformats.org/officeDocument/2006/relationships/hyperlink" Id="rId140" Target="https://doi.org/10.1177/1948550617697177" TargetMode="External" /><Relationship Type="http://schemas.openxmlformats.org/officeDocument/2006/relationships/hyperlink" Id="rId181" Target="https://doi.org/10.1518/001872008X288394" TargetMode="External" /><Relationship Type="http://schemas.openxmlformats.org/officeDocument/2006/relationships/hyperlink" Id="rId109" Target="https://doi.org/10.18637/jss.v067.i01" TargetMode="External" /><Relationship Type="http://schemas.openxmlformats.org/officeDocument/2006/relationships/hyperlink" Id="rId121" Target="https://doi.org/10.3758/CABN.10.2.252" TargetMode="External" /><Relationship Type="http://schemas.openxmlformats.org/officeDocument/2006/relationships/hyperlink" Id="rId119" Target="https://doi.org/10.4135/9781446247600.n6" TargetMode="External" /><Relationship Type="http://schemas.openxmlformats.org/officeDocument/2006/relationships/hyperlink" Id="rId128" Target="https://doi.org/10.4324/9781315744094" TargetMode="External" /><Relationship Type="http://schemas.openxmlformats.org/officeDocument/2006/relationships/hyperlink" Id="rId1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Dissociated Arousal: Physical Effort Attenuates Task-Evoked Pupil Responses but Preserves Psychometric Sensitivity in Aging</dc:title>
  <dc:creator>Mohammad Dastgheib</dc:creator>
  <cp:keywords/>
  <dcterms:created xsi:type="dcterms:W3CDTF">2026-06-20T07:36:27Z</dcterms:created>
  <dcterms:modified xsi:type="dcterms:W3CDTF">2026-06-20T07:36:27Z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