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0.png" ContentType="image/png"/>
  <Override PartName="/word/media/rId34.png" ContentType="image/png"/>
  <Override PartName="/word/media/rId29.png" ContentType="image/png"/>
  <Override PartName="/word/media/rId46.png" ContentType="image/png"/>
  <Override PartName="/word/media/rId102.png" ContentType="image/png"/>
  <Override PartName="/word/media/rId122.png" ContentType="image/png"/>
  <Override PartName="/word/media/rId130.png" ContentType="image/png"/>
  <Override PartName="/word/media/rId108.png" ContentType="image/png"/>
  <Override PartName="/word/media/rId112.png" ContentType="image/png"/>
  <Override PartName="/word/media/rId92.png" ContentType="image/png"/>
  <Override PartName="/word/media/rId64.png" ContentType="image/png"/>
  <Override PartName="/word/media/rId75.png" ContentType="image/png"/>
  <Override PartName="/word/media/rId126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[TITLE — to be supplied]</w:t>
      </w:r>
    </w:p>
    <w:p>
      <w:pPr>
        <w:pStyle w:val="Author"/>
      </w:pPr>
      <w:r>
        <w:t xml:space="preserve">Mohammad Dastgheib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DRAFT — numbers from run r10_20261017_081458 for pupil results; behavioral results final.</w:t>
      </w:r>
    </w:p>
    <w:bookmarkStart w:id="9" w:name="abstract"/>
    <w:p>
      <w:pPr>
        <w:pStyle w:val="Heading1"/>
      </w:pPr>
      <w:r>
        <w:t xml:space="preserve">Abstract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Abstract]</w:t>
            </w:r>
            <w:r>
              <w:t xml:space="preserve"> </w:t>
            </w:r>
            <w:r>
              <w:t xml:space="preserve">Resolves Lani comments: C0, C1, C2, C3, C5, C6.</w:t>
            </w:r>
            <w:r>
              <w:t xml:space="preserve"> </w:t>
            </w:r>
            <w:r>
              <w:t xml:space="preserve">Inline value keys available for this section: n_enrolled, n_excluded, n_final, n_trials_primary, crit, qual, bs, bias, drift_diff_trials, drift_same_trials, bs_pct_change, P3_bs, delta_elpd_P3_vs_P0.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9"/>
    <w:bookmarkStart w:id="10" w:name="introduction"/>
    <w:p>
      <w:pPr>
        <w:pStyle w:val="Heading1"/>
      </w:pPr>
      <w:r>
        <w:t xml:space="preserve">1 Introduction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1 Introduction]</w:t>
            </w:r>
            <w:r>
              <w:t xml:space="preserve"> </w:t>
            </w:r>
            <w:r>
              <w:t xml:space="preserve">Resolves Lani comments: C4, C7, C8, C9, C10, C13, C14, C15, C16, C17, C18, C19, C20, C21, C22.</w:t>
            </w:r>
            <w:r>
              <w:t xml:space="preserve"> </w:t>
            </w:r>
            <w:r>
              <w:t xml:space="preserve">Inline value keys available for this section: n_enrolled, n_final, n_trials_primary.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0"/>
    <w:bookmarkStart w:id="28" w:name="methods"/>
    <w:p>
      <w:pPr>
        <w:pStyle w:val="Heading1"/>
      </w:pPr>
      <w:r>
        <w:t xml:space="preserve">2 Methods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 Methods]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12" w:name="participants"/>
    <w:p>
      <w:pPr>
        <w:pStyle w:val="Heading2"/>
      </w:pPr>
      <w:r>
        <w:t xml:space="preserve">2.1 Participants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2.1 Participants]</w:t>
            </w:r>
            <w:r>
              <w:t xml:space="preserve"> </w:t>
            </w:r>
            <w:r>
              <w:t xml:space="preserve">Resolves Lani comments: C23, C24, C25, C56.</w:t>
            </w:r>
            <w:r>
              <w:t xml:space="preserve"> </w:t>
            </w:r>
            <w:r>
              <w:t xml:space="preserve">Inline value keys available for this section: n_enrolled, n_excluded, n_final, n_adt, n_vdt, n_subchance_excluded, n_subchance_remaining.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tbl-demographic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 sample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69.5 (6.4)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Gender, female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 (50.7%)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Education, years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 (2.6)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 (1.5)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Race, count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White/Caucasian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 (76.1%)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Black/African American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 (6.0%)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Asian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(7.5%)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Other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(7.5%)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Not 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 (3.0%)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Ethnicity, count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Hispanic/Latino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(14.9%)</w:t>
                  </w:r>
                </w:p>
              </w:tc>
            </w:tr>
          </w:tbl>
          <w:bookmarkEnd w:id="11"/>
          <w:p/>
        </w:tc>
      </w:tr>
    </w:tbl>
    <w:bookmarkEnd w:id="12"/>
    <w:bookmarkStart w:id="17" w:name="task-and-stimuli"/>
    <w:p>
      <w:pPr>
        <w:pStyle w:val="Heading2"/>
      </w:pPr>
      <w:r>
        <w:t xml:space="preserve">2.2 Task and stimuli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2.2 Task and stimuli]</w:t>
            </w:r>
            <w:r>
              <w:t xml:space="preserve"> </w:t>
            </w:r>
            <w:r>
              <w:t xml:space="preserve">Resolves Lani comments: C26, C27.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design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design"/>
          <w:p>
            <w:pPr>
              <w:pStyle w:val="Compact"/>
              <w:jc w:val="center"/>
            </w:pPr>
            <w:r>
              <w:drawing>
                <wp:inline>
                  <wp:extent cx="5334000" cy="478213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1_design_model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8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[CAPTION TO BE SUPPLIED]</w:t>
            </w:r>
          </w:p>
          <w:bookmarkEnd w:id="16"/>
        </w:tc>
      </w:tr>
    </w:tbl>
    <w:bookmarkEnd w:id="17"/>
    <w:bookmarkStart w:id="18" w:name="Xa894f2685ba7565cdfb2e39cc93656104113fbc"/>
    <w:p>
      <w:pPr>
        <w:pStyle w:val="Heading2"/>
      </w:pPr>
      <w:r>
        <w:t xml:space="preserve">2.3 Maximum voluntary contraction calibration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2.3 Maximum voluntary contraction calibration]</w:t>
            </w:r>
            <w:r>
              <w:t xml:space="preserve"> </w:t>
            </w:r>
            <w:r>
              <w:t xml:space="preserve">Resolves Lani comments: C28.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8"/>
    <w:bookmarkStart w:id="19" w:name="apparatus"/>
    <w:p>
      <w:pPr>
        <w:pStyle w:val="Heading2"/>
      </w:pPr>
      <w:r>
        <w:t xml:space="preserve">2.4 Apparatus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2.4 Apparatus]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9"/>
    <w:bookmarkStart w:id="20" w:name="behavioral-data-processing"/>
    <w:p>
      <w:pPr>
        <w:pStyle w:val="Heading2"/>
      </w:pPr>
      <w:r>
        <w:t xml:space="preserve">2.5 Behavioral data processing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2.5 Behavioral data processing]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n_trials_primary, n_trials_cutoff_excluded, n_trials_thr015, n_trials_thr025, n_subchance_excluded, n_subchance_remaining.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0"/>
    <w:bookmarkStart w:id="21" w:name="pupillometry"/>
    <w:p>
      <w:pPr>
        <w:pStyle w:val="Heading2"/>
      </w:pPr>
      <w:r>
        <w:t xml:space="preserve">2.6 Pupillometry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2.6 Pupillometry]</w:t>
            </w:r>
            <w:r>
              <w:t xml:space="preserve"> </w:t>
            </w:r>
            <w:r>
              <w:t xml:space="preserve">Resolves Lani comments: C11, C12, C37, C38, C39, C40, C41, C42, C43, C44.</w:t>
            </w:r>
            <w:r>
              <w:t xml:space="preserve"> </w:t>
            </w:r>
            <w:r>
              <w:t xml:space="preserve">Inline value keys available for this section: tepr_window_start, tepr_window_end, tepr_baseline_start, tepr_baseline_end, tepr_window_post_probe, tepr_baseline_pre_probe, n_pupil_matched_trials, n_pupil_matched_subjects, n_pupil_tepr_present_trials, n_pupil_tepr_present_subjects, n_pupil_b1_quality_trials, n_pupil_b1_quality_subjects, n_pupil_window_quality_trials, n_pupil_window_quality_subjects, n_pupil_final_trials, n_pupil_final_subjects.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1"/>
    <w:bookmarkStart w:id="25" w:name="drift-diffusion-model"/>
    <w:p>
      <w:pPr>
        <w:pStyle w:val="Heading2"/>
      </w:pPr>
      <w:r>
        <w:t xml:space="preserve">2.7 Drift-diffusion model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 Drift-diffusion model]</w:t>
            </w:r>
            <w:r>
              <w:t xml:space="preserve"> </w:t>
            </w:r>
            <w:r>
              <w:t xml:space="preserve">Resolves Lani comments: C45, C46, C47, C48, C49, C50.</w:t>
            </w:r>
            <w:r>
              <w:t xml:space="preserve"> </w:t>
            </w:r>
            <w:r>
              <w:t xml:space="preserve">Inline value keys available for this section: n_chains, n_iter, n_warmup, adapt_delta, max_treedepth, seed, rope_v, rope_a, rope_z.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22" w:name="response-coding-and-parameterization"/>
    <w:p>
      <w:pPr>
        <w:pStyle w:val="Heading3"/>
      </w:pPr>
      <w:r>
        <w:t xml:space="preserve">2.7.1 Response coding and parameterization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2.7.1 Response coding and parameterization]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2"/>
    <w:bookmarkStart w:id="23" w:name="model-specification"/>
    <w:p>
      <w:pPr>
        <w:pStyle w:val="Heading3"/>
      </w:pPr>
      <w:r>
        <w:t xml:space="preserve">2.7.2 Model specification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2.7.2 Model specification]</w:t>
            </w:r>
            <w:r>
              <w:t xml:space="preserve"> </w:t>
            </w:r>
            <w:r>
              <w:t xml:space="preserve">Resolves Lani comments: C51.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3"/>
    <w:bookmarkStart w:id="24" w:name="priors-and-estimation"/>
    <w:p>
      <w:pPr>
        <w:pStyle w:val="Heading3"/>
      </w:pPr>
      <w:r>
        <w:t xml:space="preserve">2.7.3 Priors and estimation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2.7.3 Priors and estimation]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t0_M4, max_rhat_M4, min_bulk_ess_M4, min_tail_ess_M4.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4"/>
    <w:bookmarkEnd w:id="25"/>
    <w:bookmarkStart w:id="26" w:name="pupil-linked-extensions"/>
    <w:p>
      <w:pPr>
        <w:pStyle w:val="Heading2"/>
      </w:pPr>
      <w:r>
        <w:t xml:space="preserve">2.8 Pupil-linked extensions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2.8 Pupil-linked extensions]</w:t>
            </w:r>
            <w:r>
              <w:t xml:space="preserve"> </w:t>
            </w:r>
            <w:r>
              <w:t xml:space="preserve">Resolves Lani comments: C52.</w:t>
            </w:r>
            <w:r>
              <w:t xml:space="preserve"> </w:t>
            </w:r>
            <w:r>
              <w:t xml:space="preserve">Inline value keys available for this section: n_pupil_final_trials, n_pupil_final_subjects, n_pupil_base_trials, n_pupil_rt80_trials, n_pupil_lag_trials, n_pupil_pre_trials, n_pupil_grip_trials, max_k_pupil_models, n_pupil_models_k_gt_0.7.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6"/>
    <w:bookmarkStart w:id="27" w:name="X5f040d58e8482e72dd60c2d6b2740fb4fad2ba0"/>
    <w:p>
      <w:pPr>
        <w:pStyle w:val="Heading2"/>
      </w:pPr>
      <w:r>
        <w:t xml:space="preserve">2.9 Statistical inference and model comparison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2.9 Statistical inference and model comparison]</w:t>
            </w:r>
            <w:r>
              <w:t xml:space="preserve"> </w:t>
            </w:r>
            <w:r>
              <w:t xml:space="preserve">Resolves Lani comments: C29, C30, C31, C32, C33, C34, C35, C36, C53.</w:t>
            </w:r>
            <w:r>
              <w:t xml:space="preserve"> </w:t>
            </w:r>
            <w:r>
              <w:t xml:space="preserve">Inline value keys available for this section: delta_elpd_M3_vs_M4, se_delta_elpd_M3_vs_M4, delta_elpd_M4b_vs_M4, se_delta_elpd_M4b_vs_M4, delta_elpd_M0_vs_M1, se_delta_elpd_M0_vs_M1, rope_v, rope_a, rope_z, ppc_choice_inside_M4, ppc_rt_inside_pct_M4.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7"/>
    <w:bookmarkEnd w:id="28"/>
    <w:bookmarkStart w:id="53" w:name="results"/>
    <w:p>
      <w:pPr>
        <w:pStyle w:val="Heading1"/>
      </w:pPr>
      <w:r>
        <w:t xml:space="preserve">3 Results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 Results]</w:t>
            </w:r>
            <w:r>
              <w:t xml:space="preserve"> </w:t>
            </w:r>
            <w:r>
              <w:t xml:space="preserve">Resolves Lani comments: C54, C55, C59, C60, C61, C64, C65, C67, C68, C75.</w:t>
            </w:r>
            <w:r>
              <w:t xml:space="preserve"> </w:t>
            </w:r>
            <w:r>
              <w:t xml:space="preserve">Inline value keys available for this section: n_final, n_trials_primary, max_rhat_M4, min_bulk_ess_M4, min_tail_ess_M4, delta_elpd_M3_vs_M4, se_delta_elpd_M3_vs_M4.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33" w:name="behavioral-performance"/>
    <w:p>
      <w:pPr>
        <w:pStyle w:val="Heading2"/>
      </w:pPr>
      <w:r>
        <w:t xml:space="preserve">3.1 Behavioral performance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3.1 Behavioral performance]</w:t>
            </w:r>
            <w:r>
              <w:t xml:space="preserve"> </w:t>
            </w:r>
            <w:r>
              <w:t xml:space="preserve">Resolves Lani comments: C58, C71.</w:t>
            </w:r>
            <w:r>
              <w:t xml:space="preserve"> </w:t>
            </w:r>
            <w:r>
              <w:t xml:space="preserve">Inline value keys available for this section: acc_high_low_Standard, acc_high_low_Hard, acc_high_low_Easy, n_final, n_adt, n_vdt, n_trials_primary.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brinley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brinley"/>
          <w:p>
            <w:pPr>
              <w:pStyle w:val="Compact"/>
              <w:jc w:val="center"/>
            </w:pPr>
            <w:r>
              <w:drawing>
                <wp:inline>
                  <wp:extent cx="4954274" cy="477078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4_brinley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4274" cy="4770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[CAPTION TO BE SUPPLIED]</w:t>
            </w:r>
          </w:p>
          <w:bookmarkEnd w:id="32"/>
        </w:tc>
      </w:tr>
    </w:tbl>
    <w:bookmarkEnd w:id="33"/>
    <w:bookmarkStart w:id="39" w:name="effort-effects-on-decision-parameters"/>
    <w:p>
      <w:pPr>
        <w:pStyle w:val="Heading2"/>
      </w:pPr>
      <w:r>
        <w:t xml:space="preserve">3.2 Effort effects on decision parameters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3.2 Effort effects on decision parameters]</w:t>
            </w:r>
            <w:r>
              <w:t xml:space="preserve"> </w:t>
            </w:r>
            <w:r>
              <w:t xml:space="preserve">Resolves Lani comments: C62, C63, C66, C69, C70, C72, C73.</w:t>
            </w:r>
            <w:r>
              <w:t xml:space="preserve"> </w:t>
            </w:r>
            <w:r>
              <w:t xml:space="preserve">Inline value keys available for this section: crit, qual, bs, bias, drift_diff_trials, drift_same_trials, bs_pct_change, rope_v, rope_a, rope_z.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effort-forest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,</w:t>
            </w:r>
            <w:r>
              <w:t xml:space="preserve"> </w:t>
            </w:r>
            <w:hyperlink w:anchor="tbl-effort-effect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ffort-forest"/>
          <w:p>
            <w:pPr>
              <w:pStyle w:val="Compact"/>
              <w:jc w:val="center"/>
            </w:pPr>
            <w:r>
              <w:drawing>
                <wp:inline>
                  <wp:extent cx="5334000" cy="201118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3_effort_fores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11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[CAPTION TO BE SUPPLIED]</w:t>
            </w:r>
          </w:p>
          <w:bookmarkEnd w:id="3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effort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14"/>
              <w:gridCol w:w="766"/>
              <w:gridCol w:w="1447"/>
              <w:gridCol w:w="1362"/>
              <w:gridCol w:w="681"/>
              <w:gridCol w:w="144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+2.0% [0.6, 3.4]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8"/>
          <w:p/>
        </w:tc>
      </w:tr>
    </w:tbl>
    <w:bookmarkEnd w:id="39"/>
    <w:bookmarkStart w:id="44" w:name="task-and-difficulty-effects"/>
    <w:p>
      <w:pPr>
        <w:pStyle w:val="Heading2"/>
      </w:pPr>
      <w:r>
        <w:t xml:space="preserve">3.3 Task and difficulty effects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3.3 Task and difficulty effects]</w:t>
            </w:r>
            <w:r>
              <w:t xml:space="preserve"> </w:t>
            </w:r>
            <w:r>
              <w:t xml:space="preserve">Resolves Lani comments: C74.</w:t>
            </w:r>
            <w:r>
              <w:t xml:space="preserve"> </w:t>
            </w:r>
            <w:r>
              <w:t xml:space="preserve">Inline value keys available for this section: task_v, task_hard_x_vdt, task_easy_x_vdt, task_bs, task_bias.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condition-params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condition-params"/>
          <w:p>
            <w:pPr>
              <w:pStyle w:val="Compact"/>
              <w:jc w:val="center"/>
            </w:pPr>
            <w:r>
              <w:drawing>
                <wp:inline>
                  <wp:extent cx="5334000" cy="459316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2_condition_parameters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93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[CAPTION TO BE SUPPLIED]</w:t>
            </w:r>
          </w:p>
          <w:bookmarkEnd w:id="43"/>
        </w:tc>
      </w:tr>
    </w:tbl>
    <w:bookmarkEnd w:id="44"/>
    <w:bookmarkStart w:id="45" w:name="robustness"/>
    <w:p>
      <w:pPr>
        <w:pStyle w:val="Heading2"/>
      </w:pPr>
      <w:r>
        <w:t xml:space="preserve">3.4 Robustness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3.4 Robustness]</w:t>
            </w:r>
            <w:r>
              <w:t xml:space="preserve"> </w:t>
            </w:r>
            <w:r>
              <w:t xml:space="preserve">Resolves Lani comments: C57.</w:t>
            </w:r>
            <w:r>
              <w:t xml:space="preserve"> </w:t>
            </w:r>
            <w:r>
              <w:t xml:space="preserve">Inline value keys available for this section: crit_M4r, qual_M4r, crit_thr015, qual_thr015, crit_thr025, qual_thr025, crit_subchance, qual_subchance, sd_effort_M4r, sd_bs_effort_M4r, m4b_effort_x_task, m4b_quality_x_task, crit_ADT_M4b, crit_VDT_M4b, n_trials_thr015, n_trials_thr025, n_subchance_excluded, n_subchance_remaining, n_trials_cutoff_excluded.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45"/>
    <w:bookmarkStart w:id="51" w:name="pupil-linked-decision-dynamics"/>
    <w:p>
      <w:pPr>
        <w:pStyle w:val="Heading2"/>
      </w:pPr>
      <w:r>
        <w:t xml:space="preserve">3.5 Pupil-linked decision dynamics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3.5 Pupil-linked decision dynamics]</w:t>
            </w:r>
            <w:r>
              <w:t xml:space="preserve"> </w:t>
            </w:r>
            <w:r>
              <w:t xml:space="preserve">Resolves Lani comments: C76, C77, C78.</w:t>
            </w:r>
            <w:r>
              <w:t xml:space="preserve"> </w:t>
            </w:r>
            <w:r>
              <w:t xml:space="preserve">Inline value keys available for this section: P3_bs, P3_rt_bs, P5_bs, P6_bs, P7_bs, P8_bs, P1_bias, P2_drift_tepr, P2_drift_tepr_x_stim, P4_bias_base, P0_crit, P0_qual, P0_bs, P0_bias, delta_elpd_P3_vs_P0, delta_elpd_P3rt_vs_P0rt, delta_elpd_P5_vs_P0base, delta_elpd_P6_vs_P0lag, delta_elpd_P7_vs_P0pre, delta_elpd_P8_vs_P0grip, delta_elpd_P1_vs_P0, delta_elpd_P2_vs_P0, delta_elpd_P4_vs_P0base, tepr_rt_r, grip_high_low_ADT, grip_high_low_VDT, tepr_high_low_ADT_B1, tepr_high_low_VDT_B1, tepr_high_low_ADT_B0, tepr_high_low_VDT_B0, n_pupil_matched_trials, n_pupil_matched_subjects, n_pupil_tepr_present_trials, n_pupil_tepr_present_subjects, n_pupil_b1_quality_trials, n_pupil_b1_quality_subjects, n_pupil_window_quality_trials, n_pupil_window_quality_subjects, n_pupil_final_trials, n_pupil_final_subjects, n_pupil_base_trials, n_pupil_rt80_trials, n_pupil_lag_trials, n_pupil_pre_trials, n_pupil_grip_trials, n_pupil_models_k_gt_0.7, pct_gain_lost_rt_trim, max_k_pupil_models.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pupil-boundary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,</w:t>
            </w:r>
            <w:r>
              <w:t xml:space="preserve"> </w:t>
            </w:r>
            <w:hyperlink w:anchor="tbl-pupil-ordering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upil-boundary"/>
          <w:p>
            <w:pPr>
              <w:pStyle w:val="Compact"/>
              <w:jc w:val="center"/>
            </w:pPr>
            <w:r>
              <w:drawing>
                <wp:inline>
                  <wp:extent cx="5334000" cy="2769576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5_pupil_boundary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695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[CAPTION TO BE SUPPLIED]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pupil-order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</w:tr>
          </w:tbl>
          <w:bookmarkEnd w:id="50"/>
          <w:p/>
        </w:tc>
      </w:tr>
    </w:tbl>
    <w:bookmarkEnd w:id="51"/>
    <w:bookmarkStart w:id="52" w:name="model-adequacy"/>
    <w:p>
      <w:pPr>
        <w:pStyle w:val="Heading2"/>
      </w:pPr>
      <w:r>
        <w:t xml:space="preserve">3.6 Model adequacy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3.6 Model adequacy]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ppc_choice_inside_M4, ppc_rt_inside_pct_M4, ppc_rt_median_bias_ms_M4, t0_M4, t0_thr015, t0_thr025, max_rhat_M4, min_bulk_ess_M4, min_tail_ess_M4.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52"/>
    <w:bookmarkEnd w:id="53"/>
    <w:bookmarkStart w:id="55" w:name="discussion"/>
    <w:p>
      <w:pPr>
        <w:pStyle w:val="Heading1"/>
      </w:pPr>
      <w:r>
        <w:t xml:space="preserve">4 Discussion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4 Discussion]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crit, qual, bs, bs_pct_change, P3_bs, delta_elpd_P3_vs_P0, tepr_rt_r, grip_high_low_ADT, grip_high_low_VDT.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54" w:name="limitations-and-future-directions"/>
    <w:p>
      <w:pPr>
        <w:pStyle w:val="Heading2"/>
      </w:pPr>
      <w:r>
        <w:t xml:space="preserve">4.1 Limitations and future directions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4.1 Limitations and future directions]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ppc_rt_inside_pct_M4, ppc_rt_median_bias_ms_M4, n_pupil_final_subjects, n_final, n_pupil_final_trials.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54"/>
    <w:bookmarkEnd w:id="55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7" w:name="ref-barr2013maximal"/>
    <w:p>
      <w:pPr>
        <w:pStyle w:val="Bibliography"/>
      </w:pPr>
      <w:r>
        <w:t xml:space="preserve">Barr, D. J., Levy, R., Scheepers, C., &amp; Tily, H. J. (2013). Random effects structure for confirmatory hypothesis testing: Keep it maximal.</w:t>
      </w:r>
      <w:r>
        <w:t xml:space="preserve"> </w:t>
      </w:r>
      <w:r>
        <w:rPr>
          <w:i/>
          <w:iCs/>
        </w:rPr>
        <w:t xml:space="preserve">Journal of Memory and Language</w:t>
      </w:r>
      <w:r>
        <w:t xml:space="preserve">,</w:t>
      </w:r>
      <w:r>
        <w:t xml:space="preserve"> </w:t>
      </w:r>
      <w:r>
        <w:rPr>
          <w:i/>
          <w:iCs/>
        </w:rPr>
        <w:t xml:space="preserve">68</w:t>
      </w:r>
      <w:r>
        <w:t xml:space="preserve">(3), 255–278.</w:t>
      </w:r>
      <w:r>
        <w:t xml:space="preserve"> </w:t>
      </w:r>
      <w:hyperlink r:id="rId56">
        <w:r>
          <w:rPr>
            <w:rStyle w:val="Hyperlink"/>
          </w:rPr>
          <w:t xml:space="preserve">https://doi.org/10.1016/j.jml.2012.11.001</w:t>
        </w:r>
      </w:hyperlink>
    </w:p>
    <w:bookmarkEnd w:id="57"/>
    <w:bookmarkStart w:id="59" w:name="ref-bates2015parsimonious"/>
    <w:p>
      <w:pPr>
        <w:pStyle w:val="Bibliography"/>
      </w:pPr>
      <w:r>
        <w:t xml:space="preserve">Bates, D., Kliegl, R., Vasishth, S., &amp; Baayen, H. (2015). Parsimonious mixed models.</w:t>
      </w:r>
      <w:r>
        <w:t xml:space="preserve"> </w:t>
      </w:r>
      <w:r>
        <w:rPr>
          <w:i/>
          <w:iCs/>
        </w:rPr>
        <w:t xml:space="preserve">arXiv</w:t>
      </w:r>
      <w:r>
        <w:t xml:space="preserve">, 1506.04967.</w:t>
      </w:r>
      <w:r>
        <w:t xml:space="preserve"> </w:t>
      </w:r>
      <w:hyperlink r:id="rId58">
        <w:r>
          <w:rPr>
            <w:rStyle w:val="Hyperlink"/>
          </w:rPr>
          <w:t xml:space="preserve">https://doi.org/10.48550/arXiv.1506.04967</w:t>
        </w:r>
      </w:hyperlink>
    </w:p>
    <w:bookmarkEnd w:id="59"/>
    <w:bookmarkStart w:id="61" w:name="ref-brauer2018lmm"/>
    <w:p>
      <w:pPr>
        <w:pStyle w:val="Bibliography"/>
      </w:pPr>
      <w:r>
        <w:t xml:space="preserve">Brauer, M., &amp; Curtin, J. J. (2018). Linear mixed-effects models and the analysis of nonindependent data: A unified framework to analyze categorical and continuous independent variables that vary within-subjects and/or within-items.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(3), 389–411.</w:t>
      </w:r>
      <w:r>
        <w:t xml:space="preserve"> </w:t>
      </w:r>
      <w:hyperlink r:id="rId60">
        <w:r>
          <w:rPr>
            <w:rStyle w:val="Hyperlink"/>
          </w:rPr>
          <w:t xml:space="preserve">https://doi.org/10.1037/met0000159</w:t>
        </w:r>
      </w:hyperlink>
    </w:p>
    <w:bookmarkEnd w:id="61"/>
    <w:bookmarkEnd w:id="62"/>
    <w:bookmarkEnd w:id="63"/>
    <w:bookmarkStart w:id="136" w:name="supplementary-materials"/>
    <w:p>
      <w:pPr>
        <w:pStyle w:val="Heading1"/>
      </w:pPr>
      <w:r>
        <w:t xml:space="preserve">Supplementary Materials</w:t>
      </w:r>
    </w:p>
    <w:bookmarkStart w:id="69" w:name="s1-participant-and-trial-flow"/>
    <w:p>
      <w:pPr>
        <w:pStyle w:val="Heading2"/>
      </w:pPr>
      <w:r>
        <w:t xml:space="preserve">S1 Participant and trial flow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 Participant and trial flow]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n_enrolled, n_excluded, n_final, n_trials_primary, n_pupil_matched_trials, n_pupil_final_trials, n_pupil_final_subjects.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flow">
              <w:r>
                <w:rPr>
                  <w:rStyle w:val="Hyperlink"/>
                </w:rPr>
                <w:t xml:space="preserve">Figure S1</w:t>
              </w:r>
            </w:hyperlink>
            <w:r>
              <w:t xml:space="preserve">,</w:t>
            </w:r>
            <w:r>
              <w:t xml:space="preserve"> </w:t>
            </w:r>
            <w:hyperlink w:anchor="supptbl-trial-counts">
              <w:r>
                <w:rPr>
                  <w:rStyle w:val="Hyperlink"/>
                </w:rPr>
                <w:t xml:space="preserve">Table S1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suppfig-flow"/>
          <w:p>
            <w:pPr>
              <w:jc w:val="center"/>
            </w:pPr>
            <w:r>
              <w:drawing>
                <wp:inline>
                  <wp:extent cx="5334000" cy="6574465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participant_flow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5744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S1: [CAPTION TO BE SUPPLIED]</w:t>
            </w:r>
          </w:p>
          <w:bookmarkEnd w:id="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supptbl-trial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 per 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</w:tbl>
          <w:bookmarkEnd w:id="68"/>
          <w:p/>
        </w:tc>
      </w:tr>
    </w:tbl>
    <w:bookmarkEnd w:id="69"/>
    <w:bookmarkStart w:id="74" w:name="s2-model-comparison-and-convergence"/>
    <w:p>
      <w:pPr>
        <w:pStyle w:val="Heading2"/>
      </w:pPr>
      <w:r>
        <w:t xml:space="preserve">S2 Model comparison and convergence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S2 Model comparison and convergence]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delta_elpd_M0_vs_M1, se_delta_elpd_M0_vs_M1, delta_elpd_M3_vs_M4, se_delta_elpd_M3_vs_M4, delta_elpd_M4b_vs_M4, se_delta_elpd_M4b_vs_M4, max_rhat_M4, min_bulk_ess_M4, min_tail_ess_M4, n_chains, n_iter, n_warmup.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model-comparison">
              <w:r>
                <w:rPr>
                  <w:rStyle w:val="Hyperlink"/>
                </w:rPr>
                <w:t xml:space="preserve">Table S2</w:t>
              </w:r>
            </w:hyperlink>
            <w:r>
              <w:t xml:space="preserve">,</w:t>
            </w:r>
            <w:r>
              <w:t xml:space="preserve"> </w:t>
            </w:r>
            <w:hyperlink w:anchor="supptbl-convergence">
              <w:r>
                <w:rPr>
                  <w:rStyle w:val="Hyperlink"/>
                </w:rPr>
                <w:t xml:space="preserve">Table S3</w:t>
              </w:r>
            </w:hyperlink>
            <w:r>
              <w:t xml:space="preserve">,</w:t>
            </w:r>
            <w:r>
              <w:t xml:space="preserve"> </w:t>
            </w:r>
            <w:hyperlink w:anchor="supptbl-fixef-m4">
              <w:r>
                <w:rPr>
                  <w:rStyle w:val="Hyperlink"/>
                </w:rPr>
                <w:t xml:space="preserve">Table S4</w:t>
              </w:r>
            </w:hyperlink>
            <w:r>
              <w:t xml:space="preserve">,</w:t>
            </w:r>
            <w:r>
              <w:t xml:space="preserve"> </w:t>
            </w:r>
            <w:hyperlink w:anchor="supptbl-condition-cells">
              <w:r>
                <w:rPr>
                  <w:rStyle w:val="Hyperlink"/>
                </w:rPr>
                <w:t xml:space="preserve">Table S5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supp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S2: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52"/>
              <w:gridCol w:w="828"/>
              <w:gridCol w:w="552"/>
              <w:gridCol w:w="1565"/>
              <w:gridCol w:w="1105"/>
              <w:gridCol w:w="736"/>
              <w:gridCol w:w="920"/>
              <w:gridCol w:w="1197"/>
              <w:gridCol w:w="4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 vs 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of delta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 &gt; 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R-hat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−17820.6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−162.1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−17658.5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−17660.1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M1 Fails the convergence rule (max R-hat &gt;= 1.01). M2 Fails the convergence rule (max R-hat &gt;= 1.01).</w:t>
            </w:r>
          </w:p>
          <w:bookmarkEnd w:id="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supptbl-converg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S3: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2692"/>
              <w:gridCol w:w="792"/>
              <w:gridCol w:w="1029"/>
              <w:gridCol w:w="1029"/>
              <w:gridCol w:w="950"/>
              <w:gridCol w:w="3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R-hat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tail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Divergences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primary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(random effort slopes)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(RT cutoff)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(RT cutoff)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(sub-chance excluded)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 (baseline)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P0_base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P0_pre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P0_grip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 (main pupil result)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A model passes when max R-hat &lt; 1.01, bulk ESS and tail ESS are at least 400, and there are 0 divergences. Fails: M1, M2, M4_thr0.15.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supptbl-fixef-m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S4: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51"/>
              <w:gridCol w:w="750"/>
              <w:gridCol w:w="1417"/>
              <w:gridCol w:w="1333"/>
              <w:gridCol w:w="666"/>
              <w:gridCol w:w="5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R-hat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intercept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[−1.156, −0.933]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 intercept (log)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[0.793, 0.895]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Non-decision time intercept (log)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[−0.645, −0.637]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 intercept (logit)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[0.143, 0.273]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[0.396, 0.543]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[1.750, 1.906]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[−0.370, −0.214]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× visual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[0.257, 0.426]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× visual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[0.676, 0.866]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[−0.118, −0.078]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[−0.150, −0.106]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[−0.018, 0.011]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(starting point, 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[−0.099, −0.010]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 (starting point, 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7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supptbl-condition-cel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S5: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73"/>
              <w:gridCol w:w="821"/>
              <w:gridCol w:w="1793"/>
              <w:gridCol w:w="1793"/>
              <w:gridCol w:w="1569"/>
              <w:gridCol w:w="1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Boundary,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Boundary,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−1.043 [−1.156, −0.933]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−1.084 [−1.197, −0.976]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2.326 [2.210, 2.448]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2.373 [2.254, 2.497]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−0.575 [−0.675, −0.476]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−0.640 [−0.741, −0.542]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2.110 [2.007, 2.216]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2.152 [2.047, 2.258]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 [0.682, 0.886]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 [0.616, 0.817]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2.046 [1.946, 2.150]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2.087 [1.985, 2.192]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−1.336 [−1.452, −1.221]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−1.376 [−1.491, −1.265]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2.318 [2.202, 2.438]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2.365 [2.246, 2.489]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−0.525 [−0.627, −0.425]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−0.590 [−0.693, −0.492]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 [2.001, 2.208]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2.144 [2.040, 2.251]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1.263 [1.160, 1.368]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1.197 [1.094, 1.301]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2.040 [1.939, 2.143]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2.080 [1.978, 2.185]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Starting point varies by task and effort only: ADT low 0.552 [0.536, 0.568]; ADT high 0.551 [0.535, 0.566]; VDT low 0.538 [0.522, 0.555]; VDT high 0.537 [0.521, 0.553]. Non-decision time is 0.527 [0.525, 0.529] in every cell. These note values are the condition-cell summaries, not the link-scale coefficients.</w:t>
            </w:r>
          </w:p>
          <w:bookmarkEnd w:id="73"/>
        </w:tc>
      </w:tr>
    </w:tbl>
    <w:bookmarkEnd w:id="74"/>
    <w:bookmarkStart w:id="80" w:name="s3-posterior-predictive-checks"/>
    <w:p>
      <w:pPr>
        <w:pStyle w:val="Heading2"/>
      </w:pPr>
      <w:r>
        <w:t xml:space="preserve">S3 Posterior predictive checks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S3 Posterior predictive checks]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ppc_choice_inside_M4, ppc_rt_inside_pct_M4, ppc_rt_median_bias_ms_M4.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ppc">
              <w:r>
                <w:rPr>
                  <w:rStyle w:val="Hyperlink"/>
                </w:rPr>
                <w:t xml:space="preserve">Figure S2</w:t>
              </w:r>
            </w:hyperlink>
            <w:r>
              <w:t xml:space="preserve">,</w:t>
            </w:r>
            <w:r>
              <w:t xml:space="preserve"> </w:t>
            </w:r>
            <w:hyperlink w:anchor="supptbl-ppc-choice">
              <w:r>
                <w:rPr>
                  <w:rStyle w:val="Hyperlink"/>
                </w:rPr>
                <w:t xml:space="preserve">Table S6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suppfig-ppc"/>
          <w:p>
            <w:pPr>
              <w:jc w:val="center"/>
            </w:pPr>
            <w:r>
              <w:drawing>
                <wp:inline>
                  <wp:extent cx="5334000" cy="4461163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ppc_M4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611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S2: [CAPTION TO BE SUPPLIED]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supptbl-ppc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S6: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Predicted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PI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Inside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[0.269, 0.317]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[0.808, 0.851]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[0.088, 0.138]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[0.825, 0.864]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[0.235, 0.288]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[0.101, 0.154]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[0.249, 0.302]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[0.281, 0.332]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[0.907, 0.935]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[0.047, 0.084]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[0.914, 0.941]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[0.056, 0.099]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79"/>
          <w:p/>
        </w:tc>
      </w:tr>
    </w:tbl>
    <w:bookmarkEnd w:id="80"/>
    <w:bookmarkStart w:id="84" w:name="s4-robustness-analyses"/>
    <w:p>
      <w:pPr>
        <w:pStyle w:val="Heading2"/>
      </w:pPr>
      <w:r>
        <w:t xml:space="preserve">S4 Robustness analyses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S4 Robustness analyses]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crit_M4r, qual_M4r, crit_thr015, qual_thr015, crit_thr025, qual_thr025, crit_subchance, qual_subchance, sd_effort_M4r, sd_bs_effort_M4r, m4b_effort_x_task, m4b_quality_x_task, crit_ADT_M4b, crit_VDT_M4b, n_trials_thr015, n_trials_thr025, n_subchance_excluded, n_subchance_remaining, n_trials_cutoff_excluded.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robustness">
              <w:r>
                <w:rPr>
                  <w:rStyle w:val="Hyperlink"/>
                </w:rPr>
                <w:t xml:space="preserve">Table S7</w:t>
              </w:r>
            </w:hyperlink>
            <w:r>
              <w:t xml:space="preserve">,</w:t>
            </w:r>
            <w:r>
              <w:t xml:space="preserve"> </w:t>
            </w:r>
            <w:hyperlink w:anchor="supptbl-random-slopes">
              <w:r>
                <w:rPr>
                  <w:rStyle w:val="Hyperlink"/>
                </w:rPr>
                <w:t xml:space="preserve">Table S8</w:t>
              </w:r>
            </w:hyperlink>
            <w:r>
              <w:t xml:space="preserve">,</w:t>
            </w:r>
            <w:r>
              <w:t xml:space="preserve"> </w:t>
            </w:r>
            <w:hyperlink w:anchor="supptbl-m4b">
              <w:r>
                <w:rPr>
                  <w:rStyle w:val="Hyperlink"/>
                </w:rPr>
                <w:t xml:space="preserve">Table S9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supptbl-robust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S7: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5"/>
              <w:gridCol w:w="2190"/>
              <w:gridCol w:w="758"/>
              <w:gridCol w:w="1432"/>
              <w:gridCol w:w="674"/>
              <w:gridCol w:w="589"/>
              <w:gridCol w:w="758"/>
              <w:gridCol w:w="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[−0.104, −0.004]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[−0.054,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[−0.112, −0.019]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[−0.121, 0.039]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[−0.108, −0.010]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[−0.054, 0.024]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[−0.002, 0.025]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[−0.035, 0.053]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−0.030]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[−0.055,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[0.005,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[−0.034, 0.051]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−0.029]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[−0.128,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[−0.106, 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[−0.057,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0.031]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[−0.053, 0.041]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[−0.115, −0.015]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[−0.124, 0.048]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‡ did not meet the R-hat &lt; 1.01 criterion. M4_thr0.15.</w:t>
            </w:r>
          </w:p>
          <w:bookmarkEnd w:id="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supptbl-random-slo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S8: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385"/>
              <w:gridCol w:w="950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SD, 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SD, 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[0.000, 0.023]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Correlation, drift intercept and 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[−.84, 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Correlation, boundary intercept and boundary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[−.78, .80]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supptbl-m4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S9: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09"/>
              <w:gridCol w:w="937"/>
              <w:gridCol w:w="1771"/>
              <w:gridCol w:w="1667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[−0.139, −0.017]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 ×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[−0.024, 0.131]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 ×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[−0.118, 0.036]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criterion, auditory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[−0.139, −0.017]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criterion, visual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[−0.087, 0.040]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[−0.047, 0.062]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52%</w:t>
                  </w:r>
                </w:p>
              </w:tc>
            </w:tr>
          </w:tbl>
          <w:bookmarkEnd w:id="83"/>
          <w:p/>
        </w:tc>
      </w:tr>
    </w:tbl>
    <w:bookmarkEnd w:id="84"/>
    <w:bookmarkStart w:id="91" w:name="s5-pupil-linked-models"/>
    <w:p>
      <w:pPr>
        <w:pStyle w:val="Heading2"/>
      </w:pPr>
      <w:r>
        <w:t xml:space="preserve">S5 Pupil-linked models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S5 Pupil-linked models]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P3_bs, P3_rt_bs, P5_bs, P6_bs, P7_bs, P8_bs, P1_bias, P2_drift_tepr, P2_drift_tepr_x_stim, P4_bias_base, P0_crit, P0_qual, P0_bs, P0_bias, delta_elpd_P3_vs_P0, delta_elpd_P3rt_vs_P0rt, delta_elpd_P5_vs_P0base, delta_elpd_P6_vs_P0lag, delta_elpd_P7_vs_P0pre, delta_elpd_P8_vs_P0grip, delta_elpd_P1_vs_P0, delta_elpd_P2_vs_P0, delta_elpd_P4_vs_P0base, tepr_rt_r, grip_high_low_ADT, grip_high_low_VDT, tepr_high_low_ADT_B1, tepr_high_low_VDT_B1, tepr_high_low_ADT_B0, tepr_high_low_VDT_B0, n_pupil_matched_trials, n_pupil_matched_subjects, n_pupil_tepr_present_trials, n_pupil_tepr_present_subjects, n_pupil_b1_quality_trials, n_pupil_b1_quality_subjects, n_pupil_window_quality_trials, n_pupil_window_quality_subjects, n_pupil_final_trials, n_pupil_final_subjects, n_pupil_base_trials, n_pupil_rt80_trials, n_pupil_lag_trials, n_pupil_pre_trials, n_pupil_grip_trials, n_pupil_models_k_gt_0.7, pct_gain_lost_rt_trim, max_k_pupil_models.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pupil-models">
              <w:r>
                <w:rPr>
                  <w:rStyle w:val="Hyperlink"/>
                </w:rPr>
                <w:t xml:space="preserve">Table S10</w:t>
              </w:r>
            </w:hyperlink>
            <w:r>
              <w:t xml:space="preserve">,</w:t>
            </w:r>
            <w:r>
              <w:t xml:space="preserve"> </w:t>
            </w:r>
            <w:hyperlink w:anchor="supptbl-pupil-descriptives">
              <w:r>
                <w:rPr>
                  <w:rStyle w:val="Hyperlink"/>
                </w:rPr>
                <w:t xml:space="preserve">Table S11</w:t>
              </w:r>
            </w:hyperlink>
            <w:r>
              <w:t xml:space="preserve">,</w:t>
            </w:r>
            <w:r>
              <w:t xml:space="preserve"> </w:t>
            </w:r>
            <w:hyperlink w:anchor="suppfig-tepr">
              <w:r>
                <w:rPr>
                  <w:rStyle w:val="Hyperlink"/>
                </w:rPr>
                <w:t xml:space="preserve">Figure S3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supptbl-pupil-mode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S10: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40"/>
              <w:gridCol w:w="312"/>
              <w:gridCol w:w="2188"/>
              <w:gridCol w:w="468"/>
              <w:gridCol w:w="885"/>
              <w:gridCol w:w="885"/>
              <w:gridCol w:w="573"/>
              <w:gridCol w:w="3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Baseline (no pupil slope)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 ± 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[−0.023, 0.041]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 ± 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[0.010, 0.088]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 ± 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× stimulus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[−0.128, −0.050]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[0.063, 0.088]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+7.9% [6.5, 9.2]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67.9 ± 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Pre-squeeze baseline on 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[−0.043, 0.023]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 ± 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[−0.142, 0.045]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[−0.050, 0.101]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[0.003, 0.056]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+3.0% [0.3, 5.8]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[−0.101, 0.064]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P1, P2, and P3 are compared with P0. P4 and P5 are compared with P0_base. P3_rt is compared with P0_rt. P6 is compared with P0_lag, P7 with P0_pre, and P8 with P0_grip. P5, P3_rt, P6, P7, and P8 are in the ordering table rather than this slope table.</w:t>
            </w:r>
          </w:p>
          <w:bookmarkEnd w:id="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supptbl-pupil-descriptiv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S11: [CAPTION TO BE SUPPLIED: Effort effects on pupil measures]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53"/>
              <w:gridCol w:w="435"/>
              <w:gridCol w:w="261"/>
              <w:gridCol w:w="1305"/>
              <w:gridCol w:w="1305"/>
              <w:gridCol w:w="957"/>
              <w:gridCol w:w="1218"/>
              <w:gridCol w:w="7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 M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−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 (df)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(B1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−0.207 (1.724)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 (1.804)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t(30) = −2.35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(B1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 (2.123)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1.241 (2.185)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−2.40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(B0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1.520 (4.064)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0.517 (4.495)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t(30) = 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(B0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1.075 (2.111)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1.047 (2.466)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Grip-period 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 (1.128)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−0.352 (0.724)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t(27) = 3.37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Grip-period 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−0.090 (0.757)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−0.273 (0.780)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t(28) = 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.047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n is the number of participants with both effort levels for that task. The paired test drops anyone missing one level. The final pupil sample is 43 participants.</w:t>
            </w:r>
          </w:p>
          <w:bookmarkEnd w:id="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suppfig-tepr"/>
          <w:p>
            <w:pPr>
              <w:jc w:val="center"/>
            </w:pPr>
            <w:r>
              <w:drawing>
                <wp:inline>
                  <wp:extent cx="5334000" cy="4683512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tepr_timecours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835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S3: [CAPTION TO BE SUPPLIED]</w:t>
            </w:r>
          </w:p>
          <w:bookmarkEnd w:id="90"/>
        </w:tc>
      </w:tr>
    </w:tbl>
    <w:bookmarkEnd w:id="91"/>
    <w:bookmarkStart w:id="96" w:name="s6-model-specification-details"/>
    <w:p>
      <w:pPr>
        <w:pStyle w:val="Heading2"/>
      </w:pPr>
      <w:r>
        <w:t xml:space="preserve">S6 Model specification details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S6 Model specification details]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t0_M4, t0_thr015, t0_thr025, rope_v, rope_a, rope_z, n_chains, n_iter, n_warmup, adapt_delta, max_treedepth, seed.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ndt">
              <w:r>
                <w:rPr>
                  <w:rStyle w:val="Hyperlink"/>
                </w:rPr>
                <w:t xml:space="preserve">Figure S4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suppfig-ndt"/>
          <w:p>
            <w:pPr>
              <w:jc w:val="center"/>
            </w:pPr>
            <w:r>
              <w:drawing>
                <wp:inline>
                  <wp:extent cx="5334000" cy="5506064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ndt_prior_posterior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060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S4: [CAPTION TO BE SUPPLIED]</w:t>
            </w:r>
          </w:p>
          <w:bookmarkEnd w:id="95"/>
        </w:tc>
      </w:tr>
    </w:tbl>
    <w:bookmarkEnd w:id="96"/>
    <w:bookmarkStart w:id="106" w:name="X96863c5e75a0c6011f1e0c89feee2f290f10a40"/>
    <w:p>
      <w:pPr>
        <w:pStyle w:val="Heading2"/>
      </w:pPr>
      <w:r>
        <w:t xml:space="preserve">S7 Behavioral mixed-effects models (dissertation only)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S7 Behavioral mixed-effects models (dissertation only)]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acc_high_low_Standard, acc_high_low_Hard, acc_high_low_Easy, rt_high_low_Standard, rt_high_low_Hard, rt_high_low_Easy, acc_model_re.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reduction">
              <w:r>
                <w:rPr>
                  <w:rStyle w:val="Hyperlink"/>
                </w:rPr>
                <w:t xml:space="preserve">Table S12</w:t>
              </w:r>
            </w:hyperlink>
            <w:r>
              <w:t xml:space="preserve">,</w:t>
            </w:r>
            <w:r>
              <w:t xml:space="preserve"> </w:t>
            </w:r>
            <w:hyperlink w:anchor="supptbl-acc-glmm">
              <w:r>
                <w:rPr>
                  <w:rStyle w:val="Hyperlink"/>
                </w:rPr>
                <w:t xml:space="preserve">Table S13</w:t>
              </w:r>
            </w:hyperlink>
            <w:r>
              <w:t xml:space="preserve">,</w:t>
            </w:r>
            <w:r>
              <w:t xml:space="preserve"> </w:t>
            </w:r>
            <w:hyperlink w:anchor="supptbl-acc-contrasts">
              <w:r>
                <w:rPr>
                  <w:rStyle w:val="Hyperlink"/>
                </w:rPr>
                <w:t xml:space="preserve">Table S14</w:t>
              </w:r>
            </w:hyperlink>
            <w:r>
              <w:t xml:space="preserve">,</w:t>
            </w:r>
            <w:r>
              <w:t xml:space="preserve"> </w:t>
            </w:r>
            <w:hyperlink w:anchor="supptbl-rt-lmm">
              <w:r>
                <w:rPr>
                  <w:rStyle w:val="Hyperlink"/>
                </w:rPr>
                <w:t xml:space="preserve">Table S15</w:t>
              </w:r>
            </w:hyperlink>
            <w:r>
              <w:t xml:space="preserve">,</w:t>
            </w:r>
            <w:r>
              <w:t xml:space="preserve"> </w:t>
            </w:r>
            <w:hyperlink w:anchor="supptbl-rt-contrasts">
              <w:r>
                <w:rPr>
                  <w:rStyle w:val="Hyperlink"/>
                </w:rPr>
                <w:t xml:space="preserve">Table S16</w:t>
              </w:r>
            </w:hyperlink>
            <w:r>
              <w:t xml:space="preserve">,</w:t>
            </w:r>
            <w:r>
              <w:t xml:space="preserve"> </w:t>
            </w:r>
            <w:hyperlink w:anchor="suppfig-accuracy">
              <w:r>
                <w:rPr>
                  <w:rStyle w:val="Hyperlink"/>
                </w:rPr>
                <w:t xml:space="preserve">Figure S5</w:t>
              </w:r>
            </w:hyperlink>
            <w:r>
              <w:t xml:space="preserve">.</w:t>
            </w:r>
          </w:p>
        </w:tc>
      </w:tr>
    </w:tbl>
    <w:p>
      <w:pPr>
        <w:pStyle w:val="BodyText"/>
      </w:pPr>
      <w:r>
        <w:t xml:space="preserve">Random slopes for effort were singular on both the accuracy and the median-RT models, so each model uses a random intercept only, (1 | subject_id), following</w:t>
      </w:r>
      <w:r>
        <w:t xml:space="preserve"> </w:t>
      </w:r>
      <w:r>
        <w:t xml:space="preserve">Barr et al. (2013)</w:t>
      </w:r>
      <w:r>
        <w:t xml:space="preserve">,</w:t>
      </w:r>
      <w:r>
        <w:t xml:space="preserve"> </w:t>
      </w:r>
      <w:r>
        <w:t xml:space="preserve">Bates et al. (2015)</w:t>
      </w:r>
      <w:r>
        <w:t xml:space="preserve">, and</w:t>
      </w:r>
      <w:r>
        <w:t xml:space="preserve"> </w:t>
      </w:r>
      <w:r>
        <w:t xml:space="preserve">Brauer &amp; Curtin (2018)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supptbl-reduc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S12: [CAPTION TO BE SUPPLIED: reduction from maximal random slopes to a random intercept]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1"/>
              <w:gridCol w:w="1006"/>
              <w:gridCol w:w="3825"/>
              <w:gridCol w:w="604"/>
              <w:gridCol w:w="604"/>
              <w:gridCol w:w="872"/>
              <w:gridCol w:w="3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Random effects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Singular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Slope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Intercept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Used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(1 + effort_condition | subject_id)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 correlation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(1 | subject_id) + (0 + effort_c | subject_id)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intercepts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(1 | subject_id)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(1 + effort_condition | subject_id)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 correlation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(1 | subject_id) + (0 + effort_c | subject_id)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intercepts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(1 | subject_id)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Singular random slopes were dropped in the order in Barr et al. (2013), Bates et al. (2015), and Brauer and Curtin (2018). The intercept-only model is the one used.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supptbl-acc-glm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S13: The High-effort coefficient is the Standard contrast on the logit scale. Cell contrasts are in</w:t>
            </w:r>
            <w:r>
              <w:t xml:space="preserve"> </w:t>
            </w:r>
            <w:hyperlink w:anchor="supptbl-acc-contrasts">
              <w:r>
                <w:rPr>
                  <w:rStyle w:val="Hyperlink"/>
                </w:rPr>
                <w:t xml:space="preserve">Table S14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49"/>
              <w:gridCol w:w="1018"/>
              <w:gridCol w:w="678"/>
              <w:gridCol w:w="1131"/>
              <w:gridCol w:w="1018"/>
              <w:gridCol w:w="19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[1.762, 2.220]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−3.064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−35.26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[−3.234, −2.894]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[−0.316, 0.048]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[−0.015, 0.423]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[0.336, 0.499]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×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−3.47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[−0.674, −0.188]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×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−2.19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[−0.552, −0.031]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Binomial GLMM. Coefficients are on the logit scale. The statistic is a Wald z; lme4 does not report denominator df. Random slopes for effort were singular, so the model keeps a random intercept only (Barr et al., 2013; Bates et al., 2015; Brauer &amp; Curtin, 2018). Reference levels: Standard difficulty, low effort, auditory task (ADT).</w:t>
            </w:r>
          </w:p>
          <w:p>
            <w:pPr>
              <w:jc w:val="center"/>
            </w:pPr>
            <w:r>
              <w:t xml:space="preserve">[CAPTION TO BE SUPPLIED: accuracy, binomial GLMM on the logit scale]</w:t>
            </w:r>
          </w:p>
          <w:bookmarkEnd w:id="9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supptbl-acc-contra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S14: [CAPTION TO BE SUPPLIED: High minus low accuracy at each difficulty]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75"/>
              <w:gridCol w:w="1564"/>
              <w:gridCol w:w="1466"/>
              <w:gridCol w:w="1075"/>
              <w:gridCol w:w="1271"/>
              <w:gridCol w:w="586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− low (pp)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CI (pp)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CI (OR)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[−0.14, 3.52]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[0.99, 1.53]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−4.51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[−6.64, −2.38]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[0.72, 0.89]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[−2.36, 0.56]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[0.80, 1.06]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.226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High minus low, averaged over task with equal weights. Percentage points are 100 times the probability difference. The odds ratio, z, and p are the logit-scale contrast. df is asymptotic.</w:t>
            </w:r>
          </w:p>
          <w:bookmarkEnd w:id="9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supptbl-rt-lm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S15: df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use the Satterthwaite approximation. Cell contrasts, in milliseconds, are in</w:t>
            </w:r>
            <w:r>
              <w:t xml:space="preserve"> </w:t>
            </w:r>
            <w:hyperlink w:anchor="supptbl-rt-contrasts">
              <w:r>
                <w:rPr>
                  <w:rStyle w:val="Hyperlink"/>
                </w:rPr>
                <w:t xml:space="preserve">Table S16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937"/>
              <w:gridCol w:w="625"/>
              <w:gridCol w:w="625"/>
              <w:gridCol w:w="1042"/>
              <w:gridCol w:w="937"/>
              <w:gridCol w:w="17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[1.304, 1.453]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0.107]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−6.90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[−0.239, −0.133]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[−0.017, 0.089]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−6.33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[−0.131, −0.069]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×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[−0.104, 0.046]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×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[−0.100, 0.050]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The outcome is the median RT in each subject x task x difficulty x effort cell, in seconds, not log RT. df and p use the Satterthwaite approximation. Random slopes for effort were singular, so the model keeps a random intercept only (Barr et al., 2013; Bates et al., 2015; Brauer &amp; Curtin, 2018). Reference levels: Standard difficulty, low effort, auditory task (ADT).</w:t>
            </w:r>
          </w:p>
          <w:p>
            <w:pPr>
              <w:jc w:val="center"/>
            </w:pPr>
            <w:r>
              <w:t xml:space="preserve">[CAPTION TO BE SUPPLIED: median RT in seconds]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supptbl-rt-contra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S16: [CAPTION TO BE SUPPLIED: High minus low median RT at each difficulty]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− low (ms)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CI (ms)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[−16.6, 89.2]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[−45.9, 59.9]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[−41.8, 64.0]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.681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High minus low, in milliseconds, averaged over task with equal weights. df and p use the Satterthwaite approximation.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suppfig-accuracy"/>
          <w:p>
            <w:pPr>
              <w:jc w:val="center"/>
            </w:pPr>
            <w:r>
              <w:drawing>
                <wp:inline>
                  <wp:extent cx="5334000" cy="306704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accuracy_by_condition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670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S5: [CAPTION TO BE SUPPLIED]</w:t>
            </w:r>
          </w:p>
          <w:bookmarkEnd w:id="105"/>
        </w:tc>
      </w:tr>
    </w:tbl>
    <w:bookmarkEnd w:id="106"/>
    <w:bookmarkStart w:id="116" w:name="X3cc16b0d216bcc33dab0f66a70d8af21fde834a"/>
    <w:p>
      <w:pPr>
        <w:pStyle w:val="Heading2"/>
      </w:pPr>
      <w:r>
        <w:t xml:space="preserve">S8 Exploratory LC structural correlates (dissertation only)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S8 Exploratory LC structural correlates (dissertation only)]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lc">
              <w:r>
                <w:rPr>
                  <w:rStyle w:val="Hyperlink"/>
                </w:rPr>
                <w:t xml:space="preserve">Table S17</w:t>
              </w:r>
            </w:hyperlink>
            <w:r>
              <w:t xml:space="preserve">,</w:t>
            </w:r>
            <w:r>
              <w:t xml:space="preserve"> </w:t>
            </w:r>
            <w:hyperlink w:anchor="suppfig-lc-variability">
              <w:r>
                <w:rPr>
                  <w:rStyle w:val="Hyperlink"/>
                </w:rPr>
                <w:t xml:space="preserve">Figure S6</w:t>
              </w:r>
            </w:hyperlink>
            <w:r>
              <w:t xml:space="preserve">,</w:t>
            </w:r>
            <w:r>
              <w:t xml:space="preserve"> </w:t>
            </w:r>
            <w:hyperlink w:anchor="suppfig-lc-four-panel">
              <w:r>
                <w:rPr>
                  <w:rStyle w:val="Hyperlink"/>
                </w:rPr>
                <w:t xml:space="preserve">Figure S7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supptbl-l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S17: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40"/>
              <w:gridCol w:w="3638"/>
              <w:gridCol w:w="642"/>
              <w:gridCol w:w="642"/>
              <w:gridCol w:w="642"/>
              <w:gridCol w:w="21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(FDR)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Benjamini-Hochberg FDR is computed within family. LC x behavioral outcomes: 35 tests. LC x DDM parameters: 15 tests. d′ rows are descriptive. The LC table has no accuracy column, so they were not replaced.</w:t>
            </w:r>
          </w:p>
          <w:bookmarkEnd w:id="1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suppfig-lc-variability"/>
          <w:p>
            <w:pPr>
              <w:jc w:val="center"/>
            </w:pPr>
            <w:r>
              <w:drawing>
                <wp:inline>
                  <wp:extent cx="5046020" cy="412856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lc_fiso_dprime_variability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6020" cy="41285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S6: [CAPTION TO BE SUPPLIED]</w:t>
            </w:r>
          </w:p>
          <w:bookmarkEnd w:id="1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suppfig-lc-four-panel"/>
          <w:p>
            <w:pPr>
              <w:jc w:val="center"/>
            </w:pPr>
            <w:r>
              <w:drawing>
                <wp:inline>
                  <wp:extent cx="5334000" cy="4148666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lc_fiso_four_panel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486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S7: [CAPTION TO BE SUPPLIED]</w:t>
            </w:r>
          </w:p>
          <w:bookmarkEnd w:id="115"/>
        </w:tc>
      </w:tr>
    </w:tbl>
    <w:bookmarkEnd w:id="116"/>
    <w:bookmarkStart w:id="119" w:name="X33dd80233317429c055e5b07427cee33e56c773"/>
    <w:p>
      <w:pPr>
        <w:pStyle w:val="Heading2"/>
      </w:pPr>
      <w:r>
        <w:t xml:space="preserve">S9 Extended baseline and neuropsychological profile (dissertation only)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S9 Extended baseline and neuropsychological profile (dissertation only)]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baseline">
              <w:r>
                <w:rPr>
                  <w:rStyle w:val="Hyperlink"/>
                </w:rPr>
                <w:t xml:space="preserve">Table S18</w:t>
              </w:r>
            </w:hyperlink>
            <w:r>
              <w:t xml:space="preserve">,</w:t>
            </w:r>
            <w:r>
              <w:t xml:space="preserve"> </w:t>
            </w:r>
            <w:hyperlink w:anchor="supptbl-neuropsych">
              <w:r>
                <w:rPr>
                  <w:rStyle w:val="Hyperlink"/>
                </w:rPr>
                <w:t xml:space="preserve">Table S19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supp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S18: [CAPTION TO BE SUPPLIED: Baseline characteristics]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 (SD) or 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69.5 (6.4)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60.0–87.0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 (years)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 (2.6)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10.0–21.0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 (telephone screen /22)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 (1.5)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17.0–22.0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 (seconds)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32.3 (9.2)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17.8–58.7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B (seconds)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 (28.2)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12.1–159.6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 (seconds)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20.2 (25.6)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−33.7–126.1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 (/23)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 (2.6)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14.0–23.0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SILS (/40)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33.0 (3.6)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18.0–38.0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 (/15)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 (2.0)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0.0–10.0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 (/8)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 (2.3)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0.0–10.0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 (4.7)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1.0–28.0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Female,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 (50.7%)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Right-handed,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 (100.0%)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White race,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 (76.1%)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Hispanic/Latino ethnicity,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(15.4%)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Values are from output/neuropsych_demographics/extended_baseline_continuous.csv and extended_baseline_categorical.csv, the July S9 source. T14 stored the means but dropped the ranges.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supptbl-neuropsyc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S19: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24"/>
              <w:gridCol w:w="3774"/>
              <w:gridCol w:w="666"/>
              <w:gridCol w:w="666"/>
              <w:gridCol w:w="666"/>
              <w:gridCol w:w="2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(FDR)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Benjamini-Hochberg FDR is computed within family. Neuropsych x behavioral outcomes: 45 tests. Neuropsych x DDM parameters: 27 tests. d′ (descriptive) is the SD of d′ across grip conditions. No SD of accuracy across conditions is in the source table.</w:t>
            </w:r>
          </w:p>
          <w:bookmarkEnd w:id="118"/>
        </w:tc>
      </w:tr>
    </w:tbl>
    <w:bookmarkEnd w:id="119"/>
    <w:bookmarkStart w:id="121" w:name="Xd0a34700ee7521a8e6a3c0630f642a4225bf515"/>
    <w:p>
      <w:pPr>
        <w:pStyle w:val="Heading2"/>
      </w:pPr>
      <w:r>
        <w:t xml:space="preserve">S10 Exploratory temporal dynamics (dissertation only; pre-revision model structure)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S10 Exploratory temporal dynamics (dissertation only; pre-revision model structure)]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temporal">
              <w:r>
                <w:rPr>
                  <w:rStyle w:val="Hyperlink"/>
                </w:rPr>
                <w:t xml:space="preserve">Table S20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supptbl-tempo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S20: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82"/>
              <w:gridCol w:w="4986"/>
              <w:gridCol w:w="880"/>
              <w:gridCol w:w="586"/>
              <w:gridCol w:w="6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p…0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Starting-point 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 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low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.225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 × low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previous choice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Starting-point 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 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low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.225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 × low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.489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 × previous 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.036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.499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previous choice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separation,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.552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separation, second half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separation,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.819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separation, high effort × second half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.301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second half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.705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second half ×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.052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 effort ×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.113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 effort × second half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.147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 effort × second half ×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.260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Fit on the pre-revision model structure. The fatigue block is exploratory_fatigue_trajectory; that file has no model column.</w:t>
            </w:r>
          </w:p>
          <w:bookmarkEnd w:id="120"/>
        </w:tc>
      </w:tr>
    </w:tbl>
    <w:bookmarkEnd w:id="121"/>
    <w:bookmarkStart w:id="134" w:name="Xa3b6a644d11f8779e794d5a1f8fecafbac15b72"/>
    <w:p>
      <w:pPr>
        <w:pStyle w:val="Heading2"/>
      </w:pPr>
      <w:r>
        <w:t xml:space="preserve">S11 Additional diagnostics (dissertation only): CAF, RT distributions, DAG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S11 Additional diagnostics (dissertation only): CAF, RT distributions, DAG]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caf">
              <w:r>
                <w:rPr>
                  <w:rStyle w:val="Hyperlink"/>
                </w:rPr>
                <w:t xml:space="preserve">Figure S8</w:t>
              </w:r>
            </w:hyperlink>
            <w:r>
              <w:t xml:space="preserve">,</w:t>
            </w:r>
            <w:r>
              <w:t xml:space="preserve"> </w:t>
            </w:r>
            <w:hyperlink w:anchor="suppfig-rtdist">
              <w:r>
                <w:rPr>
                  <w:rStyle w:val="Hyperlink"/>
                </w:rPr>
                <w:t xml:space="preserve">Figure S9</w:t>
              </w:r>
            </w:hyperlink>
            <w:r>
              <w:t xml:space="preserve">,</w:t>
            </w:r>
            <w:r>
              <w:t xml:space="preserve"> </w:t>
            </w:r>
            <w:hyperlink w:anchor="suppfig-dag">
              <w:r>
                <w:rPr>
                  <w:rStyle w:val="Hyperlink"/>
                </w:rPr>
                <w:t xml:space="preserve">Figure S10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suppfig-caf"/>
          <w:p>
            <w:pPr>
              <w:jc w:val="center"/>
            </w:pPr>
            <w:r>
              <w:drawing>
                <wp:inline>
                  <wp:extent cx="5334000" cy="3674533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caf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45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S8: [CAPTION TO BE SUPPLIED]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suppfig-rtdist"/>
          <w:p>
            <w:pPr>
              <w:jc w:val="center"/>
            </w:pPr>
            <w:r>
              <w:drawing>
                <wp:inline>
                  <wp:extent cx="5334000" cy="396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rt_distributions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S9: [CAPTION TO BE SUPPLIED]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suppfig-dag"/>
          <w:p>
            <w:pPr>
              <w:jc w:val="center"/>
            </w:pPr>
            <w:r>
              <w:drawing>
                <wp:inline>
                  <wp:extent cx="5334000" cy="2388882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dag_pla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888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S10: [CAPTION TO BE SUPPLIED]</w:t>
            </w:r>
          </w:p>
          <w:bookmarkEnd w:id="133"/>
        </w:tc>
      </w:tr>
    </w:tbl>
    <w:bookmarkEnd w:id="134"/>
    <w:bookmarkStart w:id="135" w:name="X52370cfb33b68797ebedac2817808558b6bfe44"/>
    <w:p>
      <w:pPr>
        <w:pStyle w:val="Heading2"/>
      </w:pPr>
      <w:r>
        <w:t xml:space="preserve">S12 Analysis provenance (dissertation only)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S12 Analysis provenance (dissertation only)]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n_pupil_entered_vs_r8, n_pupil_left_vs_r8.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0" Target="media/rId40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46" Target="media/rId46.png" /><Relationship Type="http://schemas.openxmlformats.org/officeDocument/2006/relationships/image" Id="rId102" Target="media/rId102.png" /><Relationship Type="http://schemas.openxmlformats.org/officeDocument/2006/relationships/image" Id="rId122" Target="media/rId122.png" /><Relationship Type="http://schemas.openxmlformats.org/officeDocument/2006/relationships/image" Id="rId130" Target="media/rId130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126" Target="media/rId126.png" /><Relationship Type="http://schemas.openxmlformats.org/officeDocument/2006/relationships/image" Id="rId87" Target="media/rId87.png" /><Relationship Type="http://schemas.openxmlformats.org/officeDocument/2006/relationships/hyperlink" Id="rId56" Target="https://doi.org/10.1016/j.jml.2012.11.001" TargetMode="External" /><Relationship Type="http://schemas.openxmlformats.org/officeDocument/2006/relationships/hyperlink" Id="rId60" Target="https://doi.org/10.1037/met0000159" TargetMode="External" /><Relationship Type="http://schemas.openxmlformats.org/officeDocument/2006/relationships/hyperlink" Id="rId58" Target="https://doi.org/10.48550/arXiv.1506.049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1016/j.jml.2012.11.001" TargetMode="External" /><Relationship Type="http://schemas.openxmlformats.org/officeDocument/2006/relationships/hyperlink" Id="rId60" Target="https://doi.org/10.1037/met0000159" TargetMode="External" /><Relationship Type="http://schemas.openxmlformats.org/officeDocument/2006/relationships/hyperlink" Id="rId58" Target="https://doi.org/10.48550/arXiv.1506.049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[TITLE — to be supplied]</dc:title>
  <dc:creator>Mohammad Dastgheib</dc:creator>
  <cp:keywords/>
  <dcterms:created xsi:type="dcterms:W3CDTF">2026-10-19T05:11:37Z</dcterms:created>
  <dcterms:modified xsi:type="dcterms:W3CDTF">2026-10-19T05:11:37Z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apa-7th-edition.csl</vt:lpwstr>
  </property>
  <property fmtid="{D5CDD505-2E9C-101B-9397-08002B2CF9AE}" pid="9" name="dissertation">
    <vt:lpwstr>True</vt:lpwstr>
  </property>
  <property fmtid="{D5CDD505-2E9C-101B-9397-08002B2CF9AE}" pid="10" name="engines">
    <vt:lpwstr/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toc-title">
    <vt:lpwstr>Table of contents</vt:lpwstr>
  </property>
</Properties>
</file>