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33.png" ContentType="image/png"/>
  <Override PartName="/word/media/rId40.png" ContentType="image/png"/>
  <Override PartName="/word/media/rId83.png" ContentType="image/png"/>
  <Override PartName="/word/media/rId54.png" ContentType="image/png"/>
  <Override PartName="/word/media/rId65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[TITLE — to be supplied]</w:t>
      </w:r>
    </w:p>
    <w:p>
      <w:pPr>
        <w:pStyle w:val="Author"/>
      </w:pPr>
      <w:r>
        <w:t xml:space="preserve">Mohammad Dastgheib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DRAFT — numbers from run r10_20261017_081458 for pupil results; behavioral results final.</w:t>
      </w:r>
    </w:p>
    <w:bookmarkStart w:id="9" w:name="abstract"/>
    <w:p>
      <w:pPr>
        <w:pStyle w:val="Heading1"/>
      </w:pPr>
      <w:r>
        <w:t xml:space="preserve">Abstract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Abstract]</w:t>
            </w:r>
            <w:r>
              <w:t xml:space="preserve"> </w:t>
            </w:r>
            <w:r>
              <w:t xml:space="preserve">Resolves Lani comments: C0, C1, C2, C3, C5, C6.</w:t>
            </w:r>
            <w:r>
              <w:t xml:space="preserve"> </w:t>
            </w:r>
            <w:r>
              <w:t xml:space="preserve">Inline value keys available for this section: n_enrolled, n_excluded, n_final, n_trials_primary, crit, qual, bs, bias, drift_diff_trials, drift_same_trials, P3_bs, delta_elpd_P3_vs_P0.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9"/>
    <w:bookmarkStart w:id="10" w:name="introduction"/>
    <w:p>
      <w:pPr>
        <w:pStyle w:val="Heading1"/>
      </w:pPr>
      <w:r>
        <w:t xml:space="preserve">1 Introduction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1 Introduction]</w:t>
            </w:r>
            <w:r>
              <w:t xml:space="preserve"> </w:t>
            </w:r>
            <w:r>
              <w:t xml:space="preserve">Resolves Lani comments: C4, C7, C8, C9, C10, C13, C14, C15, C16, C17, C18, C19, C20, C21, C22.</w:t>
            </w:r>
            <w:r>
              <w:t xml:space="preserve"> </w:t>
            </w:r>
            <w:r>
              <w:t xml:space="preserve">Inline value keys available for this section: n_enrolled, n_final, n_trials_primary.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0"/>
    <w:bookmarkStart w:id="28" w:name="methods"/>
    <w:p>
      <w:pPr>
        <w:pStyle w:val="Heading1"/>
      </w:pPr>
      <w:r>
        <w:t xml:space="preserve">2 Methods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 Methods]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12" w:name="participants"/>
    <w:p>
      <w:pPr>
        <w:pStyle w:val="Heading2"/>
      </w:pPr>
      <w:r>
        <w:t xml:space="preserve">2.1 Participants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2.1 Participants]</w:t>
            </w:r>
            <w:r>
              <w:t xml:space="preserve"> </w:t>
            </w:r>
            <w:r>
              <w:t xml:space="preserve">Resolves Lani comments: C23, C24, C25, C56.</w:t>
            </w:r>
            <w:r>
              <w:t xml:space="preserve"> </w:t>
            </w:r>
            <w:r>
              <w:t xml:space="preserve">Inline value keys available for this section: n_enrolled, n_excluded, n_final, n_adt, n_vdt, n_subchance_excluded, n_subchance_remaining.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tbl-demographic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demograph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Characteristic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Full sample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69.5 (6.4)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Gender, female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 (50.7%)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Education, years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15.7 (2.6)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MoCA-telephone, score /22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 (1.5)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Race, count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  White/Caucasian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 (76.1%)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  Black/African American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 (6.0%)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  Asian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(7.5%)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  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(7.5%)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  Not reported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 (3.0%)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Ethnicity, count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  Hispanic/Latino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(14.9%)</w:t>
                  </w:r>
                </w:p>
              </w:tc>
            </w:tr>
          </w:tbl>
          <w:bookmarkEnd w:id="11"/>
          <w:p/>
        </w:tc>
      </w:tr>
    </w:tbl>
    <w:bookmarkEnd w:id="12"/>
    <w:bookmarkStart w:id="17" w:name="task-and-stimuli"/>
    <w:p>
      <w:pPr>
        <w:pStyle w:val="Heading2"/>
      </w:pPr>
      <w:r>
        <w:t xml:space="preserve">2.2 Task and stimuli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2.2 Task and stimuli]</w:t>
            </w:r>
            <w:r>
              <w:t xml:space="preserve"> </w:t>
            </w:r>
            <w:r>
              <w:t xml:space="preserve">Resolves Lani comments: C26, C27.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fig-design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design"/>
          <w:p>
            <w:pPr>
              <w:pStyle w:val="Compact"/>
              <w:jc w:val="center"/>
            </w:pPr>
            <w:r>
              <w:drawing>
                <wp:inline>
                  <wp:extent cx="5334000" cy="478213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1_design_model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2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[CAPTION TO BE SUPPLIED]</w:t>
            </w:r>
          </w:p>
          <w:bookmarkEnd w:id="16"/>
        </w:tc>
      </w:tr>
    </w:tbl>
    <w:bookmarkEnd w:id="17"/>
    <w:bookmarkStart w:id="18" w:name="Xa894f2685ba7565cdfb2e39cc93656104113fbc"/>
    <w:p>
      <w:pPr>
        <w:pStyle w:val="Heading2"/>
      </w:pPr>
      <w:r>
        <w:t xml:space="preserve">2.3 Maximum voluntary contraction calibration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2.3 Maximum voluntary contraction calibration]</w:t>
            </w:r>
            <w:r>
              <w:t xml:space="preserve"> </w:t>
            </w:r>
            <w:r>
              <w:t xml:space="preserve">Resolves Lani comments: C28.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8"/>
    <w:bookmarkStart w:id="19" w:name="apparatus"/>
    <w:p>
      <w:pPr>
        <w:pStyle w:val="Heading2"/>
      </w:pPr>
      <w:r>
        <w:t xml:space="preserve">2.4 Apparatus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2.4 Apparatus]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9"/>
    <w:bookmarkStart w:id="20" w:name="behavioral-data-processing"/>
    <w:p>
      <w:pPr>
        <w:pStyle w:val="Heading2"/>
      </w:pPr>
      <w:r>
        <w:t xml:space="preserve">2.5 Behavioral data processing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2.5 Behavioral data processing]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n_trials_primary, n_trials_cutoff_excluded, n_trials_thr015, n_trials_thr025, n_subchance_excluded, n_subchance_remaining.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0"/>
    <w:bookmarkStart w:id="21" w:name="pupillometry"/>
    <w:p>
      <w:pPr>
        <w:pStyle w:val="Heading2"/>
      </w:pPr>
      <w:r>
        <w:t xml:space="preserve">2.6 Pupillometry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2.6 Pupillometry]</w:t>
            </w:r>
            <w:r>
              <w:t xml:space="preserve"> </w:t>
            </w:r>
            <w:r>
              <w:t xml:space="preserve">Resolves Lani comments: C11, C12, C37, C38, C39, C40, C41, C42, C43, C44.</w:t>
            </w:r>
            <w:r>
              <w:t xml:space="preserve"> </w:t>
            </w:r>
            <w:r>
              <w:t xml:space="preserve">Inline value keys available for this section: tepr_window_start, tepr_window_end, tepr_baseline_start, tepr_baseline_end, tepr_window_post_probe, tepr_baseline_pre_probe, n_pupil_matched_trials, n_pupil_matched_subjects, n_pupil_tepr_present_trials, n_pupil_tepr_present_subjects, n_pupil_b1_quality_trials, n_pupil_b1_quality_subjects, n_pupil_window_quality_trials, n_pupil_window_quality_subjects, n_pupil_final_trials, n_pupil_final_subjects.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1"/>
    <w:bookmarkStart w:id="25" w:name="drift-diffusion-model"/>
    <w:p>
      <w:pPr>
        <w:pStyle w:val="Heading2"/>
      </w:pPr>
      <w:r>
        <w:t xml:space="preserve">2.7 Drift-diffusion model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 Drift-diffusion model]</w:t>
            </w:r>
            <w:r>
              <w:t xml:space="preserve"> </w:t>
            </w:r>
            <w:r>
              <w:t xml:space="preserve">Resolves Lani comments: C45, C46, C47, C48, C49, C50.</w:t>
            </w:r>
            <w:r>
              <w:t xml:space="preserve"> </w:t>
            </w:r>
            <w:r>
              <w:t xml:space="preserve">Inline value keys available for this section: n_chains, n_iter, n_warmup, adapt_delta, max_treedepth, seed, rope_v, rope_a, rope_z.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22" w:name="response-coding-and-parameterization"/>
    <w:p>
      <w:pPr>
        <w:pStyle w:val="Heading3"/>
      </w:pPr>
      <w:r>
        <w:t xml:space="preserve">2.7.1 Response coding and parameterization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2.7.1 Response coding and parameterization]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2"/>
    <w:bookmarkStart w:id="23" w:name="model-specification"/>
    <w:p>
      <w:pPr>
        <w:pStyle w:val="Heading3"/>
      </w:pPr>
      <w:r>
        <w:t xml:space="preserve">2.7.2 Model specification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2.7.2 Model specification]</w:t>
            </w:r>
            <w:r>
              <w:t xml:space="preserve"> </w:t>
            </w:r>
            <w:r>
              <w:t xml:space="preserve">Resolves Lani comments: C51.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3"/>
    <w:bookmarkStart w:id="24" w:name="priors-and-estimation"/>
    <w:p>
      <w:pPr>
        <w:pStyle w:val="Heading3"/>
      </w:pPr>
      <w:r>
        <w:t xml:space="preserve">2.7.3 Priors and estimation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2.7.3 Priors and estimation]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t0_M4, max_rhat_M4, min_bulk_ess_M4, min_tail_ess_M4.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4"/>
    <w:bookmarkEnd w:id="25"/>
    <w:bookmarkStart w:id="26" w:name="pupil-linked-extensions"/>
    <w:p>
      <w:pPr>
        <w:pStyle w:val="Heading2"/>
      </w:pPr>
      <w:r>
        <w:t xml:space="preserve">2.8 Pupil-linked extensions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2.8 Pupil-linked extensions]</w:t>
            </w:r>
            <w:r>
              <w:t xml:space="preserve"> </w:t>
            </w:r>
            <w:r>
              <w:t xml:space="preserve">Resolves Lani comments: C52.</w:t>
            </w:r>
            <w:r>
              <w:t xml:space="preserve"> </w:t>
            </w:r>
            <w:r>
              <w:t xml:space="preserve">Inline value keys available for this section: n_pupil_final_trials, n_pupil_final_subjects, n_pupil_base_trials, n_pupil_rt80_trials, n_pupil_lag_trials, n_pupil_pre_trials, n_pupil_grip_trials, max_k_pupil_models, n_pupil_models_k_gt_0.7.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6"/>
    <w:bookmarkStart w:id="27" w:name="X5f040d58e8482e72dd60c2d6b2740fb4fad2ba0"/>
    <w:p>
      <w:pPr>
        <w:pStyle w:val="Heading2"/>
      </w:pPr>
      <w:r>
        <w:t xml:space="preserve">2.9 Statistical inference and model comparison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2.9 Statistical inference and model comparison]</w:t>
            </w:r>
            <w:r>
              <w:t xml:space="preserve"> </w:t>
            </w:r>
            <w:r>
              <w:t xml:space="preserve">Resolves Lani comments: C29, C30, C31, C32, C33, C34, C35, C36, C53.</w:t>
            </w:r>
            <w:r>
              <w:t xml:space="preserve"> </w:t>
            </w:r>
            <w:r>
              <w:t xml:space="preserve">Inline value keys available for this section: delta_elpd_M3_vs_M4, se_delta_elpd_M3_vs_M4, delta_elpd_M4b_vs_M4, se_delta_elpd_M4b_vs_M4, delta_elpd_M0_vs_M1, se_delta_elpd_M0_vs_M1, rope_v, rope_a, rope_z, ppc_choice_inside_M4, ppc_rt_inside_pct_M4.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7"/>
    <w:bookmarkEnd w:id="28"/>
    <w:bookmarkStart w:id="47" w:name="results"/>
    <w:p>
      <w:pPr>
        <w:pStyle w:val="Heading1"/>
      </w:pPr>
      <w:r>
        <w:t xml:space="preserve">3 Results</w:t>
      </w:r>
    </w:p>
    <w:bookmarkStart w:id="38" w:name="primary-diffusion-model"/>
    <w:p>
      <w:pPr>
        <w:pStyle w:val="Heading2"/>
      </w:pPr>
      <w:r>
        <w:t xml:space="preserve">3.1 Primary diffusion model</w:t>
      </w:r>
    </w:p>
    <w:p>
      <w:pPr>
        <w:pStyle w:val="FirstParagraph"/>
      </w:pPr>
      <w:r>
        <w:t xml:space="preserve">Allowing drift rate to differ between tasks improved out-of-sample prediction (M4 vs. M3: ΔELPD = 158.3 ± 20.0). Allowing the effort effects to differ between tasks did not (M4b vs. M4: ΔELPD = −1.6 ± 1.5;</w:t>
      </w:r>
      <w:r>
        <w:t xml:space="preserve"> </w:t>
      </w:r>
      <w:hyperlink w:anchor="supptbl-model-comparison">
        <w:r>
          <w:rPr>
            <w:rStyle w:val="Hyperlink"/>
          </w:rPr>
          <w:t xml:space="preserve">Table S2</w:t>
        </w:r>
      </w:hyperlink>
      <w:r>
        <w:t xml:space="preserve">). M4 is therefore reported below.</w:t>
      </w:r>
    </w:p>
    <w:p>
      <w:pPr>
        <w:pStyle w:val="BodyText"/>
      </w:pPr>
      <w:r>
        <w:rPr>
          <w:b/>
          <w:bCs/>
        </w:rPr>
        <w:t xml:space="preserve">Stimulus and task effects.</w:t>
      </w:r>
      <w:r>
        <w:t xml:space="preserve"> </w:t>
      </w:r>
      <w:r>
        <w:t xml:space="preserve">The upper boundary corresponds to a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response. Drift was therefore negative on Standard trials, where</w:t>
      </w:r>
      <w:r>
        <w:t xml:space="preserve"> </w:t>
      </w:r>
      <w:r>
        <w:t xml:space="preserve">“same”</w:t>
      </w:r>
      <w:r>
        <w:t xml:space="preserve"> </w:t>
      </w:r>
      <w:r>
        <w:t xml:space="preserve">is correct, and positive on Easy trials (</w:t>
      </w:r>
      <w:hyperlink w:anchor="fig-condition-params">
        <w:r>
          <w:rPr>
            <w:rStyle w:val="Hyperlink"/>
          </w:rPr>
          <w:t xml:space="preserve">Figure 2</w:t>
        </w:r>
      </w:hyperlink>
      <w:r>
        <w:t xml:space="preserve">). Drift was also negative on Hard trials (low effort; ADT: v = −0.575, 95% CrI [−0.675, −0.476]; VDT: v = −0.525, 95% CrI [−0.627, −0.425]). These stimuli differed from the standard, but evidence still accumulated toward</w:t>
      </w:r>
      <w:r>
        <w:t xml:space="preserve"> </w:t>
      </w:r>
      <w:r>
        <w:t xml:space="preserve">“same”</w:t>
      </w:r>
      <w:r>
        <w:t xml:space="preserve">, so most Hard trials ended in an incorrect response. Relative to Standard trials, drift was higher on Hard (β = 0.468, 95% CrI [0.396, 0.543], P(β &gt; 0) &gt; .999) and Easy trials (β = 1.828, 95% CrI [1.750, 1.906], P(β &gt; 0) &gt; .999). Both differences were larger in the VDT than in the ADT (Hard × VDT: β = 0.341, 95% CrI [0.257, 0.426], P(β &gt; 0) &gt; .999; Easy × VDT: β = 0.771, 95% CrI [0.676, 0.866], P(β &gt; 0) &gt; .999). Boundary separation was narrower on Hard (β = −0.098, 95% CrI [−0.118, −0.078], P(β &lt; 0) &gt; .999; −9.3% [−11.1, −7.5]) and Easy trials (β = −0.128, 95% CrI [−0.150, −0.106], P(β &lt; 0) &gt; .999; −12.0% [−14.0, −10.1]) than on Standard trials. Standard, Hard and Easy trials were randomly intermixed, so these boundary differences cannot reflect a setting chosen before the trial</w:t>
      </w:r>
      <w:r>
        <w:t xml:space="preserve"> </w:t>
      </w:r>
      <w:r>
        <w:t xml:space="preserve">(Ratcliff &amp; McKoon, 2008)</w:t>
      </w:r>
      <w:r>
        <w:t xml:space="preserve">. We treat them as descriptive (see Limitations). Boundary separation did not differ between tasks (β = −0.003, 95% CrI [−0.018, 0.011], P(β &lt; 0) = .680, 100% in ROPE). In both tasks the starting point lay closer to the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boundary (ADT: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0.552 [0.536, 0.568]; VDT: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0.538 [0.522, 0.555]), slightly less so in the VDT (β = −0.054, 95% CrI [−0.099, −0.010], P(β &lt; 0) = .992).</w:t>
      </w:r>
    </w:p>
    <w:p>
      <w:pPr>
        <w:pStyle w:val="BodyText"/>
      </w:pPr>
      <w:r>
        <w:rPr>
          <w:b/>
          <w:bCs/>
        </w:rPr>
        <w:t xml:space="preserve">Effort effects.</w:t>
      </w:r>
      <w:r>
        <w:t xml:space="preserve"> </w:t>
      </w:r>
      <w:r>
        <w:t xml:space="preserve">Effort effects were estimated in the same model and are reported in the same way (</w:t>
      </w:r>
      <w:hyperlink w:anchor="fig-effort-forest">
        <w:r>
          <w:rPr>
            <w:rStyle w:val="Hyperlink"/>
          </w:rPr>
          <w:t xml:space="preserve">Figure 3</w:t>
        </w:r>
      </w:hyperlink>
      <w:r>
        <w:t xml:space="preserve">;</w:t>
      </w:r>
      <w:r>
        <w:t xml:space="preserve"> </w:t>
      </w:r>
      <w:hyperlink w:anchor="tbl-effort-effects">
        <w:r>
          <w:rPr>
            <w:rStyle w:val="Hyperlink"/>
          </w:rPr>
          <w:t xml:space="preserve">Table 2</w:t>
        </w:r>
      </w:hyperlink>
      <w:r>
        <w:t xml:space="preserve">). High effort shifted drift toward</w:t>
      </w:r>
      <w:r>
        <w:t xml:space="preserve"> </w:t>
      </w:r>
      <w:r>
        <w:t xml:space="preserve">“same”</w:t>
      </w:r>
      <w:r>
        <w:t xml:space="preserve"> </w:t>
      </w:r>
      <w:r>
        <w:t xml:space="preserve">on all trials (drift criterion: β = −0.053, 95% CrI [−0.103, −0.003], P(β &lt; 0) = .981). There was no evidence that it changed how strongly drift separated identical from different stimuli (evidence quality: β = −0.013, 95% CrI [−0.052, 0.028], P(β &lt; 0) = .730), although the interval does not rule out a small decline. Drift decreased on trials with a different comparison stimulus (β = −0.065, 95% CrI [−0.111, −0.021], P(β &lt; 0) = .998); on Standard trials the change was smaller and its interval included zero (β = −0.041, 95% CrI [−0.119, 0.038], P(β &lt; 0) = .845). High effort widened the boundary by +2.0% [0.6, 3.4]. This change lay entirely within the region of practical equivalence (100% in ROPE). The starting point was unchanged (β = −0.005, 95% CrI [−0.048, 0.037], P(β &lt; 0) = .590, 98% in ROPE).</w:t>
      </w:r>
    </w:p>
    <w:p>
      <w:pPr>
        <w:pStyle w:val="BodyText"/>
      </w:pPr>
      <w:r>
        <w:t xml:space="preserve">In observed accuracy, high effort was associated with lower accuracy on Hard trials (High − Low: −4.5 percentage points, 95% CI [−6.6, −2.4], OR = 0.80, p &lt; .001). On Standard trials accuracy was slightly higher, a difference that was not significant (+1.7 percentage points, 95% CI [−0.1, 3.5], OR = 1.23, p = .068). Accuracy on Easy trials did not change (−0.9 percentage points, 95% CI [−2.4, 0.6], OR = 0.92, p = .226;</w:t>
      </w:r>
      <w:r>
        <w:t xml:space="preserve"> </w:t>
      </w:r>
      <w:hyperlink w:anchor="supptbl-acc-contrasts">
        <w:r>
          <w:rPr>
            <w:rStyle w:val="Hyperlink"/>
          </w:rPr>
          <w:t xml:space="preserve">Table S10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dition-params"/>
          <w:p>
            <w:pPr>
              <w:pStyle w:val="Compact"/>
              <w:jc w:val="center"/>
            </w:pPr>
            <w:r>
              <w:drawing>
                <wp:inline>
                  <wp:extent cx="5334000" cy="459316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2_condition_parame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93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Posterior drift rate (top) and boundary separation (bottom) by task, stimulus type and effort in the primary model (M4). Points are posterior medians and bars 95% credible intervals. Drift is signed toward the “different” boundary, so negative drift on Standard trials accumulates toward the correct “same” response. Starting point and non-decision time did not vary by stimulus type and are not shown.</w:t>
            </w:r>
          </w:p>
          <w:bookmarkEnd w:id="3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effort-forest"/>
          <w:p>
            <w:pPr>
              <w:pStyle w:val="Compact"/>
              <w:jc w:val="center"/>
            </w:pPr>
            <w:r>
              <w:drawing>
                <wp:inline>
                  <wp:extent cx="5334000" cy="201118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3_effort_fores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11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Effects of high versus low effort in the primary model (M4, filled) and four robustness variants (open). Points are posterior medians and bars 95% credible intervals. Shaded bands mark the region of practical equivalence (drift ±0.02; log boundary and logit starting point ±0.05). Drift criterion is the effort effect common to all trials (negative values favor “same”); evidence quality is the effort effect on the separation between identical and different stimuli.</w:t>
            </w:r>
          </w:p>
          <w:bookmarkEnd w:id="3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effort-effec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Effects of high versus low effort on decision parameters in the primary model (M4)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14"/>
              <w:gridCol w:w="766"/>
              <w:gridCol w:w="1447"/>
              <w:gridCol w:w="1362"/>
              <w:gridCol w:w="681"/>
              <w:gridCol w:w="144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in 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[−0.103, −0.003]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[−0.052,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.730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+2.0% [0.6, 3.4]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[−0.048, 0.037]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[−0.111, −0.021]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[−0.119, 0.038]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Estimates are posterior medians with 95% credible intervals (CrI) on the link scale: drift, identity; boundary separation, log; starting point, logit. Direction is the posterior probability that the effect has the sign of its median. Change in a is the percentage change in boundary separation. ROPE = region of practical equivalence (drift ±0.02; boundary and starting point ±0.05).</w:t>
            </w:r>
          </w:p>
          <w:bookmarkEnd w:id="37"/>
        </w:tc>
      </w:tr>
    </w:tbl>
    <w:bookmarkEnd w:id="38"/>
    <w:bookmarkStart w:id="39" w:name="robustness-of-the-effort-effects"/>
    <w:p>
      <w:pPr>
        <w:pStyle w:val="Heading2"/>
      </w:pPr>
      <w:r>
        <w:t xml:space="preserve">3.2 Robustness of the effort effects</w:t>
      </w:r>
    </w:p>
    <w:p>
      <w:pPr>
        <w:pStyle w:val="FirstParagraph"/>
      </w:pPr>
      <w:r>
        <w:t xml:space="preserve">The drift criterion shift was unchanged when the effort effects were allowed to vary across participants (M4r: β = −0.053, 95% CrI [−0.104, −0.004], P(β &lt; 0) = .982). The between-participant SD of that effect was small (0.019, 95% CrI [0.001, 0.062]). The shift was also stable at RT cutoffs of 0.15 s (β = −0.060, 95% CrI [−0.107, −0.011], P(β &lt; 0) = .993) and 0.25 s (β = −0.061, 95% CrI [−0.111, −0.010], P(β &lt; 0) = .992). Excluding the 13 participants with near-chance accuracy left the point estimate unchanged. With N = 54, however, the interval included zero (β = −0.052, 95% CrI [−0.106, 0.003], P(β &lt; 0) = .969). When effort effects were allowed to differ by task (M4b), the criterion shift was larger in the ADT (β = −0.077, 95% CrI [−0.139, −0.017], P(β &lt; 0) = .994) than in the VDT (β = −0.024, 95% CrI [−0.087, 0.040], P(β &lt; 0) = .767), but the task difference was uncertain (β = 0.054, 95% CrI [−0.024, 0.131], P(β &gt; 0) = .912). Evidence quality was null in every variant. The boundary effect was positive at the 0.25-s cutoff (β = 0.019, 95% CrI [0.005, 0.032], P(β &gt; 0) = .997; +1.9% [0.5, 3.2]) and after the near-chance exclusion (β = 0.016, 95% CrI [0.001, 0.031], P(β &gt; 0) = .985; +1.6% [0.1, 3.2]), but at the 0.15-s cutoff its interval included zero (β = 0.012, 95% CrI [−0.002, 0.026], P(β &gt; 0) = .955; +1.2% [−0.2, 2.6];</w:t>
      </w:r>
      <w:r>
        <w:t xml:space="preserve"> </w:t>
      </w:r>
      <w:hyperlink w:anchor="supptbl-robustness">
        <w:r>
          <w:rPr>
            <w:rStyle w:val="Hyperlink"/>
          </w:rPr>
          <w:t xml:space="preserve">Table S7</w:t>
        </w:r>
      </w:hyperlink>
      <w:r>
        <w:t xml:space="preserve">).</w:t>
      </w:r>
    </w:p>
    <w:bookmarkEnd w:id="39"/>
    <w:bookmarkStart w:id="45" w:name="pupil-linked-decision-dynamics"/>
    <w:p>
      <w:pPr>
        <w:pStyle w:val="Heading2"/>
      </w:pPr>
      <w:r>
        <w:t xml:space="preserve">3.3 Pupil-linked decision dynamics</w:t>
      </w:r>
    </w:p>
    <w:p>
      <w:pPr>
        <w:pStyle w:val="FirstParagraph"/>
      </w:pPr>
      <w:r>
        <w:rPr>
          <w:b/>
          <w:bCs/>
        </w:rPr>
        <w:t xml:space="preserve">Effort and pupil size.</w:t>
      </w:r>
      <w:r>
        <w:t xml:space="preserve"> </w:t>
      </w:r>
      <w:r>
        <w:t xml:space="preserve">High effort dilated the pupil during the grip period in both tasks (ADT: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diff</w:t>
      </w:r>
      <w:r>
        <w:t xml:space="preserve"> </w:t>
      </w:r>
      <w:r>
        <w:t xml:space="preserve">= 0.59, t(27) = 3.37, p = .002; VDT: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diff</w:t>
      </w:r>
      <w:r>
        <w:t xml:space="preserve"> </w:t>
      </w:r>
      <w:r>
        <w:t xml:space="preserve">= 0.21, t(28) = 2.08, p = .047). In the post-probe window, the direction of the effort effect depended on the baseline. Relative to the pre-probe baseline used for the TEPR, the response was smaller under high effort (ADT: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diff</w:t>
      </w:r>
      <w:r>
        <w:t xml:space="preserve"> </w:t>
      </w:r>
      <w:r>
        <w:t xml:space="preserve">= −0.72, t(30) = −2.35, p = .026; VDT: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diff</w:t>
      </w:r>
      <w:r>
        <w:t xml:space="preserve"> </w:t>
      </w:r>
      <w:r>
        <w:t xml:space="preserve">= −0.43, t(29) = −2.40, p = .023). Relative to the pre-squeeze baseline, it was larger in the ADT (</w:t>
      </w:r>
      <w:r>
        <w:rPr>
          <w:i/>
          <w:iCs/>
        </w:rPr>
        <w:t xml:space="preserve">M</w:t>
      </w:r>
      <w:r>
        <w:rPr>
          <w:vertAlign w:val="subscript"/>
        </w:rPr>
        <w:t xml:space="preserve">diff</w:t>
      </w:r>
      <w:r>
        <w:t xml:space="preserve"> </w:t>
      </w:r>
      <w:r>
        <w:t xml:space="preserve">= 1.00, t(30) = 2.45, p = .020) and unchanged in the VDT (</w:t>
      </w:r>
      <w:r>
        <w:rPr>
          <w:i/>
          <w:iCs/>
        </w:rPr>
        <w:t xml:space="preserve">M</w:t>
      </w:r>
      <w:r>
        <w:rPr>
          <w:vertAlign w:val="subscript"/>
        </w:rPr>
        <w:t xml:space="preserve">diff</w:t>
      </w:r>
      <w:r>
        <w:t xml:space="preserve"> </w:t>
      </w:r>
      <w:r>
        <w:t xml:space="preserve">= 0.03, t(29) = 0.10, p = .919;</w:t>
      </w:r>
      <w:r>
        <w:t xml:space="preserve"> </w:t>
      </w:r>
      <w:hyperlink w:anchor="supptbl-pupil-descriptives">
        <w:r>
          <w:rPr>
            <w:rStyle w:val="Hyperlink"/>
          </w:rPr>
          <w:t xml:space="preserve">Table S12</w:t>
        </w:r>
      </w:hyperlink>
      <w:r>
        <w:t xml:space="preserve">;</w:t>
      </w:r>
      <w:r>
        <w:t xml:space="preserve"> </w:t>
      </w:r>
      <w:hyperlink w:anchor="suppfig-tepr">
        <w:r>
          <w:rPr>
            <w:rStyle w:val="Hyperlink"/>
          </w:rPr>
          <w:t xml:space="preserve">Figure S3</w:t>
        </w:r>
      </w:hyperlink>
      <w:r>
        <w:t xml:space="preserve">). In the pupil subsample, high effort widened the boundary (β = 0.030, 95% CrI [0.003, 0.056], P(β &gt; 0) = .984; +3.0% [0.3, 5.8]). The drift criterion shift had the same sign as in the full sample, with a wider interval (β = −0.048, 95% CrI [−0.142, 0.045], P(β &lt; 0) = .840).</w:t>
      </w:r>
    </w:p>
    <w:p>
      <w:pPr>
        <w:pStyle w:val="BodyText"/>
      </w:pPr>
      <w:r>
        <w:rPr>
          <w:b/>
          <w:bCs/>
        </w:rPr>
        <w:t xml:space="preserve">Which parameter tracked the TEPR.</w:t>
      </w:r>
      <w:r>
        <w:t xml:space="preserve"> </w:t>
      </w:r>
      <w:r>
        <w:t xml:space="preserve">Trial-wise TEPR predicted boundary separation. Each within-person SD increase in TEPR widened the boundary by +7.9% [6.5, 9.2] and improved out-of-sample prediction (P3: ΔELPD = 67.9 ± 9.1;</w:t>
      </w:r>
      <w:r>
        <w:t xml:space="preserve"> </w:t>
      </w:r>
      <w:hyperlink w:anchor="fig-pupil-boundary">
        <w:r>
          <w:rPr>
            <w:rStyle w:val="Hyperlink"/>
          </w:rPr>
          <w:t xml:space="preserve">Figure 4</w:t>
        </w:r>
      </w:hyperlink>
      <w:r>
        <w:t xml:space="preserve">;</w:t>
      </w:r>
      <w:r>
        <w:t xml:space="preserve"> </w:t>
      </w:r>
      <w:hyperlink w:anchor="tbl-pupil-ordering">
        <w:r>
          <w:rPr>
            <w:rStyle w:val="Hyperlink"/>
          </w:rPr>
          <w:t xml:space="preserve">Table 3</w:t>
        </w:r>
      </w:hyperlink>
      <w:r>
        <w:t xml:space="preserve">). TEPR did not predict the starting point (P1: β = 0.008, 95% CrI [−0.023, 0.041], P(β &gt; 0) = .695, ΔELPD = −0.2 ± 0.5). In the drift model, higher TEPR was associated with weaker separation between identical and different stimuli (TEPR × stimulus: β = −0.089, 95% CrI [−0.128, −0.050], P(β &lt; 0) &gt; .999), with a smaller and less certain predictive gain (ΔELPD = 8.8 ± 5.1;</w:t>
      </w:r>
      <w:r>
        <w:t xml:space="preserve"> </w:t>
      </w:r>
      <w:hyperlink w:anchor="supptbl-pupil-models">
        <w:r>
          <w:rPr>
            <w:rStyle w:val="Hyperlink"/>
          </w:rPr>
          <w:t xml:space="preserve">Table S11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Timing of the TEPR–boundary association.</w:t>
      </w:r>
      <w:r>
        <w:t xml:space="preserve"> </w:t>
      </w:r>
      <w:r>
        <w:t xml:space="preserve">The TEPR window overlapped the response on most trials, and TEPR correlated with RT within participants (r = .30 [.23, .36]). The association with boundary separation remained after the slowest 20% of trials in each participant and task were removed (P3_rt: +5.0% [3.3, 6.7], ΔELPD = 17.6 ± 4.7). Pupil size in the 0.5 s before the response did not predict boundary separation (P7: +1.2% [−0.2, 2.7], ΔELPD = 0.2 ± 1.7). Measures taken before the decision showed small associations in the same direction: previous-trial TEPR (P6: +2.8% [1.3, 4.4], ΔELPD = 6.8 ± 2.7) and pre-squeeze baseline pupil (P5: +1.5% [0.2, 2.9], ΔELPD = 1.7 ± 1.8). Grip-period pupil showed a small association in the opposite direction (P8: −1.7% [−3.1, −0.4], ΔELPD = 2.3 ± 2.0). Of the measures preceding the decision, only the previous-trial TEPR improved prediction by more than two standard errors.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pupil-boundary"/>
          <w:p>
            <w:pPr>
              <w:pStyle w:val="Compact"/>
              <w:jc w:val="center"/>
            </w:pPr>
            <w:r>
              <w:drawing>
                <wp:inline>
                  <wp:extent cx="5334000" cy="276957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5_pupil_boundary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9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Pupil measures and boundary separation. Each row is a separate model. Points are posterior median percentage changes in boundary separation per within-person SD of the pupil predictor, and bars are 95% credible intervals. ΔELPD ± SE compares each model with a baseline model fit to the same trials. Upper rows: measures from the current trial; lower rows: measures preceding the current decision.</w:t>
            </w:r>
          </w:p>
          <w:bookmarkEnd w:id="4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pupil-order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Pupil predictors of boundary separation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09"/>
              <w:gridCol w:w="2731"/>
              <w:gridCol w:w="1638"/>
              <w:gridCol w:w="1297"/>
              <w:gridCol w:w="751"/>
              <w:gridCol w:w="477"/>
              <w:gridCol w:w="61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 [95% CrI]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in 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ΔELPD ± 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Post-probe TEPR (0.3–3.3 s after probe)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0.076 [0.063, 0.088]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+7.9% [6.5, 9.2]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67.9 ± 9.1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P3_rt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Post-probe TEPR, slowest 20% removed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 [0.033, 0.064]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+5.0% [3.3, 6.7]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 ± 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Pre-response window (0.5 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 [−0.002, 0.027]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+1.2% [−0.2, 2.7]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 ± 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Previous-trial TEPR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 [0.013, 0.043]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+2.8% [1.3, 4.4]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 ± 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3,842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Pre-trial baseline 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 [0.002, 0.029]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+1.5% [0.2, 2.9]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 ± 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4,488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Grip-period 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−0.017 [−0.031, −0.004]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−1.7% [−3.1, −0.4]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 ± 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4,209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Each row is a separate model. Estimates are slopes on log boundary separation per within-person SD of the predictor, with the percentage change in a. ΔELPD ± SE is relative to a baseline model without the pupil predictor, fit to the same trials. Trial counts differ because each predictor requires its own valid window.</w:t>
            </w:r>
          </w:p>
          <w:bookmarkEnd w:id="44"/>
        </w:tc>
      </w:tr>
    </w:tbl>
    <w:bookmarkEnd w:id="45"/>
    <w:bookmarkStart w:id="46" w:name="model-adequacy"/>
    <w:p>
      <w:pPr>
        <w:pStyle w:val="Heading2"/>
      </w:pPr>
      <w:r>
        <w:t xml:space="preserve">3.4 Model adequacy</w:t>
      </w:r>
    </w:p>
    <w:p>
      <w:pPr>
        <w:pStyle w:val="FirstParagraph"/>
      </w:pPr>
      <w:r>
        <w:t xml:space="preserve">M4 reproduced the observed choice proportions in 10 of 12 condition cells (</w:t>
      </w:r>
      <w:hyperlink w:anchor="supptbl-ppc-choice">
        <w:r>
          <w:rPr>
            <w:rStyle w:val="Hyperlink"/>
          </w:rPr>
          <w:t xml:space="preserve">Table S6</w:t>
        </w:r>
      </w:hyperlink>
      <w:r>
        <w:t xml:space="preserve">). It fit the RT distributions less well. 27.5% of observed RT quantiles fell inside the 95% predictive intervals, and observed median RTs were on average 175 ms slower than predicted (</w:t>
      </w:r>
      <w:hyperlink w:anchor="suppfig-ppc">
        <w:r>
          <w:rPr>
            <w:rStyle w:val="Hyperlink"/>
          </w:rPr>
          <w:t xml:space="preserve">Figure S2</w:t>
        </w:r>
      </w:hyperlink>
      <w:r>
        <w:t xml:space="preserve">). The misfit was concentrated in minority responses (</w:t>
      </w:r>
      <w:r>
        <w:t xml:space="preserve">“different”</w:t>
      </w:r>
      <w:r>
        <w:t xml:space="preserve"> </w:t>
      </w:r>
      <w:r>
        <w:t xml:space="preserve">on Standard trials,</w:t>
      </w:r>
      <w:r>
        <w:t xml:space="preserve"> </w:t>
      </w:r>
      <w:r>
        <w:t xml:space="preserve">“same”</w:t>
      </w:r>
      <w:r>
        <w:t xml:space="preserve"> </w:t>
      </w:r>
      <w:r>
        <w:t xml:space="preserve">on Easy trials and</w:t>
      </w:r>
      <w:r>
        <w:t xml:space="preserve"> </w:t>
      </w:r>
      <w:r>
        <w:t xml:space="preserve">“different”</w:t>
      </w:r>
      <w:r>
        <w:t xml:space="preserve"> </w:t>
      </w:r>
      <w:r>
        <w:t xml:space="preserve">on Hard trials), which were slower than predicted. Non-decision time tracked the RT cutoff: 0.483 s, 0.527 s and 0.572 s at cutoffs of 0.15 s, 0.20 s and 0.25 s.</w:t>
      </w:r>
    </w:p>
    <w:bookmarkEnd w:id="46"/>
    <w:bookmarkEnd w:id="47"/>
    <w:bookmarkStart w:id="49" w:name="discussion"/>
    <w:p>
      <w:pPr>
        <w:pStyle w:val="Heading1"/>
      </w:pPr>
      <w:r>
        <w:t xml:space="preserve">4 Discussion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4 Discussion]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crit, qual, bs, P3_bs, delta_elpd_P3_vs_P0, tepr_rt_r, grip_high_low_ADT, grip_high_low_VDT.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48" w:name="limitations-and-future-directions"/>
    <w:p>
      <w:pPr>
        <w:pStyle w:val="Heading2"/>
      </w:pPr>
      <w:r>
        <w:t xml:space="preserve">4.1 Limitations and future directions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4.1 Limitations and future directions]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ppc_rt_inside_pct_M4, ppc_rt_median_bias_ms_M4, n_pupil_final_subjects, n_final, n_pupil_final_trials.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48"/>
    <w:bookmarkEnd w:id="49"/>
    <w:bookmarkStart w:id="53" w:name="references"/>
    <w:p>
      <w:pPr>
        <w:pStyle w:val="Heading1"/>
      </w:pPr>
      <w:r>
        <w:t xml:space="preserve">References</w:t>
      </w:r>
    </w:p>
    <w:bookmarkStart w:id="52" w:name="refs"/>
    <w:bookmarkStart w:id="51" w:name="ref-ratcliff2008diffusion"/>
    <w:p>
      <w:pPr>
        <w:pStyle w:val="Bibliography"/>
      </w:pPr>
      <w:r>
        <w:t xml:space="preserve">Ratcliff, R., &amp; McKoon, G. (2008). The diffusion decision model: Theory and data for two-choice decision tasks.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(4), 873–922.</w:t>
      </w:r>
      <w:r>
        <w:t xml:space="preserve"> </w:t>
      </w:r>
      <w:hyperlink r:id="rId50">
        <w:r>
          <w:rPr>
            <w:rStyle w:val="Hyperlink"/>
          </w:rPr>
          <w:t xml:space="preserve">https://doi.org/10.1162/neco.2008.12-06-420</w:t>
        </w:r>
      </w:hyperlink>
    </w:p>
    <w:bookmarkEnd w:id="51"/>
    <w:bookmarkEnd w:id="52"/>
    <w:bookmarkEnd w:id="53"/>
    <w:bookmarkStart w:id="88" w:name="supplementary-materials"/>
    <w:p>
      <w:pPr>
        <w:pStyle w:val="Heading1"/>
      </w:pPr>
      <w:r>
        <w:t xml:space="preserve">Supplementary Materials</w:t>
      </w:r>
    </w:p>
    <w:bookmarkStart w:id="59" w:name="s1-participant-and-trial-flow"/>
    <w:p>
      <w:pPr>
        <w:pStyle w:val="Heading2"/>
      </w:pPr>
      <w:r>
        <w:t xml:space="preserve">S1 Participant and trial flow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S1 Participant and trial flow]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n_enrolled, n_excluded, n_final, n_trials_primary, n_pupil_matched_trials, n_pupil_final_trials, n_pupil_final_subjects.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flow">
              <w:r>
                <w:rPr>
                  <w:rStyle w:val="Hyperlink"/>
                </w:rPr>
                <w:t xml:space="preserve">Figure S1</w:t>
              </w:r>
            </w:hyperlink>
            <w:r>
              <w:t xml:space="preserve">,</w:t>
            </w:r>
            <w:r>
              <w:t xml:space="preserve"> </w:t>
            </w:r>
            <w:hyperlink w:anchor="supptbl-trial-counts">
              <w:r>
                <w:rPr>
                  <w:rStyle w:val="Hyperlink"/>
                </w:rPr>
                <w:t xml:space="preserve">Table S1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suppfig-flow"/>
          <w:p>
            <w:pPr>
              <w:jc w:val="center"/>
            </w:pPr>
            <w:r>
              <w:drawing>
                <wp:inline>
                  <wp:extent cx="5334000" cy="657446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participant_flow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74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S1: [CAPTION TO BE SUPPLIED]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supptbl-trial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 per subject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</w:tr>
          </w:tbl>
          <w:bookmarkEnd w:id="58"/>
          <w:p/>
        </w:tc>
      </w:tr>
    </w:tbl>
    <w:bookmarkEnd w:id="59"/>
    <w:bookmarkStart w:id="64" w:name="s2-model-comparison-and-convergence"/>
    <w:p>
      <w:pPr>
        <w:pStyle w:val="Heading2"/>
      </w:pPr>
      <w:r>
        <w:t xml:space="preserve">S2 Model comparison and convergence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S2 Model comparison and convergence]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delta_elpd_M0_vs_M1, se_delta_elpd_M0_vs_M1, delta_elpd_M3_vs_M4, se_delta_elpd_M3_vs_M4, delta_elpd_M4b_vs_M4, se_delta_elpd_M4b_vs_M4, max_rhat_M4, min_bulk_ess_M4, min_tail_ess_M4, n_chains, n_iter, n_warmup.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model-comparison">
              <w:r>
                <w:rPr>
                  <w:rStyle w:val="Hyperlink"/>
                </w:rPr>
                <w:t xml:space="preserve">Table S2</w:t>
              </w:r>
            </w:hyperlink>
            <w:r>
              <w:t xml:space="preserve">,</w:t>
            </w:r>
            <w:r>
              <w:t xml:space="preserve"> </w:t>
            </w:r>
            <w:hyperlink w:anchor="supptbl-convergence">
              <w:r>
                <w:rPr>
                  <w:rStyle w:val="Hyperlink"/>
                </w:rPr>
                <w:t xml:space="preserve">Table S3</w:t>
              </w:r>
            </w:hyperlink>
            <w:r>
              <w:t xml:space="preserve">,</w:t>
            </w:r>
            <w:r>
              <w:t xml:space="preserve"> </w:t>
            </w:r>
            <w:hyperlink w:anchor="supptbl-fixef-m4">
              <w:r>
                <w:rPr>
                  <w:rStyle w:val="Hyperlink"/>
                </w:rPr>
                <w:t xml:space="preserve">Table S4</w:t>
              </w:r>
            </w:hyperlink>
            <w:r>
              <w:t xml:space="preserve">,</w:t>
            </w:r>
            <w:r>
              <w:t xml:space="preserve"> </w:t>
            </w:r>
            <w:hyperlink w:anchor="supptbl-condition-cells">
              <w:r>
                <w:rPr>
                  <w:rStyle w:val="Hyperlink"/>
                </w:rPr>
                <w:t xml:space="preserve">Table S5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supptbl-mode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S2: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52"/>
              <w:gridCol w:w="828"/>
              <w:gridCol w:w="552"/>
              <w:gridCol w:w="1565"/>
              <w:gridCol w:w="1105"/>
              <w:gridCol w:w="736"/>
              <w:gridCol w:w="920"/>
              <w:gridCol w:w="1197"/>
              <w:gridCol w:w="4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ELPD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Delta ELPD vs 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 of delta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 &gt; 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R-hat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bulk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−17820.6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−162.1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−17816.6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−158.1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−17815.9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−157.4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−17816.8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−158.3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−17658.5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−17660.1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M0 NA M1 NA M2 NA M3 NA M4 NA M4b NA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supptbl-converge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S3: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29"/>
              <w:gridCol w:w="2692"/>
              <w:gridCol w:w="792"/>
              <w:gridCol w:w="1029"/>
              <w:gridCol w:w="1029"/>
              <w:gridCol w:w="950"/>
              <w:gridCol w:w="3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R-hat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bulk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tail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Divergences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primary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1,958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(random effort slopes)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2,236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(RT cutoff)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(RT cutoff)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(sub-chance excluded)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 (baseline)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P0_base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3,652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2,231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P0_pre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P0_grip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2,264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 (main pupil result)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2,476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P3_rt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3,223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2,943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A model passes when max R-hat &lt; 1.01, bulk ESS and tail ESS are at least 400, and there are 0 divergences. Every displayed model passes.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supptbl-fixef-m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S4: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51"/>
              <w:gridCol w:w="750"/>
              <w:gridCol w:w="1417"/>
              <w:gridCol w:w="1333"/>
              <w:gridCol w:w="666"/>
              <w:gridCol w:w="5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R-hat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intercept (identity)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−1.043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[−1.156, −0.933]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 separation intercept (log)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[0.793, 0.895]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Non-decision time intercept (log)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−0.641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[−0.645, −0.637]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Starting point intercept (logit)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[0.143, 0.273]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(drift, 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[0.396, 0.543]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(drift, 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[1.750, 1.906]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 (drift, 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[−0.370, −0.214]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 (identity)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[−0.103, −0.003]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 (identity)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[−0.052,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.730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× visual (drift, 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[0.257, 0.426]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× visual (drift, identity)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[0.676, 0.866]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(boundary separation, log)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[−0.118, −0.078]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(boundary separation, log)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[−0.150, −0.106]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 (boundary separation, log)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[−0.018, 0.011]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effort (boundary separation, log)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 (starting point, logit)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[−0.099, −0.010]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effort (starting point, logit)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[−0.048, 0.037]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</w:tbl>
          <w:bookmarkEnd w:id="6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supptbl-condition-cel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S5: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3"/>
              <w:gridCol w:w="821"/>
              <w:gridCol w:w="1793"/>
              <w:gridCol w:w="1793"/>
              <w:gridCol w:w="1569"/>
              <w:gridCol w:w="1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Drift,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Drift, 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Boundary,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Boundary, 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−1.043 [−1.156, −0.933]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−1.084 [−1.197, −0.976]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2.326 [2.210, 2.448]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2.373 [2.254, 2.497]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0.786 [0.682, 0.886]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0.720 [0.616, 0.817]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2.046 [1.946, 2.150]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2.087 [1.985, 2.192]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−0.575 [−0.675, −0.476]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−0.640 [−0.741, −0.542]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2.110 [2.007, 2.216]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2.152 [2.047, 2.258]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−1.336 [−1.452, −1.221]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−1.376 [−1.491, −1.265]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2.318 [2.202, 2.438]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2.365 [2.246, 2.489]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1.263 [1.160, 1.368]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1.197 [1.094, 1.301]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2.040 [1.939, 2.143]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2.080 [1.978, 2.185]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−0.525 [−0.627, −0.425]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−0.590 [−0.693, −0.492]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2.103 [2.001, 2.208]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2.144 [2.040, 2.251]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Starting point varies by task and effort only: ADT low 0.552 [0.536, 0.568]; ADT high 0.551 [0.535, 0.566]; VDT low 0.538 [0.522, 0.555]; VDT high 0.537 [0.521, 0.553]. Non-decision time is 0.527 [0.525, 0.529] in every cell. These note values are the condition-cell summaries, not the link-scale coefficients.</w:t>
            </w:r>
          </w:p>
          <w:bookmarkEnd w:id="63"/>
        </w:tc>
      </w:tr>
    </w:tbl>
    <w:bookmarkEnd w:id="64"/>
    <w:bookmarkStart w:id="70" w:name="s3-posterior-predictive-checks"/>
    <w:p>
      <w:pPr>
        <w:pStyle w:val="Heading2"/>
      </w:pPr>
      <w:r>
        <w:t xml:space="preserve">S3 Posterior predictive checks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S3 Posterior predictive checks]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ppc_choice_inside_M4, ppc_rt_inside_pct_M4, ppc_rt_median_bias_ms_M4.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ppc">
              <w:r>
                <w:rPr>
                  <w:rStyle w:val="Hyperlink"/>
                </w:rPr>
                <w:t xml:space="preserve">Figure S2</w:t>
              </w:r>
            </w:hyperlink>
            <w:r>
              <w:t xml:space="preserve">,</w:t>
            </w:r>
            <w:r>
              <w:t xml:space="preserve"> </w:t>
            </w:r>
            <w:hyperlink w:anchor="supptbl-ppc-choice">
              <w:r>
                <w:rPr>
                  <w:rStyle w:val="Hyperlink"/>
                </w:rPr>
                <w:t xml:space="preserve">Table S6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suppfig-ppc"/>
          <w:p>
            <w:pPr>
              <w:jc w:val="center"/>
            </w:pPr>
            <w:r>
              <w:drawing>
                <wp:inline>
                  <wp:extent cx="5334000" cy="44611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ppc_M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S2: [CAPTION TO BE SUPPLIED]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supptbl-ppc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S6: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Observed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Predicted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PI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Inside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[0.269, 0.317]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[0.808, 0.851]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[0.088, 0.138]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[0.825, 0.864]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[0.235, 0.288]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[0.101, 0.154]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[0.249, 0.302]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[0.281, 0.332]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[0.907, 0.935]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[0.047, 0.084]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[0.914, 0.941]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[0.056, 0.099]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69"/>
          <w:p/>
        </w:tc>
      </w:tr>
    </w:tbl>
    <w:bookmarkEnd w:id="70"/>
    <w:bookmarkStart w:id="75" w:name="Xb079f58f752d9008b389a56f5eaa2c20e631138"/>
    <w:p>
      <w:pPr>
        <w:pStyle w:val="Heading2"/>
      </w:pPr>
      <w:r>
        <w:t xml:space="preserve">S4 Robustness analyses and observed accuracy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S4 Robustness analyses and observed accuracy]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crit_M4r, qual_M4r, bs_M4r, crit_thr015, qual_thr015, bs_thr015, crit_thr025, qual_thr025, bs_thr025, crit_subchance, qual_subchance, bs_subchance, sd_effort_M4r, sd_bs_effort_M4r, m4b_effort_x_task, m4b_quality_x_task, crit_ADT_M4b, crit_VDT_M4b, n_trials_thr015, n_trials_thr025, n_subchance_excluded, n_subchance_remaining, n_trials_cutoff_excluded, n_trials_collected, pass_M4_thr015, acc_high_low_Standard, acc_high_low_Hard, acc_high_low_Easy.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robustness">
              <w:r>
                <w:rPr>
                  <w:rStyle w:val="Hyperlink"/>
                </w:rPr>
                <w:t xml:space="preserve">Table S7</w:t>
              </w:r>
            </w:hyperlink>
            <w:r>
              <w:t xml:space="preserve">,</w:t>
            </w:r>
            <w:r>
              <w:t xml:space="preserve"> </w:t>
            </w:r>
            <w:hyperlink w:anchor="supptbl-random-slopes">
              <w:r>
                <w:rPr>
                  <w:rStyle w:val="Hyperlink"/>
                </w:rPr>
                <w:t xml:space="preserve">Table S8</w:t>
              </w:r>
            </w:hyperlink>
            <w:r>
              <w:t xml:space="preserve">,</w:t>
            </w:r>
            <w:r>
              <w:t xml:space="preserve"> </w:t>
            </w:r>
            <w:hyperlink w:anchor="supptbl-m4b">
              <w:r>
                <w:rPr>
                  <w:rStyle w:val="Hyperlink"/>
                </w:rPr>
                <w:t xml:space="preserve">Table S9</w:t>
              </w:r>
            </w:hyperlink>
            <w:r>
              <w:t xml:space="preserve">,</w:t>
            </w:r>
            <w:r>
              <w:t xml:space="preserve"> </w:t>
            </w:r>
            <w:hyperlink w:anchor="supptbl-acc-contrasts">
              <w:r>
                <w:rPr>
                  <w:rStyle w:val="Hyperlink"/>
                </w:rPr>
                <w:t xml:space="preserve">Table S10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supptbl-robustn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S7: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95"/>
              <w:gridCol w:w="2190"/>
              <w:gridCol w:w="758"/>
              <w:gridCol w:w="1432"/>
              <w:gridCol w:w="674"/>
              <w:gridCol w:w="589"/>
              <w:gridCol w:w="758"/>
              <w:gridCol w:w="4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[−0.103, −0.003]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[−0.052,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[−0.048, 0.037]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[−0.111, −0.021]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[−0.119, 0.038]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[−0.104, −0.004]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[−0.054,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[−0.049, 0.038]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[−0.112, −0.019]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[−0.121, 0.039]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[−0.107, −0.011]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[−0.054, 0.025]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[−0.002, 0.026]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[−0.034, 0.053]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[−0.119, −0.030]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[−0.121,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[−0.111, −0.010]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[−0.055,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[0.005,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[−0.034, 0.051]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[−0.120, −0.029]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[−0.128,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[−0.106, 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[−0.057,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[0.001, 0.031]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[−0.053, 0.041]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[−0.115, −0.015]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[−0.124, 0.048]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7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supptbl-random-slo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S8: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385"/>
              <w:gridCol w:w="950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SD, 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[0.001, 0.062]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SD, 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[0.000, 0.023]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Correlation, drift intercept and 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[−.84, .69]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Correlation, boundary intercept and boundary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[−.78, .80]</w:t>
                  </w:r>
                </w:p>
              </w:tc>
            </w:tr>
          </w:tbl>
          <w:bookmarkEnd w:id="7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supptbl-m4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S9: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09"/>
              <w:gridCol w:w="937"/>
              <w:gridCol w:w="1771"/>
              <w:gridCol w:w="1667"/>
              <w:gridCol w:w="8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[−0.139, −0.017]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 × 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[−0.024, 0.131]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.912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 × 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[−0.118, 0.036]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criterion, auditory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[−0.139, −0.017]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criterion, visual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[−0.087, 0.040]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.767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[−0.047, 0.062]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.597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52%</w:t>
                  </w:r>
                </w:p>
              </w:tc>
            </w:tr>
          </w:tbl>
          <w:bookmarkEnd w:id="7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supptbl-acc-contra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S10: Observed accuracy, high minus low effort, at each stimulus type. Estimates are from a binomial GLMM with a random intercept for participant (see S7 in the dissertation version); percentage points are averaged over task.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75"/>
              <w:gridCol w:w="1564"/>
              <w:gridCol w:w="1466"/>
              <w:gridCol w:w="1075"/>
              <w:gridCol w:w="1271"/>
              <w:gridCol w:w="586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 − low (pp)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CI (pp)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CI (OR)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[−0.14, 3.52]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[0.99, 1.53]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−4.51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[−6.64, −2.38]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[0.72, 0.89]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−4.19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[−2.36, 0.56]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[0.80, 1.06]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.226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High minus low, averaged over task with equal weights. Percentage points are 100 times the probability difference. The odds ratio, z, and p are the logit-scale contrast. df is asymptotic.</w:t>
            </w:r>
          </w:p>
          <w:bookmarkEnd w:id="74"/>
        </w:tc>
      </w:tr>
    </w:tbl>
    <w:bookmarkEnd w:id="75"/>
    <w:bookmarkStart w:id="82" w:name="s5-pupil-linked-models"/>
    <w:p>
      <w:pPr>
        <w:pStyle w:val="Heading2"/>
      </w:pPr>
      <w:r>
        <w:t xml:space="preserve">S5 Pupil-linked models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S5 Pupil-linked models]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P3_bs, P3_rt_bs, P5_bs, P6_bs, P7_bs, P8_bs, P1_bias, P2_drift_tepr, P2_drift_tepr_x_stim, P4_bias_base, P0_crit, P0_qual, P0_bs, P0_bias, delta_elpd_P3_vs_P0, delta_elpd_P3rt_vs_P0rt, delta_elpd_P5_vs_P0base, delta_elpd_P6_vs_P0lag, delta_elpd_P7_vs_P0pre, delta_elpd_P8_vs_P0grip, delta_elpd_P1_vs_P0, delta_elpd_P2_vs_P0, delta_elpd_P4_vs_P0base, tepr_rt_r, grip_high_low_ADT, grip_high_low_VDT, tepr_high_low_ADT_B1, tepr_high_low_VDT_B1, tepr_high_low_ADT_B0, tepr_high_low_VDT_B0, n_pupil_matched_trials, n_pupil_matched_subjects, n_pupil_tepr_present_trials, n_pupil_tepr_present_subjects, n_pupil_b1_quality_trials, n_pupil_b1_quality_subjects, n_pupil_window_quality_trials, n_pupil_window_quality_subjects, n_pupil_final_trials, n_pupil_final_subjects, n_pupil_base_trials, n_pupil_rt80_trials, n_pupil_lag_trials, n_pupil_pre_trials, n_pupil_grip_trials, n_pupil_models_k_gt_0.7, max_k_pupil_models.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pupil-models">
              <w:r>
                <w:rPr>
                  <w:rStyle w:val="Hyperlink"/>
                </w:rPr>
                <w:t xml:space="preserve">Table S11</w:t>
              </w:r>
            </w:hyperlink>
            <w:r>
              <w:t xml:space="preserve">,</w:t>
            </w:r>
            <w:r>
              <w:t xml:space="preserve"> </w:t>
            </w:r>
            <w:hyperlink w:anchor="supptbl-pupil-descriptives">
              <w:r>
                <w:rPr>
                  <w:rStyle w:val="Hyperlink"/>
                </w:rPr>
                <w:t xml:space="preserve">Table S12</w:t>
              </w:r>
            </w:hyperlink>
            <w:r>
              <w:t xml:space="preserve">,</w:t>
            </w:r>
            <w:r>
              <w:t xml:space="preserve"> </w:t>
            </w:r>
            <w:hyperlink w:anchor="suppfig-tepr">
              <w:r>
                <w:rPr>
                  <w:rStyle w:val="Hyperlink"/>
                </w:rPr>
                <w:t xml:space="preserve">Figure S3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supptbl-pupil-mode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S11: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40"/>
              <w:gridCol w:w="312"/>
              <w:gridCol w:w="2188"/>
              <w:gridCol w:w="468"/>
              <w:gridCol w:w="885"/>
              <w:gridCol w:w="885"/>
              <w:gridCol w:w="573"/>
              <w:gridCol w:w="36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in 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Delta ELPD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Baseline (no pupil slope)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 ± 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on 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[−0.023, 0.041]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 ± 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on 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[0.010, 0.088]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 ± 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× stimulus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[−0.128, −0.050]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on 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[0.063, 0.088]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+7.9% [6.5, 9.2]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67.9 ± 9.1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Pre-squeeze baseline on 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[−0.043, 0.023]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−0.6 ± 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4,488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Effort effects in the pupil subsample (P0)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[−0.142, 0.045]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Effort effects in the pupil subsample (P0)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[−0.050, 0.101]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Effort effects in the pupil subsample (P0)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[0.003, 0.056]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+3.0% [0.3, 5.8]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Effort effects in the pupil subsample (P0)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[−0.101, 0.064]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4,935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P1, P2, and P3 are compared with P0. P4 and P5 are compared with P0_base. P3_rt is compared with P0_rt. P6 is compared with P0_lag, P7 with P0_pre, and P8 with P0_grip. P5, P3_rt, P6, P7, and P8 are in the ordering table rather than this slope table.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supptbl-pupil-descripti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S12: [CAPTION TO BE SUPPLIED: Effort effects on pupil measures]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53"/>
              <w:gridCol w:w="435"/>
              <w:gridCol w:w="261"/>
              <w:gridCol w:w="1305"/>
              <w:gridCol w:w="1305"/>
              <w:gridCol w:w="957"/>
              <w:gridCol w:w="1218"/>
              <w:gridCol w:w="78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 M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 M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 −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 (df)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TEPR (B1 baseline)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−0.207 (1.724)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 (1.804)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−0.723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t(30) = −2.35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TEPR (B1 baseline)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0.810 (2.123)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1.241 (2.185)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−0.432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t(29) = −2.40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TEPR (B0 baseline)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1.520 (4.064)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0.517 (4.495)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t(30) = 2.45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TEPR (B0 baseline)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1.075 (2.111)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1.047 (2.466)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t(29) = 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Grip-period 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 (1.128)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−0.352 (0.724)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t(27) = 3.37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Grip-period 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−0.090 (0.757)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−0.273 (0.780)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t(28) = 2.08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.047</w:t>
                  </w:r>
                </w:p>
              </w:tc>
            </w:tr>
          </w:tbl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n is the number of participants with both effort levels for that task. The paired test drops anyone missing one level. The final pupil sample is 43 participants.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suppfig-tepr"/>
          <w:p>
            <w:pPr>
              <w:jc w:val="center"/>
            </w:pPr>
            <w:r>
              <w:drawing>
                <wp:inline>
                  <wp:extent cx="5334000" cy="487865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tepr_timecours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7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S3: [CAPTION TO BE SUPPLIED]</w:t>
            </w:r>
          </w:p>
          <w:bookmarkEnd w:id="81"/>
        </w:tc>
      </w:tr>
    </w:tbl>
    <w:bookmarkEnd w:id="82"/>
    <w:bookmarkStart w:id="87" w:name="s6-model-specification-details"/>
    <w:p>
      <w:pPr>
        <w:pStyle w:val="Heading2"/>
      </w:pPr>
      <w:r>
        <w:t xml:space="preserve">S6 Model specification details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S6 Model specification details]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t0_M4, t0_thr015, t0_thr025, rope_v, rope_a, rope_z, n_chains, n_iter, n_warmup, adapt_delta, max_treedepth, seed.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ndt">
              <w:r>
                <w:rPr>
                  <w:rStyle w:val="Hyperlink"/>
                </w:rPr>
                <w:t xml:space="preserve">Figure S4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suppfig-ndt"/>
          <w:p>
            <w:pPr>
              <w:jc w:val="center"/>
            </w:pPr>
            <w:r>
              <w:drawing>
                <wp:inline>
                  <wp:extent cx="5334000" cy="550606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ndt_prior_posterior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06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S4: [CAPTION TO BE SUPPLIED]</w:t>
            </w:r>
          </w:p>
          <w:bookmarkEnd w:id="86"/>
        </w:tc>
      </w:tr>
    </w:tbl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83" Target="media/rId83.png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image" Id="rId78" Target="media/rId78.png" /><Relationship Type="http://schemas.openxmlformats.org/officeDocument/2006/relationships/hyperlink" Id="rId50" Target="https://doi.org/10.1162/neco.2008.12-06-4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doi.org/10.1162/neco.2008.12-06-4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 — to be supplied]</dc:title>
  <dc:creator>Mohammad Dastgheib</dc:creator>
  <cp:keywords/>
  <dcterms:created xsi:type="dcterms:W3CDTF">2026-10-19T18:15:03Z</dcterms:created>
  <dcterms:modified xsi:type="dcterms:W3CDTF">2026-10-19T18:15:03Z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apa-7th-edition.csl</vt:lpwstr>
  </property>
  <property fmtid="{D5CDD505-2E9C-101B-9397-08002B2CF9AE}" pid="9" name="dissertation">
    <vt:lpwstr>False</vt:lpwstr>
  </property>
  <property fmtid="{D5CDD505-2E9C-101B-9397-08002B2CF9AE}" pid="10" name="engines">
    <vt:lpwstr/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params">
    <vt:lpwstr/>
  </property>
  <property fmtid="{D5CDD505-2E9C-101B-9397-08002B2CF9AE}" pid="17" name="toc-title">
    <vt:lpwstr>Table of contents</vt:lpwstr>
  </property>
</Properties>
</file>