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62.png" ContentType="image/png"/>
  <Override PartName="/word/media/rId186.png" ContentType="image/png"/>
  <Override PartName="/word/media/rId190.png" ContentType="image/png"/>
  <Override PartName="/word/media/rId101.png" ContentType="image/png"/>
  <Override PartName="/word/media/rId87.png" ContentType="image/png"/>
  <Override PartName="/word/media/rId91.png" ContentType="image/png"/>
  <Override PartName="/word/media/rId10.png" ContentType="image/png"/>
  <Override PartName="/word/media/rId31.png" ContentType="image/png"/>
  <Override PartName="/word/media/rId35.png" ContentType="image/png"/>
  <Override PartName="/word/media/rId200.png" ContentType="image/png"/>
  <Override PartName="/word/media/rId41.png" ContentType="image/png"/>
  <Override PartName="/word/media/rId65.png" ContentType="image/png"/>
  <Override PartName="/word/media/rId75.png" ContentType="image/png"/>
  <Override PartName="/word/media/rId96.png" ContentType="image/png"/>
  <Override PartName="/word/media/rId112.png" ContentType="image/png"/>
  <Override PartName="/word/media/rId117.png" ContentType="image/png"/>
  <Override PartName="/word/media/rId121.png" ContentType="image/png"/>
  <Override PartName="/word/media/rId137.png" ContentType="image/png"/>
  <Override PartName="/word/media/rId141.png" ContentType="image/png"/>
  <Override PartName="/word/media/rId151.png" ContentType="image/png"/>
  <Override PartName="/word/media/rId172.png" ContentType="image/png"/>
  <Override PartName="/word/media/rId17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Reduces Evidence Accumulation Quality in Older Adults: A Hierarchical Diffusion Decision Model Analysis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9" w:name="abstract"/>
    <w:p>
      <w:pPr>
        <w:pStyle w:val="Heading1"/>
      </w:pPr>
      <w:r>
        <w:t xml:space="preserve">Abstract</w:t>
      </w:r>
    </w:p>
    <w:p>
      <w:pPr>
        <w:pStyle w:val="FirstParagraph"/>
      </w:pPr>
      <w:r>
        <w:t xml:space="preserve">Sixty-seven older adults completed auditory and visual same–different judgments under low (5% MVC) or high (40% MVC) isometric grip while pupil diameter was recorded. A hierarchical Wiener DDM was fit with probe-onset-locked RT. Difficulty entered drift (</w:t>
      </w:r>
      <m:oMath>
        <m:r>
          <m:t>v</m:t>
        </m:r>
      </m:oMath>
      <w:r>
        <w:t xml:space="preserve">) and boundary separation (</w:t>
      </w:r>
      <m:oMath>
        <m:r>
          <m:t>a</m:t>
        </m:r>
      </m:oMath>
      <w:r>
        <w:t xml:space="preserve">); task and effort entered starting-point bias (</w:t>
      </w:r>
      <m:oMath>
        <m:r>
          <m:t>z</m:t>
        </m:r>
      </m:oMath>
      <w:r>
        <w:t xml:space="preserve">), held constant across difficulty because trials were randomized.</w:t>
      </w:r>
    </w:p>
    <w:p>
      <w:pPr>
        <w:pStyle w:val="BodyText"/>
      </w:pPr>
      <w:r>
        <w:t xml:space="preserve">High effort lowered drift relative to low (</w:t>
      </w:r>
      <m:oMath>
        <m:r>
          <m:t>β</m:t>
        </m:r>
        <m:r>
          <m:rPr>
            <m:sty m:val="p"/>
          </m:rPr>
          <m:t>=</m:t>
        </m:r>
        <m:r>
          <m:rPr>
            <m:sty m:val="p"/>
          </m:rPr>
          <m:t>−</m:t>
        </m:r>
        <m:r>
          <m:t>0.06</m:t>
        </m:r>
      </m:oMath>
      <w:r>
        <w:t xml:space="preserve">, 95% CrI</w:t>
      </w:r>
      <w:r>
        <w:t xml:space="preserve"> </w:t>
      </w:r>
      <m:oMath>
        <m:r>
          <m:rPr>
            <m:sty m:val="p"/>
          </m:rPr>
          <m:t>[</m:t>
        </m:r>
        <m:r>
          <m:rPr>
            <m:sty m:val="p"/>
          </m:rPr>
          <m:t>−</m:t>
        </m:r>
        <m:r>
          <m:t>0.10</m:t>
        </m:r>
        <m:r>
          <m:rPr>
            <m:sty m:val="p"/>
          </m:rPr>
          <m:t>,</m:t>
        </m:r>
        <m:r>
          <m:t> </m:t>
        </m:r>
        <m:r>
          <m:rPr>
            <m:sty m:val="p"/>
          </m:rPr>
          <m:t>−</m:t>
        </m:r>
        <m:r>
          <m:t>0.02</m:t>
        </m:r>
        <m:r>
          <m:rPr>
            <m:sty m:val="p"/>
          </m:rPr>
          <m:t>]</m:t>
        </m:r>
      </m:oMath>
      <w:r>
        <w:t xml:space="preserve">;</w:t>
      </w:r>
      <w:r>
        <w:t xml:space="preserve"> </w:t>
      </w:r>
      <m:oMath>
        <m:r>
          <m:t>P</m:t>
        </m:r>
        <m:r>
          <m:rPr>
            <m:sty m:val="p"/>
          </m:rPr>
          <m:t>(</m:t>
        </m:r>
        <m:r>
          <m:t>β</m:t>
        </m:r>
        <m:r>
          <m:rPr>
            <m:sty m:val="p"/>
          </m:rPr>
          <m:t>&lt;</m:t>
        </m:r>
        <m:r>
          <m:t>0</m:t>
        </m:r>
        <m:r>
          <m:rPr>
            <m:sty m:val="p"/>
          </m:rPr>
          <m:t>)</m:t>
        </m:r>
        <m:r>
          <m:rPr>
            <m:sty m:val="p"/>
          </m:rPr>
          <m:t>=</m:t>
        </m:r>
        <m:r>
          <m:t>0.997</m:t>
        </m:r>
      </m:oMath>
      <w:r>
        <w:t xml:space="preserve">; 4% ROPE mass). High effort produced a directionally positive boundary-separation contrast that was practically negligible under the project ROPE (</w:t>
      </w:r>
      <m:oMath>
        <m:r>
          <m:t>β</m:t>
        </m:r>
        <m:r>
          <m:rPr>
            <m:sty m:val="p"/>
          </m:rPr>
          <m:t>=</m:t>
        </m:r>
        <m:r>
          <m:t>0.02</m:t>
        </m:r>
      </m:oMath>
      <w:r>
        <w:t xml:space="preserve">, 95% CrI</w:t>
      </w:r>
      <w:r>
        <w:t xml:space="preserve"> </w:t>
      </w:r>
      <m:oMath>
        <m:r>
          <m:rPr>
            <m:sty m:val="p"/>
          </m:rPr>
          <m:t>[</m:t>
        </m:r>
        <m:r>
          <m:t>0.004</m:t>
        </m:r>
        <m:r>
          <m:rPr>
            <m:sty m:val="p"/>
          </m:rPr>
          <m:t>,</m:t>
        </m:r>
        <m:r>
          <m:t> </m:t>
        </m:r>
        <m:r>
          <m:t>0.029</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0.996</m:t>
        </m:r>
      </m:oMath>
      <w:r>
        <w:t xml:space="preserve">). Effort did not credibly change bias (</w:t>
      </w:r>
      <m:oMath>
        <m:r>
          <m:t>β</m:t>
        </m:r>
        <m:r>
          <m:rPr>
            <m:sty m:val="p"/>
          </m:rPr>
          <m:t>=</m:t>
        </m:r>
        <m:r>
          <m:rPr>
            <m:sty m:val="p"/>
          </m:rPr>
          <m:t>−</m:t>
        </m:r>
        <m:r>
          <m:t>0.005</m:t>
        </m:r>
      </m:oMath>
      <w:r>
        <w:t xml:space="preserve">, 95% CrI</w:t>
      </w:r>
      <w:r>
        <w:t xml:space="preserve"> </w:t>
      </w:r>
      <m:oMath>
        <m:r>
          <m:rPr>
            <m:sty m:val="p"/>
          </m:rPr>
          <m:t>[</m:t>
        </m:r>
        <m:r>
          <m:rPr>
            <m:sty m:val="p"/>
          </m:rPr>
          <m:t>−</m:t>
        </m:r>
        <m:r>
          <m:t>0.046</m:t>
        </m:r>
        <m:r>
          <m:rPr>
            <m:sty m:val="p"/>
          </m:rPr>
          <m:t>,</m:t>
        </m:r>
        <m:r>
          <m:t> </m:t>
        </m:r>
        <m:r>
          <m:t>0.036</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0.404</m:t>
        </m:r>
      </m:oMath>
      <w:r>
        <w:t xml:space="preserve">). Non-decision time (</w:t>
      </w:r>
      <m:oMath>
        <m:sSub>
          <m:e>
            <m:r>
              <m:t>t</m:t>
            </m:r>
          </m:e>
          <m:sub>
            <m:r>
              <m:t>0</m:t>
            </m:r>
          </m:sub>
        </m:sSub>
      </m:oMath>
      <w:r>
        <w:t xml:space="preserve">) was group-level only in the primary model, so effort on peripheral timing was not tested there; an exploratory log-</w:t>
      </w:r>
      <m:oMath>
        <m:sSub>
          <m:e>
            <m:r>
              <m:t>t</m:t>
            </m:r>
          </m:e>
          <m:sub>
            <m:r>
              <m:t>0</m:t>
            </m:r>
          </m:sub>
        </m:sSub>
      </m:oMath>
      <w:r>
        <w:t xml:space="preserve"> </w:t>
      </w:r>
      <w:r>
        <w:t xml:space="preserve">effort term was small and wide (</w:t>
      </w:r>
      <m:oMath>
        <m:acc>
          <m:accPr>
            <m:chr m:val="̂"/>
          </m:accPr>
          <m:e>
            <m:r>
              <m:t>β</m:t>
            </m:r>
          </m:e>
        </m:acc>
        <m:r>
          <m:rPr>
            <m:sty m:val="p"/>
          </m:rPr>
          <m:t>=</m:t>
        </m:r>
        <m:r>
          <m:t>0.02</m:t>
        </m:r>
      </m:oMath>
      <w:r>
        <w:t xml:space="preserve">, 95% CrI [−0.05, 0.09]).</w:t>
      </w:r>
    </w:p>
    <w:p>
      <w:pPr>
        <w:pStyle w:val="BodyText"/>
      </w:pPr>
      <w:r>
        <w:t xml:space="preserve">Exploratory pupil-linked models showed near-zero TEPR associations with drift and bias, no predictive gain over the behavioral baseline on the pupil subset, and no LOO advantage for Cavanagh-style models in which pupil modulated boundary separation (</w:t>
      </w:r>
      <w:hyperlink w:anchor="sec-pupil-ddm-integration">
        <w:r>
          <w:rPr>
            <w:rStyle w:val="Hyperlink"/>
          </w:rPr>
          <w:t xml:space="preserve">Section 3.3</w:t>
        </w:r>
      </w:hyperlink>
      <w:r>
        <w:t xml:space="preserve">). A pupil-by-difficulty interaction on drift did not support demand-dependent arousal effects (</w:t>
      </w:r>
      <w:hyperlink w:anchor="sec-pupil-ddm-integration">
        <w:r>
          <w:rPr>
            <w:rStyle w:val="Hyperlink"/>
          </w:rPr>
          <w:t xml:space="preserve">Section 3.3</w:t>
        </w:r>
      </w:hyperlink>
      <w:r>
        <w:t xml:space="preserve">).</w:t>
      </w:r>
    </w:p>
    <w:p>
      <w:pPr>
        <w:pStyle w:val="BodyText"/>
      </w:pPr>
      <w:r>
        <w:t xml:space="preserve">Primary contrasts held under alternative RT cutoffs and when task modality was included as a sensitivity check. Under concurrent grip, older adults mainly accumulated less evidence per unit time; caution and pre-response bias changed little.</w:t>
      </w:r>
    </w:p>
    <w:p>
      <w:r>
        <w:br w:type="page"/>
      </w:r>
    </w:p>
    <w:bookmarkEnd w:id="9"/>
    <w:bookmarkStart w:id="14" w:name="introduction"/>
    <w:p>
      <w:pPr>
        <w:pStyle w:val="Heading1"/>
      </w:pPr>
      <w:r>
        <w:t xml:space="preserve">1. Introduction</w:t>
      </w:r>
    </w:p>
    <w:p>
      <w:pPr>
        <w:pStyle w:val="FirstParagraph"/>
      </w:pPr>
      <w:r>
        <w:t xml:space="preserve">Older adults show pervasive response-time slowing across nearly all task domains, historically attributed to a generalized decline in processing speed</w:t>
      </w:r>
      <w:r>
        <w:t xml:space="preserve"> </w:t>
      </w:r>
      <w:r>
        <w:t xml:space="preserve">(Birren, 1965; Salthouse, 1985; Salthouse, 1996)</w:t>
      </w:r>
      <w:r>
        <w:t xml:space="preserve">. Much of this slowing is also strategic: older adults favor accuracy over speed, adopting a more cautious response mode to offset declining neural efficiency</w:t>
      </w:r>
      <w:r>
        <w:t xml:space="preserve"> </w:t>
      </w:r>
      <w:r>
        <w:t xml:space="preserve">(Rabbitt, 1979; Ratcliff et al., 2004; Starns &amp; Ratcliff, 2010)</w:t>
      </w:r>
      <w:r>
        <w:t xml:space="preserve">. These patterns are well documented in sedentary laboratory settings, yet everyday cognition often unfolds while people are simultaneously exerting physical effort.</w:t>
      </w:r>
    </w:p>
    <w:p>
      <w:pPr>
        <w:pStyle w:val="BodyText"/>
      </w:pPr>
      <w:r>
        <w:t xml:space="preserve">For older adults the cost of such exertion is disproportionately high, given age-related declines in motor efficiency and reduced neural reserve</w:t>
      </w:r>
      <w:r>
        <w:t xml:space="preserve"> </w:t>
      </w:r>
      <w:r>
        <w:t xml:space="preserve">(Verhaeghen et al., 2003)</w:t>
      </w:r>
      <w:r>
        <w:t xml:space="preserve">. Resource-competition accounts hold that maintaining a grip or posture draws on the same limited pool of resources needed for the decision itself</w:t>
      </w:r>
      <w:r>
        <w:t xml:space="preserve"> </w:t>
      </w:r>
      <w:r>
        <w:t xml:space="preserve">(Wickens, 2008)</w:t>
      </w:r>
      <w:r>
        <w:t xml:space="preserve">. Physical load is known to impair performance</w:t>
      </w:r>
      <w:r>
        <w:t xml:space="preserve"> </w:t>
      </w:r>
      <w:r>
        <w:t xml:space="preserve">(Verhaeghen et al., 2003; Woollacott &amp; Shumway-Cook, 2002)</w:t>
      </w:r>
      <w:r>
        <w:t xml:space="preserve">, but it remains unclear whether it merely slows peripheral execution or degrades the quality of information processing. We address this question with a computational decomposition of decision-making under concurrent effort.</w:t>
      </w:r>
    </w:p>
    <w:p>
      <w:pPr>
        <w:pStyle w:val="BodyText"/>
      </w:pPr>
      <w:r>
        <w:t xml:space="preserve">The drift-diffusion model (DDM) offers such a decomposition</w:t>
      </w:r>
      <w:r>
        <w:t xml:space="preserve"> </w:t>
      </w:r>
      <w:r>
        <w:t xml:space="preserve">(Ratcliff, 1978)</w:t>
      </w:r>
      <w:r>
        <w:t xml:space="preserve">. It treats each decision as the gradual accumulation of noisy evidence over time, governed by a deterministic mean drift rate (</w:t>
      </w:r>
      <m:oMath>
        <m:r>
          <m:t>v</m:t>
        </m:r>
      </m:oMath>
      <w:r>
        <w:t xml:space="preserve">)—the quality of the sensory evidence—and a stochastic noise term (</w:t>
      </w:r>
      <m:oMath>
        <m:r>
          <m:t>σ</m:t>
        </m:r>
      </m:oMath>
      <w:r>
        <w:t xml:space="preserve">) reflecting moment-to-moment fluctuations in the nervous system. Evidence accumulates until it reaches one of two response boundaries (</w:t>
      </w:r>
      <w:hyperlink w:anchor="fig-ddm-process">
        <w:r>
          <w:rPr>
            <w:rStyle w:val="Hyperlink"/>
          </w:rPr>
          <w:t xml:space="preserve">Figure 1</w:t>
        </w:r>
      </w:hyperlink>
      <w:r>
        <w:t xml:space="preserve">, Panel B).</w:t>
      </w:r>
    </w:p>
    <w:tbl>
      <w:tblPr>
        <w:tblStyle w:val="Table"/>
        <w:tblW w:type="pct" w:w="5000"/>
        <w:tblLayout w:type="fixed"/>
        <w:tblLook w:firstRow="0" w:lastRow="0" w:firstColumn="0" w:lastColumn="0" w:noHBand="0" w:noVBand="0" w:val="0000"/>
      </w:tblPr>
      <w:tblGrid>
        <w:gridCol w:w="7920"/>
      </w:tblGrid>
      <w:tr>
        <w:tc>
          <w:tcPr/>
          <w:bookmarkStart w:id="13" w:name="fig-ddm-process"/>
          <w:p>
            <w:pPr>
              <w:pStyle w:val="Compact"/>
              <w:jc w:val="center"/>
            </w:pPr>
            <w:r>
              <w:drawing>
                <wp:inline>
                  <wp:extent cx="5334000" cy="4387685"/>
                  <wp:effectExtent b="0" l="0" r="0" t="0"/>
                  <wp:docPr descr="" title="" id="11" name="Picture"/>
                  <a:graphic>
                    <a:graphicData uri="http://schemas.openxmlformats.org/drawingml/2006/picture">
                      <pic:pic>
                        <pic:nvPicPr>
                          <pic:cNvPr descr="../output/figures/manuscript/fig1_design_schematic.png" id="12" name="Picture"/>
                          <pic:cNvPicPr>
                            <a:picLocks noChangeArrowheads="1" noChangeAspect="1"/>
                          </pic:cNvPicPr>
                        </pic:nvPicPr>
                        <pic:blipFill>
                          <a:blip r:embed="rId10"/>
                          <a:stretch>
                            <a:fillRect/>
                          </a:stretch>
                        </pic:blipFill>
                        <pic:spPr bwMode="auto">
                          <a:xfrm>
                            <a:off x="0" y="0"/>
                            <a:ext cx="5334000" cy="4387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Older adults performed auditory and visual change-detection tasks under concurrent isometric grip while pupil diameter was continuously recorded, enabling trial-by-trial decomposition of decision processes via hierarchical drift-diffusion modeling.</w:t>
            </w:r>
            <w:r>
              <w:t xml:space="preserve"> </w:t>
            </w:r>
            <w:r>
              <w:rPr>
                <w:b/>
                <w:bCs/>
              </w:rPr>
              <w:t xml:space="preserve">(A)</w:t>
            </w:r>
            <w:r>
              <w:t xml:space="preserve"> </w:t>
            </w:r>
            <w:r>
              <w:t xml:space="preserve">Response-signal trial timeline: jittered pre-cue (1.5–4.5 s), 3-s grip gauge (Low = 5% MVC; High = 40% MVC), standard</w:t>
            </w:r>
            <w:r>
              <w:t xml:space="preserve"> </w:t>
            </w:r>
            <m:oMath>
              <m:r>
                <m:rPr>
                  <m:sty m:val="p"/>
                </m:rPr>
                <m:t>→</m:t>
              </m:r>
            </m:oMath>
            <w:r>
              <w:t xml:space="preserve"> </w:t>
            </w:r>
            <w:r>
              <w:t xml:space="preserve">probe stimulus sequence, same/different response window (3 s), and confidence rating.</w:t>
            </w:r>
            <w:r>
              <w:t xml:space="preserve"> </w:t>
            </w:r>
            <w:r>
              <w:rPr>
                <w:b/>
                <w:bCs/>
              </w:rPr>
              <w:t xml:space="preserve">(B)</w:t>
            </w:r>
            <w:r>
              <w:t xml:space="preserve"> </w:t>
            </w:r>
            <w:r>
              <w:t xml:space="preserve">Drift-diffusion schematic with response-side coding (upper boundary =</w:t>
            </w:r>
            <w:r>
              <w:t xml:space="preserve"> </w:t>
            </w:r>
            <w:r>
              <w:t xml:space="preserve">‘different’</w:t>
            </w:r>
            <w:r>
              <w:t xml:space="preserve">; lower =</w:t>
            </w:r>
            <w:r>
              <w:t xml:space="preserve"> </w:t>
            </w:r>
            <w:r>
              <w:t xml:space="preserve">‘same’</w:t>
            </w:r>
            <w:r>
              <w:t xml:space="preserve">); parameters labelled: drift rate (</w:t>
            </w:r>
            <m:oMath>
              <m:r>
                <m:t>v</m:t>
              </m:r>
            </m:oMath>
            <w:r>
              <w:t xml:space="preserve">), boundary separation (</w:t>
            </w:r>
            <m:oMath>
              <m:r>
                <m:t>a</m:t>
              </m:r>
            </m:oMath>
            <w:r>
              <w:t xml:space="preserve">), starting-point bias (</w:t>
            </w:r>
            <m:oMath>
              <m:r>
                <m:t>z</m:t>
              </m:r>
            </m:oMath>
            <w:r>
              <w:t xml:space="preserve">), non-decision time (</w:t>
            </w:r>
            <m:oMath>
              <m:sSub>
                <m:e>
                  <m:r>
                    <m:t>t</m:t>
                  </m:r>
                </m:e>
                <m:sub>
                  <m:r>
                    <m:t>0</m:t>
                  </m:r>
                </m:sub>
              </m:sSub>
            </m:oMath>
            <w:r>
              <w:t xml:space="preserve">).</w:t>
            </w:r>
            <w:r>
              <w:t xml:space="preserve"> </w:t>
            </w:r>
            <w:r>
              <w:rPr>
                <w:b/>
                <w:bCs/>
              </w:rPr>
              <w:t xml:space="preserve">(C)</w:t>
            </w:r>
            <w:r>
              <w:t xml:space="preserve"> </w:t>
            </w:r>
            <w:r>
              <w:t xml:space="preserve">Predictor-to-parameter map for the primary model: difficulty and effort predict</w:t>
            </w:r>
            <w:r>
              <w:t xml:space="preserve"> </w:t>
            </w:r>
            <m:oMath>
              <m:r>
                <m:t>v</m:t>
              </m:r>
            </m:oMath>
            <w:r>
              <w:t xml:space="preserve"> </w:t>
            </w:r>
            <w:r>
              <w:t xml:space="preserve">and</w:t>
            </w:r>
            <w:r>
              <w:t xml:space="preserve"> </w:t>
            </w:r>
            <m:oMath>
              <m:r>
                <m:t>a</m:t>
              </m:r>
            </m:oMath>
            <w:r>
              <w:t xml:space="preserve">; effort and task predict</w:t>
            </w:r>
            <w:r>
              <w:t xml:space="preserve"> </w:t>
            </w:r>
            <m:oMath>
              <m:r>
                <m:t>z</m:t>
              </m:r>
            </m:oMath>
            <w:r>
              <w:t xml:space="preserve">;</w:t>
            </w:r>
            <w:r>
              <w:t xml:space="preserve"> </w:t>
            </w:r>
            <m:oMath>
              <m:sSub>
                <m:e>
                  <m:r>
                    <m:t>t</m:t>
                  </m:r>
                </m:e>
                <m:sub>
                  <m:r>
                    <m:t>0</m:t>
                  </m:r>
                </m:sub>
              </m:sSub>
            </m:oMath>
            <w:r>
              <w:t xml:space="preserve"> </w:t>
            </w:r>
            <w:r>
              <w:t xml:space="preserve">is intercept-only. Statistical note:</w:t>
            </w:r>
            <w:r>
              <w:t xml:space="preserve"> </w:t>
            </w:r>
            <m:oMath>
              <m:r>
                <m:t>N</m:t>
              </m:r>
            </m:oMath>
            <w:r>
              <w:t xml:space="preserve"> </w:t>
            </w:r>
            <w:r>
              <w:t xml:space="preserve">= 67 older adults (age</w:t>
            </w:r>
            <w:r>
              <w:t xml:space="preserve"> </w:t>
            </w:r>
            <m:oMath>
              <m:r>
                <m:t>M</m:t>
              </m:r>
            </m:oMath>
            <w:r>
              <w:t xml:space="preserve"> </w:t>
            </w:r>
            <w:r>
              <w:t xml:space="preserve">= 69.5 years,</w:t>
            </w:r>
            <w:r>
              <w:t xml:space="preserve"> </w:t>
            </w:r>
            <m:oMath>
              <m:r>
                <m:t>S</m:t>
              </m:r>
              <m:r>
                <m:t>D</m:t>
              </m:r>
            </m:oMath>
            <w:r>
              <w:t xml:space="preserve"> </w:t>
            </w:r>
            <w:r>
              <w:t xml:space="preserve">= 6.4, range 60–87); 17,857 trials retained after cue-locked RT exclusions.</w:t>
            </w:r>
          </w:p>
          <w:bookmarkEnd w:id="13"/>
        </w:tc>
      </w:tr>
    </w:tbl>
    <w:p>
      <w:pPr>
        <w:pStyle w:val="BodyText"/>
      </w:pPr>
      <w:r>
        <w:t xml:space="preserve">The model decomposes observed reaction times and accuracy into four latent parameters. Drift rate (</w:t>
      </w:r>
      <m:oMath>
        <m:r>
          <m:t>v</m:t>
        </m:r>
      </m:oMath>
      <w:r>
        <w:t xml:space="preserve">) indexes the efficiency and clarity of evidence accumulation, driving the decision toward the upper (</w:t>
      </w:r>
      <w:r>
        <w:t xml:space="preserve">‘different’</w:t>
      </w:r>
      <w:r>
        <w:t xml:space="preserve">) or lower (</w:t>
      </w:r>
      <w:r>
        <w:t xml:space="preserve">‘same’</w:t>
      </w:r>
      <w:r>
        <w:t xml:space="preserve">) boundary. Boundary separation (</w:t>
      </w:r>
      <m:oMath>
        <m:r>
          <m:t>a</m:t>
        </m:r>
      </m:oMath>
      <w:r>
        <w:t xml:space="preserve">) is the amount of evidence required before committing to a response—a direct measure of caution. Starting-point bias (</w:t>
      </w:r>
      <m:oMath>
        <m:r>
          <m:t>z</m:t>
        </m:r>
      </m:oMath>
      <w:r>
        <w:t xml:space="preserve">) captures any a priori preference for one response before the trial begins. Non-decision time (</w:t>
      </w:r>
      <m:oMath>
        <m:sSub>
          <m:e>
            <m:r>
              <m:t>t</m:t>
            </m:r>
          </m:e>
          <m:sub>
            <m:r>
              <m:t>0</m:t>
            </m:r>
          </m:sub>
        </m:sSub>
      </m:oMath>
      <w:r>
        <w:t xml:space="preserve">) absorbs peripheral processes outside the decision itself, such as sensory encoding and motor execution</w:t>
      </w:r>
      <w:r>
        <w:t xml:space="preserve"> </w:t>
      </w:r>
      <w:r>
        <w:t xml:space="preserve">(Ratcliff, 1978; Ratcliff &amp; McKoon, 2008; Voss et al., 2004)</w:t>
      </w:r>
      <w:r>
        <w:t xml:space="preserve">.</w:t>
      </w:r>
    </w:p>
    <w:p>
      <w:pPr>
        <w:pStyle w:val="BodyText"/>
      </w:pPr>
      <w:r>
        <w:t xml:space="preserve">This decomposition is especially valuable in aging, where behavioral summaries can mask the underlying changes. On simple perceptual tasks such as brightness or letter discrimination, older adults typically show elevated boundary separation and longer non-decision times while drift rate remains largely preserved</w:t>
      </w:r>
      <w:r>
        <w:t xml:space="preserve"> </w:t>
      </w:r>
      <w:r>
        <w:t xml:space="preserve">(Ratcliff et al., 2001, 2004; Ratcliff &amp; McKoon, 2008)</w:t>
      </w:r>
      <w:r>
        <w:t xml:space="preserve">. This preservation is fragile, however: as demands increase through perceptual load, visual search, or memory retrieval, the efficiency of evidence accumulation declines</w:t>
      </w:r>
      <w:r>
        <w:t xml:space="preserve"> </w:t>
      </w:r>
      <w:r>
        <w:t xml:space="preserve">(Madden &amp; Allen, 1991; Spaniol et al., 2006)</w:t>
      </w:r>
      <w:r>
        <w:t xml:space="preserve">. Whether these parameters reflect fixed capacity limits or are dynamically modulated by physiological state remains open—and manipulating systemic arousal through physical effort offers a direct test, since high effort might force a compensatory increase in boundary caution or instead degrade the efficiency of evidence accumulation.</w:t>
      </w:r>
    </w:p>
    <w:p>
      <w:pPr>
        <w:pStyle w:val="BodyText"/>
      </w:pPr>
      <w:r>
        <w:t xml:space="preserve">Arousal and performance have long been described by an inverted-U function, in which intermediate arousal is optimal and both hypo- and hyper-arousal impair performance</w:t>
      </w:r>
      <w:r>
        <w:t xml:space="preserve"> </w:t>
      </w:r>
      <w:r>
        <w:t xml:space="preserve">(Yerkes &amp; Dodson, 1908)</w:t>
      </w:r>
      <w:r>
        <w:t xml:space="preserve">. Adaptive Gain Theory recasts this relationship mechanistically, treating arousal as a modulator of neural gain that sets the signal-to-noise ratio of information processing</w:t>
      </w:r>
      <w:r>
        <w:t xml:space="preserve"> </w:t>
      </w:r>
      <w:r>
        <w:t xml:space="preserve">(Aston-Jones &amp; Cohen, 2005)</w:t>
      </w:r>
      <w:r>
        <w:t xml:space="preserve">. In aging, the operating range of these autonomic systems narrows: shifts in baseline arousal and reduced physiological flexibility leave older adults prone to over-activation, so that modest increases in task demand can push arousal past its optimum into a supra-optimal zone where internal noise compromises stable processing</w:t>
      </w:r>
      <w:r>
        <w:t xml:space="preserve"> </w:t>
      </w:r>
      <w:r>
        <w:t xml:space="preserve">(Huang &amp; Clewett, 2024; Mather &amp; Harley, 2016; Mikneviciute et al., 2022)</w:t>
      </w:r>
      <w:r>
        <w:t xml:space="preserve">.</w:t>
      </w:r>
    </w:p>
    <w:p>
      <w:pPr>
        <w:pStyle w:val="BodyText"/>
      </w:pPr>
      <w:r>
        <w:t xml:space="preserve">Concurrent physical load is a potent somatic driver of arousal. Because older adults have reduced motor efficiency and physiological reserve, sustaining an isometric grip costs disproportionately more subjective effort than in younger adults, recruiting explicit top-down control for operations that were once automatic and turning the motor task into a competitor for central resources</w:t>
      </w:r>
      <w:r>
        <w:t xml:space="preserve"> </w:t>
      </w:r>
      <w:r>
        <w:t xml:space="preserve">(Verhaeghen et al., 2003)</w:t>
      </w:r>
      <w:r>
        <w:t xml:space="preserve">. Older adults performing continuous tasks show exaggerated autonomic reactivity that predicts subsequent cognitive fatigue</w:t>
      </w:r>
      <w:r>
        <w:t xml:space="preserve"> </w:t>
      </w:r>
      <w:r>
        <w:t xml:space="preserve">(Hess &amp; Ennis, 2012)</w:t>
      </w:r>
      <w:r>
        <w:t xml:space="preserve">, and this somatic burden selectively impairs their accuracy under conditions that leave younger adults unaffected</w:t>
      </w:r>
      <w:r>
        <w:t xml:space="preserve"> </w:t>
      </w:r>
      <w:r>
        <w:t xml:space="preserve">(Azer et al., 2023)</w:t>
      </w:r>
      <w:r>
        <w:t xml:space="preserve">. We therefore treat resource competition</w:t>
      </w:r>
      <w:r>
        <w:t xml:space="preserve"> </w:t>
      </w:r>
      <w:r>
        <w:t xml:space="preserve">(Wickens, 2008)</w:t>
      </w:r>
      <w:r>
        <w:t xml:space="preserve"> </w:t>
      </w:r>
      <w:r>
        <w:t xml:space="preserve">and arousal accounts as integrated rather than independent: the central resources needed to sustain a high-intensity grip push the aging nervous system into hyper-arousal, creating a bottleneck in which processing efficiency is both drained by capacity limits and obscured by arousal-induced noise. Gross behavioral measures cannot adjudicate between these mechanisms—a drop in accuracy could reflect degraded sensory processing or a deliberate lowering of the threshold to escape discomfort—but decomposing behavior within the diffusion framework distinguishes whether effort suppresses evidence quality or collapses decision boundaries.</w:t>
      </w:r>
    </w:p>
    <w:p>
      <w:pPr>
        <w:pStyle w:val="BodyText"/>
      </w:pPr>
      <w:r>
        <w:t xml:space="preserve">To track the underlying physiological state, we use pupillometry as a continuous, non-invasive index of central arousal, as pupil diameter follows autonomic tone with high temporal precision</w:t>
      </w:r>
      <w:r>
        <w:t xml:space="preserve"> </w:t>
      </w:r>
      <w:r>
        <w:t xml:space="preserve">(Beatty, 1982; Kahneman &amp; Beatty, 1966)</w:t>
      </w:r>
      <w:r>
        <w:t xml:space="preserve">. Baseline pupil diameter reflects slower, tonic shifts in alertness, whereas the task-evoked pupil response (TEPR) is a rapid, phasic signal that tracks moment-to-moment cognitive and somatic workload</w:t>
      </w:r>
      <w:r>
        <w:t xml:space="preserve"> </w:t>
      </w:r>
      <w:r>
        <w:t xml:space="preserve">(Gilzenrat et al., 2010; Van Gerven et al., 2004)</w:t>
      </w:r>
      <w:r>
        <w:t xml:space="preserve">. Quantifying the TEPR as a trial-wise area under the curve (AUC) lets us measure how the demand of sustaining a grip shifts physiological investment from one choice to the next. Pupil size is also sensitive to luminance, viewing distance, and motor reflexes</w:t>
      </w:r>
      <w:r>
        <w:t xml:space="preserve"> </w:t>
      </w:r>
      <w:r>
        <w:t xml:space="preserve">(Beatty, 1982; Loewenfeld &amp; Lowenstein, 1999)</w:t>
      </w:r>
      <w:r>
        <w:t xml:space="preserve">, so we run the paradigm in an MRI environment with constant background luminance and a fixed viewing distance, allowing transient TEPR changes to be read as a relative index of phasic arousal. Although animal and pharmacological work links phasic pupil dilation to locus coeruleus–norepinephrine activity</w:t>
      </w:r>
      <w:r>
        <w:t xml:space="preserve"> </w:t>
      </w:r>
      <w:r>
        <w:t xml:space="preserve">(Gilzenrat et al., 2010; Joshi et al., 2016)</w:t>
      </w:r>
      <w:r>
        <w:t xml:space="preserve">, we treat the TEPR as a functional index of arousal state, not an anatomical biomarker; whether concurrent motor demand complements or obscures these cognitively driven dilations remains open.</w:t>
      </w:r>
    </w:p>
    <w:p>
      <w:pPr>
        <w:pStyle w:val="BodyText"/>
      </w:pPr>
      <w:r>
        <w:t xml:space="preserve">Entering this single-trial signal into the model improves on block-averaged DDM estimates, which ignore the continuous fluctuation of internal state within a session, by mapping phasic arousal directly onto specific latent decision processes under sustained load. A foundational demonstration came from Cavanagh and colleagues</w:t>
      </w:r>
      <w:r>
        <w:t xml:space="preserve"> </w:t>
      </w:r>
      <w:r>
        <w:t xml:space="preserve">(2014)</w:t>
      </w:r>
      <w:r>
        <w:t xml:space="preserve">, who used single-trial pupillometry during probabilistic learning to show that transient pupil dilations predicted increased boundary separation (</w:t>
      </w:r>
      <m:oMath>
        <m:r>
          <m:t>a</m:t>
        </m:r>
      </m:oMath>
      <w:r>
        <w:t xml:space="preserve">) on high-conflict choices—suggesting that a surge in phasic arousal can signal the brain to adopt greater caution. We extend this approach from cognitive conflict to physical effort, and from young adults to an aging sample. Whereas conflict in young adults mainly modulates top-down thresholds, advanced age combined with concurrent exertion strains shared processing resources. By fitting pupil-informed models under varying physical load—with nested extensions on drift, starting-point bias, and boundary separation—we test whether trial-by-trial pupil-indexed arousal tracks strategic caution (</w:t>
      </w:r>
      <m:oMath>
        <m:r>
          <m:t>a</m:t>
        </m:r>
      </m:oMath>
      <w:r>
        <w:t xml:space="preserve">) or the efficiency of evidence accumulation (</w:t>
      </w:r>
      <m:oMath>
        <m:r>
          <m:t>v</m:t>
        </m:r>
      </m:oMath>
      <w:r>
        <w:t xml:space="preserve">).</w:t>
      </w:r>
    </w:p>
    <w:p>
      <w:pPr>
        <w:pStyle w:val="BodyText"/>
      </w:pPr>
      <w:r>
        <w:t xml:space="preserve">We tested four predictions about how concurrent physical load modulates decision formation in older adults. First, we expected drift rate (</w:t>
      </w:r>
      <m:oMath>
        <m:r>
          <m:t>v</m:t>
        </m:r>
      </m:oMath>
      <w:r>
        <w:t xml:space="preserve">) to decrease under high effort (40% MVC) relative to low effort (5% MVC), as the burden of a high-intensity contraction drains shared central resources and pushes arousal past the Yerkes–Dodson optimum, degrading the efficiency of evidence accumulation. Second, we contrasted two accounts of boundary separation (</w:t>
      </w:r>
      <m:oMath>
        <m:r>
          <m:t>a</m:t>
        </m:r>
      </m:oMath>
      <w:r>
        <w:t xml:space="preserve">): an adaptive-caution account, in which hyper-arousal prompts a strategic widening of thresholds to protect performance, versus a somatic-fatigue account, in which physical discomfort drives a collapse of thresholds as participants try to end trials quickly. Third, we asked whether non-decision time (</w:t>
      </w:r>
      <m:oMath>
        <m:sSub>
          <m:e>
            <m:r>
              <m:t>t</m:t>
            </m:r>
          </m:e>
          <m:sub>
            <m:r>
              <m:t>0</m:t>
            </m:r>
          </m:sub>
        </m:sSub>
      </m:oMath>
      <w:r>
        <w:t xml:space="preserve">) increases under high effort, which would indicate direct cognitive-motor interference; because the response-signal paradigm constrains estimation of non-decision processes, this was treated as exploratory rather than a primary hypothesis. Fourth, we tested whether the bias-attenuating effect of arousal extends from transient to sustained states: phasic arousal bursts are known to suppress choice biases, so if tonic somatic arousal behaves similarly, starting-point bias (</w:t>
      </w:r>
      <m:oMath>
        <m:r>
          <m:t>z</m:t>
        </m:r>
      </m:oMath>
      <w:r>
        <w:t xml:space="preserve">) should shift toward neutrality (</w:t>
      </w:r>
      <m:oMath>
        <m:r>
          <m:t>z</m:t>
        </m:r>
        <m:r>
          <m:rPr>
            <m:sty m:val="p"/>
          </m:rPr>
          <m:t>=</m:t>
        </m:r>
        <m:r>
          <m:t>0.5</m:t>
        </m:r>
      </m:oMath>
      <w:r>
        <w:t xml:space="preserve">) under high effort, whereas the chronic overhead of the motor task might instead entrench stable, energy-saving heuristics.</w:t>
      </w:r>
    </w:p>
    <w:p>
      <w:pPr>
        <w:pStyle w:val="BodyText"/>
      </w:pPr>
      <w:r>
        <w:t xml:space="preserve">The present study applies hierarchical Bayesian drift-diffusion modeling to examine how physical effort (Low: 5% MVC vs. High: 40% MVC isometric handgrip) modulates latent decision parameters in older adults performing auditory and visual same–different discrimination tasks. Trial-by-trial task-evoked pupil responses (TEPR) provide an exploratory index of phasic arousal. Together, these analyses test whether the characteristic slowing and caution of older decision-makers reflect fixed capacity limits or physiological-state-dependent features modulated by effort-induced arousal.</w:t>
      </w:r>
    </w:p>
    <w:bookmarkEnd w:id="14"/>
    <w:bookmarkStart w:id="29" w:name="methods"/>
    <w:p>
      <w:pPr>
        <w:pStyle w:val="Heading1"/>
      </w:pPr>
      <w:r>
        <w:t xml:space="preserve">2. Methods</w:t>
      </w:r>
    </w:p>
    <w:bookmarkStart w:id="16" w:name="participants"/>
    <w:p>
      <w:pPr>
        <w:pStyle w:val="Heading2"/>
      </w:pPr>
      <w:r>
        <w:t xml:space="preserve">2.1 Participants</w:t>
      </w:r>
    </w:p>
    <w:p>
      <w:pPr>
        <w:pStyle w:val="FirstParagraph"/>
      </w:pPr>
      <w:r>
        <w:t xml:space="preserve">Participants were recruited from communities surrounding the University of California, Riverside, through multiple channels including direct mail, posted flyers, social media advertisements, and word-of-mouth referrals. Eligibility criteria required participants to be aged 60–90 years, possess normal or corrected-to-normal vision and hearing, demonstrate sufficient English language comprehension to follow experimental instructions, and exhibit right-hand dominance. Exclusion criteria comprised contraindications for magnetic resonance imaging (MRI), current use of psychotropic medications, clinically significant neurological disorders, and major systemic health conditions including diabetes mellitus.</w:t>
      </w:r>
    </w:p>
    <w:p>
      <w:pPr>
        <w:pStyle w:val="BodyText"/>
      </w:pPr>
      <w:r>
        <w:t xml:space="preserve">Sixty-nine individuals initially enrolled in the study. Two participants were excluded following enrollment: one due to suspected mild cognitive impairment (MCI) and another due to possible essential tremor, yielding a final sample of 67 older adults (age</w:t>
      </w:r>
      <w:r>
        <w:t xml:space="preserve"> </w:t>
      </w:r>
      <w:r>
        <w:rPr>
          <w:i/>
          <w:iCs/>
        </w:rPr>
        <w:t xml:space="preserve">M</w:t>
      </w:r>
      <w:r>
        <w:t xml:space="preserve"> </w:t>
      </w:r>
      <w:r>
        <w:t xml:space="preserve">= 69.5 years,</w:t>
      </w:r>
      <w:r>
        <w:t xml:space="preserve"> </w:t>
      </w:r>
      <w:r>
        <w:rPr>
          <w:i/>
          <w:iCs/>
        </w:rPr>
        <w:t xml:space="preserve">SD</w:t>
      </w:r>
      <w:r>
        <w:t xml:space="preserve"> </w:t>
      </w:r>
      <w:r>
        <w:t xml:space="preserve">= 6.4, range = 60–87 years).</w:t>
      </w:r>
      <w:r>
        <w:t xml:space="preserve"> </w:t>
      </w:r>
      <w:hyperlink w:anchor="suppfig-participant-flow">
        <w:r>
          <w:rPr>
            <w:rStyle w:val="Hyperlink"/>
          </w:rPr>
          <w:t xml:space="preserve">Figure S3</w:t>
        </w:r>
      </w:hyperlink>
      <w:r>
        <w:t xml:space="preserve"> </w:t>
      </w:r>
      <w:r>
        <w:t xml:space="preserve">summarizes participant and trial retention through behavioral and pupil-linked analytic paths. Table 1 reports baseline demographics for the full sample; the extended neuropsychological battery and additional baseline descriptives are provided in Supplementary Section S9. After applying the RT threshold and quality criteria (fewer than 100 analyzable trials in a given task), 5 participants contributed data to only one task, yielding task-specific analytic samples of</w:t>
      </w:r>
      <w:r>
        <w:t xml:space="preserve"> </w:t>
      </w:r>
      <w:r>
        <w:rPr>
          <w:i/>
          <w:iCs/>
        </w:rPr>
        <w:t xml:space="preserve">N</w:t>
      </w:r>
      <w:r>
        <w:t xml:space="preserve"> </w:t>
      </w:r>
      <w:r>
        <w:t xml:space="preserve">= 64 (Auditory) and</w:t>
      </w:r>
      <w:r>
        <w:t xml:space="preserve"> </w:t>
      </w:r>
      <w:r>
        <w:rPr>
          <w:i/>
          <w:iCs/>
        </w:rPr>
        <w:t xml:space="preserve">N</w:t>
      </w:r>
      <w:r>
        <w:t xml:space="preserve"> </w:t>
      </w:r>
      <w:r>
        <w:t xml:space="preserve">= 65 (Visual). Sample size was determined via a priori power analysis (G*Power 3.1;</w:t>
      </w:r>
      <w:r>
        <w:t xml:space="preserve"> </w:t>
      </w:r>
      <w:r>
        <w:t xml:space="preserve">(Faul et al., 2007)</w:t>
      </w:r>
      <w:r>
        <w:t xml:space="preserve">). For a repeated-measures ANOVA with two within-subject conditions, medium effect size (</w:t>
      </w:r>
      <m:oMath>
        <m:r>
          <m:t>f</m:t>
        </m:r>
        <m:r>
          <m:rPr>
            <m:sty m:val="p"/>
          </m:rPr>
          <m:t>=</m:t>
        </m:r>
        <m:r>
          <m:t>0.25</m:t>
        </m:r>
      </m:oMath>
      <w:r>
        <w:t xml:space="preserve">),</w:t>
      </w:r>
      <w:r>
        <w:t xml:space="preserve"> </w:t>
      </w:r>
      <m:oMath>
        <m:r>
          <m:t>α</m:t>
        </m:r>
        <m:r>
          <m:rPr>
            <m:sty m:val="p"/>
          </m:rPr>
          <m:t>=</m:t>
        </m:r>
        <m:r>
          <m:t>.05</m:t>
        </m:r>
      </m:oMath>
      <w:r>
        <w:t xml:space="preserve">, and power = .80, a minimum of 34 participants was required. The achieved sample of</w:t>
      </w:r>
      <w:r>
        <w:t xml:space="preserve"> </w:t>
      </w:r>
      <m:oMath>
        <m:r>
          <m:t>N</m:t>
        </m:r>
        <m:r>
          <m:rPr>
            <m:sty m:val="p"/>
          </m:rPr>
          <m:t>=</m:t>
        </m:r>
        <m:r>
          <m:t>67</m:t>
        </m:r>
      </m:oMath>
      <w:r>
        <w:t xml:space="preserve"> </w:t>
      </w:r>
      <w:r>
        <w:t xml:space="preserve">exceeds this threshold by approximately 2</w:t>
      </w:r>
      <m:oMath>
        <m:r>
          <m:rPr>
            <m:sty m:val="p"/>
          </m:rPr>
          <m:t>×</m:t>
        </m:r>
      </m:oMath>
      <w:r>
        <w:t xml:space="preserve"> </w:t>
      </w:r>
      <w:r>
        <w:t xml:space="preserve">and is consistent with published hierarchical DDM studies reliably detecting group-level condition effects with</w:t>
      </w:r>
      <w:r>
        <w:t xml:space="preserve"> </w:t>
      </w:r>
      <m:oMath>
        <m:r>
          <m:t>N</m:t>
        </m:r>
        <m:r>
          <m:rPr>
            <m:sty m:val="p"/>
          </m:rPr>
          <m:t>=</m:t>
        </m:r>
        <m:r>
          <m:t>30</m:t>
        </m:r>
      </m:oMath>
      <w:r>
        <w:t xml:space="preserve">–</w:t>
      </w:r>
      <m:oMath>
        <m:r>
          <m:t>60</m:t>
        </m:r>
      </m:oMath>
      <w:r>
        <w:t xml:space="preserve"> </w:t>
      </w:r>
      <w:r>
        <w:t xml:space="preserve">(Ratcliff et al., 2004; Wiecki et al., 2013)</w:t>
      </w:r>
      <w:r>
        <w:t xml:space="preserve">. Twelve participants performed at or near chance level (</w:t>
      </w:r>
      <m:oMath>
        <m:r>
          <m:rPr>
            <m:sty m:val="p"/>
          </m:rPr>
          <m:t>≤</m:t>
        </m:r>
      </m:oMath>
      <w:r>
        <w:t xml:space="preserve"> </w:t>
      </w:r>
      <w:r>
        <w:t xml:space="preserve">55% accuracy, compared to the 50% two-alternative forced-choice chance baseline) in some experimental conditions but were retained in analyses to maximize sample size, as hierarchical modeling approaches borrow statistical strength across participants to stabilize individual-level parameter estimates.</w:t>
      </w:r>
    </w:p>
    <w:p>
      <w:pPr>
        <w:pStyle w:val="BodyText"/>
      </w:pPr>
      <w:r>
        <w:t xml:space="preserve">All participants provided written informed consent and received either course credit or monetary compensation for their participation. Study procedures were approved by the Institutional Review Board of the University of California, Riverside, and all experimental procedures were conducted in accordance with approved guidelines and regulations.</w:t>
      </w:r>
    </w:p>
    <w:tbl>
      <w:tblPr>
        <w:tblStyle w:val="Table"/>
        <w:tblW w:type="pct" w:w="5000"/>
        <w:tblLayout w:type="fixed"/>
        <w:tblLook w:firstRow="0" w:lastRow="0" w:firstColumn="0" w:lastColumn="0" w:noHBand="0" w:noVBand="0" w:val="0000"/>
      </w:tblPr>
      <w:tblGrid>
        <w:gridCol w:w="7920"/>
      </w:tblGrid>
      <w:tr>
        <w:tc>
          <w:tcPr/>
          <w:bookmarkStart w:id="15" w:name="tbl-demographics"/>
          <w:p>
            <w:pPr>
              <w:jc w:val="center"/>
            </w:pPr>
            <w:pPr>
              <w:jc w:val="left"/>
              <w:spacing w:before="200"/>
              <w:pStyle w:val="ImageCaption"/>
            </w:pPr>
            <w:r>
              <w:t xml:space="preserve">Table 1: Baseline Demographics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 score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51 (76.1%)</w:t>
                  </w:r>
                </w:p>
              </w:tc>
            </w:tr>
            <w:tr>
              <w:tc>
                <w:tcPr/>
                <w:p>
                  <w:pPr>
                    <w:pStyle w:val="Compact"/>
                    <w:jc w:val="left"/>
                    <w:jc w:val="center"/>
                  </w:pPr>
                  <w:r>
                    <w:t xml:space="preserve">Black/African American</w:t>
                  </w:r>
                </w:p>
              </w:tc>
              <w:tc>
                <w:tcPr/>
                <w:p>
                  <w:pPr>
                    <w:pStyle w:val="Compact"/>
                    <w:jc w:val="right"/>
                    <w:jc w:val="center"/>
                  </w:pPr>
                  <w:r>
                    <w:t xml:space="preserve">4 (6.0%)</w:t>
                  </w:r>
                </w:p>
              </w:tc>
            </w:tr>
            <w:tr>
              <w:tc>
                <w:tcPr/>
                <w:p>
                  <w:pPr>
                    <w:pStyle w:val="Compact"/>
                    <w:jc w:val="left"/>
                    <w:jc w:val="center"/>
                  </w:pPr>
                  <w:r>
                    <w:t xml:space="preserve">Asian</w:t>
                  </w:r>
                </w:p>
              </w:tc>
              <w:tc>
                <w:tcPr/>
                <w:p>
                  <w:pPr>
                    <w:pStyle w:val="Compact"/>
                    <w:jc w:val="right"/>
                    <w:jc w:val="center"/>
                  </w:pPr>
                  <w:r>
                    <w:t xml:space="preserve">5 (7.5%)</w:t>
                  </w:r>
                </w:p>
              </w:tc>
            </w:tr>
            <w:tr>
              <w:tc>
                <w:tcPr/>
                <w:p>
                  <w:pPr>
                    <w:pStyle w:val="Compact"/>
                    <w:jc w:val="left"/>
                    <w:jc w:val="center"/>
                  </w:pPr>
                  <w:r>
                    <w:t xml:space="preserve">Other</w:t>
                  </w:r>
                </w:p>
              </w:tc>
              <w:tc>
                <w:tcPr/>
                <w:p>
                  <w:pPr>
                    <w:pStyle w:val="Compact"/>
                    <w:jc w:val="right"/>
                    <w:jc w:val="center"/>
                  </w:pPr>
                  <w:r>
                    <w:t xml:space="preserve">5 (7.5%)</w:t>
                  </w:r>
                </w:p>
              </w:tc>
            </w:tr>
            <w:tr>
              <w:tc>
                <w:tcPr/>
                <w:p>
                  <w:pPr>
                    <w:pStyle w:val="Compact"/>
                    <w:jc w:val="left"/>
                    <w:jc w:val="center"/>
                  </w:pPr>
                  <w:r>
                    <w:t xml:space="preserve">Hispanic/Latino</w:t>
                  </w:r>
                </w:p>
              </w:tc>
              <w:tc>
                <w:tcPr/>
                <w:p>
                  <w:pPr>
                    <w:pStyle w:val="Compact"/>
                    <w:jc w:val="right"/>
                    <w:jc w:val="center"/>
                  </w:pPr>
                  <w:r>
                    <w:t xml:space="preserve">10 (14.9%)</w:t>
                  </w:r>
                </w:p>
              </w:tc>
            </w:tr>
          </w:tbl>
          <w:bookmarkEnd w:id="15"/>
          <w:p/>
        </w:tc>
      </w:tr>
    </w:tbl>
    <w:bookmarkEnd w:id="16"/>
    <w:bookmarkStart w:id="17" w:name="stimuli-and-task-design"/>
    <w:p>
      <w:pPr>
        <w:pStyle w:val="Heading2"/>
      </w:pPr>
      <w:r>
        <w:t xml:space="preserve">2.2 Stimuli and Task Design</w:t>
      </w:r>
    </w:p>
    <w:p>
      <w:pPr>
        <w:pStyle w:val="FirstParagraph"/>
      </w:pPr>
      <w:r>
        <w:rPr>
          <w:b/>
          <w:bCs/>
        </w:rPr>
        <w:t xml:space="preserve">Task overview</w:t>
      </w:r>
      <w:r>
        <w:t xml:space="preserve"> </w:t>
      </w:r>
      <w:r>
        <w:t xml:space="preserve">Participants completed two response-signal same/different discrimination tasks—an Auditory Detection Task (ADT) and a Visual Detection Task (VDT)—each performed under concurrent hand-grip effort manipulation. In both tasks, a standard and probe stimulus were presented in succession, and participants judged whether the stimuli were the same or different using button presses, followed by a confidence rating.</w:t>
      </w:r>
    </w:p>
    <w:p>
      <w:pPr>
        <w:pStyle w:val="BodyText"/>
      </w:pPr>
      <w:r>
        <w:rPr>
          <w:b/>
          <w:bCs/>
        </w:rPr>
        <w:t xml:space="preserve">Trial structure.</w:t>
      </w:r>
      <w:r>
        <w:t xml:space="preserve"> </w:t>
      </w:r>
      <w:r>
        <w:t xml:space="preserve">Both tasks shared the same response-signal timeline (see</w:t>
      </w:r>
      <w:r>
        <w:t xml:space="preserve"> </w:t>
      </w:r>
      <w:hyperlink w:anchor="fig-ddm-process">
        <w:r>
          <w:rPr>
            <w:rStyle w:val="Hyperlink"/>
          </w:rPr>
          <w:t xml:space="preserve">Figure 1</w:t>
        </w:r>
      </w:hyperlink>
      <w:r>
        <w:t xml:space="preserve">, Panel A). Each trial began with a jittered blank interval (1.5–4.5 s) displaying only a gray background. Participants were then shown a 3-second rectangular grip gauge with a marker positioned at either 5% or 40% from the bottom, indicating the target force level to be maintained using a hand-held dynamometer (left hand) at the corresponding percentage of their maximum voluntary contraction (MVC). MVC was determined during a brief calibration procedure prior to each task. Following the grip period, a 0.25-second blank screen and 0.5-second fixation dot preceded stimulus presentation.</w:t>
      </w:r>
    </w:p>
    <w:p>
      <w:pPr>
        <w:pStyle w:val="BodyText"/>
      </w:pPr>
      <w:r>
        <w:rPr>
          <w:b/>
          <w:bCs/>
        </w:rPr>
        <w:t xml:space="preserve">Auditory Detection Task (ADT).</w:t>
      </w:r>
      <w:r>
        <w:t xml:space="preserve"> </w:t>
      </w:r>
      <w:r>
        <w:t xml:space="preserve">The standard stimulus was a 0.1-second sinusoidal tone at 1000 Hz. After a 0.5-second inter-stimulus interval, the probe stimulus was presented as a 0.1-second tone that was either identical to the standard (</w:t>
      </w:r>
      <m:oMath>
        <m:r>
          <m:rPr>
            <m:sty m:val="p"/>
          </m:rPr>
          <m:t>Δ</m:t>
        </m:r>
        <m:r>
          <m:t>f</m:t>
        </m:r>
        <m:r>
          <m:t>r</m:t>
        </m:r>
        <m:r>
          <m:t>e</m:t>
        </m:r>
        <m:r>
          <m:t>q</m:t>
        </m:r>
        <m:r>
          <m:t>u</m:t>
        </m:r>
        <m:r>
          <m:t>e</m:t>
        </m:r>
        <m:r>
          <m:t>n</m:t>
        </m:r>
        <m:r>
          <m:t>c</m:t>
        </m:r>
        <m:r>
          <m:t>y</m:t>
        </m:r>
      </m:oMath>
      <w:r>
        <w:t xml:space="preserve"> </w:t>
      </w:r>
      <w:r>
        <w:t xml:space="preserve">= 0) or positively offset by</w:t>
      </w:r>
      <w:r>
        <w:t xml:space="preserve"> </w:t>
      </w:r>
      <m:oMath>
        <m:r>
          <m:rPr>
            <m:sty m:val="p"/>
          </m:rPr>
          <m:t>Δ</m:t>
        </m:r>
        <m:r>
          <m:t>f</m:t>
        </m:r>
        <m:r>
          <m:t>r</m:t>
        </m:r>
        <m:r>
          <m:t>e</m:t>
        </m:r>
        <m:r>
          <m:t>q</m:t>
        </m:r>
        <m:r>
          <m:t>u</m:t>
        </m:r>
        <m:r>
          <m:t>e</m:t>
        </m:r>
        <m:r>
          <m:t>n</m:t>
        </m:r>
        <m:r>
          <m:t>c</m:t>
        </m:r>
        <m:r>
          <m:t>y</m:t>
        </m:r>
        <m:r>
          <m:rPr>
            <m:sty m:val="p"/>
          </m:rPr>
          <m:t>∈</m:t>
        </m:r>
        <m:r>
          <m:rPr>
            <m:sty m:val="p"/>
          </m:rPr>
          <m:t>{</m:t>
        </m:r>
        <m:r>
          <m:t>8</m:t>
        </m:r>
        <m:r>
          <m:rPr>
            <m:sty m:val="p"/>
          </m:rPr>
          <m:t>,</m:t>
        </m:r>
        <m:r>
          <m:t>16</m:t>
        </m:r>
        <m:r>
          <m:rPr>
            <m:sty m:val="p"/>
          </m:rPr>
          <m:t>,</m:t>
        </m:r>
        <m:r>
          <m:t>32</m:t>
        </m:r>
        <m:r>
          <m:rPr>
            <m:sty m:val="p"/>
          </m:rPr>
          <m:t>,</m:t>
        </m:r>
        <m:r>
          <m:t>64</m:t>
        </m:r>
        <m:r>
          <m:rPr>
            <m:sty m:val="p"/>
          </m:rPr>
          <m:t>}</m:t>
        </m:r>
        <m:r>
          <m:t> </m:t>
        </m:r>
        <m:r>
          <m:rPr>
            <m:sty m:val="p"/>
          </m:rPr>
          <m:t>H</m:t>
        </m:r>
        <m:r>
          <m:rPr>
            <m:sty m:val="p"/>
          </m:rPr>
          <m:t>z</m:t>
        </m:r>
      </m:oMath>
      <w:r>
        <w:t xml:space="preserve">. For drift-diffusion model (DDM) analyses, the four non-zero offsets were collapsed into two difficulty bins: Hard = {8, 16} Hz and Easy = {32, 64} Hz, with Standard = 0 Hz.</w:t>
      </w:r>
    </w:p>
    <w:p>
      <w:pPr>
        <w:pStyle w:val="BodyText"/>
      </w:pPr>
      <w:r>
        <w:rPr>
          <w:b/>
          <w:bCs/>
        </w:rPr>
        <w:t xml:space="preserve">Visual Detection Task (VDT).</w:t>
      </w:r>
      <w:r>
        <w:t xml:space="preserve"> </w:t>
      </w:r>
      <w:r>
        <w:t xml:space="preserve">The standard stimulus was a centrally presented sinusoidal Gabor patch (spatial frequency 1.5 cycles/degree, Michelson contrast 0.20, diameter 4°, duration 0.1 s). After a 0.5-second inter-stimulus interval, the probe stimulus was presented as a 0.1-second Gabor that was either identical to the standard (</w:t>
      </w:r>
      <m:oMath>
        <m:r>
          <m:rPr>
            <m:sty m:val="p"/>
          </m:rPr>
          <m:t>Δ</m:t>
        </m:r>
        <m:r>
          <m:t>c</m:t>
        </m:r>
        <m:r>
          <m:t>o</m:t>
        </m:r>
        <m:r>
          <m:t>n</m:t>
        </m:r>
        <m:r>
          <m:t>t</m:t>
        </m:r>
        <m:r>
          <m:t>r</m:t>
        </m:r>
        <m:r>
          <m:t>a</m:t>
        </m:r>
        <m:r>
          <m:t>s</m:t>
        </m:r>
        <m:r>
          <m:t>t</m:t>
        </m:r>
      </m:oMath>
      <w:r>
        <w:t xml:space="preserve"> </w:t>
      </w:r>
      <w:r>
        <w:t xml:space="preserve">= 0) or showed a positive contrast increase of</w:t>
      </w:r>
      <w:r>
        <w:t xml:space="preserve"> </w:t>
      </w:r>
      <m:oMath>
        <m:r>
          <m:rPr>
            <m:sty m:val="p"/>
          </m:rPr>
          <m:t>Δ</m:t>
        </m:r>
        <m:r>
          <m:t>c</m:t>
        </m:r>
        <m:r>
          <m:t>o</m:t>
        </m:r>
        <m:r>
          <m:t>n</m:t>
        </m:r>
        <m:r>
          <m:t>t</m:t>
        </m:r>
        <m:r>
          <m:t>r</m:t>
        </m:r>
        <m:r>
          <m:t>a</m:t>
        </m:r>
        <m:r>
          <m:t>s</m:t>
        </m:r>
        <m:r>
          <m:t>t</m:t>
        </m:r>
        <m:r>
          <m:rPr>
            <m:sty m:val="p"/>
          </m:rPr>
          <m:t>∈</m:t>
        </m:r>
        <m:r>
          <m:rPr>
            <m:sty m:val="p"/>
          </m:rPr>
          <m:t>{</m:t>
        </m:r>
        <m:r>
          <m:t>0.06</m:t>
        </m:r>
        <m:r>
          <m:rPr>
            <m:sty m:val="p"/>
          </m:rPr>
          <m:t>,</m:t>
        </m:r>
        <m:r>
          <m:t>0.12</m:t>
        </m:r>
        <m:r>
          <m:rPr>
            <m:sty m:val="p"/>
          </m:rPr>
          <m:t>,</m:t>
        </m:r>
        <m:r>
          <m:t>0.24</m:t>
        </m:r>
        <m:r>
          <m:rPr>
            <m:sty m:val="p"/>
          </m:rPr>
          <m:t>,</m:t>
        </m:r>
        <m:r>
          <m:t>0.48</m:t>
        </m:r>
        <m:r>
          <m:rPr>
            <m:sty m:val="p"/>
          </m:rPr>
          <m:t>}</m:t>
        </m:r>
      </m:oMath>
      <w:r>
        <w:t xml:space="preserve">, with all other parameters held constant. For DDM analyses, offsets were collapsed into Hard = {0.06, 0.12} and Easy = {0.24, 0.48}, with Standard = 0.</w:t>
      </w:r>
    </w:p>
    <w:p>
      <w:pPr>
        <w:pStyle w:val="BodyText"/>
      </w:pPr>
      <w:r>
        <w:rPr>
          <w:b/>
          <w:bCs/>
        </w:rPr>
        <w:t xml:space="preserve">Response collection.</w:t>
      </w:r>
      <w:r>
        <w:t xml:space="preserve"> </w:t>
      </w:r>
      <w:r>
        <w:t xml:space="preserve">Following stimulus offset, participants relaxed their grip and had a 3-second response window to indicate whether the two stimuli were the same or different using their right hand (index finger =</w:t>
      </w:r>
      <w:r>
        <w:t xml:space="preserve"> </w:t>
      </w:r>
      <w:r>
        <w:t xml:space="preserve">“different”</w:t>
      </w:r>
      <w:r>
        <w:t xml:space="preserve">; middle finger =</w:t>
      </w:r>
      <w:r>
        <w:t xml:space="preserve"> </w:t>
      </w:r>
      <w:r>
        <w:t xml:space="preserve">“same”</w:t>
      </w:r>
      <w:r>
        <w:t xml:space="preserve">). This was immediately followed by another 3-second window in which participants provided a confidence rating on a 4-point scale (1 = low confidence, 4 = high confidence).</w:t>
      </w:r>
    </w:p>
    <w:p>
      <w:pPr>
        <w:pStyle w:val="BodyText"/>
      </w:pPr>
      <w:r>
        <w:rPr>
          <w:b/>
          <w:bCs/>
        </w:rPr>
        <w:t xml:space="preserve">Trial counts and monitoring.</w:t>
      </w:r>
      <w:r>
        <w:t xml:space="preserve"> </w:t>
      </w:r>
      <w:r>
        <w:t xml:space="preserve">Each task comprised 150 trials distributed across five blocks of 30 trials each. Within each block, the five stimulus levels (Standard plus four offsets) were crossed with the two effort conditions (5% vs. 40% MVC) and presented in pseudorandom order with equal proportions (three repetitions per stimulus × effort combination). Hand-grip performance was monitored after each block, and participants received corrective feedback if they consistently failed to maintain the dynamometer at the designated force level (near the grip gauge marker) and/or for the correct duration (until offset of the probe stimulus).</w:t>
      </w:r>
    </w:p>
    <w:bookmarkEnd w:id="17"/>
    <w:bookmarkStart w:id="18" w:name="equipment"/>
    <w:p>
      <w:pPr>
        <w:pStyle w:val="Heading2"/>
      </w:pPr>
      <w:r>
        <w:t xml:space="preserve">2.3 Equipment</w:t>
      </w:r>
    </w:p>
    <w:p>
      <w:pPr>
        <w:pStyle w:val="FirstParagraph"/>
      </w:pPr>
      <w:r>
        <w:t xml:space="preserve">The experimental task was programmed and executed on an Alienware laptop. Visual stimuli were presented via a PROPixx projector (VPixx Technologies, Montreal, Canada; 480 Hz refresh rate, 1920×1080 resolution) and viewed through a head coil-mounted mirror (viewing distance</w:t>
      </w:r>
      <w:r>
        <w:t xml:space="preserve"> </w:t>
      </w:r>
      <m:oMath>
        <m:r>
          <m:rPr>
            <m:sty m:val="p"/>
          </m:rPr>
          <m:t>≈</m:t>
        </m:r>
      </m:oMath>
      <w:r>
        <w:t xml:space="preserve"> </w:t>
      </w:r>
      <w:r>
        <w:t xml:space="preserve">12 cm). Auditory stimuli were delivered via MRI-safe earbuds (Newmatic Medical, Duluth, GA; 30 dB NRR). Behavioral responses were recorded using a RESPONSEpixx fiber-optic response box, hand-grip force via a MRI-compatible dynamometer (Current Designs Inc., Philadelphia, USA; 100 Hz sampling), and pupil diameter via an MRI-compatible TRACKPixx binocular eye tracker (VPixx Technologies, Montreal, Canada; 2000 Hz sampling). Stimuli were generated using Psychophysics Toolbox 3.0.18</w:t>
      </w:r>
      <w:r>
        <w:t xml:space="preserve"> </w:t>
      </w:r>
      <w:r>
        <w:t xml:space="preserve">(Brainard &amp; Vision, 1997; Kleiner et al., 2007)</w:t>
      </w:r>
      <w:r>
        <w:t xml:space="preserve"> </w:t>
      </w:r>
      <w:r>
        <w:t xml:space="preserve">in MATLAB R2022b (The MathWorks, Natick, MA). Data were collected inside an MRI scanner; neuroimaging results are reported elsewhere.</w:t>
      </w:r>
    </w:p>
    <w:bookmarkEnd w:id="18"/>
    <w:bookmarkStart w:id="20" w:name="data-processing-and-quality-control"/>
    <w:p>
      <w:pPr>
        <w:pStyle w:val="Heading2"/>
      </w:pPr>
      <w:r>
        <w:t xml:space="preserve">2.4 Data Processing and Quality Control</w:t>
      </w:r>
    </w:p>
    <w:p>
      <w:pPr>
        <w:pStyle w:val="FirstParagraph"/>
      </w:pPr>
      <w:r>
        <w:rPr>
          <w:b/>
          <w:bCs/>
        </w:rPr>
        <w:t xml:space="preserve">Reaction time definition.</w:t>
      </w:r>
      <w:r>
        <w:t xml:space="preserve"> </w:t>
      </w:r>
      <w:r>
        <w:t xml:space="preserve">In this response-signal design, reaction time (RT) was initially recorded as the latency from response-screen onset (“Same or Different?” prompt) to button press, termed</w:t>
      </w:r>
      <w:r>
        <w:t xml:space="preserve"> </w:t>
      </w:r>
      <w:r>
        <w:rPr>
          <w:b/>
          <w:bCs/>
        </w:rPr>
        <w:t xml:space="preserve">cue-locked RT</w:t>
      </w:r>
      <w:r>
        <w:t xml:space="preserve">. However, perceptual evidence becomes available at probe onset (the second stimulus). To align RT with evidence accumulation onset, we derived</w:t>
      </w:r>
      <w:r>
        <w:t xml:space="preserve"> </w:t>
      </w:r>
      <w:r>
        <w:rPr>
          <w:b/>
          <w:bCs/>
        </w:rPr>
        <w:t xml:space="preserve">probe-onset-locked RT</w:t>
      </w:r>
      <w:r>
        <w:t xml:space="preserve"> </w:t>
      </w:r>
      <w:r>
        <w:t xml:space="preserve">by adding the fixed post-probe delay to cue-locked RT:</w:t>
      </w:r>
    </w:p>
    <w:p>
      <w:pPr>
        <w:pStyle w:val="BodyText"/>
      </w:pPr>
      <w:bookmarkStart w:id="19" w:name="eq-probe"/>
      <m:oMathPara>
        <m:oMathParaPr>
          <m:jc m:val="center"/>
        </m:oMathParaPr>
        <m:oMath>
          <m:r>
            <m:t>R</m:t>
          </m:r>
          <m:sSub>
            <m:e>
              <m:r>
                <m:t>T</m:t>
              </m:r>
            </m:e>
            <m:sub>
              <m:r>
                <m:rPr>
                  <m:nor/>
                  <m:sty m:val="p"/>
                </m:rPr>
                <m:t>probe-onset</m:t>
              </m:r>
            </m:sub>
          </m:sSub>
          <m:r>
            <m:rPr>
              <m:sty m:val="p"/>
            </m:rPr>
            <m:t>=</m:t>
          </m:r>
          <m:r>
            <m:t>R</m:t>
          </m:r>
          <m:sSub>
            <m:e>
              <m:r>
                <m:t>T</m:t>
              </m:r>
            </m:e>
            <m:sub>
              <m:r>
                <m:rPr>
                  <m:nor/>
                  <m:sty m:val="p"/>
                </m:rPr>
                <m:t>cue-locked</m:t>
              </m:r>
            </m:sub>
          </m:sSub>
          <m:r>
            <m:rPr>
              <m:sty m:val="p"/>
            </m:rPr>
            <m:t>+</m:t>
          </m:r>
          <m:r>
            <m:t>0.35</m:t>
          </m:r>
          <m:r>
            <m:rPr>
              <m:nor/>
              <m:sty m:val="p"/>
            </m:rPr>
            <m:t> s</m:t>
          </m:r>
          <m:r>
            <m:rPr>
              <m:sty m:val="p"/>
            </m:rPr>
            <m:t>.</m:t>
          </m:r>
          <m:r>
            <m:t>  </m:t>
          </m:r>
          <m:r>
            <m:rPr>
              <m:sty m:val="p"/>
            </m:rPr>
            <m:t>(</m:t>
          </m:r>
          <m:r>
            <m:t>1</m:t>
          </m:r>
          <m:r>
            <m:rPr>
              <m:sty m:val="p"/>
            </m:rPr>
            <m:t>)</m:t>
          </m:r>
        </m:oMath>
      </m:oMathPara>
      <w:bookmarkEnd w:id="19"/>
    </w:p>
    <w:p>
      <w:pPr>
        <w:pStyle w:val="FirstParagraph"/>
      </w:pPr>
      <w:r>
        <w:t xml:space="preserve">where 0.35 s comprises 0.10 s probe duration plus 0.25 s grip-relaxation period. Probe-onset-locked RT served as the primary timing measure for DDM interpretation, as it aligns the decision process with evidence onset. Under this convention, the DDM non-decision time parameter (</w:t>
      </w:r>
      <m:oMath>
        <m:sSub>
          <m:e>
            <m:r>
              <m:t>t</m:t>
            </m:r>
          </m:e>
          <m:sub>
            <m:r>
              <m:t>0</m:t>
            </m:r>
          </m:sub>
        </m:sSub>
      </m:oMath>
      <w:r>
        <w:t xml:space="preserve">) includes the fixed 0.35 s response-gating delay plus residual encoding and motor components. Cue-locked RT was retained for sensitivity analyses. This probe-onset-locked timing is our chosen convention to align</w:t>
      </w:r>
      <w:r>
        <w:t xml:space="preserve"> </w:t>
      </w:r>
      <m:oMath>
        <m:sSub>
          <m:e>
            <m:r>
              <m:t>t</m:t>
            </m:r>
          </m:e>
          <m:sub>
            <m:r>
              <m:t>0</m:t>
            </m:r>
          </m:sub>
        </m:sSub>
      </m:oMath>
      <w:r>
        <w:t xml:space="preserve"> </w:t>
      </w:r>
      <w:r>
        <w:t xml:space="preserve">with evidence onset; some DDM studies alternatively use cue-locked or response-locked reference points depending on task structure.</w:t>
      </w:r>
    </w:p>
    <w:p>
      <w:pPr>
        <w:pStyle w:val="BodyText"/>
      </w:pPr>
      <w:r>
        <w:rPr>
          <w:b/>
          <w:bCs/>
        </w:rPr>
        <w:t xml:space="preserve">Gated response-signal validity.</w:t>
      </w:r>
      <w:r>
        <w:t xml:space="preserve"> </w:t>
      </w:r>
      <w:r>
        <w:t xml:space="preserve">Overt responses were withheld until the response screen (a fixed 0.35 s after probe offset), so cue-locked RT mixes pre-response processing with enforced waiting. Probe-onset locking shifts the accumulation clock to evidence onset while absorbing the fixed gating interval into</w:t>
      </w:r>
      <w:r>
        <w:t xml:space="preserve"> </w:t>
      </w:r>
      <m:oMath>
        <m:sSub>
          <m:e>
            <m:r>
              <m:t>t</m:t>
            </m:r>
          </m:e>
          <m:sub>
            <m:r>
              <m:t>0</m:t>
            </m:r>
          </m:sub>
        </m:sSub>
      </m:oMath>
      <w:r>
        <w:t xml:space="preserve"> </w:t>
      </w:r>
      <w:r>
        <w:t xml:space="preserve">(intercept-only in the primary model). This follows standard practice for response-signal and masked-response designs: condition contrasts are identified within a shared timing regime, and absolute</w:t>
      </w:r>
      <w:r>
        <w:t xml:space="preserve"> </w:t>
      </w:r>
      <m:oMath>
        <m:sSub>
          <m:e>
            <m:r>
              <m:t>t</m:t>
            </m:r>
          </m:e>
          <m:sub>
            <m:r>
              <m:t>0</m:t>
            </m:r>
          </m:sub>
        </m:sSub>
      </m:oMath>
      <w:r>
        <w:t xml:space="preserve"> </w:t>
      </w:r>
      <w:r>
        <w:t xml:space="preserve">estimates are not interpreted as pure motor time</w:t>
      </w:r>
      <w:r>
        <w:t xml:space="preserve"> </w:t>
      </w:r>
      <w:r>
        <w:t xml:space="preserve">(Ratcliff &amp; McKoon, 2008; Starns &amp; Ratcliff, 2010)</w:t>
      </w:r>
      <w:r>
        <w:t xml:space="preserve">. We treat probe-onset locking as a conservative alignment choice; free-response replications without enforced waiting would be needed to isolate encoding-only</w:t>
      </w:r>
      <w:r>
        <w:t xml:space="preserve"> </w:t>
      </w:r>
      <m:oMath>
        <m:sSub>
          <m:e>
            <m:r>
              <m:t>t</m:t>
            </m:r>
          </m:e>
          <m:sub>
            <m:r>
              <m:t>0</m:t>
            </m:r>
          </m:sub>
        </m:sSub>
      </m:oMath>
      <w:r>
        <w:t xml:space="preserve"> </w:t>
      </w:r>
      <w:r>
        <w:t xml:space="preserve">components.</w:t>
      </w:r>
    </w:p>
    <w:p>
      <w:pPr>
        <w:pStyle w:val="BodyText"/>
      </w:pPr>
      <w:r>
        <w:rPr>
          <w:b/>
          <w:bCs/>
        </w:rPr>
        <w:t xml:space="preserve">Trial exclusion criteria.</w:t>
      </w:r>
      <w:r>
        <w:t xml:space="preserve"> </w:t>
      </w:r>
      <w:r>
        <w:t xml:space="preserve">To minimize the influence of premature or accidental button presses, trials with cue-locked RT &lt; 0.20 s were excluded from the primary analysis (sensitivity analyses using alternative cutoffs of 0.15 s and 0.25 s are reported in the Supplementary Materials). This lower bound was applied to cue-locked RT before constructing probe-onset-locked RT for the primary DDM models. Additional exclusions included missed responses, trials from runs flagged for invalid performance (defined as run-level accuracy at or below chance, indicating the participant did not engage with the task), and trials with non-positive or missing RT values (i.e., recording artifacts where RT was logged as zero or a negative number). For pupil-linked DDM models, trials additionally required valid pupil data (see Pupillometry Preprocessing section).</w:t>
      </w:r>
    </w:p>
    <w:bookmarkEnd w:id="20"/>
    <w:bookmarkStart w:id="22" w:name="statistical-analysis"/>
    <w:p>
      <w:pPr>
        <w:pStyle w:val="Heading2"/>
      </w:pPr>
      <w:r>
        <w:t xml:space="preserve">2.5 Statistical analysis</w:t>
      </w:r>
    </w:p>
    <w:p>
      <w:pPr>
        <w:pStyle w:val="FirstParagraph"/>
      </w:pPr>
      <w:r>
        <w:rPr>
          <w:b/>
          <w:bCs/>
        </w:rPr>
        <w:t xml:space="preserve">Design.</w:t>
      </w:r>
      <w:r>
        <w:t xml:space="preserve"> </w:t>
      </w:r>
      <w:r>
        <w:t xml:space="preserve">The study employed a 2 (Task: ADT, VDT) × 3 (Difficulty: Standard, Easy, Hard) × 2 (Effort: Low, High) within-subjects factorial design, yielding 12 experimental conditions per participant. Because difficulty is determined by stimulus offset magnitude and thus unknown at trial onset, it was not included as a predictor of starting-point bias in the primary DDM specification.</w:t>
      </w:r>
    </w:p>
    <w:p>
      <w:pPr>
        <w:pStyle w:val="BodyText"/>
      </w:pPr>
      <w:r>
        <w:rPr>
          <w:b/>
          <w:bCs/>
        </w:rPr>
        <w:t xml:space="preserve">Modeling approach.</w:t>
      </w:r>
      <w:r>
        <w:t xml:space="preserve"> </w:t>
      </w:r>
      <w:r>
        <w:t xml:space="preserve">ADT and VDT were modeled</w:t>
      </w:r>
      <w:r>
        <w:t xml:space="preserve"> </w:t>
      </w:r>
      <w:r>
        <w:rPr>
          <w:i/>
          <w:iCs/>
        </w:rPr>
        <w:t xml:space="preserve">jointly</w:t>
      </w:r>
      <w:r>
        <w:t xml:space="preserve"> </w:t>
      </w:r>
      <w:r>
        <w:t xml:space="preserve">in a single hierarchical Bayesian DDM, with Task (ADT vs. VDT) included as a fixed effect on starting-point bias</w:t>
      </w:r>
      <w:r>
        <w:t xml:space="preserve"> </w:t>
      </w:r>
      <m:oMath>
        <m:r>
          <m:t>z</m:t>
        </m:r>
      </m:oMath>
      <w:r>
        <w:t xml:space="preserve">. This joint specification estimates task-specific parameter offsets (i.e., how ADT and VDT differ in bias) while sharing subject-level random-effect variance across tasks, allowing hierarchical shrinkage to stabilize individual-level estimates. Importantly, drift rate</w:t>
      </w:r>
      <w:r>
        <w:t xml:space="preserve"> </w:t>
      </w:r>
      <m:oMath>
        <m:r>
          <m:t>v</m:t>
        </m:r>
      </m:oMath>
      <w:r>
        <w:t xml:space="preserve"> </w:t>
      </w:r>
      <w:r>
        <w:t xml:space="preserve">and boundary separation</w:t>
      </w:r>
      <w:r>
        <w:t xml:space="preserve"> </w:t>
      </w:r>
      <m:oMath>
        <m:r>
          <m:t>a</m:t>
        </m:r>
      </m:oMath>
      <w:r>
        <w:t xml:space="preserve"> </w:t>
      </w:r>
      <w:r>
        <w:t xml:space="preserve">were not modeled as functions of Task in the primary model — instead, task-specific estimates for these parameters are provided as a sensitivity analysis in Supplementary Section S4.3. This choice reflects our primary interest in the pooled effort and difficulty effects, with task-modality differences treated as secondary context.</w:t>
      </w:r>
    </w:p>
    <w:bookmarkStart w:id="21" w:name="sec-stats-overview"/>
    <w:p>
      <w:pPr>
        <w:pStyle w:val="Heading3"/>
      </w:pPr>
      <w:r>
        <w:t xml:space="preserve">2.5.1 Analysis overview</w:t>
      </w:r>
    </w:p>
    <w:p>
      <w:pPr>
        <w:pStyle w:val="FirstParagraph"/>
      </w:pPr>
      <w:r>
        <w:t xml:space="preserve">Analyses proceeded in three stages. First,</w:t>
      </w:r>
      <w:r>
        <w:t xml:space="preserve"> </w:t>
      </w:r>
      <w:r>
        <w:rPr>
          <w:b/>
          <w:bCs/>
        </w:rPr>
        <w:t xml:space="preserve">manipulation checks</w:t>
      </w:r>
      <w:r>
        <w:t xml:space="preserve"> </w:t>
      </w:r>
      <w:r>
        <w:t xml:space="preserve">confirmed that difficulty and effort affected behavioral performance (accuracy and RT) as intended, using generalized linear mixed-effects models (GLMM, binomial family) for accuracy and linear mixed-effects models (LMM) for median RT via</w:t>
      </w:r>
      <w:r>
        <w:t xml:space="preserve"> </w:t>
      </w:r>
      <w:r>
        <w:rPr>
          <w:rStyle w:val="VerbatimChar"/>
        </w:rPr>
        <w:t xml:space="preserve">lme4</w:t>
      </w:r>
      <w:r>
        <w:t xml:space="preserve"> </w:t>
      </w:r>
      <w:r>
        <w:t xml:space="preserve">(Bates et al., 2015)</w:t>
      </w:r>
      <w:r>
        <w:t xml:space="preserve">, each with fixed effects for Difficulty, Effort, and Task and random intercepts for participant; fixed-effects summaries used</w:t>
      </w:r>
      <w:r>
        <w:t xml:space="preserve"> </w:t>
      </w:r>
      <w:r>
        <w:rPr>
          <w:rStyle w:val="VerbatimChar"/>
        </w:rPr>
        <w:t xml:space="preserve">broom.mixed</w:t>
      </w:r>
      <w:r>
        <w:t xml:space="preserve"> </w:t>
      </w:r>
      <w:r>
        <w:t xml:space="preserve">(Anderson et al., 2024)</w:t>
      </w:r>
      <w:r>
        <w:t xml:space="preserve">. Full results are reported in Supplementary Section S7. Second, the</w:t>
      </w:r>
      <w:r>
        <w:t xml:space="preserve"> </w:t>
      </w:r>
      <w:r>
        <w:rPr>
          <w:b/>
          <w:bCs/>
        </w:rPr>
        <w:t xml:space="preserve">primary DDM analysis</w:t>
      </w:r>
      <w:r>
        <w:t xml:space="preserve"> </w:t>
      </w:r>
      <w:r>
        <w:t xml:space="preserve">used a hierarchical Bayesian Wiener diffusion model fit via</w:t>
      </w:r>
      <w:r>
        <w:t xml:space="preserve"> </w:t>
      </w:r>
      <w:r>
        <w:rPr>
          <w:rStyle w:val="VerbatimChar"/>
        </w:rPr>
        <w:t xml:space="preserve">brms</w:t>
      </w:r>
      <w:r>
        <w:t xml:space="preserve"> </w:t>
      </w:r>
      <w:r>
        <w:t xml:space="preserve">(Bürkner, 2017)</w:t>
      </w:r>
      <w:r>
        <w:t xml:space="preserve"> </w:t>
      </w:r>
      <w:r>
        <w:t xml:space="preserve">in R</w:t>
      </w:r>
      <w:r>
        <w:t xml:space="preserve"> </w:t>
      </w:r>
      <w:r>
        <w:t xml:space="preserve">(R Core Team, 2025)</w:t>
      </w:r>
      <w:r>
        <w:t xml:space="preserve">, with model comparison via Pareto-smoothed importance sampling LOO cross-validation (PSIS-LOO;</w:t>
      </w:r>
      <w:r>
        <w:t xml:space="preserve"> </w:t>
      </w:r>
      <w:r>
        <w:t xml:space="preserve">(Vehtari et al., 2017)</w:t>
      </w:r>
      <w:r>
        <w:t xml:space="preserve">); full model specification is described in</w:t>
      </w:r>
      <w:r>
        <w:t xml:space="preserve"> </w:t>
      </w:r>
      <w:hyperlink w:anchor="sec-ddm-spec">
        <w:r>
          <w:rPr>
            <w:rStyle w:val="Hyperlink"/>
          </w:rPr>
          <w:t xml:space="preserve">Section 2.7.2</w:t>
        </w:r>
      </w:hyperlink>
      <w:r>
        <w:t xml:space="preserve">. Third,</w:t>
      </w:r>
      <w:r>
        <w:t xml:space="preserve"> </w:t>
      </w:r>
      <w:r>
        <w:rPr>
          <w:b/>
          <w:bCs/>
        </w:rPr>
        <w:t xml:space="preserve">pupil-linked DDM extensions</w:t>
      </w:r>
      <w:r>
        <w:t xml:space="preserve"> </w:t>
      </w:r>
      <w:r>
        <w:t xml:space="preserve">tested whether trial-wise task-evoked pupil responses (TEPR) modulated drift rate or response bias, using a nested sequence of pupil-augmented models compared via PSIS-LOO (</w:t>
      </w:r>
      <w:hyperlink w:anchor="sec-pupil-ddm-models">
        <w:r>
          <w:rPr>
            <w:rStyle w:val="Hyperlink"/>
          </w:rPr>
          <w:t xml:space="preserve">Section 2.7.3</w:t>
        </w:r>
      </w:hyperlink>
      <w:r>
        <w:t xml:space="preserve">). Sensitivity analyses across RT cutoff thresholds are reported in Supplementary Section S4.2.</w:t>
      </w:r>
      <w:r>
        <w:t xml:space="preserve"> </w:t>
      </w:r>
      <w:r>
        <w:rPr>
          <w:b/>
          <w:bCs/>
        </w:rPr>
        <w:t xml:space="preserve">Exploratory individual-differences analyses</w:t>
      </w:r>
      <w:r>
        <w:t xml:space="preserve"> </w:t>
      </w:r>
      <w:r>
        <w:t xml:space="preserve">examined whether LC structural MRI metrics (Supplementary Section S8;</w:t>
      </w:r>
      <w:r>
        <w:t xml:space="preserve"> </w:t>
      </w:r>
      <w:r>
        <w:t xml:space="preserve">(Bennett et al., 2024)</w:t>
      </w:r>
      <w:r>
        <w:t xml:space="preserve">) and neuropsychological test scores (Supplementary Section S9) related to DDM parameters or behavioral effort costs; these analyses were not used for model selection or primary hypothesis testing.</w:t>
      </w:r>
    </w:p>
    <w:bookmarkEnd w:id="21"/>
    <w:bookmarkEnd w:id="22"/>
    <w:bookmarkStart w:id="23" w:name="sec-pupil-preprocessing"/>
    <w:p>
      <w:pPr>
        <w:pStyle w:val="Heading2"/>
      </w:pPr>
      <w:r>
        <w:t xml:space="preserve">2.6 Pupillometry Preprocessing and AUC Features</w:t>
      </w:r>
    </w:p>
    <w:p>
      <w:pPr>
        <w:pStyle w:val="FirstParagraph"/>
      </w:pPr>
      <w:r>
        <w:rPr>
          <w:b/>
          <w:bCs/>
        </w:rPr>
        <w:t xml:space="preserve">Recording and hardware.</w:t>
      </w:r>
      <w:r>
        <w:t xml:space="preserve"> </w:t>
      </w:r>
      <w:r>
        <w:t xml:space="preserve">Pupil diameter was continuously recorded using an MRI-compatible TRACKPixx binocular eye tracker (VPixx Technologies, Montreal, Canada) sampling at 2000 Hz. Raw eye-tracking data were exported as .mat files and processed through a multi-stage preprocessing pipeline designed to ensure high-quality pupillometry measurements.</w:t>
      </w:r>
    </w:p>
    <w:p>
      <w:pPr>
        <w:pStyle w:val="BodyText"/>
      </w:pPr>
      <w:r>
        <w:rPr>
          <w:b/>
          <w:bCs/>
        </w:rPr>
        <w:t xml:space="preserve">Artifact correction and quality control.</w:t>
      </w:r>
      <w:r>
        <w:t xml:space="preserve"> </w:t>
      </w:r>
      <w:r>
        <w:t xml:space="preserve">Blink artifacts and invalid samples were removed using the ET-remove-artifacts MATLAB toolbox (Huang et al., 2020), which employs a velocity-based detection algorithm configured with a 100th-order low-pass filter (passband: 10 Hz, stopband: 12 Hz) and peak/trough threshold factors of 5 standard deviations above baseline. Artifacts exceeding 2 seconds in duration were replaced with missing values rather than interpolated, following established methodological guidelines indicating that linear reconstruction over extended durations artificially compresses natural physiological variance and introduces spurious data trends (</w:t>
      </w:r>
      <w:r>
        <w:t xml:space="preserve">(Kret &amp; Sjak-Shie, 2019; Mathôt, 2018)</w:t>
      </w:r>
      <w:r>
        <w:t xml:space="preserve">). All recordings then underwent manual inspection using the toolbox’s interactive plot editor to identify and correct any remaining undetected artifacts.</w:t>
      </w:r>
    </w:p>
    <w:p>
      <w:pPr>
        <w:pStyle w:val="BodyText"/>
      </w:pPr>
      <w:r>
        <w:rPr>
          <w:b/>
          <w:bCs/>
        </w:rPr>
        <w:t xml:space="preserve">Trial alignment and downsampling.</w:t>
      </w:r>
      <w:r>
        <w:t xml:space="preserve"> </w:t>
      </w:r>
      <w:r>
        <w:t xml:space="preserve">Cleaned pupil data were trial-aligned using event timestamps synchronized with behavioral event markers, then downsampled from 2000 Hz to 250 Hz using an 8th-order anti-aliasing filter to preserve signal quality while reducing computational demands. Baseline correction was applied by subtracting the mean pupil diameter during the baseline window (-0.5 s to 0 s relative to squeeze onset) from all timepoints in the trial.</w:t>
      </w:r>
    </w:p>
    <w:p>
      <w:pPr>
        <w:pStyle w:val="BodyText"/>
      </w:pPr>
      <w:r>
        <w:rPr>
          <w:b/>
          <w:bCs/>
        </w:rPr>
        <w:t xml:space="preserve">Decision-Response AUC specification and rationale.</w:t>
      </w:r>
      <w:r>
        <w:t xml:space="preserve"> </w:t>
      </w:r>
      <w:r>
        <w:t xml:space="preserve">We quantified trial-wise phasic cognitive workload by calculating the baseline-corrected pupil area under the curve (AUC) via trapezoidal integration. This metric, functionally designated as the Decision-Response AUC, was extracted from a 3.0-second window anchored directly to evidence onset, spanning from 0.3 to 3.3 seconds post-probe. This placement corresponds to 4.65 to 7.65 seconds relative to the initial handgrip squeeze, capturing the transient, stimulus-locked phasic arousal fluctuation riding on top of the sustained tonic effort baseline. Delaying the window onset by 300 milliseconds directly accounts for the inherent neurophysiological lag of the pupillary efferent pathway. The 3.0-second window duration is highly specialized. It encapsulates the complete morphological profile of the transient task-evoked pupil response (TEPR), which characteristically peaks at approximately 2.95 seconds post-stimulus in this cohort. Because the explicit response prompt appeared 0.35 seconds post-probe and mean cue-locked response latencies averaged 0.6 seconds, this expansive window spans both pre-decision evidence accumulation and post-decision motor and confidence processing. We directly isolated these overlapping post-decisional dynamics by entering reaction time as a covariate in all primary downstream pupil-informed models. We also defined a</w:t>
      </w:r>
      <w:r>
        <w:t xml:space="preserve"> </w:t>
      </w:r>
      <w:r>
        <w:rPr>
          <w:b/>
          <w:bCs/>
        </w:rPr>
        <w:t xml:space="preserve">Truncated Decision-Response AUC</w:t>
      </w:r>
      <w:r>
        <w:t xml:space="preserve">—a 1.0-second integration window from 0.3 to 1.3 s post-probe (4.65 to 5.65 s relative to handgrip onset)—as a narrower alternative that minimizes post-response contamination at the cost of capturing less of the full TEPR morphology; the same nested pupil-DDM sequence was refit on this metric as a sensitivity analysis (</w:t>
      </w:r>
      <w:hyperlink w:anchor="sec-pupil-ddm-integration">
        <w:r>
          <w:rPr>
            <w:rStyle w:val="Hyperlink"/>
          </w:rPr>
          <w:t xml:space="preserve">Section 3.3</w:t>
        </w:r>
      </w:hyperlink>
      <w:r>
        <w:t xml:space="preserve">).</w:t>
      </w:r>
    </w:p>
    <w:p>
      <w:pPr>
        <w:pStyle w:val="BodyText"/>
      </w:pPr>
      <w:r>
        <w:t xml:space="preserve">Supplementary</w:t>
      </w:r>
      <w:r>
        <w:t xml:space="preserve"> </w:t>
      </w:r>
      <w:hyperlink w:anchor="suppfig-timing-supp">
        <w:r>
          <w:rPr>
            <w:rStyle w:val="Hyperlink"/>
          </w:rPr>
          <w:t xml:space="preserve">Figure S15</w:t>
        </w:r>
      </w:hyperlink>
      <w:r>
        <w:t xml:space="preserve"> </w:t>
      </w:r>
      <w:r>
        <w:t xml:space="preserve">shows the response-signal timing structure used in analyses.</w:t>
      </w:r>
    </w:p>
    <w:p>
      <w:pPr>
        <w:pStyle w:val="BodyText"/>
      </w:pPr>
      <w:r>
        <w:rPr>
          <w:b/>
          <w:bCs/>
        </w:rPr>
        <w:t xml:space="preserve">Confounds and sensitivity checks.</w:t>
      </w:r>
      <w:r>
        <w:t xml:space="preserve"> </w:t>
      </w:r>
      <w:r>
        <w:t xml:space="preserve">To minimize potential confounds from luminance and viewing distance, the paradigm was executed within a controlled MRI environment characterized by constant background luminance and a fixed viewing distance. Motor-related autonomic activity was addressed by including reaction time as a covariate in subsequent pupil-informed models.</w:t>
      </w:r>
    </w:p>
    <w:bookmarkEnd w:id="23"/>
    <w:bookmarkStart w:id="28" w:name="computational-model"/>
    <w:p>
      <w:pPr>
        <w:pStyle w:val="Heading2"/>
      </w:pPr>
      <w:r>
        <w:t xml:space="preserve">2.7 Computational model</w:t>
      </w:r>
    </w:p>
    <w:p>
      <w:pPr>
        <w:pStyle w:val="FirstParagraph"/>
      </w:pPr>
      <w:r>
        <w:t xml:space="preserve">The drift-diffusion framework and its four parameters (</w:t>
      </w:r>
      <m:oMath>
        <m:r>
          <m:t>v</m:t>
        </m:r>
      </m:oMath>
      <w:r>
        <w:t xml:space="preserve">,</w:t>
      </w:r>
      <w:r>
        <w:t xml:space="preserve"> </w:t>
      </w:r>
      <m:oMath>
        <m:r>
          <m:t>a</m:t>
        </m:r>
      </m:oMath>
      <w:r>
        <w:t xml:space="preserve">,</w:t>
      </w:r>
      <w:r>
        <w:t xml:space="preserve"> </w:t>
      </w:r>
      <m:oMath>
        <m:r>
          <m:t>z</m:t>
        </m:r>
      </m:oMath>
      <w:r>
        <w:t xml:space="preserve">,</w:t>
      </w:r>
      <w:r>
        <w:t xml:space="preserve"> </w:t>
      </w:r>
      <m:oMath>
        <m:sSub>
          <m:e>
            <m:r>
              <m:t>t</m:t>
            </m:r>
          </m:e>
          <m:sub>
            <m:r>
              <m:t>0</m:t>
            </m:r>
          </m:sub>
        </m:sSub>
      </m:oMath>
      <w:r>
        <w:t xml:space="preserve">) are introduced in the Introduction; this section describes the implementation-specific decisions for the present study.</w:t>
      </w:r>
    </w:p>
    <w:bookmarkStart w:id="24" w:name="decision-coding-and-parameterization"/>
    <w:p>
      <w:pPr>
        <w:pStyle w:val="Heading3"/>
      </w:pPr>
      <w:r>
        <w:t xml:space="preserve">2.7.1 Decision coding and parameterization</w:t>
      </w:r>
    </w:p>
    <w:p>
      <w:pPr>
        <w:pStyle w:val="FirstParagraph"/>
      </w:pPr>
      <w:r>
        <w:rPr>
          <w:b/>
          <w:bCs/>
        </w:rPr>
        <w:t xml:space="preserve">Response-side coding rationale.</w:t>
      </w:r>
      <w:r>
        <w:t xml:space="preserve"> </w:t>
      </w:r>
      <w:r>
        <w:t xml:space="preserve">We employed response-side coding (also termed stimulus coding) where the upper boundary maps to</w:t>
      </w:r>
      <w:r>
        <w:t xml:space="preserve"> </w:t>
      </w:r>
      <w:r>
        <w:t xml:space="preserve">“different”</w:t>
      </w:r>
      <w:r>
        <w:t xml:space="preserve"> </w:t>
      </w:r>
      <w:r>
        <w:t xml:space="preserve">choices and the lower boundary maps to</w:t>
      </w:r>
      <w:r>
        <w:t xml:space="preserve"> </w:t>
      </w:r>
      <w:r>
        <w:t xml:space="preserve">“same”</w:t>
      </w:r>
      <w:r>
        <w:t xml:space="preserve"> </w:t>
      </w:r>
      <w:r>
        <w:t xml:space="preserve">choices</w:t>
      </w:r>
      <w:r>
        <w:t xml:space="preserve"> </w:t>
      </w:r>
      <w:r>
        <w:t xml:space="preserve">(Ratcliff &amp; McKoon, 2008; Wiecki et al., 2013)</w:t>
      </w:r>
      <w:r>
        <w:t xml:space="preserve">. This configuration is mathematically required to independently isolate response-selection biases from true sensory discriminability (drift rate). Accuracy-based coding layouts (correct vs. incorrect boundaries) are structurally incapable of capturing these dynamics, as a bias parameter in an accuracy matrix merely reflects a trivial preference for being correct. Because individuals performing same–different discrimination paradigms frequently exhibit prominent response-specific heuristics (e.g., a conservative tendency to favor the</w:t>
      </w:r>
      <w:r>
        <w:t xml:space="preserve"> </w:t>
      </w:r>
      <w:r>
        <w:t xml:space="preserve">“same”</w:t>
      </w:r>
      <w:r>
        <w:t xml:space="preserve"> </w:t>
      </w:r>
      <w:r>
        <w:t xml:space="preserve">classification), anchoring boundaries directly to the physical response alternatives allows the model to estimate true pre-stimulus starting-point preferences. Under this parameterization, evidence accumulation directed toward a true</w:t>
      </w:r>
      <w:r>
        <w:t xml:space="preserve"> </w:t>
      </w:r>
      <w:r>
        <w:t xml:space="preserve">“Standard”</w:t>
      </w:r>
      <w:r>
        <w:t xml:space="preserve"> </w:t>
      </w:r>
      <w:r>
        <w:t xml:space="preserve">(same) stimulus is represented as a negative drift rate traveling toward the lower boundary, rather than a processing deficit.</w:t>
      </w:r>
    </w:p>
    <w:p>
      <w:pPr>
        <w:pStyle w:val="BodyText"/>
      </w:pPr>
      <w:r>
        <w:rPr>
          <w:b/>
          <w:bCs/>
        </w:rPr>
        <w:t xml:space="preserve">Implementation and model leverage.</w:t>
      </w:r>
      <w:r>
        <w:t xml:space="preserve"> </w:t>
      </w:r>
      <w:r>
        <w:t xml:space="preserve">Response-side coding was implemented by constructing a binary response vector, coded as 1 for</w:t>
      </w:r>
      <w:r>
        <w:t xml:space="preserve"> </w:t>
      </w:r>
      <w:r>
        <w:t xml:space="preserve">“different”</w:t>
      </w:r>
      <w:r>
        <w:t xml:space="preserve"> </w:t>
      </w:r>
      <w:r>
        <w:t xml:space="preserve">judgments and 0 for</w:t>
      </w:r>
      <w:r>
        <w:t xml:space="preserve"> </w:t>
      </w:r>
      <w:r>
        <w:t xml:space="preserve">“same”</w:t>
      </w:r>
      <w:r>
        <w:t xml:space="preserve"> </w:t>
      </w:r>
      <w:r>
        <w:t xml:space="preserve">judgments. Standard (</w:t>
      </w:r>
      <m:oMath>
        <m:r>
          <m:rPr>
            <m:sty m:val="p"/>
          </m:rPr>
          <m:t>Δ</m:t>
        </m:r>
        <m:r>
          <m:rPr>
            <m:sty m:val="p"/>
          </m:rPr>
          <m:t>=</m:t>
        </m:r>
        <m:r>
          <m:t>0</m:t>
        </m:r>
      </m:oMath>
      <w:r>
        <w:t xml:space="preserve">) trials provide critical mathematical leverage for identifying baseline starting-point bias (</w:t>
      </w:r>
      <m:oMath>
        <m:r>
          <m:t>z</m:t>
        </m:r>
      </m:oMath>
      <w:r>
        <w:t xml:space="preserve">) under this coding scheme. Because these baseline trials contain zero objective sensory evidence, they effectively isolate automatic response preferences from evidence accumulation speed. Full link function specifications and the underlying Wiener likelihood equations are detailed in Supplementary Section S6.</w:t>
      </w:r>
    </w:p>
    <w:bookmarkEnd w:id="24"/>
    <w:bookmarkStart w:id="25" w:name="sec-ddm-spec"/>
    <w:p>
      <w:pPr>
        <w:pStyle w:val="Heading3"/>
      </w:pPr>
      <w:r>
        <w:t xml:space="preserve">2.7.2 Model specification: standard-only calibration and primary model</w:t>
      </w:r>
    </w:p>
    <w:p>
      <w:pPr>
        <w:pStyle w:val="FirstParagraph"/>
      </w:pPr>
      <w:r>
        <w:rPr>
          <w:b/>
          <w:bCs/>
        </w:rPr>
        <w:t xml:space="preserve">Standard-only bias calibration model.</w:t>
      </w:r>
      <w:r>
        <w:t xml:space="preserve"> </w:t>
      </w:r>
      <w:r>
        <w:t xml:space="preserve">To structurally isolate baseline starting-point bias from active drift-rate estimation, we executed a two-stage modeling pipeline. The first stage fit a targeted calibration model restricted exclusively to Standard trials (</w:t>
      </w:r>
      <m:oMath>
        <m:r>
          <m:rPr>
            <m:sty m:val="p"/>
          </m:rPr>
          <m:t>≈</m:t>
        </m:r>
      </m:oMath>
      <w:r>
        <w:t xml:space="preserve"> </w:t>
      </w:r>
      <w:r>
        <w:t xml:space="preserve">3,600 trials), which establishes an empirical baseline for choice preference in the complete absence of sensory evidence shifts. Starting-point bias (</w:t>
      </w:r>
      <m:oMath>
        <m:r>
          <m:t>z</m:t>
        </m:r>
      </m:oMath>
      <w:r>
        <w:t xml:space="preserve">) was allowed to vary as a function of task modality and effort condition—both of which were explicitly known to the participant pre-trial—but was constrained to be invariant across perceptual difficulty levels, as trial-wise difficulty was randomized and entirely unknown prior to evidence presentation. The full parameter estimates and descriptive levels resulting from this calibration step are detailed in Supplementary Section S2.</w:t>
      </w:r>
    </w:p>
    <w:p>
      <w:pPr>
        <w:pStyle w:val="BodyText"/>
      </w:pPr>
      <w:r>
        <w:rPr>
          <w:b/>
          <w:bCs/>
        </w:rPr>
        <w:t xml:space="preserve">Primary analysis model.</w:t>
      </w:r>
      <w:r>
        <w:t xml:space="preserve"> </w:t>
      </w:r>
      <w:r>
        <w:t xml:space="preserve">Our primary behavioral DDM integrated both testing domains by modeling the Auditory Discrimination Task (ADT) and Visual Discrimination Task (VDT) jointly within a single hierarchical Bayesian framework. This joint configuration enters task modality as a fixed effect on starting-point bias (</w:t>
      </w:r>
      <m:oMath>
        <m:r>
          <m:t>z</m:t>
        </m:r>
      </m:oMath>
      <w:r>
        <w:t xml:space="preserve">), allowing the model to isolate task-specific parameter offsets while sharing participant-level random-effect variance across sensory domains. This hierarchical design leverages partial pooling via shrinkage to stabilize individual parameter estimates and maximize statistical power for detecting our core effects of interest.</w:t>
      </w:r>
    </w:p>
    <w:p>
      <w:pPr>
        <w:pStyle w:val="BodyText"/>
      </w:pPr>
      <w:r>
        <w:t xml:space="preserve">Within this joint model architecture, drift rate (</w:t>
      </w:r>
      <m:oMath>
        <m:r>
          <m:t>v</m:t>
        </m:r>
      </m:oMath>
      <w:r>
        <w:t xml:space="preserve">) and boundary separation (</w:t>
      </w:r>
      <m:oMath>
        <m:r>
          <m:t>a</m:t>
        </m:r>
      </m:oMath>
      <w:r>
        <w:t xml:space="preserve">) were estimated as additive functions of perceptual task difficulty (treatment-coded, Standard as reference) and tonic effort condition (treatment-coded, Low as reference). Starting-point bias (</w:t>
      </w:r>
      <m:oMath>
        <m:r>
          <m:t>z</m:t>
        </m:r>
      </m:oMath>
      <w:r>
        <w:t xml:space="preserve">) was modeled as a function of task and effort, but remained excluded from difficulty subformulas because trial difficulty cannot be anticipated before evidence accumulation begins (see</w:t>
      </w:r>
      <w:r>
        <w:t xml:space="preserve"> </w:t>
      </w:r>
      <w:hyperlink w:anchor="fig-ddm-process">
        <w:r>
          <w:rPr>
            <w:rStyle w:val="Hyperlink"/>
          </w:rPr>
          <w:t xml:space="preserve">Figure 1</w:t>
        </w:r>
      </w:hyperlink>
      <w:r>
        <w:t xml:space="preserve">, Panel C for a visual summary of predictor mappings). Non-decision time (</w:t>
      </w:r>
      <m:oMath>
        <m:sSub>
          <m:e>
            <m:r>
              <m:t>t</m:t>
            </m:r>
          </m:e>
          <m:sub>
            <m:r>
              <m:t>0</m:t>
            </m:r>
          </m:sub>
        </m:sSub>
      </m:oMath>
      <w:r>
        <w:t xml:space="preserve">) was set to an intercept-only specification based on pilot identification constraints inherent to the gated response-signal design. Random intercepts by participant were comprehensively estimated for</w:t>
      </w:r>
      <w:r>
        <w:t xml:space="preserve"> </w:t>
      </w:r>
      <m:oMath>
        <m:r>
          <m:t>v</m:t>
        </m:r>
      </m:oMath>
      <w:r>
        <w:t xml:space="preserve">,</w:t>
      </w:r>
      <w:r>
        <w:t xml:space="preserve"> </w:t>
      </w:r>
      <m:oMath>
        <m:r>
          <m:t>a</m:t>
        </m:r>
      </m:oMath>
      <w:r>
        <w:t xml:space="preserve">, and</w:t>
      </w:r>
      <w:r>
        <w:t xml:space="preserve"> </w:t>
      </w:r>
      <m:oMath>
        <m:r>
          <m:t>z</m:t>
        </m:r>
      </m:oMath>
      <w:r>
        <w:t xml:space="preserve">, while</w:t>
      </w:r>
      <w:r>
        <w:t xml:space="preserve"> </w:t>
      </w:r>
      <m:oMath>
        <m:sSub>
          <m:e>
            <m:r>
              <m:t>t</m:t>
            </m:r>
          </m:e>
          <m:sub>
            <m:r>
              <m:t>0</m:t>
            </m:r>
          </m:sub>
        </m:sSub>
      </m:oMath>
      <w:r>
        <w:t xml:space="preserve"> </w:t>
      </w:r>
      <w:r>
        <w:t xml:space="preserve">was retained as a fixed population parameter to ensure strict model identifiability. Task-separated parameter profiles are provided as an explicit sensitivity check in Supplementary Section S4.3 to validate that joint pooling did not obscure modality-specific trends.</w:t>
      </w:r>
    </w:p>
    <w:p>
      <w:pPr>
        <w:pStyle w:val="BodyText"/>
      </w:pPr>
      <w:r>
        <w:rPr>
          <w:b/>
          <w:bCs/>
        </w:rPr>
        <w:t xml:space="preserve">RT timing convention.</w:t>
      </w:r>
      <w:r>
        <w:t xml:space="preserve"> </w:t>
      </w:r>
      <w:r>
        <w:t xml:space="preserve">In this response-signal design, reaction time was defined as the latency from response-screen onset to the button press. However, because perceptual evidence becomes available immediately at probe onset, modeling distributions strictly from the execution cue presents a chronological misalignment between evidence availability and the mathematical integration start point. To ensure the diffusion window encompasses the entire information-processing timeline, probe-onset-locked RT was derived by adding the fixed 0.35-s post-probe delay (0.10-s probe duration plus 0.25-s grip-relaxation period) to the raw cue-locked value.</w:t>
      </w:r>
    </w:p>
    <w:p>
      <w:pPr>
        <w:pStyle w:val="BodyText"/>
      </w:pPr>
      <w:r>
        <w:t xml:space="preserve">Probe-onset-locked RT served as our primary timing convention because it correctly aligns the diffusion process with evidence onset (</w:t>
      </w:r>
      <w:hyperlink w:anchor="suppfig-rt-distributions">
        <w:r>
          <w:rPr>
            <w:rStyle w:val="Hyperlink"/>
          </w:rPr>
          <w:t xml:space="preserve">Figure S16</w:t>
        </w:r>
      </w:hyperlink>
      <w:r>
        <w:t xml:space="preserve">). Under this convention, the non-decision time parameter (</w:t>
      </w:r>
      <m:oMath>
        <m:sSub>
          <m:e>
            <m:r>
              <m:t>t</m:t>
            </m:r>
          </m:e>
          <m:sub>
            <m:r>
              <m:t>0</m:t>
            </m:r>
          </m:sub>
        </m:sSub>
      </m:oMath>
      <w:r>
        <w:t xml:space="preserve">) absorbs the fixed 0.35-s response-gating delay alongside standard encoding and motor execution overhead</w:t>
      </w:r>
      <w:r>
        <w:t xml:space="preserve"> </w:t>
      </w:r>
      <w:r>
        <w:t xml:space="preserve">(Ratcliff et al., 2007; Voss et al., 2004)</w:t>
      </w:r>
      <w:r>
        <w:t xml:space="preserve">. While this constant addition can compress parameter variance in peripheral timing estimates, anchoring the model timeline to evidence onset is more theoretically appropriate for isolating accumulation dynamics under concurrent motor load. Raw cue-locked latency profiles and alternative lower-bound filtering cutoffs (0.15 s and 0.25 s) were retained for sensitivity analyses, which are reported in Supplementary Section S4.</w:t>
      </w:r>
    </w:p>
    <w:p>
      <w:pPr>
        <w:pStyle w:val="BodyText"/>
      </w:pPr>
      <w:r>
        <w:rPr>
          <w:b/>
          <w:bCs/>
        </w:rPr>
        <w:t xml:space="preserve">Behavioral validation checks.</w:t>
      </w:r>
      <w:r>
        <w:t xml:space="preserve"> </w:t>
      </w:r>
      <w:r>
        <w:t xml:space="preserve">To confirm that our perceptual difficulty and physical effort manipulations systematically altered gross behavioral performance independent of DDM assumptions, we conducted baseline mixed-effects model checks restricted to active discrimination trials (Easy and Hard conditions). Perceptual accuracy was evaluated using a generalized linear mixed model (GLMM, binomial logistic link), and median reaction times were evaluated using a linear mixed model (LMM). Both validation frameworks entered task modality, perceptual difficulty, and physical effort as fixed effects, alongside random participant intercepts. Full model parameters and frequentist significance metrics for these baseline checks are reported transparently in Supplementary Section S7.</w:t>
      </w:r>
    </w:p>
    <w:bookmarkEnd w:id="25"/>
    <w:bookmarkStart w:id="26" w:name="sec-pupil-ddm-models"/>
    <w:p>
      <w:pPr>
        <w:pStyle w:val="Heading3"/>
      </w:pPr>
      <w:r>
        <w:t xml:space="preserve">2.7.3 Pupil-Linked DDM Extensions</w:t>
      </w:r>
    </w:p>
    <w:p>
      <w:pPr>
        <w:pStyle w:val="FirstParagraph"/>
      </w:pPr>
      <w:r>
        <w:t xml:space="preserve">Building upon the baseline behavioral model, we implemented hierarchical, pupil-informed regression extensions to evaluate whether within-person physiological fluctuations modulate parameters of choice on a trial-by-trial basis</w:t>
      </w:r>
      <w:r>
        <w:t xml:space="preserve"> </w:t>
      </w:r>
      <w:r>
        <w:t xml:space="preserve">(Wiecki et al., 2013)</w:t>
      </w:r>
      <w:r>
        <w:t xml:space="preserve">. The physical metric used for these extensions was the baseline-corrected Decision-Response AUC. To isolate true intra-individual variation from stable, between-participant differences in eye morphology, these trial-wise integration values were z-scored individually within each participant’s complete timecourse profile. This localized transformation yielded a standardized single-trial metric that serves as our functional physiological proxy for transient arousal fluctuations during the decision window.</w:t>
      </w:r>
    </w:p>
    <w:p>
      <w:pPr>
        <w:pStyle w:val="BodyText"/>
      </w:pPr>
      <w:r>
        <w:t xml:space="preserve">To explicitly adjudicate between alternative mechanisms of state-dependent cognitive control, we evaluated a nested sequence of model configurations</w:t>
      </w:r>
      <w:r>
        <w:t xml:space="preserve"> </w:t>
      </w:r>
      <w:r>
        <w:t xml:space="preserve">(</w:t>
      </w:r>
      <w:r>
        <w:t xml:space="preserve">de Gee et al.</w:t>
      </w:r>
      <w:r>
        <w:t xml:space="preserve">, 2017)</w:t>
      </w:r>
      <w:r>
        <w:t xml:space="preserve">. The baseline behavioral model excluded all trial-level physiological inputs, establishing a structural reference point where parameter variance was governed solely by categorical task conditions. A bias-only model allowed this standardized pupil metric to modulate starting-point bias (</w:t>
      </w:r>
      <m:oMath>
        <m:r>
          <m:t>z</m:t>
        </m:r>
      </m:oMath>
      <w:r>
        <w:t xml:space="preserve">) through a logistic link function, testing the hypothesis that momentary arousal suppresses pre-existing response preferences and drives the initial decision architecture toward neutrality (</w:t>
      </w:r>
      <m:oMath>
        <m:r>
          <m:t>z</m:t>
        </m:r>
        <m:r>
          <m:rPr>
            <m:sty m:val="p"/>
          </m:rPr>
          <m:t>=</m:t>
        </m:r>
        <m:r>
          <m:t>0.5</m:t>
        </m:r>
      </m:oMath>
      <w:r>
        <w:t xml:space="preserve">). Finally, a dual-dependency model allowed the pupil metric to simultaneously modulate both bias and drift rate (</w:t>
      </w:r>
      <m:oMath>
        <m:r>
          <m:t>v</m:t>
        </m:r>
      </m:oMath>
      <w:r>
        <w:t xml:space="preserve">), testing whether momentary arousal additionally alters the efficiency of central sensory processing under a sustained motor load. We compared the relative predictive success of these architectures using Pareto-smoothed importance sampling leave-one-out cross-validation (PSIS-LOO;</w:t>
      </w:r>
      <w:r>
        <w:t xml:space="preserve"> </w:t>
      </w:r>
      <w:r>
        <w:t xml:space="preserve">Vehtari et al. (2017)</w:t>
      </w:r>
      <w:r>
        <w:t xml:space="preserve">), focusing population-level inference on the posterior regression coefficients (</w:t>
      </w:r>
      <m:oMath>
        <m:r>
          <m:t>β</m:t>
        </m:r>
      </m:oMath>
      <w:r>
        <w:t xml:space="preserve">) estimated on the link scale.</w:t>
      </w:r>
    </w:p>
    <w:p>
      <w:pPr>
        <w:pStyle w:val="BodyText"/>
      </w:pPr>
      <w:r>
        <w:rPr>
          <w:b/>
          <w:bCs/>
        </w:rPr>
        <w:t xml:space="preserve">Pupil × Perceptual Difficulty interaction model.</w:t>
      </w:r>
      <w:r>
        <w:t xml:space="preserve"> </w:t>
      </w:r>
      <w:r>
        <w:t xml:space="preserve">To evaluate the classic Yerkes–Dodson prediction that the effects of arousal on decision-making diverge as a function of immediate cognitive demands—with the optimal arousal threshold shifting according to task complexity—we implemented an interaction model crossing the standardized pupil metric with perceptual task difficulty. This specification directly evaluates the integrated resource-arousal framework established in our introduction, examining whether within-person fluctuations in phasic arousal differentially modulate parameter dynamics across sensory difficulty levels. In the primary nested sequence, pupil was evaluated on starting-point bias (</w:t>
      </w:r>
      <m:oMath>
        <m:r>
          <m:t>z</m:t>
        </m:r>
      </m:oMath>
      <w:r>
        <w:t xml:space="preserve">), drift + bias (</w:t>
      </w:r>
      <m:oMath>
        <m:r>
          <m:t>v</m:t>
        </m:r>
      </m:oMath>
      <w:r>
        <w:t xml:space="preserve">,</w:t>
      </w:r>
      <w:r>
        <w:t xml:space="preserve"> </w:t>
      </w:r>
      <m:oMath>
        <m:r>
          <m:t>z</m:t>
        </m:r>
      </m:oMath>
      <w:r>
        <w:t xml:space="preserve">), and pupil × difficulty on drift (Models 1–3). To test the Cavanagh</w:t>
      </w:r>
      <w:r>
        <w:t xml:space="preserve"> </w:t>
      </w:r>
      <w:r>
        <w:t xml:space="preserve">(2014)</w:t>
      </w:r>
      <w:r>
        <w:t xml:space="preserve"> </w:t>
      </w:r>
      <w:r>
        <w:t xml:space="preserve">boundary account directly, we additionally fit a Cavanagh-style extension allowing pupil to modulate boundary separation (</w:t>
      </w:r>
      <m:oMath>
        <m:r>
          <m:t>a</m:t>
        </m:r>
      </m:oMath>
      <w:r>
        <w:t xml:space="preserve">) only, compared to the same-</w:t>
      </w:r>
      <m:oMath>
        <m:r>
          <m:t>N</m:t>
        </m:r>
      </m:oMath>
      <w:r>
        <w:t xml:space="preserve"> </w:t>
      </w:r>
      <w:r>
        <w:t xml:space="preserve">behavioral baseline via PSIS-LOO (Decision-Response and Truncated Decision-Response AUC windows;</w:t>
      </w:r>
      <w:r>
        <w:t xml:space="preserve"> </w:t>
      </w:r>
      <w:hyperlink w:anchor="sec-pupil-ddm-integration">
        <w:r>
          <w:rPr>
            <w:rStyle w:val="Hyperlink"/>
          </w:rPr>
          <w:t xml:space="preserve">Section 3.3</w:t>
        </w:r>
      </w:hyperlink>
      <w:r>
        <w:t xml:space="preserve">, Supplementary Section S5). Non-decision time remained intercept-only.</w:t>
      </w:r>
    </w:p>
    <w:bookmarkEnd w:id="26"/>
    <w:bookmarkStart w:id="27" w:name="sec-ddm-priors"/>
    <w:p>
      <w:pPr>
        <w:pStyle w:val="Heading3"/>
      </w:pPr>
      <w:r>
        <w:t xml:space="preserve">2.7.4 Priors, computation, and diagnostics</w:t>
      </w:r>
    </w:p>
    <w:p>
      <w:pPr>
        <w:pStyle w:val="FirstParagraph"/>
      </w:pPr>
      <w:r>
        <w:t xml:space="preserve">Priors were weakly informative and specified on the link scale. The boundary separation intercept used</w:t>
      </w:r>
      <w:r>
        <w:t xml:space="preserve"> </w:t>
      </w:r>
      <m:oMath>
        <m:r>
          <m:rPr>
            <m:scr m:val="script"/>
            <m:sty m:val="p"/>
          </m:rPr>
          <m:t>N</m:t>
        </m:r>
        <m:r>
          <m:rPr>
            <m:sty m:val="p"/>
          </m:rPr>
          <m:t>(</m:t>
        </m:r>
        <m:r>
          <m:rPr>
            <m:sty m:val="p"/>
          </m:rPr>
          <m:t>log</m:t>
        </m:r>
        <m:r>
          <m:t>1.3</m:t>
        </m:r>
        <m:r>
          <m:rPr>
            <m:sty m:val="p"/>
          </m:rPr>
          <m:t>,</m:t>
        </m:r>
        <m:r>
          <m:t> </m:t>
        </m:r>
        <m:r>
          <m:t>0.25</m:t>
        </m:r>
        <m:r>
          <m:rPr>
            <m:sty m:val="p"/>
          </m:rPr>
          <m:t>)</m:t>
        </m:r>
      </m:oMath>
      <w:r>
        <w:t xml:space="preserve"> </w:t>
      </w:r>
      <w:r>
        <w:t xml:space="preserve">(corresponding to</w:t>
      </w:r>
      <w:r>
        <w:t xml:space="preserve"> </w:t>
      </w:r>
      <m:oMath>
        <m:r>
          <m:t>a</m:t>
        </m:r>
        <m:r>
          <m:rPr>
            <m:sty m:val="p"/>
          </m:rPr>
          <m:t>≈</m:t>
        </m:r>
        <m:r>
          <m:t>1.3</m:t>
        </m:r>
      </m:oMath>
      <w:r>
        <w:t xml:space="preserve"> </w:t>
      </w:r>
      <w:r>
        <w:t xml:space="preserve">at baseline), the non-decision time intercept used</w:t>
      </w:r>
      <w:r>
        <w:t xml:space="preserve"> </w:t>
      </w:r>
      <m:oMath>
        <m:r>
          <m:rPr>
            <m:scr m:val="script"/>
            <m:sty m:val="p"/>
          </m:rPr>
          <m:t>N</m:t>
        </m:r>
        <m:r>
          <m:rPr>
            <m:sty m:val="p"/>
          </m:rPr>
          <m:t>(</m:t>
        </m:r>
        <m:r>
          <m:rPr>
            <m:sty m:val="p"/>
          </m:rPr>
          <m:t>log</m:t>
        </m:r>
        <m:r>
          <m:t>0.35</m:t>
        </m:r>
        <m:r>
          <m:rPr>
            <m:sty m:val="p"/>
          </m:rPr>
          <m:t>,</m:t>
        </m:r>
        <m:r>
          <m:t> </m:t>
        </m:r>
        <m:r>
          <m:t>0.15</m:t>
        </m:r>
        <m:r>
          <m:rPr>
            <m:sty m:val="p"/>
          </m:rPr>
          <m:t>)</m:t>
        </m:r>
      </m:oMath>
      <w:r>
        <w:t xml:space="preserve"> </w:t>
      </w:r>
      <w:r>
        <w:t xml:space="preserve">(</w:t>
      </w:r>
      <m:oMath>
        <m:sSub>
          <m:e>
            <m:r>
              <m:t>t</m:t>
            </m:r>
          </m:e>
          <m:sub>
            <m:r>
              <m:t>0</m:t>
            </m:r>
          </m:sub>
        </m:sSub>
        <m:r>
          <m:rPr>
            <m:sty m:val="p"/>
          </m:rPr>
          <m:t>≈</m:t>
        </m:r>
        <m:r>
          <m:t>0.35</m:t>
        </m:r>
      </m:oMath>
      <w:r>
        <w:t xml:space="preserve"> </w:t>
      </w:r>
      <w:r>
        <w:t xml:space="preserve">s, probe-onset-locked), the drift rate intercept used</w:t>
      </w:r>
      <w:r>
        <w:t xml:space="preserve"> </w:t>
      </w:r>
      <m:oMath>
        <m:r>
          <m:rPr>
            <m:scr m:val="script"/>
            <m:sty m:val="p"/>
          </m:rPr>
          <m:t>N</m:t>
        </m:r>
        <m:r>
          <m:rPr>
            <m:sty m:val="p"/>
          </m:rPr>
          <m:t>(</m:t>
        </m:r>
        <m:r>
          <m:t>0</m:t>
        </m:r>
        <m:r>
          <m:rPr>
            <m:sty m:val="p"/>
          </m:rPr>
          <m:t>,</m:t>
        </m:r>
        <m:r>
          <m:t>1</m:t>
        </m:r>
        <m:r>
          <m:rPr>
            <m:sty m:val="p"/>
          </m:rPr>
          <m:t>)</m:t>
        </m:r>
      </m:oMath>
      <w:r>
        <w:t xml:space="preserve">, and the starting-point bias intercept used</w:t>
      </w:r>
      <w:r>
        <w:t xml:space="preserve"> </w:t>
      </w:r>
      <m:oMath>
        <m:r>
          <m:rPr>
            <m:scr m:val="script"/>
            <m:sty m:val="p"/>
          </m:rPr>
          <m:t>N</m:t>
        </m:r>
        <m:r>
          <m:rPr>
            <m:sty m:val="p"/>
          </m:rPr>
          <m:t>(</m:t>
        </m:r>
        <m:r>
          <m:t>0</m:t>
        </m:r>
        <m:r>
          <m:rPr>
            <m:sty m:val="p"/>
          </m:rPr>
          <m:t>,</m:t>
        </m:r>
        <m:r>
          <m:t>0.5</m:t>
        </m:r>
        <m:r>
          <m:rPr>
            <m:sty m:val="p"/>
          </m:rPr>
          <m:t>)</m:t>
        </m:r>
      </m:oMath>
      <w:r>
        <w:t xml:space="preserve"> </w:t>
      </w:r>
      <w:r>
        <w:t xml:space="preserve">(</w:t>
      </w:r>
      <m:oMath>
        <m:r>
          <m:t>z</m:t>
        </m:r>
        <m:r>
          <m:rPr>
            <m:sty m:val="p"/>
          </m:rPr>
          <m:t>≈</m:t>
        </m:r>
        <m:r>
          <m:t>0.5</m:t>
        </m:r>
      </m:oMath>
      <w:r>
        <w:t xml:space="preserve">, no bias). Full prior specifications for slopes and random effects are provided in Supplementary Section S6.</w:t>
      </w:r>
    </w:p>
    <w:p>
      <w:pPr>
        <w:pStyle w:val="BodyText"/>
      </w:pPr>
      <w:r>
        <w:t xml:space="preserve">Convergence was assessed using</w:t>
      </w:r>
      <w:r>
        <w:t xml:space="preserve"> </w:t>
      </w:r>
      <m:oMath>
        <m:acc>
          <m:accPr>
            <m:chr m:val="̂"/>
          </m:accPr>
          <m:e>
            <m:r>
              <m:t>R</m:t>
            </m:r>
          </m:e>
        </m:acc>
        <m:r>
          <m:rPr>
            <m:sty m:val="p"/>
          </m:rPr>
          <m:t>&lt;</m:t>
        </m:r>
        <m:r>
          <m:t>1.01</m:t>
        </m:r>
      </m:oMath>
      <w:r>
        <w:t xml:space="preserve"> </w:t>
      </w:r>
      <w:r>
        <w:t xml:space="preserve">and minimum bulk ESS</w:t>
      </w:r>
      <w:r>
        <w:t xml:space="preserve"> </w:t>
      </w:r>
      <m:oMath>
        <m:r>
          <m:rPr>
            <m:sty m:val="p"/>
          </m:rPr>
          <m:t>&gt;</m:t>
        </m:r>
        <m:r>
          <m:t>400</m:t>
        </m:r>
      </m:oMath>
      <w:r>
        <w:t xml:space="preserve">; all primary behavioral models satisfied these criteria. Exploratory choice-history models met the criterion for the history variant (max</w:t>
      </w:r>
      <w:r>
        <w:t xml:space="preserve"> </w:t>
      </w:r>
      <m:oMath>
        <m:acc>
          <m:accPr>
            <m:chr m:val="̂"/>
          </m:accPr>
          <m:e>
            <m:r>
              <m:t>R</m:t>
            </m:r>
          </m:e>
        </m:acc>
      </m:oMath>
      <w:r>
        <w:t xml:space="preserve"> </w:t>
      </w:r>
      <w:r>
        <w:t xml:space="preserve">= 1.003); the WSLS variant showed a slightly elevated maximum</w:t>
      </w:r>
      <w:r>
        <w:t xml:space="preserve"> </w:t>
      </w:r>
      <m:oMath>
        <m:acc>
          <m:accPr>
            <m:chr m:val="̂"/>
          </m:accPr>
          <m:e>
            <m:r>
              <m:t>R</m:t>
            </m:r>
          </m:e>
        </m:acc>
      </m:oMath>
      <w:r>
        <w:t xml:space="preserve"> </w:t>
      </w:r>
      <w:r>
        <w:t xml:space="preserve">(1.014) but zero divergent transitions (Supplementary Section S10.1). Model comparison used Pareto-smoothed importance sampling LOO cross-validation (PSIS-LOO;</w:t>
      </w:r>
      <w:r>
        <w:t xml:space="preserve"> </w:t>
      </w:r>
      <w:r>
        <w:t xml:space="preserve">Vehtari et al. (2017)</w:t>
      </w:r>
      <w:r>
        <w:t xml:space="preserve">), with ELPD differences exceeding 4 considered meaningful; results are in</w:t>
      </w:r>
      <w:r>
        <w:t xml:space="preserve"> </w:t>
      </w:r>
      <w:hyperlink w:anchor="sec-results-sample">
        <w:r>
          <w:rPr>
            <w:rStyle w:val="Hyperlink"/>
          </w:rPr>
          <w:t xml:space="preserve">Section 3.1</w:t>
        </w:r>
      </w:hyperlink>
      <w:r>
        <w:t xml:space="preserve">.</w:t>
      </w:r>
    </w:p>
    <w:p>
      <w:pPr>
        <w:pStyle w:val="BodyText"/>
      </w:pPr>
      <w:r>
        <w:t xml:space="preserve">Model fit was evaluated using posterior predictive checks (PPC), including subject-level quantile-probability plots, Kolmogorov-Smirnov statistics, and residual heatmaps (full PPC diagnostics in Supplementary Section S3). PPC deviations in fast-tail regions — a known limitation of standard Wiener DDM — did not affect inference on key parameter contrasts.</w:t>
      </w:r>
    </w:p>
    <w:p>
      <w:r>
        <w:br w:type="page"/>
      </w:r>
    </w:p>
    <w:bookmarkEnd w:id="27"/>
    <w:bookmarkEnd w:id="28"/>
    <w:bookmarkEnd w:id="29"/>
    <w:bookmarkStart w:id="48" w:name="results"/>
    <w:p>
      <w:pPr>
        <w:pStyle w:val="Heading1"/>
      </w:pPr>
      <w:r>
        <w:t xml:space="preserve">3. Results</w:t>
      </w:r>
    </w:p>
    <w:bookmarkStart w:id="30" w:name="sec-results-sample"/>
    <w:p>
      <w:pPr>
        <w:pStyle w:val="Heading2"/>
      </w:pPr>
      <w:r>
        <w:t xml:space="preserve">3.1 Primary model overview</w:t>
      </w:r>
    </w:p>
    <w:p>
      <w:pPr>
        <w:pStyle w:val="FirstParagraph"/>
      </w:pPr>
      <w:r>
        <w:t xml:space="preserve">The DDM analysis included 67 older adults (</w:t>
      </w:r>
      <m:oMath>
        <m:sSub>
          <m:e>
            <m:r>
              <m:t>N</m:t>
            </m:r>
          </m:e>
          <m:sub>
            <m:r>
              <m:t>A</m:t>
            </m:r>
            <m:r>
              <m:t>D</m:t>
            </m:r>
            <m:r>
              <m:t>T</m:t>
            </m:r>
          </m:sub>
        </m:sSub>
      </m:oMath>
      <w:r>
        <w:t xml:space="preserve"> </w:t>
      </w:r>
      <w:r>
        <w:t xml:space="preserve">= 64,</w:t>
      </w:r>
      <w:r>
        <w:t xml:space="preserve"> </w:t>
      </w:r>
      <m:oMath>
        <m:sSub>
          <m:e>
            <m:r>
              <m:t>N</m:t>
            </m:r>
          </m:e>
          <m:sub>
            <m:r>
              <m:t>V</m:t>
            </m:r>
            <m:r>
              <m:t>D</m:t>
            </m:r>
            <m:r>
              <m:t>T</m:t>
            </m:r>
          </m:sub>
        </m:sSub>
      </m:oMath>
      <w:r>
        <w:t xml:space="preserve"> </w:t>
      </w:r>
      <w:r>
        <w:t xml:space="preserve">= 65 after task-specific exclusions). 5 participants contributed to only one task after exclusions because the other task had fewer than 100 valid trials. The primary additive model retained 17,857 probe-onset-locked trials after the cue-locked RT</w:t>
      </w:r>
      <w:r>
        <w:t xml:space="preserve"> </w:t>
      </w:r>
      <m:oMath>
        <m:r>
          <m:rPr>
            <m:sty m:val="p"/>
          </m:rPr>
          <m:t>&lt;</m:t>
        </m:r>
      </m:oMath>
      <w:r>
        <w:t xml:space="preserve"> </w:t>
      </w:r>
      <w:r>
        <w:t xml:space="preserve">0.20 s cutoff (mean 23 trials per subject across cells; cell totals 860–1863,</w:t>
      </w:r>
      <w:r>
        <w:t xml:space="preserve"> </w:t>
      </w:r>
      <w:hyperlink w:anchor="supptbl-trial-counts">
        <w:r>
          <w:rPr>
            <w:rStyle w:val="Hyperlink"/>
          </w:rPr>
          <w:t xml:space="preserve">Table S3</w:t>
        </w:r>
      </w:hyperlink>
      <w:r>
        <w:t xml:space="preserve">;</w:t>
      </w:r>
      <w:r>
        <w:t xml:space="preserve"> </w:t>
      </w:r>
      <w:hyperlink w:anchor="suppfig-participant-flow">
        <w:r>
          <w:rPr>
            <w:rStyle w:val="Hyperlink"/>
          </w:rPr>
          <w:t xml:space="preserve">Figure S3</w:t>
        </w:r>
      </w:hyperlink>
      <w:r>
        <w:t xml:space="preserve">). Manipulation checks showed that difficulty and effort affected accuracy and RT as intended (Supplementary Section S7).</w:t>
      </w:r>
    </w:p>
    <w:p>
      <w:pPr>
        <w:pStyle w:val="BodyText"/>
      </w:pPr>
      <w:r>
        <w:t xml:space="preserve">All primary behavioral models met convergence criteria (</w:t>
      </w:r>
      <m:oMath>
        <m:acc>
          <m:accPr>
            <m:chr m:val="̂"/>
          </m:accPr>
          <m:e>
            <m:r>
              <m:t>R</m:t>
            </m:r>
          </m:e>
        </m:acc>
      </m:oMath>
      <w:r>
        <w:t xml:space="preserve"> </w:t>
      </w:r>
      <w:r>
        <w:t xml:space="preserve">&lt; 1.01, bulk ESS &gt; 400, zero divergent transitions; Supplementary Section S1). Posterior predictive checks were less clean. All 12 experimental cells crossed the pre-specified KS/QP flagging thresholds (max KS = 0.343, max full-range QP RMSE = 0.225 s;</w:t>
      </w:r>
      <w:r>
        <w:t xml:space="preserve"> </w:t>
      </w:r>
      <w:hyperlink w:anchor="supptbl-convergence-ppc-gate-appendix">
        <w:r>
          <w:rPr>
            <w:rStyle w:val="Hyperlink"/>
          </w:rPr>
          <w:t xml:space="preserve">Table S8</w:t>
        </w:r>
      </w:hyperlink>
      <w:r>
        <w:t xml:space="preserve">), mainly because of fast-tail RT misfit. Mid-body quantile–probability fit was acceptable (Supplementary Section S3). The key effort contrasts also held under alternative RT lower-bound thresholds (Supplementary Section S4.2).</w:t>
      </w:r>
    </w:p>
    <w:p>
      <w:pPr>
        <w:pStyle w:val="BodyText"/>
      </w:pPr>
      <w:r>
        <w:t xml:space="preserve">We compared nested specifications with PSIS-LOO (</w:t>
      </w:r>
      <w:r>
        <w:t xml:space="preserve">Vehtari et al. (2017)</w:t>
      </w:r>
      <w:r>
        <w:t xml:space="preserve">). The additive model treated difficulty and effort as independent predictors of drift rate and boundary separation; it outperformed a difficulty-only baseline (</w:t>
      </w:r>
      <m:oMath>
        <m:r>
          <m:rPr>
            <m:sty m:val="p"/>
          </m:rPr>
          <m:t>Δ</m:t>
        </m:r>
      </m:oMath>
      <w:r>
        <w:t xml:space="preserve">ELPD</w:t>
      </w:r>
      <w:r>
        <w:t xml:space="preserve"> </w:t>
      </w:r>
      <m:oMath>
        <m:r>
          <m:rPr>
            <m:sty m:val="p"/>
          </m:rPr>
          <m:t>&gt;</m:t>
        </m:r>
      </m:oMath>
      <w:r>
        <w:t xml:space="preserve"> </w:t>
      </w:r>
      <w:r>
        <w:t xml:space="preserve">4). A difficulty</w:t>
      </w:r>
      <w:r>
        <w:t xml:space="preserve"> </w:t>
      </w:r>
      <m:oMath>
        <m:r>
          <m:rPr>
            <m:sty m:val="p"/>
          </m:rPr>
          <m:t>×</m:t>
        </m:r>
      </m:oMath>
      <w:r>
        <w:t xml:space="preserve"> </w:t>
      </w:r>
      <w:r>
        <w:t xml:space="preserve">effort interaction model attained a nominally higher ELPD (+</w:t>
      </w:r>
      <m:oMath>
        <m:r>
          <m:t>1515.8</m:t>
        </m:r>
      </m:oMath>
      <w:r>
        <w:t xml:space="preserve"> </w:t>
      </w:r>
      <w:r>
        <w:t xml:space="preserve">vs. additive, SE =</w:t>
      </w:r>
      <w:r>
        <w:t xml:space="preserve"> </w:t>
      </w:r>
      <m:oMath>
        <m:r>
          <m:t>58.4</m:t>
        </m:r>
      </m:oMath>
      <w:r>
        <w:t xml:space="preserve">; 26 SE). This apparent advantage is not interpretable: PSIS-LOO for the interaction was unreliable (max Pareto-</w:t>
      </w:r>
      <m:oMath>
        <m:r>
          <m:t>k</m:t>
        </m:r>
      </m:oMath>
      <w:r>
        <w:t xml:space="preserve"> </w:t>
      </w:r>
      <w:r>
        <w:t xml:space="preserve">= 1.18, above the 0.7 diagnostic threshold), whereas the additive model’s LOO was reliable (max Pareto-</w:t>
      </w:r>
      <m:oMath>
        <m:r>
          <m:t>k</m:t>
        </m:r>
      </m:oMath>
      <w:r>
        <w:t xml:space="preserve"> </w:t>
      </w:r>
      <w:r>
        <w:t xml:space="preserve">= 0.47). We retain the additive specification on LOO reliability and parsimony (see</w:t>
      </w:r>
      <w:r>
        <w:t xml:space="preserve"> </w:t>
      </w:r>
      <w:hyperlink w:anchor="supptbl-loo-comparison">
        <w:r>
          <w:rPr>
            <w:rStyle w:val="Hyperlink"/>
          </w:rPr>
          <w:t xml:space="preserve">Table S1</w:t>
        </w:r>
      </w:hyperlink>
      <w:r>
        <w:t xml:space="preserve">). Interaction coefficients on drift</w:t>
      </w:r>
      <w:r>
        <w:t xml:space="preserve"> </w:t>
      </w:r>
      <m:oMath>
        <m:r>
          <m:t>β</m:t>
        </m:r>
        <m:r>
          <m:rPr>
            <m:sty m:val="p"/>
          </m:rPr>
          <m:t>=</m:t>
        </m:r>
        <m:r>
          <m:rPr>
            <m:sty m:val="p"/>
          </m:rPr>
          <m:t>−</m:t>
        </m:r>
        <m:r>
          <m:t>0.021</m:t>
        </m:r>
      </m:oMath>
      <w:r>
        <w:t xml:space="preserve">, 95% CrI</w:t>
      </w:r>
      <w:r>
        <w:t xml:space="preserve"> </w:t>
      </w:r>
      <m:oMath>
        <m:r>
          <m:rPr>
            <m:sty m:val="p"/>
          </m:rPr>
          <m:t>[</m:t>
        </m:r>
        <m:r>
          <m:rPr>
            <m:sty m:val="p"/>
          </m:rPr>
          <m:t>−</m:t>
        </m:r>
        <m:r>
          <m:t>0.116</m:t>
        </m:r>
        <m:r>
          <m:rPr>
            <m:sty m:val="p"/>
          </m:rPr>
          <m:t>,</m:t>
        </m:r>
        <m:r>
          <m:t> </m:t>
        </m:r>
        <m:r>
          <m:t>0.073</m:t>
        </m:r>
        <m:r>
          <m:rPr>
            <m:sty m:val="p"/>
          </m:rPr>
          <m:t>]</m:t>
        </m:r>
      </m:oMath>
      <w:r>
        <w:t xml:space="preserve"> </w:t>
      </w:r>
      <w:r>
        <w:t xml:space="preserve">and boundary</w:t>
      </w:r>
      <w:r>
        <w:t xml:space="preserve"> </w:t>
      </w:r>
      <m:oMath>
        <m:r>
          <m:t>β</m:t>
        </m:r>
        <m:r>
          <m:rPr>
            <m:sty m:val="p"/>
          </m:rPr>
          <m:t>=</m:t>
        </m:r>
        <m:r>
          <m:rPr>
            <m:sty m:val="p"/>
          </m:rPr>
          <m:t>−</m:t>
        </m:r>
        <m:r>
          <m:t>0.028</m:t>
        </m:r>
      </m:oMath>
      <w:r>
        <w:t xml:space="preserve">, 95% CrI</w:t>
      </w:r>
      <w:r>
        <w:t xml:space="preserve"> </w:t>
      </w:r>
      <m:oMath>
        <m:r>
          <m:rPr>
            <m:sty m:val="p"/>
          </m:rPr>
          <m:t>[</m:t>
        </m:r>
        <m:r>
          <m:rPr>
            <m:sty m:val="p"/>
          </m:rPr>
          <m:t>−</m:t>
        </m:r>
        <m:r>
          <m:t>0.069</m:t>
        </m:r>
        <m:r>
          <m:rPr>
            <m:sty m:val="p"/>
          </m:rPr>
          <m:t>,</m:t>
        </m:r>
        <m:r>
          <m:t> </m:t>
        </m:r>
        <m:r>
          <m:t>0.011</m:t>
        </m:r>
        <m:r>
          <m:rPr>
            <m:sty m:val="p"/>
          </m:rPr>
          <m:t>]</m:t>
        </m:r>
      </m:oMath>
      <w:r>
        <w:t xml:space="preserve"> </w:t>
      </w:r>
      <w:r>
        <w:t xml:space="preserve">spanned zero. Full ELPD values are in Supplementary Section S1 (</w:t>
      </w:r>
      <w:hyperlink w:anchor="supptbl-loo-comparison">
        <w:r>
          <w:rPr>
            <w:rStyle w:val="Hyperlink"/>
          </w:rPr>
          <w:t xml:space="preserve">Table S1</w:t>
        </w:r>
      </w:hyperlink>
      <w:r>
        <w:t xml:space="preserve">; max Pareto-</w:t>
      </w:r>
      <m:oMath>
        <m:r>
          <m:t>k</m:t>
        </m:r>
      </m:oMath>
      <w:r>
        <w:t xml:space="preserve"> </w:t>
      </w:r>
      <w:r>
        <w:t xml:space="preserve">= 0.47 for the additive model). All primary analyses below use the additive, probe-onset-locked specification. Pupil-augmented models are reported separately in</w:t>
      </w:r>
      <w:r>
        <w:t xml:space="preserve"> </w:t>
      </w:r>
      <w:hyperlink w:anchor="sec-pupil-ddm-integration">
        <w:r>
          <w:rPr>
            <w:rStyle w:val="Hyperlink"/>
          </w:rPr>
          <w:t xml:space="preserve">Section 3.3</w:t>
        </w:r>
      </w:hyperlink>
      <w:r>
        <w:t xml:space="preserve">.</w:t>
      </w:r>
    </w:p>
    <w:bookmarkEnd w:id="30"/>
    <w:bookmarkStart w:id="46" w:name="sec-behavioral-ddm"/>
    <w:p>
      <w:pPr>
        <w:pStyle w:val="Heading2"/>
      </w:pPr>
      <w:r>
        <w:t xml:space="preserve">3.2 Effort effects on decision parameters (H1-H4)</w:t>
      </w:r>
    </w:p>
    <w:p>
      <w:pPr>
        <w:pStyle w:val="FirstParagraph"/>
      </w:pPr>
      <w:r>
        <w:t xml:space="preserve">Drift (</w:t>
      </w:r>
      <m:oMath>
        <m:r>
          <m:t>v</m:t>
        </m:r>
      </m:oMath>
      <w:r>
        <w:t xml:space="preserve">) and boundary separation (</w:t>
      </w:r>
      <m:oMath>
        <m:r>
          <m:t>a</m:t>
        </m:r>
      </m:oMath>
      <w:r>
        <w:t xml:space="preserve">) by Difficulty × Effort are shown in</w:t>
      </w:r>
      <w:r>
        <w:t xml:space="preserve"> </w:t>
      </w:r>
      <w:hyperlink w:anchor="fig-central-result">
        <w:r>
          <w:rPr>
            <w:rStyle w:val="Hyperlink"/>
          </w:rPr>
          <w:t xml:space="preserve">Figure 2</w:t>
        </w:r>
      </w:hyperlink>
      <w:r>
        <w:t xml:space="preserve">; effort and difficulty contrasts in</w:t>
      </w:r>
      <w:r>
        <w:t xml:space="preserve"> </w:t>
      </w:r>
      <w:hyperlink w:anchor="fig-parameter-forest">
        <w:r>
          <w:rPr>
            <w:rStyle w:val="Hyperlink"/>
          </w:rPr>
          <w:t xml:space="preserve">Figure 3</w:t>
        </w:r>
      </w:hyperlink>
      <w:r>
        <w:t xml:space="preserve">. Hypothesis tests (H1–H4) are in</w:t>
      </w:r>
      <w:r>
        <w:t xml:space="preserve"> </w:t>
      </w:r>
      <w:hyperlink w:anchor="sec-key-contrasts">
        <w:r>
          <w:rPr>
            <w:rStyle w:val="Hyperlink"/>
          </w:rPr>
          <w:t xml:space="preserve">Section 3.2.1</w:t>
        </w:r>
      </w:hyperlink>
      <w:r>
        <w:t xml:space="preserve"> </w:t>
      </w:r>
      <w:r>
        <w:t xml:space="preserve">and</w:t>
      </w:r>
      <w:r>
        <w:t xml:space="preserve"> </w:t>
      </w:r>
      <w:hyperlink w:anchor="tbl-hyp-summary">
        <w:r>
          <w:rPr>
            <w:rStyle w:val="Hyperlink"/>
          </w:rPr>
          <w:t xml:space="preserve">Table 2</w:t>
        </w:r>
      </w:hyperlink>
      <w:r>
        <w:t xml:space="preserve">. Cell-wise posterior medians [95% CrI] for</w:t>
      </w:r>
      <w:r>
        <w:t xml:space="preserve"> </w:t>
      </w:r>
      <m:oMath>
        <m:r>
          <m:t>v</m:t>
        </m:r>
      </m:oMath>
      <w:r>
        <w:t xml:space="preserve">,</w:t>
      </w:r>
      <w:r>
        <w:t xml:space="preserve"> </w:t>
      </w:r>
      <m:oMath>
        <m:r>
          <m:t>a</m:t>
        </m:r>
      </m:oMath>
      <w:r>
        <w:t xml:space="preserve">, and</w:t>
      </w:r>
      <w:r>
        <w:t xml:space="preserve"> </w:t>
      </w:r>
      <m:oMath>
        <m:r>
          <m:t>z</m:t>
        </m:r>
      </m:oMath>
      <w:r>
        <w:t xml:space="preserve"> </w:t>
      </w:r>
      <w:r>
        <w:t xml:space="preserve">are in Supplementary Section S2 (</w:t>
      </w:r>
      <w:hyperlink w:anchor="supptbl-ddm-posterior-estimates">
        <w:r>
          <w:rPr>
            <w:rStyle w:val="Hyperlink"/>
          </w:rPr>
          <w:t xml:space="preserve">Table S4</w:t>
        </w:r>
      </w:hyperlink>
      <w:r>
        <w:t xml:space="preserve">).</w:t>
      </w:r>
    </w:p>
    <w:p>
      <w:pPr>
        <w:pStyle w:val="BodyText"/>
      </w:pPr>
      <w:r>
        <w:t xml:space="preserve">Positive</w:t>
      </w:r>
      <w:r>
        <w:t xml:space="preserve"> </w:t>
      </w:r>
      <m:oMath>
        <m:r>
          <m:t>v</m:t>
        </m:r>
      </m:oMath>
      <w:r>
        <w:t xml:space="preserve"> </w:t>
      </w:r>
      <w:r>
        <w:t xml:space="preserve">indicates drift toward</w:t>
      </w:r>
      <w:r>
        <w:t xml:space="preserve"> </w:t>
      </w:r>
      <w:r>
        <w:t xml:space="preserve">“different”</w:t>
      </w:r>
      <w:r>
        <w:t xml:space="preserve">; negative</w:t>
      </w:r>
      <w:r>
        <w:t xml:space="preserve"> </w:t>
      </w:r>
      <m:oMath>
        <m:r>
          <m:t>v</m:t>
        </m:r>
      </m:oMath>
      <w:r>
        <w:t xml:space="preserve"> </w:t>
      </w:r>
      <w:r>
        <w:t xml:space="preserve">toward</w:t>
      </w:r>
      <w:r>
        <w:t xml:space="preserve"> </w:t>
      </w:r>
      <w:r>
        <w:t xml:space="preserve">“same”</w:t>
      </w:r>
      <w:r>
        <w:t xml:space="preserve">. Non-decision time (</w:t>
      </w:r>
      <m:oMath>
        <m:sSub>
          <m:e>
            <m:r>
              <m:t>t</m:t>
            </m:r>
          </m:e>
          <m:sub>
            <m:r>
              <m:t>0</m:t>
            </m:r>
          </m:sub>
        </m:sSub>
      </m:oMath>
      <w:r>
        <w:t xml:space="preserve">) was a single intercept (0.504 s) in the primary model (</w:t>
      </w:r>
      <w:hyperlink w:anchor="sec-ddm-spec">
        <w:r>
          <w:rPr>
            <w:rStyle w:val="Hyperlink"/>
          </w:rPr>
          <w:t xml:space="preserve">Section 2.7.2</w:t>
        </w:r>
      </w:hyperlink>
      <w:r>
        <w:t xml:space="preserve">); it does not vary by condition and is omitted from the figures.</w:t>
      </w:r>
    </w:p>
    <w:tbl>
      <w:tblPr>
        <w:tblStyle w:val="Table"/>
        <w:tblW w:type="pct" w:w="5000"/>
        <w:tblLayout w:type="fixed"/>
        <w:tblLook w:firstRow="0" w:lastRow="0" w:firstColumn="0" w:lastColumn="0" w:noHBand="0" w:noVBand="0" w:val="0000"/>
      </w:tblPr>
      <w:tblGrid>
        <w:gridCol w:w="7920"/>
      </w:tblGrid>
      <w:tr>
        <w:tc>
          <w:tcPr/>
          <w:bookmarkStart w:id="34" w:name="fig-central-result"/>
          <w:p>
            <w:pPr>
              <w:pStyle w:val="Compact"/>
              <w:jc w:val="center"/>
            </w:pPr>
            <w:r>
              <w:drawing>
                <wp:inline>
                  <wp:extent cx="5334000" cy="2964448"/>
                  <wp:effectExtent b="0" l="0" r="0" t="0"/>
                  <wp:docPr descr="" title="" id="32" name="Picture"/>
                  <a:graphic>
                    <a:graphicData uri="http://schemas.openxmlformats.org/drawingml/2006/picture">
                      <pic:pic>
                        <pic:nvPicPr>
                          <pic:cNvPr descr="../output/figures/manuscript/fig2_central_result.png" id="33" name="Picture"/>
                          <pic:cNvPicPr>
                            <a:picLocks noChangeArrowheads="1" noChangeAspect="1"/>
                          </pic:cNvPicPr>
                        </pic:nvPicPr>
                        <pic:blipFill>
                          <a:blip r:embed="rId31"/>
                          <a:stretch>
                            <a:fillRect/>
                          </a:stretch>
                        </pic:blipFill>
                        <pic:spPr bwMode="auto">
                          <a:xfrm>
                            <a:off x="0" y="0"/>
                            <a:ext cx="5334000" cy="29644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High-effort handgrip degraded evidence accumulation quality with only a ROPE-negligible boundary effect.</w:t>
            </w:r>
            <w:r>
              <w:t xml:space="preserve"> </w:t>
            </w:r>
            <w:r>
              <w:rPr>
                <w:b/>
                <w:bCs/>
              </w:rPr>
              <w:t xml:space="preserve">(A)</w:t>
            </w:r>
            <w:r>
              <w:t xml:space="preserve"> </w:t>
            </w:r>
            <w:r>
              <w:t xml:space="preserve">Posterior median drift rate (</w:t>
            </w:r>
            <m:oMath>
              <m:r>
                <m:t>v</m:t>
              </m:r>
            </m:oMath>
            <w:r>
              <w:t xml:space="preserve">) by Difficulty</w:t>
            </w:r>
            <w:r>
              <w:t xml:space="preserve"> </w:t>
            </w:r>
            <m:oMath>
              <m:r>
                <m:rPr>
                  <m:sty m:val="p"/>
                </m:rPr>
                <m:t>×</m:t>
              </m:r>
            </m:oMath>
            <w:r>
              <w:t xml:space="preserve"> </w:t>
            </w:r>
            <w:r>
              <w:t xml:space="preserve">Effort (95% CrI; Low = blue, High = magenta), pooled across tasks; dashed line at</w:t>
            </w:r>
            <w:r>
              <w:t xml:space="preserve"> </w:t>
            </w:r>
            <m:oMath>
              <m:r>
                <m:t>v</m:t>
              </m:r>
              <m:r>
                <m:rPr>
                  <m:sty m:val="p"/>
                </m:rPr>
                <m:t>=</m:t>
              </m:r>
              <m:r>
                <m:t>0</m:t>
              </m:r>
            </m:oMath>
            <w:r>
              <w:t xml:space="preserve">.</w:t>
            </w:r>
            <w:r>
              <w:t xml:space="preserve"> </w:t>
            </w:r>
            <w:r>
              <w:rPr>
                <w:b/>
                <w:bCs/>
              </w:rPr>
              <w:t xml:space="preserve">(B)</w:t>
            </w:r>
            <w:r>
              <w:t xml:space="preserve"> </w:t>
            </w:r>
            <w:r>
              <w:t xml:space="preserve">H1: High</w:t>
            </w:r>
            <w:r>
              <w:t xml:space="preserve"> </w:t>
            </w:r>
            <m:oMath>
              <m:r>
                <m:rPr>
                  <m:sty m:val="p"/>
                </m:rPr>
                <m:t>−</m:t>
              </m:r>
            </m:oMath>
            <w:r>
              <w:t xml:space="preserve"> </w:t>
            </w:r>
            <w:r>
              <w:t xml:space="preserve">Low effort contrast on</w:t>
            </w:r>
            <w:r>
              <w:t xml:space="preserve"> </w:t>
            </w:r>
            <m:oMath>
              <m:r>
                <m:t>v</m:t>
              </m:r>
            </m:oMath>
            <w:r>
              <w:t xml:space="preserve">; 95% CrI excludes zero.</w:t>
            </w:r>
            <w:r>
              <w:t xml:space="preserve"> </w:t>
            </w:r>
            <w:r>
              <w:rPr>
                <w:b/>
                <w:bCs/>
              </w:rPr>
              <w:t xml:space="preserve">(C)</w:t>
            </w:r>
            <w:r>
              <w:t xml:space="preserve"> </w:t>
            </w:r>
            <w:r>
              <w:t xml:space="preserve">Posterior median boundary separation (</w:t>
            </w:r>
            <m:oMath>
              <m:r>
                <m:t>a</m:t>
              </m:r>
            </m:oMath>
            <w:r>
              <w:t xml:space="preserve">) by Difficulty</w:t>
            </w:r>
            <w:r>
              <w:t xml:space="preserve"> </w:t>
            </w:r>
            <m:oMath>
              <m:r>
                <m:rPr>
                  <m:sty m:val="p"/>
                </m:rPr>
                <m:t>×</m:t>
              </m:r>
            </m:oMath>
            <w:r>
              <w:t xml:space="preserve"> </w:t>
            </w:r>
            <w:r>
              <w:t xml:space="preserve">Effort.</w:t>
            </w:r>
            <w:r>
              <w:t xml:space="preserve"> </w:t>
            </w:r>
            <w:r>
              <w:rPr>
                <w:b/>
                <w:bCs/>
              </w:rPr>
              <w:t xml:space="preserve">(D)</w:t>
            </w:r>
            <w:r>
              <w:t xml:space="preserve"> </w:t>
            </w:r>
            <w:r>
              <w:t xml:space="preserve">H2: High</w:t>
            </w:r>
            <w:r>
              <w:t xml:space="preserve"> </w:t>
            </w:r>
            <m:oMath>
              <m:r>
                <m:rPr>
                  <m:sty m:val="p"/>
                </m:rPr>
                <m:t>−</m:t>
              </m:r>
            </m:oMath>
            <w:r>
              <w:t xml:space="preserve"> </w:t>
            </w:r>
            <w:r>
              <w:t xml:space="preserve">Low effort contrast on</w:t>
            </w:r>
            <w:r>
              <w:t xml:space="preserve"> </w:t>
            </w:r>
            <m:oMath>
              <m:r>
                <m:t>a</m:t>
              </m:r>
            </m:oMath>
            <w:r>
              <w:t xml:space="preserve"> </w:t>
            </w:r>
            <w:r>
              <w:t xml:space="preserve">(log scale); directionally positive but all posterior mass within the project ROPE (practically negligible). Statistical note: H1 on</w:t>
            </w:r>
            <w:r>
              <w:t xml:space="preserve"> </w:t>
            </w:r>
            <m:oMath>
              <m:r>
                <m:t>v</m:t>
              </m:r>
            </m:oMath>
            <w:r>
              <w:t xml:space="preserve">:</w:t>
            </w:r>
            <w:r>
              <w:t xml:space="preserve"> </w:t>
            </w:r>
            <m:oMath>
              <m:r>
                <m:t>β</m:t>
              </m:r>
              <m:r>
                <m:rPr>
                  <m:sty m:val="p"/>
                </m:rPr>
                <m:t>=</m:t>
              </m:r>
              <m:r>
                <m:rPr>
                  <m:sty m:val="p"/>
                </m:rPr>
                <m:t>−</m:t>
              </m:r>
              <m:r>
                <m:t>0.06</m:t>
              </m:r>
            </m:oMath>
            <w:r>
              <w:t xml:space="preserve">, 95% CrI</w:t>
            </w:r>
            <w:r>
              <w:t xml:space="preserve"> </w:t>
            </w:r>
            <m:oMath>
              <m:r>
                <m:rPr>
                  <m:sty m:val="p"/>
                </m:rPr>
                <m:t>[</m:t>
              </m:r>
              <m:r>
                <m:rPr>
                  <m:sty m:val="p"/>
                </m:rPr>
                <m:t>−</m:t>
              </m:r>
              <m:r>
                <m:t>0.10</m:t>
              </m:r>
              <m:r>
                <m:rPr>
                  <m:sty m:val="p"/>
                </m:rPr>
                <m:t>,</m:t>
              </m:r>
              <m:r>
                <m:t> </m:t>
              </m:r>
              <m:r>
                <m:rPr>
                  <m:sty m:val="p"/>
                </m:rPr>
                <m:t>−</m:t>
              </m:r>
              <m:r>
                <m:t>0.02</m:t>
              </m:r>
              <m:r>
                <m:rPr>
                  <m:sty m:val="p"/>
                </m:rPr>
                <m:t>]</m:t>
              </m:r>
            </m:oMath>
            <w:r>
              <w:t xml:space="preserve">;</w:t>
            </w:r>
            <w:r>
              <w:t xml:space="preserve"> </w:t>
            </w:r>
            <m:oMath>
              <m:r>
                <m:t>P</m:t>
              </m:r>
              <m:r>
                <m:rPr>
                  <m:sty m:val="p"/>
                </m:rPr>
                <m:t>(</m:t>
              </m:r>
              <m:r>
                <m:t>β</m:t>
              </m:r>
              <m:r>
                <m:rPr>
                  <m:sty m:val="p"/>
                </m:rPr>
                <m:t>&lt;</m:t>
              </m:r>
              <m:r>
                <m:t>0</m:t>
              </m:r>
              <m:r>
                <m:rPr>
                  <m:sty m:val="p"/>
                </m:rPr>
                <m:t>)</m:t>
              </m:r>
              <m:r>
                <m:rPr>
                  <m:sty m:val="p"/>
                </m:rPr>
                <m:t>=</m:t>
              </m:r>
              <m:r>
                <m:t>0.997</m:t>
              </m:r>
            </m:oMath>
            <w:r>
              <w:t xml:space="preserve">. H2 on</w:t>
            </w:r>
            <w:r>
              <w:t xml:space="preserve"> </w:t>
            </w:r>
            <m:oMath>
              <m:r>
                <m:t>a</m:t>
              </m:r>
            </m:oMath>
            <w:r>
              <w:t xml:space="preserve">:</w:t>
            </w:r>
            <w:r>
              <w:t xml:space="preserve"> </w:t>
            </w:r>
            <m:oMath>
              <m:r>
                <m:t>β</m:t>
              </m:r>
              <m:r>
                <m:rPr>
                  <m:sty m:val="p"/>
                </m:rPr>
                <m:t>=</m:t>
              </m:r>
              <m:r>
                <m:t>0.02</m:t>
              </m:r>
            </m:oMath>
            <w:r>
              <w:t xml:space="preserve">, 95% CrI</w:t>
            </w:r>
            <w:r>
              <w:t xml:space="preserve"> </w:t>
            </w:r>
            <m:oMath>
              <m:r>
                <m:rPr>
                  <m:sty m:val="p"/>
                </m:rPr>
                <m:t>[</m:t>
              </m:r>
              <m:r>
                <m:t>0.004</m:t>
              </m:r>
              <m:r>
                <m:rPr>
                  <m:sty m:val="p"/>
                </m:rPr>
                <m:t>,</m:t>
              </m:r>
              <m:r>
                <m:t> </m:t>
              </m:r>
              <m:r>
                <m:t>0.029</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0.996</m:t>
              </m:r>
            </m:oMath>
            <w:r>
              <w:t xml:space="preserve">; 100% of posterior mass within $</w:t>
            </w:r>
            <w:r>
              <w:t xml:space="preserve">$0.05 log-scale ROPE.</w:t>
            </w:r>
          </w:p>
          <w:bookmarkEnd w:id="34"/>
        </w:tc>
      </w:tr>
    </w:tbl>
    <w:p>
      <w:pPr>
        <w:pStyle w:val="BodyText"/>
      </w:pPr>
      <w:r>
        <w:t xml:space="preserve">Because Effort is a within-subject manipulation, visual overlap in marginal means is misleading. Panel B of</w:t>
      </w:r>
      <w:r>
        <w:t xml:space="preserve"> </w:t>
      </w:r>
      <w:hyperlink w:anchor="fig-central-result">
        <w:r>
          <w:rPr>
            <w:rStyle w:val="Hyperlink"/>
          </w:rPr>
          <w:t xml:space="preserve">Figure 2</w:t>
        </w:r>
      </w:hyperlink>
      <w:r>
        <w:t xml:space="preserve"> </w:t>
      </w:r>
      <w:r>
        <w:t xml:space="preserve">plots the posterior distribution of the difference score (High</w:t>
      </w:r>
      <w:r>
        <w:t xml:space="preserve"> </w:t>
      </w:r>
      <m:oMath>
        <m:r>
          <m:rPr>
            <m:sty m:val="p"/>
          </m:rPr>
          <m:t>−</m:t>
        </m:r>
      </m:oMath>
      <w:r>
        <w:t xml:space="preserve"> </w:t>
      </w:r>
      <w:r>
        <w:t xml:space="preserve">Low Effort) and shows that the 95% CrI does not cross zero, confirming a highly credible reduction in drift rate.</w:t>
      </w:r>
    </w:p>
    <w:tbl>
      <w:tblPr>
        <w:tblStyle w:val="Table"/>
        <w:tblW w:type="pct" w:w="5000"/>
        <w:tblLayout w:type="fixed"/>
        <w:tblLook w:firstRow="0" w:lastRow="0" w:firstColumn="0" w:lastColumn="0" w:noHBand="0" w:noVBand="0" w:val="0000"/>
      </w:tblPr>
      <w:tblGrid>
        <w:gridCol w:w="7920"/>
      </w:tblGrid>
      <w:tr>
        <w:tc>
          <w:tcPr/>
          <w:bookmarkStart w:id="38" w:name="fig-parameter-forest"/>
          <w:p>
            <w:pPr>
              <w:pStyle w:val="Compact"/>
              <w:jc w:val="center"/>
            </w:pPr>
            <w:r>
              <w:drawing>
                <wp:inline>
                  <wp:extent cx="5334000" cy="2665744"/>
                  <wp:effectExtent b="0" l="0" r="0" t="0"/>
                  <wp:docPr descr="" title="" id="36" name="Picture"/>
                  <a:graphic>
                    <a:graphicData uri="http://schemas.openxmlformats.org/drawingml/2006/picture">
                      <pic:pic>
                        <pic:nvPicPr>
                          <pic:cNvPr descr="../output/figures/manuscript/fig3_parameter_forest.png" id="37" name="Picture"/>
                          <pic:cNvPicPr>
                            <a:picLocks noChangeArrowheads="1" noChangeAspect="1"/>
                          </pic:cNvPicPr>
                        </pic:nvPicPr>
                        <pic:blipFill>
                          <a:blip r:embed="rId35"/>
                          <a:stretch>
                            <a:fillRect/>
                          </a:stretch>
                        </pic:blipFill>
                        <pic:spPr bwMode="auto">
                          <a:xfrm>
                            <a:off x="0" y="0"/>
                            <a:ext cx="5334000" cy="26657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Effort credibly affected drift rate and boundary separation; starting-point bias did not.</w:t>
            </w:r>
            <w:r>
              <w:t xml:space="preserve"> </w:t>
            </w:r>
            <w:r>
              <w:rPr>
                <w:b/>
                <w:bCs/>
              </w:rPr>
              <w:t xml:space="preserve">(A)</w:t>
            </w:r>
            <w:r>
              <w:t xml:space="preserve"> </w:t>
            </w:r>
            <w:r>
              <w:t xml:space="preserve">High</w:t>
            </w:r>
            <w:r>
              <w:t xml:space="preserve"> </w:t>
            </w:r>
            <m:oMath>
              <m:r>
                <m:rPr>
                  <m:sty m:val="p"/>
                </m:rPr>
                <m:t>−</m:t>
              </m:r>
            </m:oMath>
            <w:r>
              <w:t xml:space="preserve"> </w:t>
            </w:r>
            <w:r>
              <w:t xml:space="preserve">Low effort contrasts (posterior median</w:t>
            </w:r>
            <w:r>
              <w:t xml:space="preserve"> </w:t>
            </w:r>
            <m:oMath>
              <m:r>
                <m:rPr>
                  <m:sty m:val="p"/>
                </m:rPr>
                <m:t>±</m:t>
              </m:r>
            </m:oMath>
            <w:r>
              <w:t xml:space="preserve"> </w:t>
            </w:r>
            <w:r>
              <w:t xml:space="preserve">95% CrI) for H1 (drift</w:t>
            </w:r>
            <w:r>
              <w:t xml:space="preserve"> </w:t>
            </w:r>
            <m:oMath>
              <m:r>
                <m:t>v</m:t>
              </m:r>
            </m:oMath>
            <w:r>
              <w:t xml:space="preserve">), H2 (boundary</w:t>
            </w:r>
            <w:r>
              <w:t xml:space="preserve"> </w:t>
            </w:r>
            <m:oMath>
              <m:r>
                <m:t>a</m:t>
              </m:r>
            </m:oMath>
            <w:r>
              <w:t xml:space="preserve">), and H4 (starting-point bias</w:t>
            </w:r>
            <w:r>
              <w:t xml:space="preserve"> </w:t>
            </w:r>
            <m:oMath>
              <m:r>
                <m:t>z</m:t>
              </m:r>
            </m:oMath>
            <w:r>
              <w:t xml:space="preserve">). Filled circles: 95% CrI excludes zero; open circles: CrI spans zero.</w:t>
            </w:r>
            <w:r>
              <w:t xml:space="preserve"> </w:t>
            </w:r>
            <w:r>
              <w:rPr>
                <w:b/>
                <w:bCs/>
              </w:rPr>
              <w:t xml:space="preserve">(B)</w:t>
            </w:r>
            <w:r>
              <w:t xml:space="preserve"> </w:t>
            </w:r>
            <w:r>
              <w:t xml:space="preserve">Pairwise difficulty contrasts on drift</w:t>
            </w:r>
            <w:r>
              <w:t xml:space="preserve"> </w:t>
            </w:r>
            <m:oMath>
              <m:r>
                <m:t>v</m:t>
              </m:r>
            </m:oMath>
            <w:r>
              <w:t xml:space="preserve"> </w:t>
            </w:r>
            <w:r>
              <w:t xml:space="preserve">(identity scale) and boundary</w:t>
            </w:r>
            <w:r>
              <w:t xml:space="preserve"> </w:t>
            </w:r>
            <m:oMath>
              <m:r>
                <m:t>a</m:t>
              </m:r>
            </m:oMath>
            <w:r>
              <w:t xml:space="preserve"> </w:t>
            </w:r>
            <w:r>
              <w:t xml:space="preserve">(log scale): Easy vs. Standard, Hard vs. Standard, and Easy vs. Hard. Statistical note: H1</w:t>
            </w:r>
            <w:r>
              <w:t xml:space="preserve"> </w:t>
            </w:r>
            <m:oMath>
              <m:r>
                <m:t>β</m:t>
              </m:r>
              <m:r>
                <m:rPr>
                  <m:sty m:val="p"/>
                </m:rPr>
                <m:t>=</m:t>
              </m:r>
              <m:r>
                <m:rPr>
                  <m:sty m:val="p"/>
                </m:rPr>
                <m:t>−</m:t>
              </m:r>
              <m:r>
                <m:t>0.06</m:t>
              </m:r>
            </m:oMath>
            <w:r>
              <w:t xml:space="preserve"> </w:t>
            </w:r>
            <w:r>
              <w:t xml:space="preserve">95% CrI</w:t>
            </w:r>
            <w:r>
              <w:t xml:space="preserve"> </w:t>
            </w:r>
            <m:oMath>
              <m:r>
                <m:rPr>
                  <m:sty m:val="p"/>
                </m:rPr>
                <m:t>[</m:t>
              </m:r>
              <m:r>
                <m:rPr>
                  <m:sty m:val="p"/>
                </m:rPr>
                <m:t>−</m:t>
              </m:r>
              <m:r>
                <m:t>0.10</m:t>
              </m:r>
              <m:r>
                <m:rPr>
                  <m:sty m:val="p"/>
                </m:rPr>
                <m:t>,</m:t>
              </m:r>
              <m:r>
                <m:t> </m:t>
              </m:r>
              <m:r>
                <m:rPr>
                  <m:sty m:val="p"/>
                </m:rPr>
                <m:t>−</m:t>
              </m:r>
              <m:r>
                <m:t>0.02</m:t>
              </m:r>
              <m:r>
                <m:rPr>
                  <m:sty m:val="p"/>
                </m:rPr>
                <m:t>]</m:t>
              </m:r>
            </m:oMath>
            <w:r>
              <w:t xml:space="preserve">; H2</w:t>
            </w:r>
            <w:r>
              <w:t xml:space="preserve"> </w:t>
            </w:r>
            <m:oMath>
              <m:r>
                <m:t>β</m:t>
              </m:r>
              <m:r>
                <m:rPr>
                  <m:sty m:val="p"/>
                </m:rPr>
                <m:t>=</m:t>
              </m:r>
              <m:r>
                <m:t>0.02</m:t>
              </m:r>
            </m:oMath>
            <w:r>
              <w:t xml:space="preserve"> </w:t>
            </w:r>
            <w:r>
              <w:t xml:space="preserve">95% CrI</w:t>
            </w:r>
            <w:r>
              <w:t xml:space="preserve"> </w:t>
            </w:r>
            <m:oMath>
              <m:r>
                <m:rPr>
                  <m:sty m:val="p"/>
                </m:rPr>
                <m:t>[</m:t>
              </m:r>
              <m:r>
                <m:t>0.004</m:t>
              </m:r>
              <m:r>
                <m:rPr>
                  <m:sty m:val="p"/>
                </m:rPr>
                <m:t>,</m:t>
              </m:r>
              <m:r>
                <m:t> </m:t>
              </m:r>
              <m:r>
                <m:t>0.029</m:t>
              </m:r>
              <m:r>
                <m:rPr>
                  <m:sty m:val="p"/>
                </m:rPr>
                <m:t>]</m:t>
              </m:r>
            </m:oMath>
            <w:r>
              <w:t xml:space="preserve">; H4 (primary, logit)</w:t>
            </w:r>
            <w:r>
              <w:t xml:space="preserve"> </w:t>
            </w:r>
            <m:oMath>
              <m:r>
                <m:t>β</m:t>
              </m:r>
              <m:r>
                <m:rPr>
                  <m:sty m:val="p"/>
                </m:rPr>
                <m:t>=</m:t>
              </m:r>
              <m:r>
                <m:rPr>
                  <m:sty m:val="p"/>
                </m:rPr>
                <m:t>−</m:t>
              </m:r>
              <m:r>
                <m:t>0.005</m:t>
              </m:r>
            </m:oMath>
            <w:r>
              <w:t xml:space="preserve"> </w:t>
            </w:r>
            <w:r>
              <w:t xml:space="preserve">95% CrI</w:t>
            </w:r>
            <w:r>
              <w:t xml:space="preserve"> </w:t>
            </w:r>
            <m:oMath>
              <m:r>
                <m:rPr>
                  <m:sty m:val="p"/>
                </m:rPr>
                <m:t>[</m:t>
              </m:r>
              <m:r>
                <m:rPr>
                  <m:sty m:val="p"/>
                </m:rPr>
                <m:t>−</m:t>
              </m:r>
              <m:r>
                <m:t>0.046</m:t>
              </m:r>
              <m:r>
                <m:rPr>
                  <m:sty m:val="p"/>
                </m:rPr>
                <m:t>,</m:t>
              </m:r>
              <m:r>
                <m:t> </m:t>
              </m:r>
              <m:r>
                <m:t>0.036</m:t>
              </m:r>
              <m:r>
                <m:rPr>
                  <m:sty m:val="p"/>
                </m:rPr>
                <m:t>]</m:t>
              </m:r>
            </m:oMath>
            <w:r>
              <w:t xml:space="preserve">. Difficulty contrasts on drift: Easy vs. Standard</w:t>
            </w:r>
            <w:r>
              <w:t xml:space="preserve"> </w:t>
            </w:r>
            <m:oMath>
              <m:r>
                <m:t>β</m:t>
              </m:r>
              <m:r>
                <m:rPr>
                  <m:sty m:val="p"/>
                </m:rPr>
                <m:t>≈</m:t>
              </m:r>
              <m:r>
                <m:rPr>
                  <m:sty m:val="p"/>
                </m:rPr>
                <m:t>+</m:t>
              </m:r>
              <m:r>
                <m:t>2.07</m:t>
              </m:r>
            </m:oMath>
            <w:r>
              <w:t xml:space="preserve"> </w:t>
            </w:r>
            <w:r>
              <w:t xml:space="preserve">[</w:t>
            </w:r>
            <m:oMath>
              <m:r>
                <m:t>2.028</m:t>
              </m:r>
            </m:oMath>
            <w:r>
              <w:t xml:space="preserve">,</w:t>
            </w:r>
            <w:r>
              <w:t xml:space="preserve"> </w:t>
            </w:r>
            <m:oMath>
              <m:r>
                <m:t>2.123</m:t>
              </m:r>
            </m:oMath>
            <w:r>
              <w:t xml:space="preserve">]; Hard vs. Standard</w:t>
            </w:r>
            <w:r>
              <w:t xml:space="preserve"> </w:t>
            </w:r>
            <m:oMath>
              <m:r>
                <m:t>β</m:t>
              </m:r>
              <m:r>
                <m:rPr>
                  <m:sty m:val="p"/>
                </m:rPr>
                <m:t>≈</m:t>
              </m:r>
              <m:r>
                <m:rPr>
                  <m:sty m:val="p"/>
                </m:rPr>
                <m:t>+</m:t>
              </m:r>
              <m:r>
                <m:t>0.57</m:t>
              </m:r>
            </m:oMath>
            <w:r>
              <w:t xml:space="preserve"> </w:t>
            </w:r>
            <w:r>
              <w:t xml:space="preserve">[</w:t>
            </w:r>
            <m:oMath>
              <m:r>
                <m:t>0.527</m:t>
              </m:r>
            </m:oMath>
            <w:r>
              <w:t xml:space="preserve">,</w:t>
            </w:r>
            <w:r>
              <w:t xml:space="preserve"> </w:t>
            </w:r>
            <m:oMath>
              <m:r>
                <m:t>0.617</m:t>
              </m:r>
            </m:oMath>
            <w:r>
              <w:t xml:space="preserve">]; all 95% CrIs exclude zero.</w:t>
            </w:r>
          </w:p>
          <w:bookmarkEnd w:id="38"/>
        </w:tc>
      </w:tr>
    </w:tbl>
    <w:p>
      <w:pPr>
        <w:pStyle w:val="BodyText"/>
      </w:pPr>
      <w:r>
        <w:t xml:space="preserve">Difficulty strongly modulated</w:t>
      </w:r>
      <w:r>
        <w:t xml:space="preserve"> </w:t>
      </w:r>
      <m:oMath>
        <m:r>
          <m:t>v</m:t>
        </m:r>
      </m:oMath>
      <w:r>
        <w:t xml:space="preserve"> </w:t>
      </w:r>
      <w:r>
        <w:t xml:space="preserve">and</w:t>
      </w:r>
      <w:r>
        <w:t xml:space="preserve"> </w:t>
      </w:r>
      <m:oMath>
        <m:r>
          <m:t>a</m:t>
        </m:r>
      </m:oMath>
      <w:r>
        <w:t xml:space="preserve">;</w:t>
      </w:r>
      <w:r>
        <w:t xml:space="preserve"> </w:t>
      </w:r>
      <m:oMath>
        <m:r>
          <m:t>z</m:t>
        </m:r>
      </m:oMath>
      <w:r>
        <w:t xml:space="preserve"> </w:t>
      </w:r>
      <w:r>
        <w:t xml:space="preserve">varied mainly by task, with little effort effect (</w:t>
      </w:r>
      <w:hyperlink w:anchor="fig-parameter-forest">
        <w:r>
          <w:rPr>
            <w:rStyle w:val="Hyperlink"/>
          </w:rPr>
          <w:t xml:space="preserve">Figure 3</w:t>
        </w:r>
      </w:hyperlink>
      <w:r>
        <w:t xml:space="preserve">). Starting-point bias calibration is in</w:t>
      </w:r>
      <w:r>
        <w:t xml:space="preserve"> </w:t>
      </w:r>
      <w:hyperlink w:anchor="sec-starting-point-bias">
        <w:r>
          <w:rPr>
            <w:rStyle w:val="Hyperlink"/>
          </w:rPr>
          <w:t xml:space="preserve">Section 3.2.2</w:t>
        </w:r>
      </w:hyperlink>
      <w:r>
        <w:t xml:space="preserve">.</w:t>
      </w:r>
    </w:p>
    <w:p>
      <w:pPr>
        <w:pStyle w:val="BodyText"/>
      </w:pPr>
      <w:r>
        <w:t xml:space="preserve">Of 63 subjects with usable pupil recordings, 14,586 trials had valid baseline-corrected pupil data (mean 232 trials per subject). The pupil-linked DDM models below use a further filtered subset (12,287 trials, 59 participants) requiring valid TEPR and matching behavioral inclusion. Baseline pupil descriptives by condition are reported in Supplementary Section S2 (</w:t>
      </w:r>
      <w:hyperlink w:anchor="supptbl-baseline-pupil">
        <w:r>
          <w:rPr>
            <w:rStyle w:val="Hyperlink"/>
          </w:rPr>
          <w:t xml:space="preserve">Table S6</w:t>
        </w:r>
      </w:hyperlink>
      <w:r>
        <w:t xml:space="preserve">). TEPR descriptives and waveforms are in Supplementary Section S5 (</w:t>
      </w:r>
      <w:hyperlink w:anchor="supptbl-tepr">
        <w:r>
          <w:rPr>
            <w:rStyle w:val="Hyperlink"/>
          </w:rPr>
          <w:t xml:space="preserve">Table S18</w:t>
        </w:r>
      </w:hyperlink>
      <w:r>
        <w:t xml:space="preserve">,</w:t>
      </w:r>
      <w:r>
        <w:t xml:space="preserve"> </w:t>
      </w:r>
      <w:hyperlink w:anchor="suppfig-tepr-timecourse-supp">
        <w:r>
          <w:rPr>
            <w:rStyle w:val="Hyperlink"/>
          </w:rPr>
          <w:t xml:space="preserve">Figure S13</w:t>
        </w:r>
      </w:hyperlink>
      <w:r>
        <w:t xml:space="preserve">).</w:t>
      </w:r>
    </w:p>
    <w:bookmarkStart w:id="40" w:name="sec-key-contrasts"/>
    <w:p>
      <w:pPr>
        <w:pStyle w:val="Heading3"/>
      </w:pPr>
      <w:r>
        <w:t xml:space="preserve">3.2.1 Behavioral hypothesis tests (H1-H4)</w:t>
      </w:r>
    </w:p>
    <w:p>
      <w:pPr>
        <w:pStyle w:val="FirstParagraph"/>
      </w:pPr>
      <w:r>
        <w:t xml:space="preserve">We tested the four effort hypotheses with posterior contrasts on the link scale. For each, inference rests on the High − Low effort contrast (</w:t>
      </w:r>
      <m:oMath>
        <m:r>
          <m:t>δ</m:t>
        </m:r>
      </m:oMath>
      <w:r>
        <w:t xml:space="preserve">) extracted from the posterior draws, summarized by its median, 95% credible interval (CrI), and the relevant posterior probability,</w:t>
      </w:r>
      <w:r>
        <w:t xml:space="preserve"> </w:t>
      </w:r>
      <m:oMath>
        <m:r>
          <m:t>P</m:t>
        </m:r>
        <m:r>
          <m:rPr>
            <m:sty m:val="p"/>
          </m:rPr>
          <m:t>(</m:t>
        </m:r>
        <m:r>
          <m:t>δ</m:t>
        </m:r>
        <m:r>
          <m:rPr>
            <m:sty m:val="p"/>
          </m:rPr>
          <m:t>&lt;</m:t>
        </m:r>
        <m:r>
          <m:t>0</m:t>
        </m:r>
        <m:r>
          <m:rPr>
            <m:sty m:val="p"/>
          </m:rPr>
          <m:t>)</m:t>
        </m:r>
      </m:oMath>
      <w:r>
        <w:t xml:space="preserve"> </w:t>
      </w:r>
      <w:r>
        <w:t xml:space="preserve">or</w:t>
      </w:r>
      <w:r>
        <w:t xml:space="preserve"> </w:t>
      </w:r>
      <m:oMath>
        <m:r>
          <m:t>P</m:t>
        </m:r>
        <m:r>
          <m:rPr>
            <m:sty m:val="p"/>
          </m:rPr>
          <m:t>(</m:t>
        </m:r>
        <m:r>
          <m:t>δ</m:t>
        </m:r>
        <m:r>
          <m:rPr>
            <m:sty m:val="p"/>
          </m:rPr>
          <m:t>&gt;</m:t>
        </m:r>
        <m:r>
          <m:t>0</m:t>
        </m:r>
        <m:r>
          <m:rPr>
            <m:sty m:val="p"/>
          </m:rPr>
          <m:t>)</m:t>
        </m:r>
      </m:oMath>
      <w:r>
        <w:t xml:space="preserve">; a CrI excluding zero indicates posterior mass concentrated on one side of zero, and probabilities above 0.999 are reported as</w:t>
      </w:r>
      <w:r>
        <w:t xml:space="preserve"> </w:t>
      </w:r>
      <m:oMath>
        <m:r>
          <m:rPr>
            <m:sty m:val="p"/>
          </m:rPr>
          <m:t>&gt;</m:t>
        </m:r>
        <m:r>
          <m:t>.999</m:t>
        </m:r>
      </m:oMath>
      <w:r>
        <w:t xml:space="preserve">. As context for the effort tests, difficulty produced large, graded effects on drift rate (</w:t>
      </w:r>
      <m:oMath>
        <m:r>
          <m:t>v</m:t>
        </m:r>
      </m:oMath>
      <w:r>
        <w:t xml:space="preserve">; Easy</w:t>
      </w:r>
      <w:r>
        <w:t xml:space="preserve"> </w:t>
      </w:r>
      <m:oMath>
        <m:r>
          <m:rPr>
            <m:sty m:val="p"/>
          </m:rPr>
          <m:t>&gt;</m:t>
        </m:r>
      </m:oMath>
      <w:r>
        <w:t xml:space="preserve"> </w:t>
      </w:r>
      <w:r>
        <w:t xml:space="preserve">Hard</w:t>
      </w:r>
      <w:r>
        <w:t xml:space="preserve"> </w:t>
      </w:r>
      <m:oMath>
        <m:r>
          <m:rPr>
            <m:sty m:val="p"/>
          </m:rPr>
          <m:t>&gt;</m:t>
        </m:r>
      </m:oMath>
      <w:r>
        <w:t xml:space="preserve"> </w:t>
      </w:r>
      <w:r>
        <w:t xml:space="preserve">Standard), whereas boundary separation (</w:t>
      </w:r>
      <m:oMath>
        <m:r>
          <m:t>a</m:t>
        </m:r>
      </m:oMath>
      <w:r>
        <w:t xml:space="preserve">) and starting-point bias (</w:t>
      </w:r>
      <m:oMath>
        <m:r>
          <m:t>z</m:t>
        </m:r>
      </m:oMath>
      <w:r>
        <w:t xml:space="preserve">) varied less. The effort–drift contrast appears in</w:t>
      </w:r>
      <w:r>
        <w:t xml:space="preserve"> </w:t>
      </w:r>
      <w:hyperlink w:anchor="fig-central-result">
        <w:r>
          <w:rPr>
            <w:rStyle w:val="Hyperlink"/>
          </w:rPr>
          <w:t xml:space="preserve">Figure 2</w:t>
        </w:r>
      </w:hyperlink>
      <w:r>
        <w:t xml:space="preserve"> </w:t>
      </w:r>
      <w:r>
        <w:t xml:space="preserve">(Panel B); H2 and H4 are summarized alongside it in</w:t>
      </w:r>
      <w:r>
        <w:t xml:space="preserve"> </w:t>
      </w:r>
      <w:hyperlink w:anchor="fig-parameter-forest">
        <w:r>
          <w:rPr>
            <w:rStyle w:val="Hyperlink"/>
          </w:rPr>
          <w:t xml:space="preserve">Figure 3</w:t>
        </w:r>
      </w:hyperlink>
      <w:r>
        <w:t xml:space="preserve"> </w:t>
      </w:r>
      <w:r>
        <w:t xml:space="preserve">(Panel A), difficulty contrasts in Panel B, and the full hypothesis summary in</w:t>
      </w:r>
      <w:r>
        <w:t xml:space="preserve"> </w:t>
      </w:r>
      <w:hyperlink w:anchor="tbl-hyp-summary">
        <w:r>
          <w:rPr>
            <w:rStyle w:val="Hyperlink"/>
          </w:rPr>
          <w:t xml:space="preserve">Table 2</w:t>
        </w:r>
      </w:hyperlink>
      <w:r>
        <w:t xml:space="preserve">.</w:t>
      </w:r>
    </w:p>
    <w:p>
      <w:pPr>
        <w:pStyle w:val="BodyText"/>
      </w:pPr>
      <w:r>
        <w:rPr>
          <w:b/>
          <w:bCs/>
        </w:rPr>
        <w:t xml:space="preserve">H1 (drift rate,</w:t>
      </w:r>
      <w:r>
        <w:rPr>
          <w:b/>
          <w:bCs/>
        </w:rPr>
        <w:t xml:space="preserve"> </w:t>
      </w:r>
      <m:oMath>
        <m:r>
          <m:t>v</m:t>
        </m:r>
      </m:oMath>
      <w:r>
        <w:rPr>
          <w:b/>
          <w:bCs/>
        </w:rPr>
        <w:t xml:space="preserve">).</w:t>
      </w:r>
      <w:r>
        <w:t xml:space="preserve"> </w:t>
      </w:r>
      <w:r>
        <w:t xml:space="preserve">High effort (40% MVC) lowered drift relative to Low effort (5% MVC):</w:t>
      </w:r>
      <w:r>
        <w:t xml:space="preserve"> </w:t>
      </w:r>
      <m:oMath>
        <m:r>
          <m:t>β</m:t>
        </m:r>
        <m:r>
          <m:rPr>
            <m:sty m:val="p"/>
          </m:rPr>
          <m:t>=</m:t>
        </m:r>
        <m:r>
          <m:rPr>
            <m:sty m:val="p"/>
          </m:rPr>
          <m:t>−</m:t>
        </m:r>
        <m:r>
          <m:t>0.06</m:t>
        </m:r>
      </m:oMath>
      <w:r>
        <w:t xml:space="preserve">, 95% CrI</w:t>
      </w:r>
      <w:r>
        <w:t xml:space="preserve"> </w:t>
      </w:r>
      <m:oMath>
        <m:r>
          <m:rPr>
            <m:sty m:val="p"/>
          </m:rPr>
          <m:t>[</m:t>
        </m:r>
        <m:r>
          <m:rPr>
            <m:sty m:val="p"/>
          </m:rPr>
          <m:t>−</m:t>
        </m:r>
        <m:r>
          <m:t>0.10</m:t>
        </m:r>
        <m:r>
          <m:rPr>
            <m:sty m:val="p"/>
          </m:rPr>
          <m:t>,</m:t>
        </m:r>
        <m:r>
          <m:t> </m:t>
        </m:r>
        <m:r>
          <m:rPr>
            <m:sty m:val="p"/>
          </m:rPr>
          <m:t>−</m:t>
        </m:r>
        <m:r>
          <m:t>0.02</m:t>
        </m:r>
        <m:r>
          <m:rPr>
            <m:sty m:val="p"/>
          </m:rPr>
          <m:t>]</m:t>
        </m:r>
      </m:oMath>
      <w:r>
        <w:t xml:space="preserve">;</w:t>
      </w:r>
      <w:r>
        <w:t xml:space="preserve"> </w:t>
      </w:r>
      <m:oMath>
        <m:r>
          <m:t>P</m:t>
        </m:r>
        <m:r>
          <m:rPr>
            <m:sty m:val="p"/>
          </m:rPr>
          <m:t>(</m:t>
        </m:r>
        <m:r>
          <m:t>β</m:t>
        </m:r>
        <m:r>
          <m:rPr>
            <m:sty m:val="p"/>
          </m:rPr>
          <m:t>&lt;</m:t>
        </m:r>
        <m:r>
          <m:t>0</m:t>
        </m:r>
        <m:r>
          <m:rPr>
            <m:sty m:val="p"/>
          </m:rPr>
          <m:t>)</m:t>
        </m:r>
        <m:r>
          <m:rPr>
            <m:sty m:val="p"/>
          </m:rPr>
          <m:t>=</m:t>
        </m:r>
        <m:r>
          <m:t>0.997</m:t>
        </m:r>
      </m:oMath>
      <w:r>
        <w:t xml:space="preserve">. The 95% CrI excludes zero. Only 4% of the posterior mass fell within the project ROPE on drift (</w:t>
      </w:r>
      <m:oMath>
        <m:r>
          <m:rPr>
            <m:sty m:val="p"/>
          </m:rPr>
          <m:t>±</m:t>
        </m:r>
        <m:r>
          <m:t>0.02</m:t>
        </m:r>
      </m:oMath>
      <w:r>
        <w:t xml:space="preserve">), so the effect is directionally reliable but small relative to the difficulty contrasts.</w:t>
      </w:r>
    </w:p>
    <w:p>
      <w:pPr>
        <w:pStyle w:val="BodyText"/>
      </w:pPr>
      <w:r>
        <w:rPr>
          <w:b/>
          <w:bCs/>
        </w:rPr>
        <w:t xml:space="preserve">H2 (boundary separation,</w:t>
      </w:r>
      <w:r>
        <w:rPr>
          <w:b/>
          <w:bCs/>
        </w:rPr>
        <w:t xml:space="preserve"> </w:t>
      </w:r>
      <m:oMath>
        <m:r>
          <m:t>a</m:t>
        </m:r>
      </m:oMath>
      <w:r>
        <w:rPr>
          <w:b/>
          <w:bCs/>
        </w:rPr>
        <w:t xml:space="preserve">).</w:t>
      </w:r>
      <w:r>
        <w:t xml:space="preserve"> </w:t>
      </w:r>
      <w:r>
        <w:t xml:space="preserve">High effort produced a directionally positive but practically negligible change in boundary separation:</w:t>
      </w:r>
      <w:r>
        <w:t xml:space="preserve"> </w:t>
      </w:r>
      <m:oMath>
        <m:r>
          <m:t>β</m:t>
        </m:r>
        <m:r>
          <m:rPr>
            <m:sty m:val="p"/>
          </m:rPr>
          <m:t>=</m:t>
        </m:r>
        <m:r>
          <m:t>0.02</m:t>
        </m:r>
      </m:oMath>
      <w:r>
        <w:t xml:space="preserve">, 95% CrI</w:t>
      </w:r>
      <w:r>
        <w:t xml:space="preserve"> </w:t>
      </w:r>
      <m:oMath>
        <m:r>
          <m:rPr>
            <m:sty m:val="p"/>
          </m:rPr>
          <m:t>[</m:t>
        </m:r>
        <m:r>
          <m:t>0.004</m:t>
        </m:r>
        <m:r>
          <m:rPr>
            <m:sty m:val="p"/>
          </m:rPr>
          <m:t>,</m:t>
        </m:r>
        <m:r>
          <m:t> </m:t>
        </m:r>
        <m:r>
          <m:t>0.029</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0.996</m:t>
        </m:r>
      </m:oMath>
      <w:r>
        <w:t xml:space="preserve">; credible interval excludes zero. All posterior mass fell within the project ROPE (</w:t>
      </w:r>
      <w:r>
        <w:t xml:space="preserve"> </w:t>
      </w:r>
      <w:r>
        <w:t xml:space="preserve">log-scale; 100%); we do not interpret this as meaningful strategic caution.</w:t>
      </w:r>
    </w:p>
    <w:p>
      <w:pPr>
        <w:pStyle w:val="BodyText"/>
      </w:pPr>
      <w:r>
        <w:rPr>
          <w:b/>
          <w:bCs/>
        </w:rPr>
        <w:t xml:space="preserve">H3 (non-decision time,</w:t>
      </w:r>
      <w:r>
        <w:rPr>
          <w:b/>
          <w:bCs/>
        </w:rPr>
        <w:t xml:space="preserve"> </w:t>
      </w:r>
      <m:oMath>
        <m:sSub>
          <m:e>
            <m:r>
              <m:t>t</m:t>
            </m:r>
          </m:e>
          <m:sub>
            <m:r>
              <m:t>0</m:t>
            </m:r>
          </m:sub>
        </m:sSub>
      </m:oMath>
      <w:r>
        <w:rPr>
          <w:b/>
          <w:bCs/>
        </w:rPr>
        <w:t xml:space="preserve">).</w:t>
      </w:r>
      <w:r>
        <w:t xml:space="preserve"> </w:t>
      </w:r>
      <w:r>
        <w:t xml:space="preserve">The response-signal design required</w:t>
      </w:r>
      <w:r>
        <w:t xml:space="preserve"> </w:t>
      </w:r>
      <m:oMath>
        <m:sSub>
          <m:e>
            <m:r>
              <m:t>t</m:t>
            </m:r>
          </m:e>
          <m:sub>
            <m:r>
              <m:t>0</m:t>
            </m:r>
          </m:sub>
        </m:sSub>
      </m:oMath>
      <w:r>
        <w:t xml:space="preserve"> </w:t>
      </w:r>
      <w:r>
        <w:t xml:space="preserve">to be a single intercept across conditions (</w:t>
      </w:r>
      <w:hyperlink w:anchor="sec-ddm-spec">
        <w:r>
          <w:rPr>
            <w:rStyle w:val="Hyperlink"/>
          </w:rPr>
          <w:t xml:space="preserve">Section 2.7.2</w:t>
        </w:r>
      </w:hyperlink>
      <w:r>
        <w:t xml:space="preserve">). Thus, the primary model does not test H3. An exploratory effort contrast on</w:t>
      </w:r>
      <w:r>
        <w:t xml:space="preserve"> </w:t>
      </w:r>
      <m:oMath>
        <m:r>
          <m:rPr>
            <m:sty m:val="p"/>
          </m:rPr>
          <m:t>log</m:t>
        </m:r>
        <m:sSub>
          <m:e>
            <m:r>
              <m:t>t</m:t>
            </m:r>
          </m:e>
          <m:sub>
            <m:r>
              <m:t>0</m:t>
            </m:r>
          </m:sub>
        </m:sSub>
      </m:oMath>
      <w:r>
        <w:t xml:space="preserve"> </w:t>
      </w:r>
      <w:r>
        <w:t xml:space="preserve">was</w:t>
      </w:r>
      <w:r>
        <w:t xml:space="preserve"> </w:t>
      </w:r>
      <m:oMath>
        <m:acc>
          <m:accPr>
            <m:chr m:val="̂"/>
          </m:accPr>
          <m:e>
            <m:r>
              <m:t>β</m:t>
            </m:r>
          </m:e>
        </m:acc>
        <m:r>
          <m:rPr>
            <m:sty m:val="p"/>
          </m:rPr>
          <m:t>=</m:t>
        </m:r>
        <m:r>
          <m:t>0.02</m:t>
        </m:r>
      </m:oMath>
      <w:r>
        <w:t xml:space="preserve"> </w:t>
      </w:r>
      <w:r>
        <w:t xml:space="preserve">(log</w:t>
      </w:r>
      <w:r>
        <w:t xml:space="preserve"> </w:t>
      </w:r>
      <m:oMath>
        <m:sSub>
          <m:e>
            <m:r>
              <m:t>t</m:t>
            </m:r>
          </m:e>
          <m:sub>
            <m:r>
              <m:t>0</m:t>
            </m:r>
          </m:sub>
        </m:sSub>
      </m:oMath>
      <w:r>
        <w:t xml:space="preserve"> </w:t>
      </w:r>
      <w:r>
        <w:t xml:space="preserve">scale) (95% CrI</w:t>
      </w:r>
      <w:r>
        <w:t xml:space="preserve"> </w:t>
      </w:r>
      <m:oMath>
        <m:r>
          <m:rPr>
            <m:sty m:val="p"/>
          </m:rPr>
          <m:t>[</m:t>
        </m:r>
        <m:r>
          <m:rPr>
            <m:sty m:val="p"/>
          </m:rPr>
          <m:t>−</m:t>
        </m:r>
        <m:r>
          <m:t>0.05</m:t>
        </m:r>
        <m:r>
          <m:rPr>
            <m:sty m:val="p"/>
          </m:rPr>
          <m:t>,</m:t>
        </m:r>
        <m:r>
          <m:t> </m:t>
        </m:r>
        <m:r>
          <m:t>0.09</m:t>
        </m:r>
        <m:r>
          <m:rPr>
            <m:sty m:val="p"/>
          </m:rPr>
          <m:t>]</m:t>
        </m:r>
      </m:oMath>
      <w:r>
        <w:t xml:space="preserve">; at the median,</w:t>
      </w:r>
      <w:r>
        <w:t xml:space="preserve"> </w:t>
      </w:r>
      <m:oMath>
        <m:r>
          <m:rPr>
            <m:sty m:val="p"/>
          </m:rPr>
          <m:t>≈</m:t>
        </m:r>
        <m:r>
          <m:t>2</m:t>
        </m:r>
        <m:r>
          <m:rPr>
            <m:sty m:val="p"/>
          </m:rPr>
          <m:t>%</m:t>
        </m:r>
      </m:oMath>
      <w:r>
        <w:t xml:space="preserve"> </w:t>
      </w:r>
      <w:r>
        <w:t xml:space="preserve">multiplicative change in</w:t>
      </w:r>
      <w:r>
        <w:t xml:space="preserve"> </w:t>
      </w:r>
      <m:oMath>
        <m:sSub>
          <m:e>
            <m:r>
              <m:t>t</m:t>
            </m:r>
          </m:e>
          <m:sub>
            <m:r>
              <m:t>0</m:t>
            </m:r>
          </m:sub>
        </m:sSub>
      </m:oMath>
      <w:r>
        <w:t xml:space="preserve">; the CrI permits negligible or large proportional shifts), but this estimate is descriptive only.</w:t>
      </w:r>
    </w:p>
    <w:p>
      <w:pPr>
        <w:pStyle w:val="BodyText"/>
      </w:pPr>
      <w:r>
        <w:rPr>
          <w:b/>
          <w:bCs/>
        </w:rPr>
        <w:t xml:space="preserve">H4 (starting-point bias,</w:t>
      </w:r>
      <w:r>
        <w:rPr>
          <w:b/>
          <w:bCs/>
        </w:rPr>
        <w:t xml:space="preserve"> </w:t>
      </w:r>
      <m:oMath>
        <m:r>
          <m:t>z</m:t>
        </m:r>
      </m:oMath>
      <w:r>
        <w:rPr>
          <w:b/>
          <w:bCs/>
        </w:rPr>
        <w:t xml:space="preserve">).</w:t>
      </w:r>
      <w:r>
        <w:t xml:space="preserve"> </w:t>
      </w:r>
      <w:r>
        <w:t xml:space="preserve">The effort contrast on pre-stimulus response bias was near zero and uncertain:</w:t>
      </w:r>
      <w:r>
        <w:t xml:space="preserve"> </w:t>
      </w:r>
      <m:oMath>
        <m:r>
          <m:t>β</m:t>
        </m:r>
        <m:r>
          <m:rPr>
            <m:sty m:val="p"/>
          </m:rPr>
          <m:t>=</m:t>
        </m:r>
        <m:r>
          <m:rPr>
            <m:sty m:val="p"/>
          </m:rPr>
          <m:t>−</m:t>
        </m:r>
        <m:r>
          <m:t>0.005</m:t>
        </m:r>
      </m:oMath>
      <w:r>
        <w:t xml:space="preserve">, 95% CrI</w:t>
      </w:r>
      <w:r>
        <w:t xml:space="preserve"> </w:t>
      </w:r>
      <m:oMath>
        <m:r>
          <m:rPr>
            <m:sty m:val="p"/>
          </m:rPr>
          <m:t>[</m:t>
        </m:r>
        <m:r>
          <m:rPr>
            <m:sty m:val="p"/>
          </m:rPr>
          <m:t>−</m:t>
        </m:r>
        <m:r>
          <m:t>0.046</m:t>
        </m:r>
        <m:r>
          <m:rPr>
            <m:sty m:val="p"/>
          </m:rPr>
          <m:t>,</m:t>
        </m:r>
        <m:r>
          <m:t> </m:t>
        </m:r>
        <m:r>
          <m:t>0.036</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0.404</m:t>
        </m:r>
      </m:oMath>
      <w:r>
        <w:t xml:space="preserve">; the CrI spans zero (ROPE mass 98%). Bias instead varied with task modality: in the primary model, VDT was biased more toward</w:t>
      </w:r>
      <w:r>
        <w:t xml:space="preserve"> </w:t>
      </w:r>
      <w:r>
        <w:t xml:space="preserve">“different”</w:t>
      </w:r>
      <w:r>
        <w:t xml:space="preserve"> </w:t>
      </w:r>
      <w:r>
        <w:t xml:space="preserve">responses than ADT (</w:t>
      </w:r>
      <m:oMath>
        <m:r>
          <m:t>β</m:t>
        </m:r>
        <m:r>
          <m:rPr>
            <m:sty m:val="p"/>
          </m:rPr>
          <m:t>=</m:t>
        </m:r>
        <m:r>
          <m:t>0.068</m:t>
        </m:r>
      </m:oMath>
      <w:r>
        <w:t xml:space="preserve">, 95% CrI</w:t>
      </w:r>
      <w:r>
        <w:t xml:space="preserve"> </w:t>
      </w:r>
      <m:oMath>
        <m:r>
          <m:rPr>
            <m:sty m:val="p"/>
          </m:rPr>
          <m:t>[</m:t>
        </m:r>
        <m:r>
          <m:t>0.036</m:t>
        </m:r>
        <m:r>
          <m:rPr>
            <m:sty m:val="p"/>
          </m:rPr>
          <m:t>,</m:t>
        </m:r>
        <m:r>
          <m:t> </m:t>
        </m:r>
        <m:r>
          <m:t>0.101</m:t>
        </m:r>
        <m:r>
          <m:rPr>
            <m:sty m:val="p"/>
          </m:rPr>
          <m:t>]</m:t>
        </m:r>
      </m:oMath>
      <w:r>
        <w:t xml:space="preserve">;</w:t>
      </w:r>
      <w:r>
        <w:t xml:space="preserve"> </w:t>
      </w:r>
      <m:oMath>
        <m:r>
          <m:t>P</m:t>
        </m:r>
        <m:r>
          <m:rPr>
            <m:sty m:val="p"/>
          </m:rPr>
          <m:t>(</m:t>
        </m:r>
        <m:sSub>
          <m:e>
            <m:r>
              <m:t>β</m:t>
            </m:r>
          </m:e>
          <m:sub>
            <m:r>
              <m:rPr>
                <m:nor/>
                <m:sty m:val="p"/>
              </m:rPr>
              <m:t>VDT</m:t>
            </m:r>
          </m:sub>
        </m:sSub>
        <m:r>
          <m:rPr>
            <m:sty m:val="p"/>
          </m:rPr>
          <m:t>&gt;</m:t>
        </m:r>
        <m:r>
          <m:t>0</m:t>
        </m:r>
        <m:r>
          <m:rPr>
            <m:sty m:val="p"/>
          </m:rPr>
          <m:t>)</m:t>
        </m:r>
        <m:r>
          <m:rPr>
            <m:sty m:val="p"/>
          </m:rPr>
          <m:t>&gt;</m:t>
        </m:r>
        <m:r>
          <m:t>.999</m:t>
        </m:r>
      </m:oMath>
      <w:r>
        <w:t xml:space="preserve">; logit task offset), whereas the standard-only calibration reverses this ordering (</w:t>
      </w:r>
      <m:oMath>
        <m:r>
          <m:rPr>
            <m:sty m:val="p"/>
          </m:rPr>
          <m:t>Δ</m:t>
        </m:r>
        <m:r>
          <m:t>z</m:t>
        </m:r>
        <m:r>
          <m:rPr>
            <m:sty m:val="p"/>
          </m:rPr>
          <m:t>=</m:t>
        </m:r>
        <m:r>
          <m:t>0.038</m:t>
        </m:r>
      </m:oMath>
      <w:r>
        <w:t xml:space="preserve">, 95% CrI</w:t>
      </w:r>
      <w:r>
        <w:t xml:space="preserve"> </w:t>
      </w:r>
      <m:oMath>
        <m:r>
          <m:rPr>
            <m:sty m:val="p"/>
          </m:rPr>
          <m:t>[</m:t>
        </m:r>
        <m:r>
          <m:t>0.019</m:t>
        </m:r>
        <m:r>
          <m:rPr>
            <m:sty m:val="p"/>
          </m:rPr>
          <m:t>,</m:t>
        </m:r>
        <m:r>
          <m:t> </m:t>
        </m:r>
        <m:r>
          <m:t>0.058</m:t>
        </m:r>
        <m:r>
          <m:rPr>
            <m:sty m:val="p"/>
          </m:rPr>
          <m:t>]</m:t>
        </m:r>
      </m:oMath>
      <w:r>
        <w:t xml:space="preserve">;</w:t>
      </w:r>
      <w:r>
        <w:t xml:space="preserve"> </w:t>
      </w:r>
      <m:oMath>
        <m:r>
          <m:t>P</m:t>
        </m:r>
        <m:r>
          <m:rPr>
            <m:sty m:val="p"/>
          </m:rPr>
          <m:t>(</m:t>
        </m:r>
        <m:r>
          <m:rPr>
            <m:sty m:val="p"/>
          </m:rPr>
          <m:t>Δ</m:t>
        </m:r>
        <m:sSub>
          <m:e>
            <m:r>
              <m:t>z</m:t>
            </m:r>
          </m:e>
          <m:sub>
            <m:r>
              <m:rPr>
                <m:nor/>
                <m:sty m:val="p"/>
              </m:rPr>
              <m:t>ADT</m:t>
            </m:r>
            <m:r>
              <m:rPr>
                <m:sty m:val="p"/>
              </m:rPr>
              <m:t>−</m:t>
            </m:r>
            <m:r>
              <m:rPr>
                <m:nor/>
                <m:sty m:val="p"/>
              </m:rPr>
              <m:t>VDT</m:t>
            </m:r>
          </m:sub>
        </m:sSub>
        <m:r>
          <m:rPr>
            <m:sty m:val="p"/>
          </m:rPr>
          <m:t>&gt;</m:t>
        </m:r>
        <m:r>
          <m:t>0</m:t>
        </m:r>
        <m:r>
          <m:rPr>
            <m:sty m:val="p"/>
          </m:rPr>
          <m:t>)</m:t>
        </m:r>
        <m:r>
          <m:rPr>
            <m:sty m:val="p"/>
          </m:rPr>
          <m:t>&gt;</m:t>
        </m:r>
        <m:r>
          <m:t>.999</m:t>
        </m:r>
      </m:oMath>
      <w:r>
        <w:t xml:space="preserve">). We interpret this reversal in</w:t>
      </w:r>
      <w:r>
        <w:t xml:space="preserve"> </w:t>
      </w:r>
      <w:hyperlink w:anchor="sec-starting-point-bias">
        <w:r>
          <w:rPr>
            <w:rStyle w:val="Hyperlink"/>
          </w:rPr>
          <w:t xml:space="preserve">Section 3.2.2</w:t>
        </w:r>
      </w:hyperlink>
      <w:r>
        <w:t xml:space="preserve"> </w:t>
      </w:r>
      <w:r>
        <w:t xml:space="preserve">(</w:t>
      </w:r>
      <w:hyperlink w:anchor="supptbl-standard-only-bias-levels">
        <w:r>
          <w:rPr>
            <w:rStyle w:val="Hyperlink"/>
          </w:rPr>
          <w:t xml:space="preserve">Table S5</w:t>
        </w:r>
      </w:hyperlink>
      <w:r>
        <w:t xml:space="preserve">).</w:t>
      </w:r>
    </w:p>
    <w:p>
      <w:pPr>
        <w:pStyle w:val="BodyText"/>
      </w:pPr>
      <w:r>
        <w:t xml:space="preserve">Across the four tests, then, only H1 is</w:t>
      </w:r>
      <w:r>
        <w:t xml:space="preserve"> </w:t>
      </w:r>
      <w:r>
        <w:rPr>
          <w:b/>
          <w:bCs/>
        </w:rPr>
        <w:t xml:space="preserve">supported</w:t>
      </w:r>
      <w:r>
        <w:t xml:space="preserve"> </w:t>
      </w:r>
      <w:r>
        <w:t xml:space="preserve">(CrI excludes zero; just 4% of posterior mass within the project ROPE on drift, and small relative to the difficulty contrasts). H2 is directionally positive but practically negligible under the ROPE, H4 is a near-zero null, and H3 is not directly testable in the primary model. Pupil-linked DDM extensions were</w:t>
      </w:r>
      <w:r>
        <w:t xml:space="preserve"> </w:t>
      </w:r>
      <w:r>
        <w:rPr>
          <w:b/>
          <w:bCs/>
        </w:rPr>
        <w:t xml:space="preserve">inconclusive</w:t>
      </w:r>
      <w:r>
        <w:t xml:space="preserve"> </w:t>
      </w:r>
      <w:r>
        <w:t xml:space="preserve">under the current TEPR specification (</w:t>
      </w:r>
      <w:hyperlink w:anchor="sec-pupil-ddm-integration">
        <w:r>
          <w:rPr>
            <w:rStyle w:val="Hyperlink"/>
          </w:rPr>
          <w:t xml:space="preserve">Section 3.3</w:t>
        </w:r>
      </w:hyperlink>
      <w:r>
        <w:t xml:space="preserve">). ROPE mass in</w:t>
      </w:r>
      <w:r>
        <w:t xml:space="preserve"> </w:t>
      </w:r>
      <w:hyperlink w:anchor="tbl-hyp-summary">
        <w:r>
          <w:rPr>
            <w:rStyle w:val="Hyperlink"/>
          </w:rPr>
          <w:t xml:space="preserve">Table 2</w:t>
        </w:r>
      </w:hyperlink>
      <w:r>
        <w:t xml:space="preserve"> </w:t>
      </w:r>
      <w:r>
        <w:t xml:space="preserve">(footnote [b]) is a project-level sensitivity summary and does not replace CrI-based inference.</w:t>
      </w:r>
    </w:p>
    <w:tbl>
      <w:tblPr>
        <w:tblStyle w:val="Table"/>
        <w:tblW w:type="pct" w:w="5000"/>
        <w:tblLayout w:type="fixed"/>
        <w:tblLook w:firstRow="0" w:lastRow="0" w:firstColumn="0" w:lastColumn="0" w:noHBand="0" w:noVBand="0" w:val="0000"/>
      </w:tblPr>
      <w:tblGrid>
        <w:gridCol w:w="7920"/>
      </w:tblGrid>
      <w:tr>
        <w:tc>
          <w:tcPr/>
          <w:bookmarkStart w:id="39" w:name="tbl-hyp-summary"/>
          <w:p>
            <w:pPr>
              <w:jc w:val="center"/>
            </w:pPr>
            <w:pPr>
              <w:jc w:val="left"/>
              <w:spacing w:before="200"/>
              <w:pStyle w:val="ImageCaption"/>
            </w:pPr>
            <w:r>
              <w:t xml:space="preserve">Table 2: Unified hypothesis summary: effort and pupil effects on DDM parameters (link-scale estimates and graded evidence). Estimates use identity link for drift</w:t>
            </w:r>
            <w:r>
              <w:t xml:space="preserve"> </w:t>
            </w:r>
            <m:oMath>
              <m:r>
                <m:t>v</m:t>
              </m:r>
            </m:oMath>
            <w:r>
              <w:t xml:space="preserve">, log for boundary</w:t>
            </w:r>
            <w:r>
              <w:t xml:space="preserve"> </w:t>
            </w:r>
            <m:oMath>
              <m:r>
                <m:t>a</m:t>
              </m:r>
            </m:oMath>
            <w:r>
              <w:t xml:space="preserve">, logit for bias</w:t>
            </w:r>
            <w:r>
              <w:t xml:space="preserve"> </w:t>
            </w:r>
            <m:oMath>
              <m:r>
                <m:t>z</m:t>
              </m:r>
            </m:oMath>
            <w:r>
              <w:t xml:space="preserve">. Conditional TEPR</w:t>
            </w:r>
            <w:r>
              <w:t xml:space="preserve"> </w:t>
            </w:r>
            <m:oMath>
              <m:r>
                <m:rPr>
                  <m:sty m:val="p"/>
                </m:rPr>
                <m:t>×</m:t>
              </m:r>
            </m:oMath>
            <w:r>
              <w:t xml:space="preserve"> </w:t>
            </w:r>
            <w:r>
              <w:t xml:space="preserve">difficulty slopes are in</w:t>
            </w:r>
            <w:r>
              <w:t xml:space="preserve"> </w:t>
            </w:r>
            <w:hyperlink w:anchor="supptbl-pupil-key-effects-appendix">
              <w:r>
                <w:rPr>
                  <w:rStyle w:val="Hyperlink"/>
                </w:rPr>
                <w:t xml:space="preserve">Table S16</w:t>
              </w:r>
            </w:hyperlink>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left"/>
                    <w:jc w:val="center"/>
                  </w:pPr>
                  <w:r>
                    <w:t xml:space="preserve">95% CrI</w:t>
                  </w:r>
                </w:p>
              </w:tc>
              <w:tc>
                <w:tcPr/>
                <w:p>
                  <w:pPr>
                    <w:pStyle w:val="Compact"/>
                    <w:jc w:val="center"/>
                    <w:jc w:val="center"/>
                  </w:pPr>
                  <w:r>
                    <w:t xml:space="preserve">CrI incl. 0</w:t>
                  </w:r>
                </w:p>
              </w:tc>
              <w:tc>
                <w:tcPr/>
                <w:p>
                  <w:pPr>
                    <w:pStyle w:val="Compact"/>
                    <w:jc w:val="right"/>
                    <w:jc w:val="center"/>
                  </w:pPr>
                  <w:r>
                    <w:t xml:space="preserve">P(in ROPE)</w:t>
                  </w:r>
                </w:p>
              </w:tc>
              <w:tc>
                <w:tcPr/>
                <w:p>
                  <w:pPr>
                    <w:pStyle w:val="Compact"/>
                    <w:jc w:val="left"/>
                    <w:jc w:val="center"/>
                  </w:pPr>
                  <w:r>
                    <w:t xml:space="preserve">Evidence</w:t>
                  </w:r>
                </w:p>
              </w:tc>
            </w:tr>
            <w:tr>
              <w:tc>
                <w:tcPr/>
                <w:p>
                  <w:pPr>
                    <w:pStyle w:val="Compact"/>
                    <w:jc w:val="left"/>
                    <w:jc w:val="center"/>
                  </w:pPr>
                  <w:r>
                    <w:t xml:space="preserve">**Behavioral DDM — primary model**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H1: Effort on drift (v)</w:t>
                  </w:r>
                </w:p>
              </w:tc>
              <w:tc>
                <w:tcPr/>
                <w:p>
                  <w:pPr>
                    <w:pStyle w:val="Compact"/>
                    <w:jc w:val="right"/>
                    <w:jc w:val="center"/>
                  </w:pPr>
                  <w:r>
                    <w:t xml:space="preserve">-0.057</w:t>
                  </w:r>
                </w:p>
              </w:tc>
              <w:tc>
                <w:tcPr/>
                <w:p>
                  <w:pPr>
                    <w:pStyle w:val="Compact"/>
                    <w:jc w:val="left"/>
                    <w:jc w:val="center"/>
                  </w:pPr>
                  <w:r>
                    <w:t xml:space="preserve">[-0.097, -0.017]</w:t>
                  </w:r>
                </w:p>
              </w:tc>
              <w:tc>
                <w:tcPr/>
                <w:p>
                  <w:pPr>
                    <w:pStyle w:val="Compact"/>
                    <w:jc w:val="center"/>
                    <w:jc w:val="center"/>
                  </w:pPr>
                  <w:r>
                    <w:t xml:space="preserve">No</w:t>
                  </w:r>
                </w:p>
              </w:tc>
              <w:tc>
                <w:tcPr/>
                <w:p>
                  <w:pPr>
                    <w:pStyle w:val="Compact"/>
                    <w:jc w:val="right"/>
                    <w:jc w:val="center"/>
                  </w:pPr>
                  <w:r>
                    <w:t xml:space="preserve">4%</w:t>
                  </w:r>
                </w:p>
              </w:tc>
              <w:tc>
                <w:tcPr/>
                <w:p>
                  <w:pPr>
                    <w:pStyle w:val="Compact"/>
                    <w:jc w:val="left"/>
                    <w:jc w:val="center"/>
                  </w:pPr>
                  <w:r>
                    <w:t xml:space="preserve">Supported</w:t>
                  </w:r>
                </w:p>
              </w:tc>
            </w:tr>
            <w:tr>
              <w:tc>
                <w:tcPr/>
                <w:p>
                  <w:pPr>
                    <w:pStyle w:val="Compact"/>
                    <w:jc w:val="left"/>
                    <w:jc w:val="center"/>
                  </w:pPr>
                  <w:r>
                    <w:t xml:space="preserve">H2: Effort on boundary (a)</w:t>
                  </w:r>
                </w:p>
              </w:tc>
              <w:tc>
                <w:tcPr/>
                <w:p>
                  <w:pPr>
                    <w:pStyle w:val="Compact"/>
                    <w:jc w:val="right"/>
                    <w:jc w:val="center"/>
                  </w:pPr>
                  <w:r>
                    <w:t xml:space="preserve">0.017</w:t>
                  </w:r>
                </w:p>
              </w:tc>
              <w:tc>
                <w:tcPr/>
                <w:p>
                  <w:pPr>
                    <w:pStyle w:val="Compact"/>
                    <w:jc w:val="left"/>
                    <w:jc w:val="center"/>
                  </w:pPr>
                  <w:r>
                    <w:t xml:space="preserve">[0.004, 0.029]</w:t>
                  </w:r>
                </w:p>
              </w:tc>
              <w:tc>
                <w:tcPr/>
                <w:p>
                  <w:pPr>
                    <w:pStyle w:val="Compact"/>
                    <w:jc w:val="center"/>
                    <w:jc w:val="center"/>
                  </w:pPr>
                  <w:r>
                    <w:t xml:space="preserve">No</w:t>
                  </w:r>
                </w:p>
              </w:tc>
              <w:tc>
                <w:tcPr/>
                <w:p>
                  <w:pPr>
                    <w:pStyle w:val="Compact"/>
                    <w:jc w:val="right"/>
                    <w:jc w:val="center"/>
                  </w:pPr>
                  <w:r>
                    <w:t xml:space="preserve">100%</w:t>
                  </w:r>
                </w:p>
              </w:tc>
              <w:tc>
                <w:tcPr/>
                <w:p>
                  <w:pPr>
                    <w:pStyle w:val="Compact"/>
                    <w:jc w:val="left"/>
                    <w:jc w:val="center"/>
                  </w:pPr>
                  <w:r>
                    <w:t xml:space="preserve">Dir. positive; in ROPE</w:t>
                  </w:r>
                </w:p>
              </w:tc>
            </w:tr>
            <w:tr>
              <w:tc>
                <w:tcPr/>
                <w:p>
                  <w:pPr>
                    <w:pStyle w:val="Compact"/>
                    <w:jc w:val="left"/>
                    <w:jc w:val="center"/>
                  </w:pPr>
                  <w:r>
                    <w:t xml:space="preserve">H3: Effort on NDT (t0) [a]</w:t>
                  </w:r>
                </w:p>
              </w:tc>
              <w:tc>
                <w:tcPr/>
                <w:p>
                  <w:pPr>
                    <w:pStyle w:val="Compact"/>
                    <w:jc w:val="right"/>
                    <w:jc w:val="center"/>
                  </w:pPr>
                  <w:r>
                    <w:t xml:space="preserve">0.020</w:t>
                  </w:r>
                </w:p>
              </w:tc>
              <w:tc>
                <w:tcPr/>
                <w:p>
                  <w:pPr>
                    <w:pStyle w:val="Compact"/>
                    <w:jc w:val="left"/>
                    <w:jc w:val="center"/>
                  </w:pPr>
                  <w:r>
                    <w:t xml:space="preserve">[-0.050, 0.090]</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Not testable [a]</w:t>
                  </w:r>
                </w:p>
              </w:tc>
            </w:tr>
            <w:tr>
              <w:tc>
                <w:tcPr/>
                <w:p>
                  <w:pPr>
                    <w:pStyle w:val="Compact"/>
                    <w:jc w:val="left"/>
                    <w:jc w:val="center"/>
                  </w:pPr>
                  <w:r>
                    <w:t xml:space="preserve">H4: Effort on bias (z)</w:t>
                  </w:r>
                </w:p>
              </w:tc>
              <w:tc>
                <w:tcPr/>
                <w:p>
                  <w:pPr>
                    <w:pStyle w:val="Compact"/>
                    <w:jc w:val="right"/>
                    <w:jc w:val="center"/>
                  </w:pPr>
                  <w:r>
                    <w:t xml:space="preserve">-0.005</w:t>
                  </w:r>
                </w:p>
              </w:tc>
              <w:tc>
                <w:tcPr/>
                <w:p>
                  <w:pPr>
                    <w:pStyle w:val="Compact"/>
                    <w:jc w:val="left"/>
                    <w:jc w:val="center"/>
                  </w:pPr>
                  <w:r>
                    <w:t xml:space="preserve">[-0.046, 0.036]</w:t>
                  </w:r>
                </w:p>
              </w:tc>
              <w:tc>
                <w:tcPr/>
                <w:p>
                  <w:pPr>
                    <w:pStyle w:val="Compact"/>
                    <w:jc w:val="center"/>
                    <w:jc w:val="center"/>
                  </w:pPr>
                  <w:r>
                    <w:t xml:space="preserve">Yes</w:t>
                  </w:r>
                </w:p>
              </w:tc>
              <w:tc>
                <w:tcPr/>
                <w:p>
                  <w:pPr>
                    <w:pStyle w:val="Compact"/>
                    <w:jc w:val="right"/>
                    <w:jc w:val="center"/>
                  </w:pPr>
                  <w:r>
                    <w:t xml:space="preserve">98%</w:t>
                  </w:r>
                </w:p>
              </w:tc>
              <w:tc>
                <w:tcPr/>
                <w:p>
                  <w:pPr>
                    <w:pStyle w:val="Compact"/>
                    <w:jc w:val="left"/>
                    <w:jc w:val="center"/>
                  </w:pPr>
                  <w:r>
                    <w:t xml:space="preserve">Near-zero [b]</w:t>
                  </w:r>
                </w:p>
              </w:tc>
            </w:tr>
            <w:tr>
              <w:tc>
                <w:tcPr/>
                <w:p>
                  <w:pPr>
                    <w:pStyle w:val="Compact"/>
                    <w:jc w:val="left"/>
                    <w:jc w:val="center"/>
                  </w:pPr>
                  <w:r>
                    <w:t xml:space="preserve">**Pupil-augmented models [c]**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Pooled TEPR on v</w:t>
                  </w:r>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Pooled TEPR on z</w:t>
                  </w:r>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center"/>
                    <w:jc w:val="center"/>
                  </w:pPr>
                  <w:r>
                    <w:t xml:space="preserve">Yes</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Standard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Hard</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r>
              <w:tc>
                <w:tcPr/>
                <w:p>
                  <w:pPr>
                    <w:pStyle w:val="Compact"/>
                    <w:jc w:val="left"/>
                    <w:jc w:val="center"/>
                  </w:pPr>
                  <w:r>
                    <w:t xml:space="preserve">TEPR slope: Easy</w:t>
                  </w:r>
                </w:p>
              </w:tc>
              <w:tc>
                <w:tcPr/>
                <w:p>
                  <w:pPr>
                    <w:pStyle w:val="Compact"/>
                    <w:jc w:val="right"/>
                    <w:jc w:val="center"/>
                  </w:pPr>
                  <w:r>
                    <w:t xml:space="preserve">—</w:t>
                  </w:r>
                </w:p>
              </w:tc>
              <w:tc>
                <w:tcPr/>
                <w:p>
                  <w:pPr>
                    <w:pStyle w:val="Compact"/>
                    <w:jc w:val="left"/>
                    <w:jc w:val="center"/>
                  </w:pPr>
                  <w:r>
                    <w:t xml:space="preserve">—</w:t>
                  </w:r>
                </w:p>
              </w:tc>
              <w:tc>
                <w:tcPr/>
                <w:p>
                  <w:pPr>
                    <w:pStyle w:val="Compact"/>
                    <w:jc w:val="center"/>
                    <w:jc w:val="center"/>
                  </w:pPr>
                  <w:r>
                    <w:t xml:space="preserve">No</w:t>
                  </w:r>
                </w:p>
              </w:tc>
              <w:tc>
                <w:tcPr/>
                <w:p>
                  <w:pPr>
                    <w:pStyle w:val="Compact"/>
                    <w:jc w:val="right"/>
                    <w:jc w:val="center"/>
                  </w:pPr>
                  <w:r>
                    <w:t xml:space="preserve">n/a</w:t>
                  </w:r>
                </w:p>
              </w:tc>
              <w:tc>
                <w:tcPr/>
                <w:p>
                  <w:pPr>
                    <w:pStyle w:val="Compact"/>
                    <w:jc w:val="left"/>
                    <w:jc w:val="center"/>
                  </w:pPr>
                  <w:r>
                    <w:t xml:space="preserve">Inconclusive [c]</w:t>
                  </w:r>
                </w:p>
              </w:tc>
            </w:tr>
          </w:tbl>
          <w:bookmarkEnd w:id="39"/>
          <w:p/>
        </w:tc>
      </w:tr>
    </w:tbl>
    <w:p>
      <w:pPr>
        <w:pStyle w:val="BodyText"/>
      </w:pPr>
      <w:r>
        <w:t xml:space="preserve">The pooled primary model omitted Task on drift; effort</w:t>
      </w:r>
      <m:oMath>
        <m:r>
          <m:rPr>
            <m:sty m:val="p"/>
          </m:rPr>
          <m:t>→</m:t>
        </m:r>
      </m:oMath>
      <w:r>
        <w:t xml:space="preserve">drift was similar with Task on drift (primary</w:t>
      </w:r>
      <w:r>
        <w:t xml:space="preserve"> </w:t>
      </w:r>
      <m:oMath>
        <m:r>
          <m:t>β</m:t>
        </m:r>
        <m:r>
          <m:rPr>
            <m:sty m:val="p"/>
          </m:rPr>
          <m:t>=</m:t>
        </m:r>
        <m:r>
          <m:rPr>
            <m:sty m:val="p"/>
          </m:rPr>
          <m:t>−</m:t>
        </m:r>
        <m:r>
          <m:t>0.057</m:t>
        </m:r>
      </m:oMath>
      <w:r>
        <w:t xml:space="preserve"> </w:t>
      </w:r>
      <w:r>
        <w:t xml:space="preserve">vs task-sensitivity</w:t>
      </w:r>
      <w:r>
        <w:t xml:space="preserve"> </w:t>
      </w:r>
      <m:oMath>
        <m:r>
          <m:t>δ</m:t>
        </m:r>
        <m:r>
          <m:rPr>
            <m:sty m:val="p"/>
          </m:rPr>
          <m:t>=</m:t>
        </m:r>
        <m:r>
          <m:rPr>
            <m:sty m:val="p"/>
          </m:rPr>
          <m:t>−</m:t>
        </m:r>
        <m:r>
          <m:t>0.085</m:t>
        </m:r>
      </m:oMath>
      <w:r>
        <w:t xml:space="preserve">;</w:t>
      </w:r>
      <w:r>
        <w:t xml:space="preserve"> </w:t>
      </w:r>
      <w:hyperlink w:anchor="supptbl-task-sensitivity">
        <w:r>
          <w:rPr>
            <w:rStyle w:val="Hyperlink"/>
          </w:rPr>
          <w:t xml:space="preserve">Table S14</w:t>
        </w:r>
      </w:hyperlink>
      <w:r>
        <w:t xml:space="preserve">); Task</w:t>
      </w:r>
      <m:oMath>
        <m:r>
          <m:rPr>
            <m:sty m:val="p"/>
          </m:rPr>
          <m:t>→</m:t>
        </m:r>
      </m:oMath>
      <w:r>
        <w:t xml:space="preserve">drift was credible but Effort</w:t>
      </w:r>
      <w:r>
        <w:t xml:space="preserve"> </w:t>
      </w:r>
      <m:oMath>
        <m:r>
          <m:rPr>
            <m:sty m:val="p"/>
          </m:rPr>
          <m:t>×</m:t>
        </m:r>
      </m:oMath>
      <w:r>
        <w:t xml:space="preserve"> </w:t>
      </w:r>
      <w:r>
        <w:t xml:space="preserve">Task was not, so we treat cross-task pooling as a deliberate simplification (Supplementary Section S4.3). H1 kept the same sign and similar magnitude across RT cutoffs of 0.15, 0.20, and 0.25 s. H2 was less stable: at the most lenient cutoff (0.15 s), the already-negligible boundary contrast no longer excluded zero, which supports the practical-equivalence interpretation (Supplementary Section S4.2).</w:t>
      </w:r>
    </w:p>
    <w:bookmarkEnd w:id="40"/>
    <w:bookmarkStart w:id="45" w:name="sec-starting-point-bias"/>
    <w:p>
      <w:pPr>
        <w:pStyle w:val="Heading3"/>
      </w:pPr>
      <w:r>
        <w:t xml:space="preserve">3.2.2 Starting-point bias</w:t>
      </w:r>
    </w:p>
    <w:p>
      <w:pPr>
        <w:pStyle w:val="FirstParagraph"/>
      </w:pPr>
      <w:r>
        <w:t xml:space="preserve">In a standard-only calibration model, starting-point bias (</w:t>
      </w:r>
      <m:oMath>
        <m:r>
          <m:t>z</m:t>
        </m:r>
      </m:oMath>
      <w:r>
        <w:t xml:space="preserve">) was estimated independently of drift rate (</w:t>
      </w:r>
      <m:oMath>
        <m:r>
          <m:t>v</m:t>
        </m:r>
      </m:oMath>
      <w:r>
        <w:t xml:space="preserve">). Bias values were consistently above 0.5. ADT showed higher bias toward</w:t>
      </w:r>
      <w:r>
        <w:t xml:space="preserve"> </w:t>
      </w:r>
      <w:r>
        <w:t xml:space="preserve">“different”</w:t>
      </w:r>
      <w:r>
        <w:t xml:space="preserve"> </w:t>
      </w:r>
      <w:r>
        <w:t xml:space="preserve">responses than VDT (</w:t>
      </w:r>
      <m:oMath>
        <m:r>
          <m:rPr>
            <m:sty m:val="p"/>
          </m:rPr>
          <m:t>Δ</m:t>
        </m:r>
        <m:r>
          <m:t>z</m:t>
        </m:r>
        <m:r>
          <m:rPr>
            <m:sty m:val="p"/>
          </m:rPr>
          <m:t>=</m:t>
        </m:r>
        <m:r>
          <m:t>0.038</m:t>
        </m:r>
      </m:oMath>
      <w:r>
        <w:t xml:space="preserve">, 95% CrI</w:t>
      </w:r>
      <w:r>
        <w:t xml:space="preserve"> </w:t>
      </w:r>
      <m:oMath>
        <m:r>
          <m:rPr>
            <m:sty m:val="p"/>
          </m:rPr>
          <m:t>[</m:t>
        </m:r>
        <m:r>
          <m:t>0.019</m:t>
        </m:r>
        <m:r>
          <m:rPr>
            <m:sty m:val="p"/>
          </m:rPr>
          <m:t>,</m:t>
        </m:r>
        <m:r>
          <m:t> </m:t>
        </m:r>
        <m:r>
          <m:t>0.058</m:t>
        </m:r>
        <m:r>
          <m:rPr>
            <m:sty m:val="p"/>
          </m:rPr>
          <m:t>]</m:t>
        </m:r>
      </m:oMath>
      <w:r>
        <w:t xml:space="preserve">;</w:t>
      </w:r>
      <w:r>
        <w:t xml:space="preserve"> </w:t>
      </w:r>
      <m:oMath>
        <m:r>
          <m:t>P</m:t>
        </m:r>
        <m:r>
          <m:rPr>
            <m:sty m:val="p"/>
          </m:rPr>
          <m:t>(</m:t>
        </m:r>
        <m:r>
          <m:rPr>
            <m:sty m:val="p"/>
          </m:rPr>
          <m:t>Δ</m:t>
        </m:r>
        <m:sSub>
          <m:e>
            <m:r>
              <m:t>z</m:t>
            </m:r>
          </m:e>
          <m:sub>
            <m:r>
              <m:rPr>
                <m:nor/>
                <m:sty m:val="p"/>
              </m:rPr>
              <m:t>ADT</m:t>
            </m:r>
            <m:r>
              <m:rPr>
                <m:sty m:val="p"/>
              </m:rPr>
              <m:t>−</m:t>
            </m:r>
            <m:r>
              <m:rPr>
                <m:nor/>
                <m:sty m:val="p"/>
              </m:rPr>
              <m:t>VDT</m:t>
            </m:r>
          </m:sub>
        </m:sSub>
        <m:r>
          <m:rPr>
            <m:sty m:val="p"/>
          </m:rPr>
          <m:t>&gt;</m:t>
        </m:r>
        <m:r>
          <m:t>0</m:t>
        </m:r>
        <m:r>
          <m:rPr>
            <m:sty m:val="p"/>
          </m:rPr>
          <m:t>)</m:t>
        </m:r>
        <m:r>
          <m:rPr>
            <m:sty m:val="p"/>
          </m:rPr>
          <m:t>&gt;</m:t>
        </m:r>
        <m:r>
          <m:t>.999</m:t>
        </m:r>
      </m:oMath>
      <w:r>
        <w:t xml:space="preserve">; ADT − VDT on</w:t>
      </w:r>
      <w:r>
        <w:t xml:space="preserve"> </w:t>
      </w:r>
      <m:oMath>
        <m:r>
          <m:t>z</m:t>
        </m:r>
      </m:oMath>
      <w:r>
        <w:t xml:space="preserve">). The effort contrast in this calibration model was small and uncertain (High−Low:</w:t>
      </w:r>
      <w:r>
        <w:t xml:space="preserve"> </w:t>
      </w:r>
      <m:oMath>
        <m:r>
          <m:rPr>
            <m:sty m:val="p"/>
          </m:rPr>
          <m:t>Δ</m:t>
        </m:r>
        <m:r>
          <m:t>z</m:t>
        </m:r>
        <m:r>
          <m:rPr>
            <m:sty m:val="p"/>
          </m:rPr>
          <m:t>=</m:t>
        </m:r>
        <m:r>
          <m:t>0.006</m:t>
        </m:r>
      </m:oMath>
      <w:r>
        <w:t xml:space="preserve">, 95% CrI</w:t>
      </w:r>
      <w:r>
        <w:t xml:space="preserve"> </w:t>
      </w:r>
      <m:oMath>
        <m:r>
          <m:rPr>
            <m:sty m:val="p"/>
          </m:rPr>
          <m:t>[</m:t>
        </m:r>
        <m:r>
          <m:rPr>
            <m:sty m:val="p"/>
          </m:rPr>
          <m:t>−</m:t>
        </m:r>
        <m:r>
          <m:t>0.011</m:t>
        </m:r>
        <m:r>
          <m:rPr>
            <m:sty m:val="p"/>
          </m:rPr>
          <m:t>,</m:t>
        </m:r>
        <m:r>
          <m:t> </m:t>
        </m:r>
        <m:r>
          <m:t>0.024</m:t>
        </m:r>
        <m:r>
          <m:rPr>
            <m:sty m:val="p"/>
          </m:rPr>
          <m:t>]</m:t>
        </m:r>
      </m:oMath>
      <w:r>
        <w:t xml:space="preserve">). Bias was modeled as a function of task and effort only, because participants did not know trial difficulty in advance</w:t>
      </w:r>
      <w:r>
        <w:t xml:space="preserve"> </w:t>
      </w:r>
      <w:r>
        <w:t xml:space="preserve">(Farell, 1985; Nosofsky &amp; Palmeri, 1997)</w:t>
      </w:r>
      <w:r>
        <w:t xml:space="preserve">. The primary-model H4 test is in</w:t>
      </w:r>
      <w:r>
        <w:t xml:space="preserve"> </w:t>
      </w:r>
      <w:hyperlink w:anchor="sec-key-contrasts">
        <w:r>
          <w:rPr>
            <w:rStyle w:val="Hyperlink"/>
          </w:rPr>
          <w:t xml:space="preserve">Section 3.2.1</w:t>
        </w:r>
      </w:hyperlink>
      <w:r>
        <w:t xml:space="preserve">.</w:t>
      </w:r>
    </w:p>
    <w:p>
      <w:pPr>
        <w:pStyle w:val="BodyText"/>
      </w:pPr>
      <w:r>
        <w:t xml:space="preserve">The standard-only bias estimate (</w:t>
      </w:r>
      <m:oMath>
        <m:r>
          <m:t>z</m:t>
        </m:r>
        <m:r>
          <m:rPr>
            <m:sty m:val="p"/>
          </m:rPr>
          <m:t>=</m:t>
        </m:r>
        <m:r>
          <m:t>0.58</m:t>
        </m:r>
      </m:oMath>
      <w:r>
        <w:t xml:space="preserve">, 95% CrI [0.51, 0.64];</w:t>
      </w:r>
      <w:r>
        <w:t xml:space="preserve"> </w:t>
      </w:r>
      <w:hyperlink w:anchor="supptbl-standard-only-bias-levels">
        <w:r>
          <w:rPr>
            <w:rStyle w:val="Hyperlink"/>
          </w:rPr>
          <w:t xml:space="preserve">Table S5</w:t>
        </w:r>
      </w:hyperlink>
      <w:r>
        <w:t xml:space="preserve">) exceeded the primary-model estimates (</w:t>
      </w:r>
      <m:oMath>
        <m:r>
          <m:t>z</m:t>
        </m:r>
        <m:r>
          <m:rPr>
            <m:sty m:val="p"/>
          </m:rPr>
          <m:t>≈</m:t>
        </m:r>
        <m:r>
          <m:t>0.52</m:t>
        </m:r>
      </m:oMath>
      <w:r>
        <w:t xml:space="preserve">–</w:t>
      </w:r>
      <m:oMath>
        <m:r>
          <m:t>0.55</m:t>
        </m:r>
      </m:oMath>
      <w:r>
        <w:t xml:space="preserve">;</w:t>
      </w:r>
      <w:r>
        <w:t xml:space="preserve"> </w:t>
      </w:r>
      <w:hyperlink w:anchor="supptbl-ddm-posterior-estimates">
        <w:r>
          <w:rPr>
            <w:rStyle w:val="Hyperlink"/>
          </w:rPr>
          <w:t xml:space="preserve">Table S4</w:t>
        </w:r>
      </w:hyperlink>
      <w:r>
        <w:t xml:space="preserve">). This difference reflects the</w:t>
      </w:r>
      <w:r>
        <w:t xml:space="preserve"> </w:t>
      </w:r>
      <m:oMath>
        <m:r>
          <m:t>v</m:t>
        </m:r>
      </m:oMath>
      <w:r>
        <w:t xml:space="preserve">–</w:t>
      </w:r>
      <m:oMath>
        <m:r>
          <m:t>z</m:t>
        </m:r>
      </m:oMath>
      <w:r>
        <w:t xml:space="preserve"> </w:t>
      </w:r>
      <w:r>
        <w:t xml:space="preserve">trade-off when drift and bias are estimated jointly across difficulty levels. Between-subject variability in drift rate and its effort sensitivity is shown in</w:t>
      </w:r>
      <w:r>
        <w:t xml:space="preserve"> </w:t>
      </w:r>
      <w:hyperlink w:anchor="fig-individual-diff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individual-diffs"/>
          <w:p>
            <w:pPr>
              <w:pStyle w:val="Compact"/>
              <w:jc w:val="center"/>
            </w:pPr>
            <w:r>
              <w:drawing>
                <wp:inline>
                  <wp:extent cx="5334000" cy="2517648"/>
                  <wp:effectExtent b="0" l="0" r="0" t="0"/>
                  <wp:docPr descr="" title="" id="42" name="Picture"/>
                  <a:graphic>
                    <a:graphicData uri="http://schemas.openxmlformats.org/drawingml/2006/picture">
                      <pic:pic>
                        <pic:nvPicPr>
                          <pic:cNvPr descr="../output/figures/manuscript/fig5_individual_differences.png" id="43" name="Picture"/>
                          <pic:cNvPicPr>
                            <a:picLocks noChangeArrowheads="1" noChangeAspect="1"/>
                          </pic:cNvPicPr>
                        </pic:nvPicPr>
                        <pic:blipFill>
                          <a:blip r:embed="rId41"/>
                          <a:stretch>
                            <a:fillRect/>
                          </a:stretch>
                        </pic:blipFill>
                        <pic:spPr bwMode="auto">
                          <a:xfrm>
                            <a:off x="0" y="0"/>
                            <a:ext cx="5334000" cy="2517648"/>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Group-level effort reduced drift rate, with most participants showing lower High-effort than Low-effort subject-level estimates.</w:t>
            </w:r>
            <w:r>
              <w:t xml:space="preserve"> </w:t>
            </w:r>
            <w:r>
              <w:rPr>
                <w:b/>
                <w:bCs/>
              </w:rPr>
              <w:t xml:space="preserve">(A)</w:t>
            </w:r>
            <w:r>
              <w:t xml:space="preserve"> </w:t>
            </w:r>
            <w:r>
              <w:t xml:space="preserve">Brinley plot (Hard vs. Easy mean RT per participant).</w:t>
            </w:r>
            <w:r>
              <w:t xml:space="preserve"> </w:t>
            </w:r>
            <w:r>
              <w:rPr>
                <w:b/>
                <w:bCs/>
              </w:rPr>
              <w:t xml:space="preserve">(B)</w:t>
            </w:r>
            <w:r>
              <w:t xml:space="preserve"> </w:t>
            </w:r>
            <w:r>
              <w:t xml:space="preserve">Paired subject-level drift by effort; diamonds = group means.</w:t>
            </w:r>
            <w:r>
              <w:t xml:space="preserve"> </w:t>
            </w:r>
            <w:r>
              <w:rPr>
                <w:b/>
                <w:bCs/>
              </w:rPr>
              <w:t xml:space="preserve">(C)</w:t>
            </w:r>
            <w:r>
              <w:t xml:space="preserve"> </w:t>
            </w:r>
            <w:r>
              <w:t xml:space="preserve">Low vs. High effort drift scatter (points below diagonal = lower drift under High effort; uncertainty not shown). Group-level effort contrast (primary additive model)</w:t>
            </w:r>
            <w:r>
              <w:t xml:space="preserve"> </w:t>
            </w:r>
            <m:oMath>
              <m:r>
                <m:t>β</m:t>
              </m:r>
              <m:r>
                <m:rPr>
                  <m:sty m:val="p"/>
                </m:rPr>
                <m:t>=</m:t>
              </m:r>
              <m:r>
                <m:rPr>
                  <m:sty m:val="p"/>
                </m:rPr>
                <m:t>−</m:t>
              </m:r>
              <m:r>
                <m:t>0.06</m:t>
              </m:r>
            </m:oMath>
            <w:r>
              <w:t xml:space="preserve">, 95% CrI</w:t>
            </w:r>
            <w:r>
              <w:t xml:space="preserve"> </w:t>
            </w:r>
            <m:oMath>
              <m:r>
                <m:rPr>
                  <m:sty m:val="p"/>
                </m:rPr>
                <m:t>[</m:t>
              </m:r>
              <m:r>
                <m:rPr>
                  <m:sty m:val="p"/>
                </m:rPr>
                <m:t>−</m:t>
              </m:r>
              <m:r>
                <m:t>0.10</m:t>
              </m:r>
              <m:r>
                <m:rPr>
                  <m:sty m:val="p"/>
                </m:rPr>
                <m:t>,</m:t>
              </m:r>
              <m:r>
                <m:t> </m:t>
              </m:r>
              <m:r>
                <m:rPr>
                  <m:sty m:val="p"/>
                </m:rPr>
                <m:t>−</m:t>
              </m:r>
              <m:r>
                <m:t>0.02</m:t>
              </m:r>
              <m:r>
                <m:rPr>
                  <m:sty m:val="p"/>
                </m:rPr>
                <m:t>]</m:t>
              </m:r>
            </m:oMath>
            <w:r>
              <w:t xml:space="preserve">. Estimates are hierarchical posteriors with partial shrinkage toward the group mean.</w:t>
            </w:r>
          </w:p>
          <w:bookmarkEnd w:id="44"/>
        </w:tc>
      </w:tr>
    </w:tbl>
    <w:bookmarkEnd w:id="45"/>
    <w:bookmarkEnd w:id="46"/>
    <w:bookmarkStart w:id="47" w:name="sec-pupil-ddm-integration"/>
    <w:p>
      <w:pPr>
        <w:pStyle w:val="Heading2"/>
      </w:pPr>
      <w:r>
        <w:t xml:space="preserve">3.3 Pupil-linked DDM extensions</w:t>
      </w:r>
    </w:p>
    <w:p>
      <w:pPr>
        <w:pStyle w:val="FirstParagraph"/>
      </w:pPr>
      <w:r>
        <w:t xml:space="preserve">We next tested whether trial-wise task-evoked pupil responses (TEPR; within-subject</w:t>
      </w:r>
      <w:r>
        <w:t xml:space="preserve"> </w:t>
      </w:r>
      <w:r>
        <w:rPr>
          <w:i/>
          <w:iCs/>
        </w:rPr>
        <w:t xml:space="preserve">z</w:t>
      </w:r>
      <w:r>
        <w:t xml:space="preserve">-scored Decision-Response AUC) predicted latent decision parameters during concurrent grip. The effect of the pupil response on starting-point bias (</w:t>
      </w:r>
      <m:oMath>
        <m:r>
          <m:t>z</m:t>
        </m:r>
      </m:oMath>
      <w:r>
        <w:t xml:space="preserve">) was pre-specified as the primary pupil-linked contrast; its effects on drift rate, on drift as a function of difficulty, and the Cavanagh-style effect on boundary separation (</w:t>
      </w:r>
      <m:oMath>
        <m:r>
          <m:t>a</m:t>
        </m:r>
      </m:oMath>
      <w:r>
        <w:t xml:space="preserve">) were exploratory. On the pupil-available subset (12,287 trials, 59 participants), we fit four nested hierarchical Wiener models (</w:t>
      </w:r>
      <w:hyperlink w:anchor="sec-pupil-ddm-models">
        <w:r>
          <w:rPr>
            <w:rStyle w:val="Hyperlink"/>
          </w:rPr>
          <w:t xml:space="preserve">Section 2.7.3</w:t>
        </w:r>
      </w:hyperlink>
      <w:r>
        <w:t xml:space="preserve">): (1) a</w:t>
      </w:r>
      <w:r>
        <w:t xml:space="preserve"> </w:t>
      </w:r>
      <w:r>
        <w:rPr>
          <w:b/>
          <w:bCs/>
        </w:rPr>
        <w:t xml:space="preserve">behavioral baseline</w:t>
      </w:r>
      <w:r>
        <w:t xml:space="preserve"> </w:t>
      </w:r>
      <w:r>
        <w:t xml:space="preserve">with no pupil predictor; (2) pupil predicting</w:t>
      </w:r>
      <w:r>
        <w:t xml:space="preserve"> </w:t>
      </w:r>
      <w:r>
        <w:rPr>
          <w:b/>
          <w:bCs/>
        </w:rPr>
        <w:t xml:space="preserve">bias</w:t>
      </w:r>
      <w:r>
        <w:t xml:space="preserve"> </w:t>
      </w:r>
      <w:r>
        <w:t xml:space="preserve">(</w:t>
      </w:r>
      <m:oMath>
        <m:r>
          <m:t>z</m:t>
        </m:r>
      </m:oMath>
      <w:r>
        <w:t xml:space="preserve">); (3) pupil predicting</w:t>
      </w:r>
      <w:r>
        <w:t xml:space="preserve"> </w:t>
      </w:r>
      <w:r>
        <w:rPr>
          <w:b/>
          <w:bCs/>
        </w:rPr>
        <w:t xml:space="preserve">drift and bias</w:t>
      </w:r>
      <w:r>
        <w:t xml:space="preserve"> </w:t>
      </w:r>
      <w:r>
        <w:t xml:space="preserve">(</w:t>
      </w:r>
      <m:oMath>
        <m:r>
          <m:t>v</m:t>
        </m:r>
      </m:oMath>
      <w:r>
        <w:t xml:space="preserve"> </w:t>
      </w:r>
      <w:r>
        <w:t xml:space="preserve">and</w:t>
      </w:r>
      <w:r>
        <w:t xml:space="preserve"> </w:t>
      </w:r>
      <m:oMath>
        <m:r>
          <m:t>z</m:t>
        </m:r>
      </m:oMath>
      <w:r>
        <w:t xml:space="preserve">); and (4) a</w:t>
      </w:r>
      <w:r>
        <w:t xml:space="preserve"> </w:t>
      </w:r>
      <w:r>
        <w:rPr>
          <w:b/>
          <w:bCs/>
        </w:rPr>
        <w:t xml:space="preserve">pupil-by-difficulty</w:t>
      </w:r>
      <w:r>
        <w:t xml:space="preserve"> </w:t>
      </w:r>
      <w:r>
        <w:t xml:space="preserve">model for drift. We also fit Cavanagh-style boundary models (</w:t>
      </w:r>
      <m:oMath>
        <m:r>
          <m:t>a</m:t>
        </m:r>
      </m:oMath>
      <w:r>
        <w:t xml:space="preserve">;</w:t>
      </w:r>
      <w:r>
        <w:t xml:space="preserve"> </w:t>
      </w:r>
      <w:hyperlink w:anchor="supptbl-pupil-boundary-appendix">
        <w:r>
          <w:rPr>
            <w:rStyle w:val="Hyperlink"/>
          </w:rPr>
          <w:t xml:space="preserve">Table S17</w:t>
        </w:r>
      </w:hyperlink>
      <w:r>
        <w:t xml:space="preserve">). All nested models used the same trial set and the same additive difficulty/effort structure as the primary behavioral model. Because the pupil subset excludes trials without valid pupil data, it is</w:t>
      </w:r>
      <w:r>
        <w:t xml:space="preserve"> </w:t>
      </w:r>
      <w:r>
        <w:rPr>
          <w:b/>
          <w:bCs/>
        </w:rPr>
        <w:t xml:space="preserve">not</w:t>
      </w:r>
      <w:r>
        <w:t xml:space="preserve"> </w:t>
      </w:r>
      <w:r>
        <w:t xml:space="preserve">comparable to the full behavioral analysis (</w:t>
      </w:r>
      <m:oMath>
        <m:r>
          <m:t>N</m:t>
        </m:r>
        <m:r>
          <m:rPr>
            <m:sty m:val="p"/>
          </m:rPr>
          <m:t>=</m:t>
        </m:r>
        <m:r>
          <m:t>17</m:t>
        </m:r>
        <m:r>
          <m:rPr>
            <m:sty m:val="p"/>
          </m:rPr>
          <m:t>,</m:t>
        </m:r>
        <m:r>
          <m:t>857</m:t>
        </m:r>
      </m:oMath>
      <w:r>
        <w:t xml:space="preserve"> </w:t>
      </w:r>
      <w:r>
        <w:t xml:space="preserve">trials); pupil-model comparisons are restricted to the nested same-</w:t>
      </w:r>
      <m:oMath>
        <m:r>
          <m:t>N</m:t>
        </m:r>
      </m:oMath>
      <w:r>
        <w:t xml:space="preserve"> </w:t>
      </w:r>
      <w:r>
        <w:t xml:space="preserve">set.</w:t>
      </w:r>
    </w:p>
    <w:p>
      <w:pPr>
        <w:pStyle w:val="BodyText"/>
      </w:pPr>
      <w:r>
        <w:t xml:space="preserve">On the pupil-available subset (12,287 trials, 59 participants), PSIS-LOO was reliable (max Pareto-</w:t>
      </w:r>
      <m:oMath>
        <m:r>
          <m:t>k</m:t>
        </m:r>
      </m:oMath>
      <w:r>
        <w:t xml:space="preserve"> </w:t>
      </w:r>
      <w:r>
        <w:t xml:space="preserve">= 0.68; all</w:t>
      </w:r>
      <w:r>
        <w:t xml:space="preserve"> </w:t>
      </w:r>
      <m:oMath>
        <m:r>
          <m:t>k</m:t>
        </m:r>
        <m:r>
          <m:rPr>
            <m:sty m:val="p"/>
          </m:rPr>
          <m:t>≤</m:t>
        </m:r>
        <m:r>
          <m:t>0.7</m:t>
        </m:r>
      </m:oMath>
      <w:r>
        <w:t xml:space="preserve">). Relative to the nested behavioral baseline,</w:t>
      </w:r>
      <w:r>
        <w:t xml:space="preserve"> </w:t>
      </w:r>
      <m:oMath>
        <m:r>
          <m:rPr>
            <m:sty m:val="p"/>
          </m:rPr>
          <m:t>Δ</m:t>
        </m:r>
      </m:oMath>
      <w:r>
        <w:t xml:space="preserve">ELPD was -0.10 (pupil</w:t>
      </w:r>
      <w:r>
        <w:t xml:space="preserve"> </w:t>
      </w:r>
      <m:oMath>
        <m:r>
          <m:rPr>
            <m:sty m:val="p"/>
          </m:rPr>
          <m:t>→</m:t>
        </m:r>
      </m:oMath>
      <w:r>
        <w:t xml:space="preserve"> </w:t>
      </w:r>
      <m:oMath>
        <m:r>
          <m:t>z</m:t>
        </m:r>
      </m:oMath>
      <w:r>
        <w:t xml:space="preserve">), -2.15 (pupil</w:t>
      </w:r>
      <w:r>
        <w:t xml:space="preserve"> </w:t>
      </w:r>
      <m:oMath>
        <m:r>
          <m:rPr>
            <m:sty m:val="p"/>
          </m:rPr>
          <m:t>→</m:t>
        </m:r>
      </m:oMath>
      <w:r>
        <w:t xml:space="preserve"> </w:t>
      </w:r>
      <m:oMath>
        <m:r>
          <m:t>v</m:t>
        </m:r>
      </m:oMath>
      <w:r>
        <w:t xml:space="preserve"> </w:t>
      </w:r>
      <w:r>
        <w:t xml:space="preserve">+</w:t>
      </w:r>
      <w:r>
        <w:t xml:space="preserve"> </w:t>
      </w:r>
      <m:oMath>
        <m:r>
          <m:t>z</m:t>
        </m:r>
      </m:oMath>
      <w:r>
        <w:t xml:space="preserve">), and -2.59 (pupil</w:t>
      </w:r>
      <w:r>
        <w:t xml:space="preserve"> </w:t>
      </w:r>
      <m:oMath>
        <m:r>
          <m:rPr>
            <m:sty m:val="p"/>
          </m:rPr>
          <m:t>×</m:t>
        </m:r>
      </m:oMath>
      <w:r>
        <w:t xml:space="preserve"> </w:t>
      </w:r>
      <w:r>
        <w:t xml:space="preserve">difficulty); none approached the</w:t>
      </w:r>
      <w:r>
        <w:t xml:space="preserve"> </w:t>
      </w:r>
      <m:oMath>
        <m:r>
          <m:rPr>
            <m:sty m:val="p"/>
          </m:rPr>
          <m:t>±</m:t>
        </m:r>
        <m:r>
          <m:t>4</m:t>
        </m:r>
      </m:oMath>
      <w:r>
        <w:t xml:space="preserve"> </w:t>
      </w:r>
      <w:r>
        <w:t xml:space="preserve">benchmark (</w:t>
      </w:r>
      <w:hyperlink w:anchor="supptbl-pupil-loo-unified">
        <w:r>
          <w:rPr>
            <w:rStyle w:val="Hyperlink"/>
          </w:rPr>
          <w:t xml:space="preserve">Table S15</w:t>
        </w:r>
      </w:hyperlink>
      <w:r>
        <w:t xml:space="preserve">; primary-window nested Models m0–m3). Pooled TEPR did not credibly predict drift rate (</w:t>
      </w:r>
      <m:oMath>
        <m:r>
          <m:t>v</m:t>
        </m:r>
      </m:oMath>
      <w:r>
        <w:t xml:space="preserve">;</w:t>
      </w:r>
      <w:r>
        <w:t xml:space="preserve"> </w:t>
      </w:r>
      <m:oMath>
        <m:r>
          <m:t>β</m:t>
        </m:r>
        <m:r>
          <m:rPr>
            <m:sty m:val="p"/>
          </m:rPr>
          <m:t>=</m:t>
        </m:r>
        <m:r>
          <m:t>0.011</m:t>
        </m:r>
      </m:oMath>
      <w:r>
        <w:t xml:space="preserve">, 95% CrI</w:t>
      </w:r>
      <w:r>
        <w:t xml:space="preserve"> </w:t>
      </w:r>
      <m:oMath>
        <m:r>
          <m:rPr>
            <m:sty m:val="p"/>
          </m:rPr>
          <m:t>[</m:t>
        </m:r>
        <m:r>
          <m:rPr>
            <m:sty m:val="p"/>
          </m:rPr>
          <m:t>−</m:t>
        </m:r>
        <m:r>
          <m:t>0.025</m:t>
        </m:r>
        <m:r>
          <m:rPr>
            <m:sty m:val="p"/>
          </m:rPr>
          <m:t>,</m:t>
        </m:r>
        <m:r>
          <m:t> </m:t>
        </m:r>
        <m:r>
          <m:t>0.045</m:t>
        </m:r>
        <m:r>
          <m:rPr>
            <m:sty m:val="p"/>
          </m:rPr>
          <m:t>]</m:t>
        </m:r>
      </m:oMath>
      <w:r>
        <w:t xml:space="preserve">; 95% CrI includes zero) or starting-point bias (</w:t>
      </w:r>
      <m:oMath>
        <m:r>
          <m:t>z</m:t>
        </m:r>
      </m:oMath>
      <w:r>
        <w:t xml:space="preserve">;</w:t>
      </w:r>
      <w:r>
        <w:t xml:space="preserve"> </w:t>
      </w:r>
      <m:oMath>
        <m:r>
          <m:t>β</m:t>
        </m:r>
        <m:r>
          <m:rPr>
            <m:sty m:val="p"/>
          </m:rPr>
          <m:t>=</m:t>
        </m:r>
        <m:r>
          <m:t>0.004</m:t>
        </m:r>
      </m:oMath>
      <w:r>
        <w:t xml:space="preserve">, 95% CrI</w:t>
      </w:r>
      <w:r>
        <w:t xml:space="preserve"> </w:t>
      </w:r>
      <m:oMath>
        <m:r>
          <m:rPr>
            <m:sty m:val="p"/>
          </m:rPr>
          <m:t>[</m:t>
        </m:r>
        <m:r>
          <m:rPr>
            <m:sty m:val="p"/>
          </m:rPr>
          <m:t>−</m:t>
        </m:r>
        <m:r>
          <m:t>0.027</m:t>
        </m:r>
        <m:r>
          <m:rPr>
            <m:sty m:val="p"/>
          </m:rPr>
          <m:t>,</m:t>
        </m:r>
        <m:r>
          <m:t> </m:t>
        </m:r>
        <m:r>
          <m:t>0.034</m:t>
        </m:r>
        <m:r>
          <m:rPr>
            <m:sty m:val="p"/>
          </m:rPr>
          <m:t>]</m:t>
        </m:r>
      </m:oMath>
      <w:r>
        <w:t xml:space="preserve">; 95% CrI includes zero). Difficulty-conditional TEPR slopes on</w:t>
      </w:r>
      <w:r>
        <w:t xml:space="preserve"> </w:t>
      </w:r>
      <m:oMath>
        <m:r>
          <m:t>v</m:t>
        </m:r>
      </m:oMath>
      <w:r>
        <w:t xml:space="preserve"> </w:t>
      </w:r>
      <w:r>
        <w:t xml:space="preserve">were centered near zero with CrIs spanning zero (</w:t>
      </w:r>
      <w:hyperlink w:anchor="supptbl-pupil-key-effects-appendix">
        <w:r>
          <w:rPr>
            <w:rStyle w:val="Hyperlink"/>
          </w:rPr>
          <w:t xml:space="preserve">Table S16</w:t>
        </w:r>
      </w:hyperlink>
      <w:r>
        <w:t xml:space="preserve">,</w:t>
      </w:r>
      <w:r>
        <w:t xml:space="preserve"> </w:t>
      </w:r>
      <w:hyperlink w:anchor="suppfig-tepr-slopes-supp">
        <w:r>
          <w:rPr>
            <w:rStyle w:val="Hyperlink"/>
          </w:rPr>
          <w:t xml:space="preserve">Figure S14</w:t>
        </w:r>
      </w:hyperlink>
      <w:r>
        <w:t xml:space="preserve">). We additionally fit Cavanagh-style extensions allowing trial-wise TEPR to modulate boundary separation (</w:t>
      </w:r>
      <m:oMath>
        <m:r>
          <m:t>a</m:t>
        </m:r>
      </m:oMath>
      <w:r>
        <w:t xml:space="preserve">) while holding drift and bias structures fixed</w:t>
      </w:r>
      <w:r>
        <w:t xml:space="preserve"> </w:t>
      </w:r>
      <w:r>
        <w:t xml:space="preserve">(Cavanagh et al., 2014)</w:t>
      </w:r>
      <w:r>
        <w:t xml:space="preserve">. Posterior slopes were small but credibly above zero on the log-</w:t>
      </w:r>
      <m:oMath>
        <m:r>
          <m:t>a</m:t>
        </m:r>
      </m:oMath>
      <w:r>
        <w:t xml:space="preserve"> </w:t>
      </w:r>
      <w:r>
        <w:t xml:space="preserve">link (Decision-Response AUC:</w:t>
      </w:r>
      <w:r>
        <w:t xml:space="preserve"> </w:t>
      </w:r>
      <m:oMath>
        <m:r>
          <m:t>β</m:t>
        </m:r>
        <m:r>
          <m:rPr>
            <m:sty m:val="p"/>
          </m:rPr>
          <m:t>=</m:t>
        </m:r>
        <m:r>
          <m:t>0.017</m:t>
        </m:r>
      </m:oMath>
      <w:r>
        <w:t xml:space="preserve">, 95% CrI</w:t>
      </w:r>
      <w:r>
        <w:t xml:space="preserve"> </w:t>
      </w:r>
      <m:oMath>
        <m:r>
          <m:rPr>
            <m:sty m:val="p"/>
          </m:rPr>
          <m:t>[</m:t>
        </m:r>
        <m:r>
          <m:t>0.005</m:t>
        </m:r>
        <m:r>
          <m:rPr>
            <m:sty m:val="p"/>
          </m:rPr>
          <m:t>,</m:t>
        </m:r>
        <m:r>
          <m:t> </m:t>
        </m:r>
        <m:r>
          <m:t>0.028</m:t>
        </m:r>
        <m:r>
          <m:rPr>
            <m:sty m:val="p"/>
          </m:rPr>
          <m:t>]</m:t>
        </m:r>
      </m:oMath>
      <w:r>
        <w:t xml:space="preserve">; Truncated Decision-Response AUC:</w:t>
      </w:r>
      <w:r>
        <w:t xml:space="preserve"> </w:t>
      </w:r>
      <m:oMath>
        <m:r>
          <m:t>β</m:t>
        </m:r>
        <m:r>
          <m:rPr>
            <m:sty m:val="p"/>
          </m:rPr>
          <m:t>=</m:t>
        </m:r>
        <m:r>
          <m:t>0.014</m:t>
        </m:r>
      </m:oMath>
      <w:r>
        <w:t xml:space="preserve">, 95% CrI</w:t>
      </w:r>
      <w:r>
        <w:t xml:space="preserve"> </w:t>
      </w:r>
      <m:oMath>
        <m:r>
          <m:rPr>
            <m:sty m:val="p"/>
          </m:rPr>
          <m:t>[</m:t>
        </m:r>
        <m:r>
          <m:t>0.002</m:t>
        </m:r>
        <m:r>
          <m:rPr>
            <m:sty m:val="p"/>
          </m:rPr>
          <m:t>,</m:t>
        </m:r>
        <m:r>
          <m:t> </m:t>
        </m:r>
        <m:r>
          <m:t>0.025</m:t>
        </m:r>
        <m:r>
          <m:rPr>
            <m:sty m:val="p"/>
          </m:rPr>
          <m:t>]</m:t>
        </m:r>
      </m:oMath>
      <w:r>
        <w:t xml:space="preserve">). PSIS-LOO nonetheless did not favor these models over the behavioral baseline (</w:t>
      </w:r>
      <m:oMath>
        <m:r>
          <m:rPr>
            <m:sty m:val="p"/>
          </m:rPr>
          <m:t>Δ</m:t>
        </m:r>
      </m:oMath>
      <w:r>
        <w:t xml:space="preserve">ELPD = 2.69 and 0.39 vs. m0; both</w:t>
      </w:r>
      <w:r>
        <w:t xml:space="preserve"> </w:t>
      </w:r>
      <m:oMath>
        <m:r>
          <m:rPr>
            <m:sty m:val="p"/>
          </m:rPr>
          <m:t>|</m:t>
        </m:r>
        <m:r>
          <m:rPr>
            <m:sty m:val="p"/>
          </m:rPr>
          <m:t>Δ</m:t>
        </m:r>
      </m:oMath>
      <w:r>
        <w:t xml:space="preserve">ELPD</w:t>
      </w:r>
      <m:oMath>
        <m:r>
          <m:rPr>
            <m:sty m:val="p"/>
          </m:rPr>
          <m:t>|</m:t>
        </m:r>
        <m:r>
          <m:rPr>
            <m:sty m:val="p"/>
          </m:rPr>
          <m:t>&lt;</m:t>
        </m:r>
        <m:r>
          <m:t>4</m:t>
        </m:r>
      </m:oMath>
      <w:r>
        <w:t xml:space="preserve">;</w:t>
      </w:r>
      <w:r>
        <w:t xml:space="preserve"> </w:t>
      </w:r>
      <w:hyperlink w:anchor="supptbl-pupil-boundary-appendix">
        <w:r>
          <w:rPr>
            <w:rStyle w:val="Hyperlink"/>
          </w:rPr>
          <w:t xml:space="preserve">Table S17</w:t>
        </w:r>
      </w:hyperlink>
      <w:r>
        <w:t xml:space="preserve">). Phasic arousal therefore showed no credible predictive gain on</w:t>
      </w:r>
      <w:r>
        <w:t xml:space="preserve"> </w:t>
      </w:r>
      <m:oMath>
        <m:r>
          <m:t>a</m:t>
        </m:r>
      </m:oMath>
      <w:r>
        <w:t xml:space="preserve"> </w:t>
      </w:r>
      <w:r>
        <w:t xml:space="preserve">under the current TEPR specification, paralleling the inconclusive drift/bias extensions. In five of six task</w:t>
      </w:r>
      <w:r>
        <w:t xml:space="preserve"> </w:t>
      </w:r>
      <m:oMath>
        <m:r>
          <m:rPr>
            <m:sty m:val="p"/>
          </m:rPr>
          <m:t>×</m:t>
        </m:r>
      </m:oMath>
      <w:r>
        <w:t xml:space="preserve"> </w:t>
      </w:r>
      <w:r>
        <w:t xml:space="preserve">difficulty cells, mean TEPR was</w:t>
      </w:r>
      <w:r>
        <w:t xml:space="preserve"> </w:t>
      </w:r>
      <w:r>
        <w:rPr>
          <w:b/>
          <w:bCs/>
        </w:rPr>
        <w:t xml:space="preserve">lower</w:t>
      </w:r>
      <w:r>
        <w:t xml:space="preserve"> </w:t>
      </w:r>
      <w:r>
        <w:t xml:space="preserve">under High (40% MVC) than Low (5% MVC) effort (</w:t>
      </w:r>
      <w:hyperlink w:anchor="supptbl-tepr">
        <w:r>
          <w:rPr>
            <w:rStyle w:val="Hyperlink"/>
          </w:rPr>
          <w:t xml:space="preserve">Table S18</w:t>
        </w:r>
      </w:hyperlink>
      <w:r>
        <w:t xml:space="preserve">;</w:t>
      </w:r>
      <w:r>
        <w:t xml:space="preserve"> </w:t>
      </w:r>
      <w:hyperlink w:anchor="suppfig-tepr-timecourse-supp">
        <w:r>
          <w:rPr>
            <w:rStyle w:val="Hyperlink"/>
          </w:rPr>
          <w:t xml:space="preserve">Figure S13</w:t>
        </w:r>
      </w:hyperlink>
      <w:r>
        <w:t xml:space="preserve">). Combined with the Decision-Response AUC window—which spans pre- and post-response epochs and therefore likely mixes motor-autonomic with cognitive dilation under sustained isometric load—we treat pupil-linked DDM estimates as</w:t>
      </w:r>
      <w:r>
        <w:t xml:space="preserve"> </w:t>
      </w:r>
      <w:r>
        <w:rPr>
          <w:b/>
          <w:bCs/>
        </w:rPr>
        <w:t xml:space="preserve">measurement-limited</w:t>
      </w:r>
      <w:r>
        <w:t xml:space="preserve">: they document a rigorously tested multimodal null under the current TEPR specification, not a definitive absence of arousal–parameter coupling. As a window-choice sensitivity check, we repeated the nested pupil-DDM sequence using the</w:t>
      </w:r>
      <w:r>
        <w:t xml:space="preserve"> </w:t>
      </w:r>
      <w:r>
        <w:rPr>
          <w:b/>
          <w:bCs/>
        </w:rPr>
        <w:t xml:space="preserve">Truncated Decision-Response AUC</w:t>
      </w:r>
      <w:r>
        <w:t xml:space="preserve"> </w:t>
      </w:r>
      <w:r>
        <w:t xml:space="preserve">(0.3–1.3 s post-probe; 12,150 trials with valid truncated TEPR). PSIS-LOO again favored the behavioral baseline (</w:t>
      </w:r>
      <m:oMath>
        <m:r>
          <m:rPr>
            <m:sty m:val="p"/>
          </m:rPr>
          <m:t>|</m:t>
        </m:r>
        <m:r>
          <m:rPr>
            <m:sty m:val="p"/>
          </m:rPr>
          <m:t>Δ</m:t>
        </m:r>
      </m:oMath>
      <w:r>
        <w:t xml:space="preserve">ELPD</w:t>
      </w:r>
      <m:oMath>
        <m:r>
          <m:rPr>
            <m:sty m:val="p"/>
          </m:rPr>
          <m:t>|</m:t>
        </m:r>
      </m:oMath>
      <w:r>
        <w:t xml:space="preserve"> </w:t>
      </w:r>
      <w:r>
        <w:t xml:space="preserve">= 1.38, 2.55, and 2.83 for pupil</w:t>
      </w:r>
      <w:r>
        <w:t xml:space="preserve"> </w:t>
      </w:r>
      <m:oMath>
        <m:r>
          <m:rPr>
            <m:sty m:val="p"/>
          </m:rPr>
          <m:t>→</m:t>
        </m:r>
      </m:oMath>
      <w:r>
        <w:t xml:space="preserve"> </w:t>
      </w:r>
      <m:oMath>
        <m:r>
          <m:t>z</m:t>
        </m:r>
      </m:oMath>
      <w:r>
        <w:t xml:space="preserve">, pupil</w:t>
      </w:r>
      <w:r>
        <w:t xml:space="preserve"> </w:t>
      </w:r>
      <m:oMath>
        <m:r>
          <m:rPr>
            <m:sty m:val="p"/>
          </m:rPr>
          <m:t>→</m:t>
        </m:r>
      </m:oMath>
      <w:r>
        <w:t xml:space="preserve"> </w:t>
      </w:r>
      <m:oMath>
        <m:r>
          <m:t>v</m:t>
        </m:r>
      </m:oMath>
      <w:r>
        <w:t xml:space="preserve"> </w:t>
      </w:r>
      <w:r>
        <w:t xml:space="preserve">+</w:t>
      </w:r>
      <w:r>
        <w:t xml:space="preserve"> </w:t>
      </w:r>
      <m:oMath>
        <m:r>
          <m:t>z</m:t>
        </m:r>
      </m:oMath>
      <w:r>
        <w:t xml:space="preserve">, and pupil</w:t>
      </w:r>
      <w:r>
        <w:t xml:space="preserve"> </w:t>
      </w:r>
      <m:oMath>
        <m:r>
          <m:rPr>
            <m:sty m:val="p"/>
          </m:rPr>
          <m:t>×</m:t>
        </m:r>
      </m:oMath>
      <w:r>
        <w:t xml:space="preserve"> </w:t>
      </w:r>
      <w:r>
        <w:t xml:space="preserve">difficulty, respectively; all</w:t>
      </w:r>
      <w:r>
        <w:t xml:space="preserve"> </w:t>
      </w:r>
      <m:oMath>
        <m:r>
          <m:rPr>
            <m:sty m:val="p"/>
          </m:rPr>
          <m:t>&lt;</m:t>
        </m:r>
        <m:r>
          <m:t>4</m:t>
        </m:r>
      </m:oMath>
      <w:r>
        <w:t xml:space="preserve">); pooled and conditional pupil coefficients remained near zero with credible intervals spanning zero. Inconclusiveness therefore does not appear to depend on including the late TEPR tail. Full TEPR descriptives are in Supplementary Section S5 (</w:t>
      </w:r>
      <w:hyperlink w:anchor="supptbl-tepr">
        <w:r>
          <w:rPr>
            <w:rStyle w:val="Hyperlink"/>
          </w:rPr>
          <w:t xml:space="preserve">Table S18</w:t>
        </w:r>
      </w:hyperlink>
      <w:r>
        <w:t xml:space="preserve">). Pooled and conditional estimates appear in</w:t>
      </w:r>
      <w:r>
        <w:t xml:space="preserve"> </w:t>
      </w:r>
      <w:hyperlink w:anchor="tbl-hyp-summary">
        <w:r>
          <w:rPr>
            <w:rStyle w:val="Hyperlink"/>
          </w:rPr>
          <w:t xml:space="preserve">Table 2</w:t>
        </w:r>
      </w:hyperlink>
      <w:r>
        <w:t xml:space="preserve"> </w:t>
      </w:r>
      <w:r>
        <w:t xml:space="preserve">(pupil rows) and</w:t>
      </w:r>
      <w:r>
        <w:t xml:space="preserve"> </w:t>
      </w:r>
      <w:hyperlink w:anchor="supptbl-pupil-key-effects-appendix">
        <w:r>
          <w:rPr>
            <w:rStyle w:val="Hyperlink"/>
          </w:rPr>
          <w:t xml:space="preserve">Table S16</w:t>
        </w:r>
      </w:hyperlink>
      <w:r>
        <w:t xml:space="preserve">; Cavanagh boundary extensions in</w:t>
      </w:r>
      <w:r>
        <w:t xml:space="preserve"> </w:t>
      </w:r>
      <w:hyperlink w:anchor="supptbl-pupil-boundary-appendix">
        <w:r>
          <w:rPr>
            <w:rStyle w:val="Hyperlink"/>
          </w:rPr>
          <w:t xml:space="preserve">Table S17</w:t>
        </w:r>
      </w:hyperlink>
      <w:r>
        <w:t xml:space="preserve">.</w:t>
      </w:r>
    </w:p>
    <w:p>
      <w:pPr>
        <w:pStyle w:val="BodyText"/>
      </w:pPr>
      <w:r>
        <w:t xml:space="preserve">Together with the null effect of tonic effort on bias in</w:t>
      </w:r>
      <w:r>
        <w:t xml:space="preserve"> </w:t>
      </w:r>
      <w:hyperlink w:anchor="sec-key-contrasts">
        <w:r>
          <w:rPr>
            <w:rStyle w:val="Hyperlink"/>
          </w:rPr>
          <w:t xml:space="preserve">Section 3.2.1</w:t>
        </w:r>
      </w:hyperlink>
      <w:r>
        <w:t xml:space="preserve">, these results give no credible evidence that concurrent grip or trial-wise TEPR shifted pre-stimulus bias in this sample. This differs from phasic pupil-linked criterion reset reported in younger adults</w:t>
      </w:r>
      <w:r>
        <w:t xml:space="preserve"> </w:t>
      </w:r>
      <w:r>
        <w:t xml:space="preserve">(</w:t>
      </w:r>
      <w:r>
        <w:t xml:space="preserve">de Gee et al.</w:t>
      </w:r>
      <w:r>
        <w:t xml:space="preserve">, 2020)</w:t>
      </w:r>
      <w:r>
        <w:t xml:space="preserve">. We did not establish equivalence.</w:t>
      </w:r>
    </w:p>
    <w:p>
      <w:pPr>
        <w:pStyle w:val="BodyText"/>
      </w:pPr>
      <w:r>
        <w:t xml:space="preserve">Exploratory choice-history and within-session fatigue models are reported in Supplementary Section S10. They help interpret the primary effort effects but do not directly test H1-H4 or the pupil-linked analysis.</w:t>
      </w:r>
    </w:p>
    <w:p>
      <w:r>
        <w:br w:type="page"/>
      </w:r>
    </w:p>
    <w:bookmarkEnd w:id="47"/>
    <w:bookmarkEnd w:id="48"/>
    <w:bookmarkStart w:id="50" w:name="discussion"/>
    <w:p>
      <w:pPr>
        <w:pStyle w:val="Heading1"/>
      </w:pPr>
      <w:r>
        <w:t xml:space="preserve">4. Discussion</w:t>
      </w:r>
    </w:p>
    <w:p>
      <w:pPr>
        <w:pStyle w:val="FirstParagraph"/>
      </w:pPr>
      <w:r>
        <w:t xml:space="preserve">Concurrent physical effort selectively degraded the quality of evidence accumulation in older adults. High effort reduced drift rate, consistent with resource competition or supra-optimal arousal (H1;</w:t>
      </w:r>
      <w:r>
        <w:t xml:space="preserve"> </w:t>
      </w:r>
      <w:hyperlink w:anchor="sec-key-contrasts">
        <w:r>
          <w:rPr>
            <w:rStyle w:val="Hyperlink"/>
          </w:rPr>
          <w:t xml:space="preserve">Section 3.2.1</w:t>
        </w:r>
      </w:hyperlink>
      <w:r>
        <w:t xml:space="preserve">), while leaving the other decision components largely unchanged. The boundary-separation contrast was directionally positive (H2;</w:t>
      </w:r>
      <w:r>
        <w:t xml:space="preserve"> </w:t>
      </w:r>
      <m:oMath>
        <m:r>
          <m:t>β</m:t>
        </m:r>
        <m:r>
          <m:rPr>
            <m:sty m:val="p"/>
          </m:rPr>
          <m:t>=</m:t>
        </m:r>
        <m:r>
          <m:t>0.02</m:t>
        </m:r>
      </m:oMath>
      <w:r>
        <w:t xml:space="preserve">, 95% CrI</w:t>
      </w:r>
      <w:r>
        <w:t xml:space="preserve"> </w:t>
      </w:r>
      <m:oMath>
        <m:r>
          <m:rPr>
            <m:sty m:val="p"/>
          </m:rPr>
          <m:t>[</m:t>
        </m:r>
        <m:r>
          <m:t>0.004</m:t>
        </m:r>
        <m:r>
          <m:rPr>
            <m:sty m:val="p"/>
          </m:rPr>
          <m:t>,</m:t>
        </m:r>
        <m:r>
          <m:t> </m:t>
        </m:r>
        <m:r>
          <m:t>0.029</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0.996</m:t>
        </m:r>
      </m:oMath>
      <w:r>
        <w:t xml:space="preserve">) but fell entirely within the project ROPE, so we do not interpret it as meaningful strategic caution, and starting-point bias showed a near-zero, uncertain effort contrast with no credible evidence of a shift toward neutrality (H4;</w:t>
      </w:r>
      <w:r>
        <w:t xml:space="preserve"> </w:t>
      </w:r>
      <w:hyperlink w:anchor="sec-starting-point-bias">
        <w:r>
          <w:rPr>
            <w:rStyle w:val="Hyperlink"/>
          </w:rPr>
          <w:t xml:space="preserve">Section 3.2.2</w:t>
        </w:r>
      </w:hyperlink>
      <w:r>
        <w:t xml:space="preserve">). Non-decision time could not be tested directly, because the response-signal design required an intercept-only</w:t>
      </w:r>
      <w:r>
        <w:t xml:space="preserve"> </w:t>
      </w:r>
      <m:oMath>
        <m:sSub>
          <m:e>
            <m:r>
              <m:t>t</m:t>
            </m:r>
          </m:e>
          <m:sub>
            <m:r>
              <m:t>0</m:t>
            </m:r>
          </m:sub>
        </m:sSub>
      </m:oMath>
      <w:r>
        <w:t xml:space="preserve"> </w:t>
      </w:r>
      <w:r>
        <w:t xml:space="preserve">(H3; see Limitations and future directions). The behavioral signature reinforces this localization: High effort reduced</w:t>
      </w:r>
      <w:r>
        <w:t xml:space="preserve"> </w:t>
      </w:r>
      <w:r>
        <w:rPr>
          <w:b/>
          <w:bCs/>
        </w:rPr>
        <w:t xml:space="preserve">accuracy</w:t>
      </w:r>
      <w:r>
        <w:t xml:space="preserve"> </w:t>
      </w:r>
      <w:r>
        <w:t xml:space="preserve">(manipulation check:</w:t>
      </w:r>
      <w:r>
        <w:t xml:space="preserve"> </w:t>
      </w:r>
      <m:oMath>
        <m:r>
          <m:t>β</m:t>
        </m:r>
        <m:r>
          <m:rPr>
            <m:sty m:val="p"/>
          </m:rPr>
          <m:t>=</m:t>
        </m:r>
        <m:r>
          <m:rPr>
            <m:sty m:val="p"/>
          </m:rPr>
          <m:t>−</m:t>
        </m:r>
        <m:r>
          <m:t>0.16</m:t>
        </m:r>
      </m:oMath>
      <w:r>
        <w:t xml:space="preserve">,</w:t>
      </w:r>
      <w:r>
        <w:t xml:space="preserve"> </w:t>
      </w:r>
      <m:oMath>
        <m:r>
          <m:t>p</m:t>
        </m:r>
        <m:r>
          <m:rPr>
            <m:sty m:val="p"/>
          </m:rPr>
          <m:t>&lt;</m:t>
        </m:r>
        <m:r>
          <m:t>.001</m:t>
        </m:r>
      </m:oMath>
      <w:r>
        <w:t xml:space="preserve">) without reliably slowing</w:t>
      </w:r>
      <w:r>
        <w:t xml:space="preserve"> </w:t>
      </w:r>
      <w:r>
        <w:rPr>
          <w:b/>
          <w:bCs/>
        </w:rPr>
        <w:t xml:space="preserve">reaction time</w:t>
      </w:r>
      <w:r>
        <w:t xml:space="preserve"> </w:t>
      </w:r>
      <w:r>
        <w:t xml:space="preserve">($</w:t>
      </w:r>
      <w:r>
        <w:t xml:space="preserve">= 0.011 s, 95% CI [-0.019, 0.041]). The diffusion decomposition explains this dissociation — lower accuracy without RT slowing follows from a decline in drift rate (evidence quality) alongside a negligible change in boundary separation. The effect of effort on drift held when task was added as a predictor of drift, although task itself modulated absolute drift (</w:t>
      </w:r>
      <w:hyperlink w:anchor="sec-key-contrasts">
        <w:r>
          <w:rPr>
            <w:rStyle w:val="Hyperlink"/>
          </w:rPr>
          <w:t xml:space="preserve">Section 3.2.1</w:t>
        </w:r>
      </w:hyperlink>
      <w:r>
        <w:t xml:space="preserve">, Supplementary Section~S4.3). Exploratory trial-wise pupil-linked models were inconclusive (</w:t>
      </w:r>
      <w:hyperlink w:anchor="sec-pupil-ddm-integration">
        <w:r>
          <w:rPr>
            <w:rStyle w:val="Hyperlink"/>
          </w:rPr>
          <w:t xml:space="preserve">Section 3.3</w:t>
        </w:r>
      </w:hyperlink>
      <w:r>
        <w:t xml:space="preserve">); see also Limitations below. Overall, concurrent physical effort degraded evidence accumulation quality while producing only a negligible boundary adjustment, rather than a large strategic reconfiguration of decision thresholds or pre-stimulus bias.</w:t>
      </w:r>
    </w:p>
    <w:p>
      <w:pPr>
        <w:pStyle w:val="BodyText"/>
      </w:pPr>
      <w:r>
        <w:t xml:space="preserve">The reduction in drift rate under High effort (40% MVC) relative to Low effort is the central finding and directly supports H1. Interpreted through Adaptive Gain Theory</w:t>
      </w:r>
      <w:r>
        <w:t xml:space="preserve"> </w:t>
      </w:r>
      <w:r>
        <w:t xml:space="preserve">(Aston-Jones &amp; Cohen, 2005)</w:t>
      </w:r>
      <w:r>
        <w:t xml:space="preserve">, this pattern is consistent with supra-optimal arousal under sustained grip: noise in neural representations degrades the signal-to-noise ratio driving evidence accumulation</w:t>
      </w:r>
      <w:r>
        <w:t xml:space="preserve"> </w:t>
      </w:r>
      <w:r>
        <w:t xml:space="preserve">(Mather &amp; Harley, 2016; Mikneviciute et al., 2022)</w:t>
      </w:r>
      <w:r>
        <w:t xml:space="preserve">. The diffusion model localizes the primary cost to evidence quality (</w:t>
      </w:r>
      <m:oMath>
        <m:r>
          <m:t>v</m:t>
        </m:r>
      </m:oMath>
      <w:r>
        <w:t xml:space="preserve">), with little accompanying change in caution or bias.</w:t>
      </w:r>
    </w:p>
    <w:p>
      <w:pPr>
        <w:pStyle w:val="BodyText"/>
      </w:pPr>
      <w:r>
        <w:t xml:space="preserve">The boundary-separation contrast (H2) tells a different story. It is directionally positive (</w:t>
      </w:r>
      <m:oMath>
        <m:r>
          <m:t>β</m:t>
        </m:r>
        <m:r>
          <m:rPr>
            <m:sty m:val="p"/>
          </m:rPr>
          <m:t>=</m:t>
        </m:r>
        <m:r>
          <m:t>0.02</m:t>
        </m:r>
      </m:oMath>
      <w:r>
        <w:t xml:space="preserve">, 95% CrI</w:t>
      </w:r>
      <w:r>
        <w:t xml:space="preserve"> </w:t>
      </w:r>
      <m:oMath>
        <m:r>
          <m:rPr>
            <m:sty m:val="p"/>
          </m:rPr>
          <m:t>[</m:t>
        </m:r>
        <m:r>
          <m:t>0.004</m:t>
        </m:r>
        <m:r>
          <m:rPr>
            <m:sty m:val="p"/>
          </m:rPr>
          <m:t>,</m:t>
        </m:r>
        <m:r>
          <m:t> </m:t>
        </m:r>
        <m:r>
          <m:t>0.029</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0.996</m:t>
        </m:r>
      </m:oMath>
      <w:r>
        <w:t xml:space="preserve">) but 100% of the posterior mass lies within the</w:t>
      </w:r>
      <w:r>
        <w:t xml:space="preserve"> </w:t>
      </w:r>
      <w:r>
        <w:t xml:space="preserve"> </w:t>
      </w:r>
      <w:r>
        <w:t xml:space="preserve">log-scale project ROPE, so we treat it as practically equivalent to zero rather than a compensatory caution adjustment. In natural-scale terms, the posterior median corresponds to approximately 2% of baseline boundary separation (</w:t>
      </w:r>
      <m:oMath>
        <m:acc>
          <m:accPr>
            <m:chr m:val="̂"/>
          </m:accPr>
          <m:e>
            <m:r>
              <m:t>a</m:t>
            </m:r>
          </m:e>
        </m:acc>
        <m:r>
          <m:rPr>
            <m:sty m:val="p"/>
          </m:rPr>
          <m:t>≈</m:t>
        </m:r>
      </m:oMath>
      <w:r>
        <w:t xml:space="preserve"> </w:t>
      </w:r>
      <w:r>
        <w:t xml:space="preserve">2.27 in the Standard, Low-effort condition;</w:t>
      </w:r>
      <w:r>
        <w:t xml:space="preserve"> </w:t>
      </w:r>
      <w:hyperlink w:anchor="supptbl-ddm-posterior-estimates">
        <w:r>
          <w:rPr>
            <w:rStyle w:val="Hyperlink"/>
          </w:rPr>
          <w:t xml:space="preserve">Table S4</w:t>
        </w:r>
      </w:hyperlink>
      <w:r>
        <w:t xml:space="preserve">) — much smaller than routine variation in</w:t>
      </w:r>
      <w:r>
        <w:t xml:space="preserve"> </w:t>
      </w:r>
      <m:oMath>
        <m:r>
          <m:t>a</m:t>
        </m:r>
      </m:oMath>
      <w:r>
        <w:t xml:space="preserve"> </w:t>
      </w:r>
      <w:r>
        <w:t xml:space="preserve">across difficulty levels (</w:t>
      </w:r>
      <m:oMath>
        <m:acc>
          <m:accPr>
            <m:chr m:val="̂"/>
          </m:accPr>
          <m:e>
            <m:r>
              <m:t>a</m:t>
            </m:r>
          </m:e>
        </m:acc>
      </m:oMath>
      <w:r>
        <w:t xml:space="preserve"> </w:t>
      </w:r>
      <w:r>
        <w:t xml:space="preserve">ranging from 2.12 to 2.27, Low effort). Empirical support for criterion widening under arousal comes from</w:t>
      </w:r>
      <w:r>
        <w:t xml:space="preserve"> </w:t>
      </w:r>
      <w:r>
        <w:t xml:space="preserve">Cavanagh et al. (2014)</w:t>
      </w:r>
      <w:r>
        <w:t xml:space="preserve">, who showed that pupil-indexed arousal during high-conflict choices predicted increased boundary separation — though that manipulation targeted transient cognitive conflict rather than sustained physical effort.</w:t>
      </w:r>
    </w:p>
    <w:p>
      <w:pPr>
        <w:pStyle w:val="BodyText"/>
      </w:pPr>
      <w:r>
        <w:t xml:space="preserve">Notably, boundary estimates varied substantially by stimulus-driven difficulty (Easy: 2.06, Standard: 2.27, Hard: 2.12; Low-effort posterior medians;</w:t>
      </w:r>
      <w:r>
        <w:t xml:space="preserve"> </w:t>
      </w:r>
      <w:hyperlink w:anchor="supptbl-ddm-posterior-estimates">
        <w:r>
          <w:rPr>
            <w:rStyle w:val="Hyperlink"/>
          </w:rPr>
          <w:t xml:space="preserve">Table S4</w:t>
        </w:r>
      </w:hyperlink>
      <w:r>
        <w:t xml:space="preserve">), confirming that the model is sensitive to caution adjustments driven by bottom-up perceptual demands. Future work using free-response paradigms (without response cues) could better isolate strategic flexibility from design-imposed temporal constraints and provide a more powerful test of effort-related criterion adjustment at 40% MVC.</w:t>
      </w:r>
    </w:p>
    <w:p>
      <w:pPr>
        <w:pStyle w:val="BodyText"/>
      </w:pPr>
      <w:r>
        <w:t xml:space="preserve">A potential concern with response-side coding is whether the Wiener DDM misinterprets Standard trial responses — where the correct answer is</w:t>
      </w:r>
      <w:r>
        <w:t xml:space="preserve"> </w:t>
      </w:r>
      <w:r>
        <w:t xml:space="preserve">‘Same’</w:t>
      </w:r>
      <w:r>
        <w:t xml:space="preserve"> </w:t>
      </w:r>
      <w:r>
        <w:t xml:space="preserve">(lower boundary) — as errors, because they accumulate toward a negative drift (lower boundary rather than upper). This concern does not apply in the present implementation. The decresponse argument in brms encodes the observed response (Different = 1, Same = 0) as the boundary indicator, not a correctness flag. The model observes the actual RT and response, infers the latent evidence trajectory that would produce that RT–accuracy combination given the full design, and estimates parameters that best explain the joint RT × accuracy distribution across all conditions simultaneously. Accordingly, the strong negative drift on Standard trials (</w:t>
      </w:r>
      <m:oMath>
        <m:acc>
          <m:accPr>
            <m:chr m:val="̂"/>
          </m:accPr>
          <m:e>
            <m:r>
              <m:t>v</m:t>
            </m:r>
          </m:e>
        </m:acc>
        <m:r>
          <m:rPr>
            <m:sty m:val="p"/>
          </m:rPr>
          <m:t>≈</m:t>
        </m:r>
        <m:r>
          <m:rPr>
            <m:sty m:val="p"/>
          </m:rPr>
          <m:t>−</m:t>
        </m:r>
        <m:r>
          <m:t>1.12</m:t>
        </m:r>
      </m:oMath>
      <w:r>
        <w:t xml:space="preserve"> </w:t>
      </w:r>
      <w:r>
        <w:t xml:space="preserve">(Low effort) to -1.17 (High effort)) does not indicate that the model treats these as error trials; it correctly captures the fact that participants accurately pressed</w:t>
      </w:r>
      <w:r>
        <w:t xml:space="preserve"> </w:t>
      </w:r>
      <w:r>
        <w:t xml:space="preserve">‘Same’</w:t>
      </w:r>
      <w:r>
        <w:t xml:space="preserve"> </w:t>
      </w:r>
      <w:r>
        <w:t xml:space="preserve">by accumulating evidence toward the lower boundary. The fact that boundary separation is higher on Standard trials (</w:t>
      </w:r>
      <m:oMath>
        <m:acc>
          <m:accPr>
            <m:chr m:val="̂"/>
          </m:accPr>
          <m:e>
            <m:r>
              <m:t>a</m:t>
            </m:r>
          </m:e>
        </m:acc>
        <m:r>
          <m:rPr>
            <m:sty m:val="p"/>
          </m:rPr>
          <m:t>=</m:t>
        </m:r>
        <m:r>
          <m:t>2.27</m:t>
        </m:r>
      </m:oMath>
      <w:r>
        <w:t xml:space="preserve">, Low effort) than on Hard (</w:t>
      </w:r>
      <m:oMath>
        <m:acc>
          <m:accPr>
            <m:chr m:val="̂"/>
          </m:accPr>
          <m:e>
            <m:r>
              <m:t>a</m:t>
            </m:r>
          </m:e>
        </m:acc>
        <m:r>
          <m:rPr>
            <m:sty m:val="p"/>
          </m:rPr>
          <m:t>=</m:t>
        </m:r>
        <m:r>
          <m:t>2.12</m:t>
        </m:r>
      </m:oMath>
      <w:r>
        <w:t xml:space="preserve">) or Easy (</w:t>
      </w:r>
      <m:oMath>
        <m:acc>
          <m:accPr>
            <m:chr m:val="̂"/>
          </m:accPr>
          <m:e>
            <m:r>
              <m:t>a</m:t>
            </m:r>
          </m:e>
        </m:acc>
        <m:r>
          <m:rPr>
            <m:sty m:val="p"/>
          </m:rPr>
          <m:t>=</m:t>
        </m:r>
        <m:r>
          <m:t>2.06</m:t>
        </m:r>
      </m:oMath>
      <w:r>
        <w:t xml:space="preserve">) further validates this interpretation: the model responds to the exhaustive search demands of Standard trials by estimating a wider, more cautious boundary — the theoretically correct direction — rather than collapsing the boundary as it would if it incorrectly coded these as high-error conditions.</w:t>
      </w:r>
    </w:p>
    <w:p>
      <w:pPr>
        <w:pStyle w:val="BodyText"/>
      </w:pPr>
      <w:r>
        <w:t xml:space="preserve">A related modeling choice deserves comment, because it can look asymmetric. Starting-point bias</w:t>
      </w:r>
      <w:r>
        <w:t xml:space="preserve"> </w:t>
      </w:r>
      <m:oMath>
        <m:r>
          <m:t>z</m:t>
        </m:r>
      </m:oMath>
      <w:r>
        <w:t xml:space="preserve"> </w:t>
      </w:r>
      <w:r>
        <w:t xml:space="preserve">was constrained to be constant across difficulty levels, reflecting the logical impossibility of pre-trial criterion adjustment when trial difficulty is randomized and unknown prior to stimulus onset. In contrast, boundary separation</w:t>
      </w:r>
      <w:r>
        <w:t xml:space="preserve"> </w:t>
      </w:r>
      <m:oMath>
        <m:r>
          <m:t>a</m:t>
        </m:r>
      </m:oMath>
      <w:r>
        <w:t xml:space="preserve"> </w:t>
      </w:r>
      <w:r>
        <w:t xml:space="preserve">was estimated as a function of difficulty and varied systematically (Standard:</w:t>
      </w:r>
      <w:r>
        <w:t xml:space="preserve"> </w:t>
      </w:r>
      <m:oMath>
        <m:acc>
          <m:accPr>
            <m:chr m:val="̂"/>
          </m:accPr>
          <m:e>
            <m:r>
              <m:t>a</m:t>
            </m:r>
          </m:e>
        </m:acc>
      </m:oMath>
      <w:r>
        <w:t xml:space="preserve"> </w:t>
      </w:r>
      <w:r>
        <w:t xml:space="preserve">= 2.27; Hard:</w:t>
      </w:r>
      <w:r>
        <w:t xml:space="preserve"> </w:t>
      </w:r>
      <m:oMath>
        <m:acc>
          <m:accPr>
            <m:chr m:val="̂"/>
          </m:accPr>
          <m:e>
            <m:r>
              <m:t>a</m:t>
            </m:r>
          </m:e>
        </m:acc>
      </m:oMath>
      <w:r>
        <w:t xml:space="preserve"> </w:t>
      </w:r>
      <w:r>
        <w:t xml:space="preserve">= 2.12; Easy:</w:t>
      </w:r>
      <w:r>
        <w:t xml:space="preserve"> </w:t>
      </w:r>
      <m:oMath>
        <m:acc>
          <m:accPr>
            <m:chr m:val="̂"/>
          </m:accPr>
          <m:e>
            <m:r>
              <m:t>a</m:t>
            </m:r>
          </m:e>
        </m:acc>
      </m:oMath>
      <w:r>
        <w:t xml:space="preserve"> </w:t>
      </w:r>
      <w:r>
        <w:t xml:space="preserve">= 2.06; Low-effort medians;</w:t>
      </w:r>
      <w:r>
        <w:t xml:space="preserve"> </w:t>
      </w:r>
      <w:hyperlink w:anchor="supptbl-ddm-posterior-estimates">
        <w:r>
          <w:rPr>
            <w:rStyle w:val="Hyperlink"/>
          </w:rPr>
          <w:t xml:space="preserve">Table S4</w:t>
        </w:r>
      </w:hyperlink>
      <w:r>
        <w:t xml:space="preserve">).</w:t>
      </w:r>
    </w:p>
    <w:p>
      <w:pPr>
        <w:pStyle w:val="BodyText"/>
      </w:pPr>
      <w:r>
        <w:t xml:space="preserve">This is not a contradiction. The two parameters reflect adjustments occurring at different timescales. Starting-point bias</w:t>
      </w:r>
      <w:r>
        <w:t xml:space="preserve"> </w:t>
      </w:r>
      <m:oMath>
        <m:r>
          <m:t>z</m:t>
        </m:r>
      </m:oMath>
      <w:r>
        <w:t xml:space="preserve"> </w:t>
      </w:r>
      <w:r>
        <w:t xml:space="preserve">represents a true pre-stimulus strategic choice — where participants position themselves before evidence accumulation begins — and can only be set based on information available before the trial (task modality, effort condition). Boundary separation</w:t>
      </w:r>
      <w:r>
        <w:t xml:space="preserve"> </w:t>
      </w:r>
      <m:oMath>
        <m:r>
          <m:t>a</m:t>
        </m:r>
      </m:oMath>
      <w:r>
        <w:t xml:space="preserve">, by contrast, is not a pre-trial strategic decision but rather an effective decision threshold inferred by the model from the shape of the empirical RT distribution within each condition. Participants do not</w:t>
      </w:r>
      <w:r>
        <w:t xml:space="preserve"> </w:t>
      </w:r>
      <w:r>
        <w:t xml:space="preserve">“set”</w:t>
      </w:r>
      <w:r>
        <w:t xml:space="preserve"> </w:t>
      </w:r>
      <w:r>
        <w:t xml:space="preserve">this boundary in advance; rather, the model recovers it as the latent parameter that best explains the observed RT variance under diffusion process assumptions</w:t>
      </w:r>
      <w:r>
        <w:t xml:space="preserve"> </w:t>
      </w:r>
      <w:r>
        <w:t xml:space="preserve">(Ratcliff, 1985; Voss et al., 2004)</w:t>
      </w:r>
      <w:r>
        <w:t xml:space="preserve">. Over many trials, difficulty-dependent differences in RT dispersion and accuracy produce systematically different</w:t>
      </w:r>
      <w:r>
        <w:t xml:space="preserve"> </w:t>
      </w:r>
      <m:oMath>
        <m:r>
          <m:t>a</m:t>
        </m:r>
      </m:oMath>
      <w:r>
        <w:t xml:space="preserve"> </w:t>
      </w:r>
      <w:r>
        <w:t xml:space="preserve">estimates even though individual participants are unaware of upcoming difficulty.</w:t>
      </w:r>
    </w:p>
    <w:p>
      <w:pPr>
        <w:pStyle w:val="BodyText"/>
      </w:pPr>
      <w:r>
        <w:t xml:space="preserve">The larger</w:t>
      </w:r>
      <w:r>
        <w:t xml:space="preserve"> </w:t>
      </w:r>
      <m:oMath>
        <m:r>
          <m:t>a</m:t>
        </m:r>
      </m:oMath>
      <w:r>
        <w:t xml:space="preserve"> </w:t>
      </w:r>
      <w:r>
        <w:t xml:space="preserve">on Standard trials reflects the model’s accommodation of the characteristically broader, more right-skewed RT distribution observed on those trials — a distributional signature of the exhaustive comparison process required to confirm perfect sameness</w:t>
      </w:r>
      <w:r>
        <w:t xml:space="preserve"> </w:t>
      </w:r>
      <w:r>
        <w:t xml:space="preserve">(Farell, 1985; Voss et al., 2004)</w:t>
      </w:r>
      <w:r>
        <w:t xml:space="preserve">. In this sense,</w:t>
      </w:r>
      <w:r>
        <w:t xml:space="preserve"> </w:t>
      </w:r>
      <m:oMath>
        <m:r>
          <m:t>a</m:t>
        </m:r>
      </m:oMath>
      <w:r>
        <w:t xml:space="preserve"> </w:t>
      </w:r>
      <w:r>
        <w:t xml:space="preserve">captures the mechanistic consequence of within-trial processing demands, while</w:t>
      </w:r>
      <w:r>
        <w:t xml:space="preserve"> </w:t>
      </w:r>
      <m:oMath>
        <m:r>
          <m:t>z</m:t>
        </m:r>
      </m:oMath>
      <w:r>
        <w:t xml:space="preserve"> </w:t>
      </w:r>
      <w:r>
        <w:t xml:space="preserve">captures a pre-trial strategic bias. Both are legitimate sources of condition-specific variation, but only</w:t>
      </w:r>
      <w:r>
        <w:t xml:space="preserve"> </w:t>
      </w:r>
      <m:oMath>
        <m:r>
          <m:t>z</m:t>
        </m:r>
      </m:oMath>
      <w:r>
        <w:t xml:space="preserve"> </w:t>
      </w:r>
      <w:r>
        <w:t xml:space="preserve">requires advance knowledge of the trial type.</w:t>
      </w:r>
    </w:p>
    <w:p>
      <w:pPr>
        <w:pStyle w:val="BodyText"/>
      </w:pPr>
      <w:r>
        <w:t xml:space="preserve">In interpreting the TEPR as a relative index of phasic arousal, we acknowledge measurement constraints under sustained grip (</w:t>
      </w:r>
      <w:hyperlink w:anchor="sec-pupil-ddm-integration">
        <w:r>
          <w:rPr>
            <w:rStyle w:val="Hyperlink"/>
          </w:rPr>
          <w:t xml:space="preserve">Section 3.3</w:t>
        </w:r>
      </w:hyperlink>
      <w:r>
        <w:t xml:space="preserve">,</w:t>
      </w:r>
      <w:r>
        <w:t xml:space="preserve"> </w:t>
      </w:r>
      <w:hyperlink w:anchor="supptbl-tepr">
        <w:r>
          <w:rPr>
            <w:rStyle w:val="Hyperlink"/>
          </w:rPr>
          <w:t xml:space="preserve">Table S18</w:t>
        </w:r>
      </w:hyperlink>
      <w:r>
        <w:t xml:space="preserve">).</w:t>
      </w:r>
    </w:p>
    <w:p>
      <w:pPr>
        <w:pStyle w:val="BodyText"/>
      </w:pPr>
      <w:r>
        <w:t xml:space="preserve">Turning from the accumulation process to its starting conditions, the near-zero effort contrast on starting-point bias (H4;</w:t>
      </w:r>
      <w:r>
        <w:t xml:space="preserve"> </w:t>
      </w:r>
      <m:oMath>
        <m:r>
          <m:t>β</m:t>
        </m:r>
        <m:r>
          <m:rPr>
            <m:sty m:val="p"/>
          </m:rPr>
          <m:t>=</m:t>
        </m:r>
        <m:r>
          <m:rPr>
            <m:sty m:val="p"/>
          </m:rPr>
          <m:t>−</m:t>
        </m:r>
        <m:r>
          <m:t>0.005</m:t>
        </m:r>
      </m:oMath>
      <w:r>
        <w:t xml:space="preserve">, 95% CrI</w:t>
      </w:r>
      <w:r>
        <w:t xml:space="preserve"> </w:t>
      </w:r>
      <m:oMath>
        <m:r>
          <m:rPr>
            <m:sty m:val="p"/>
          </m:rPr>
          <m:t>[</m:t>
        </m:r>
        <m:r>
          <m:rPr>
            <m:sty m:val="p"/>
          </m:rPr>
          <m:t>−</m:t>
        </m:r>
        <m:r>
          <m:t>0.046</m:t>
        </m:r>
        <m:r>
          <m:rPr>
            <m:sty m:val="p"/>
          </m:rPr>
          <m:t>,</m:t>
        </m:r>
        <m:r>
          <m:t> </m:t>
        </m:r>
        <m:r>
          <m:t>0.036</m:t>
        </m:r>
        <m:r>
          <m:rPr>
            <m:sty m:val="p"/>
          </m:rPr>
          <m:t>]</m:t>
        </m:r>
      </m:oMath>
      <w:r>
        <w:t xml:space="preserve">;</w:t>
      </w:r>
      <w:r>
        <w:t xml:space="preserve"> </w:t>
      </w:r>
      <m:oMath>
        <m:r>
          <m:t>P</m:t>
        </m:r>
        <m:r>
          <m:rPr>
            <m:sty m:val="p"/>
          </m:rPr>
          <m:t>(</m:t>
        </m:r>
        <m:r>
          <m:t>β</m:t>
        </m:r>
        <m:r>
          <m:rPr>
            <m:sty m:val="p"/>
          </m:rPr>
          <m:t>&gt;</m:t>
        </m:r>
        <m:r>
          <m:t>0</m:t>
        </m:r>
        <m:r>
          <m:rPr>
            <m:sty m:val="p"/>
          </m:rPr>
          <m:t>)</m:t>
        </m:r>
        <m:r>
          <m:rPr>
            <m:sty m:val="p"/>
          </m:rPr>
          <m:t>=</m:t>
        </m:r>
        <m:r>
          <m:t>0.404</m:t>
        </m:r>
      </m:oMath>
      <w:r>
        <w:t xml:space="preserve">) provides no credible evidence that concurrent handgrip at 40% MVC shifted pre-existing response preferences in older adults — though the credible interval does not formally exclude a small effect, and no equivalence threshold was established. A key interpretive consideration is the distinction between tonic and phasic arousal: the</w:t>
      </w:r>
      <w:r>
        <w:t xml:space="preserve"> </w:t>
      </w:r>
      <w:r>
        <w:t xml:space="preserve">de Gee et al.</w:t>
      </w:r>
      <w:r>
        <w:t xml:space="preserve"> </w:t>
      </w:r>
      <w:r>
        <w:t xml:space="preserve">(2020)</w:t>
      </w:r>
      <w:r>
        <w:t xml:space="preserve"> </w:t>
      </w:r>
      <w:r>
        <w:t xml:space="preserve">bias-resetting effect was demonstrated using phasic, within-trial arousal fluctuations indexed by pupil dilation, whereas the present H4 test relied on a sustained tonic effort manipulation. Tonic arousal elevation may not produce the same criterion-resetting dynamics as a phasic arousal event — a distinction that future work pairing trial-level TEPR with starting-point bias estimates could address directly. In the standard-only calibration model, starting-point bias was consistently above 0.5 (</w:t>
      </w:r>
      <m:oMath>
        <m:r>
          <m:t>z</m:t>
        </m:r>
        <m:r>
          <m:rPr>
            <m:sty m:val="p"/>
          </m:rPr>
          <m:t>=</m:t>
        </m:r>
        <m:r>
          <m:t>0.58</m:t>
        </m:r>
      </m:oMath>
      <w:r>
        <w:t xml:space="preserve">, 95% CrI [0.51, 0.64];</w:t>
      </w:r>
      <w:r>
        <w:t xml:space="preserve"> </w:t>
      </w:r>
      <w:hyperlink w:anchor="supptbl-standard-only-bias-levels">
        <w:r>
          <w:rPr>
            <w:rStyle w:val="Hyperlink"/>
          </w:rPr>
          <w:t xml:space="preserve">Table S5</w:t>
        </w:r>
      </w:hyperlink>
      <w:r>
        <w:t xml:space="preserve">), indicating a latent tendency to initiate accumulation closer to the</w:t>
      </w:r>
      <w:r>
        <w:t xml:space="preserve"> </w:t>
      </w:r>
      <w:r>
        <w:t xml:space="preserve">“Different”</w:t>
      </w:r>
      <w:r>
        <w:t xml:space="preserve"> </w:t>
      </w:r>
      <w:r>
        <w:t xml:space="preserve">boundary.</w:t>
      </w:r>
    </w:p>
    <w:p>
      <w:pPr>
        <w:pStyle w:val="BodyText"/>
      </w:pPr>
      <w:r>
        <w:t xml:space="preserve">This latent starting-point offset should not be read directly as a liberal behavioral criterion in signal-detection terms. Manipulation checks showed near-ceiling accuracy on Standard (same) trials but poor accuracy on Hard trials (~30%; Supplementary Section S7) — a pattern dominated by</w:t>
      </w:r>
      <w:r>
        <w:t xml:space="preserve"> </w:t>
      </w:r>
      <w:r>
        <w:rPr>
          <w:b/>
          <w:bCs/>
        </w:rPr>
        <w:t xml:space="preserve">misses</w:t>
      </w:r>
      <w:r>
        <w:t xml:space="preserve"> </w:t>
      </w:r>
      <w:r>
        <w:t xml:space="preserve">(failure to report</w:t>
      </w:r>
      <w:r>
        <w:t xml:space="preserve"> </w:t>
      </w:r>
      <w:r>
        <w:t xml:space="preserve">“different”</w:t>
      </w:r>
      <w:r>
        <w:t xml:space="preserve"> </w:t>
      </w:r>
      <w:r>
        <w:t xml:space="preserve">when stimuli differed), not false alarms on same trials. The strongly negative drift on Standard trials (</w:t>
      </w:r>
      <m:oMath>
        <m:acc>
          <m:accPr>
            <m:chr m:val="̂"/>
          </m:accPr>
          <m:e>
            <m:r>
              <m:t>v</m:t>
            </m:r>
          </m:e>
        </m:acc>
        <m:r>
          <m:rPr>
            <m:sty m:val="p"/>
          </m:rPr>
          <m:t>≈</m:t>
        </m:r>
        <m:r>
          <m:rPr>
            <m:sty m:val="p"/>
          </m:rPr>
          <m:t>−</m:t>
        </m:r>
        <m:r>
          <m:t>1.12</m:t>
        </m:r>
      </m:oMath>
      <w:r>
        <w:t xml:space="preserve"> </w:t>
      </w:r>
      <w:r>
        <w:t xml:space="preserve">(Low effort) to -1.17 (High effort)) and the joint estimation of</w:t>
      </w:r>
      <w:r>
        <w:t xml:space="preserve"> </w:t>
      </w:r>
      <m:oMath>
        <m:r>
          <m:t>v</m:t>
        </m:r>
      </m:oMath>
      <w:r>
        <w:t xml:space="preserve"> </w:t>
      </w:r>
      <w:r>
        <w:t xml:space="preserve">and</w:t>
      </w:r>
      <w:r>
        <w:t xml:space="preserve"> </w:t>
      </w:r>
      <m:oMath>
        <m:r>
          <m:t>z</m:t>
        </m:r>
      </m:oMath>
      <w:r>
        <w:t xml:space="preserve"> </w:t>
      </w:r>
      <w:r>
        <w:t xml:space="preserve">across difficulty levels mean that a</w:t>
      </w:r>
      <w:r>
        <w:t xml:space="preserve"> </w:t>
      </w:r>
      <m:oMath>
        <m:r>
          <m:t>z</m:t>
        </m:r>
        <m:r>
          <m:rPr>
            <m:sty m:val="p"/>
          </m:rPr>
          <m:t>&gt;</m:t>
        </m:r>
        <m:r>
          <m:t>0.5</m:t>
        </m:r>
      </m:oMath>
      <w:r>
        <w:t xml:space="preserve"> </w:t>
      </w:r>
      <w:r>
        <w:t xml:space="preserve">starting point coexists with accurate</w:t>
      </w:r>
      <w:r>
        <w:t xml:space="preserve"> </w:t>
      </w:r>
      <w:r>
        <w:t xml:space="preserve">“Same”</w:t>
      </w:r>
      <w:r>
        <w:t xml:space="preserve"> </w:t>
      </w:r>
      <w:r>
        <w:t xml:space="preserve">responding rather than excess</w:t>
      </w:r>
      <w:r>
        <w:t xml:space="preserve"> </w:t>
      </w:r>
      <w:r>
        <w:t xml:space="preserve">“Different”</w:t>
      </w:r>
      <w:r>
        <w:t xml:space="preserve"> </w:t>
      </w:r>
      <w:r>
        <w:t xml:space="preserve">responses. The offset is therefore better interpreted as a DDM starting-point parameter under response-side coding — potentially reflecting a</w:t>
      </w:r>
      <w:r>
        <w:t xml:space="preserve"> </w:t>
      </w:r>
      <w:r>
        <w:t xml:space="preserve">“Different-as-default”</w:t>
      </w:r>
      <w:r>
        <w:t xml:space="preserve"> </w:t>
      </w:r>
      <w:r>
        <w:t xml:space="preserve">processing heuristic</w:t>
      </w:r>
      <w:r>
        <w:t xml:space="preserve"> </w:t>
      </w:r>
      <w:r>
        <w:t xml:space="preserve">(Farell, 1985; Nosofsky &amp; Palmeri, 1997)</w:t>
      </w:r>
      <w:r>
        <w:t xml:space="preserve"> </w:t>
      </w:r>
      <w:r>
        <w:t xml:space="preserve">— than as a liberal SDT criterion producing elevated false-alarm rates.</w:t>
      </w:r>
    </w:p>
    <w:p>
      <w:pPr>
        <w:pStyle w:val="BodyText"/>
      </w:pPr>
      <w:r>
        <w:t xml:space="preserve">Hard-trial accuracy at or below chance for many participants also indicates that some Hard offsets sat near perceptual threshold, weakening the assumption of a clean three-level difficulty gradient; this is noted in Limitations below. The absence of a credible effort contrast on</w:t>
      </w:r>
      <w:r>
        <w:t xml:space="preserve"> </w:t>
      </w:r>
      <m:oMath>
        <m:r>
          <m:t>z</m:t>
        </m:r>
      </m:oMath>
      <w:r>
        <w:t xml:space="preserve"> </w:t>
      </w:r>
      <w:r>
        <w:t xml:space="preserve">is consistent with a stable task strategy rather than momentary arousal-driven criterion resetting, though this remains a graded null.</w:t>
      </w:r>
    </w:p>
    <w:p>
      <w:pPr>
        <w:pStyle w:val="BodyText"/>
      </w:pPr>
      <w:r>
        <w:t xml:space="preserve">The absence of a detectable phasic bias-resetting effect stands in contrast to prior work in younger adults</w:t>
      </w:r>
      <w:r>
        <w:t xml:space="preserve"> </w:t>
      </w:r>
      <w:r>
        <w:t xml:space="preserve">(</w:t>
      </w:r>
      <w:r>
        <w:t xml:space="preserve">de Gee et al.</w:t>
      </w:r>
      <w:r>
        <w:t xml:space="preserve">, 2020)</w:t>
      </w:r>
      <w:r>
        <w:t xml:space="preserve"> </w:t>
      </w:r>
      <w:r>
        <w:t xml:space="preserve">and may reflect age-related attenuation of phasic LC-NE signals</w:t>
      </w:r>
      <w:r>
        <w:t xml:space="preserve"> </w:t>
      </w:r>
      <w:r>
        <w:t xml:space="preserve">(Huang &amp; Clewett, 2024)</w:t>
      </w:r>
      <w:r>
        <w:t xml:space="preserve">. Exploratory trial-wise pupil-linked models were inconclusive (</w:t>
      </w:r>
      <w:hyperlink w:anchor="sec-pupil-ddm-integration">
        <w:r>
          <w:rPr>
            <w:rStyle w:val="Hyperlink"/>
          </w:rPr>
          <w:t xml:space="preserve">Section 3.3</w:t>
        </w:r>
      </w:hyperlink>
      <w:r>
        <w:t xml:space="preserve">); see also Limitations below. In the primary model, VDT showed higher starting-point bias toward</w:t>
      </w:r>
      <w:r>
        <w:t xml:space="preserve"> </w:t>
      </w:r>
      <w:r>
        <w:t xml:space="preserve">“different”</w:t>
      </w:r>
      <w:r>
        <w:t xml:space="preserve"> </w:t>
      </w:r>
      <w:r>
        <w:t xml:space="preserve">than ADT (</w:t>
      </w:r>
      <m:oMath>
        <m:r>
          <m:t>β</m:t>
        </m:r>
        <m:r>
          <m:rPr>
            <m:sty m:val="p"/>
          </m:rPr>
          <m:t>=</m:t>
        </m:r>
        <m:r>
          <m:t>0.068</m:t>
        </m:r>
      </m:oMath>
      <w:r>
        <w:t xml:space="preserve">, 95% CrI</w:t>
      </w:r>
      <w:r>
        <w:t xml:space="preserve"> </w:t>
      </w:r>
      <m:oMath>
        <m:r>
          <m:rPr>
            <m:sty m:val="p"/>
          </m:rPr>
          <m:t>[</m:t>
        </m:r>
        <m:r>
          <m:t>0.036</m:t>
        </m:r>
        <m:r>
          <m:rPr>
            <m:sty m:val="p"/>
          </m:rPr>
          <m:t>,</m:t>
        </m:r>
        <m:r>
          <m:t> </m:t>
        </m:r>
        <m:r>
          <m:t>0.101</m:t>
        </m:r>
        <m:r>
          <m:rPr>
            <m:sty m:val="p"/>
          </m:rPr>
          <m:t>]</m:t>
        </m:r>
      </m:oMath>
      <w:r>
        <w:t xml:space="preserve">;</w:t>
      </w:r>
      <w:r>
        <w:t xml:space="preserve"> </w:t>
      </w:r>
      <m:oMath>
        <m:r>
          <m:t>P</m:t>
        </m:r>
        <m:r>
          <m:rPr>
            <m:sty m:val="p"/>
          </m:rPr>
          <m:t>(</m:t>
        </m:r>
        <m:sSub>
          <m:e>
            <m:r>
              <m:t>β</m:t>
            </m:r>
          </m:e>
          <m:sub>
            <m:r>
              <m:rPr>
                <m:nor/>
                <m:sty m:val="p"/>
              </m:rPr>
              <m:t>VDT</m:t>
            </m:r>
          </m:sub>
        </m:sSub>
        <m:r>
          <m:rPr>
            <m:sty m:val="p"/>
          </m:rPr>
          <m:t>&gt;</m:t>
        </m:r>
        <m:r>
          <m:t>0</m:t>
        </m:r>
        <m:r>
          <m:rPr>
            <m:sty m:val="p"/>
          </m:rPr>
          <m:t>)</m:t>
        </m:r>
        <m:r>
          <m:rPr>
            <m:sty m:val="p"/>
          </m:rPr>
          <m:t>&gt;</m:t>
        </m:r>
        <m:r>
          <m:t>.999</m:t>
        </m:r>
      </m:oMath>
      <w:r>
        <w:t xml:space="preserve">; logit task offset), whereas the standard-only calibration model shows the opposite ordering (</w:t>
      </w:r>
      <m:oMath>
        <m:r>
          <m:rPr>
            <m:sty m:val="p"/>
          </m:rPr>
          <m:t>Δ</m:t>
        </m:r>
        <m:r>
          <m:t>z</m:t>
        </m:r>
        <m:r>
          <m:rPr>
            <m:sty m:val="p"/>
          </m:rPr>
          <m:t>=</m:t>
        </m:r>
        <m:r>
          <m:t>0.038</m:t>
        </m:r>
      </m:oMath>
      <w:r>
        <w:t xml:space="preserve">, 95% CrI</w:t>
      </w:r>
      <w:r>
        <w:t xml:space="preserve"> </w:t>
      </w:r>
      <m:oMath>
        <m:r>
          <m:rPr>
            <m:sty m:val="p"/>
          </m:rPr>
          <m:t>[</m:t>
        </m:r>
        <m:r>
          <m:t>0.019</m:t>
        </m:r>
        <m:r>
          <m:rPr>
            <m:sty m:val="p"/>
          </m:rPr>
          <m:t>,</m:t>
        </m:r>
        <m:r>
          <m:t> </m:t>
        </m:r>
        <m:r>
          <m:t>0.058</m:t>
        </m:r>
        <m:r>
          <m:rPr>
            <m:sty m:val="p"/>
          </m:rPr>
          <m:t>]</m:t>
        </m:r>
      </m:oMath>
      <w:r>
        <w:t xml:space="preserve">;</w:t>
      </w:r>
      <w:r>
        <w:t xml:space="preserve"> </w:t>
      </w:r>
      <m:oMath>
        <m:r>
          <m:t>P</m:t>
        </m:r>
        <m:r>
          <m:rPr>
            <m:sty m:val="p"/>
          </m:rPr>
          <m:t>(</m:t>
        </m:r>
        <m:r>
          <m:rPr>
            <m:sty m:val="p"/>
          </m:rPr>
          <m:t>Δ</m:t>
        </m:r>
        <m:sSub>
          <m:e>
            <m:r>
              <m:t>z</m:t>
            </m:r>
          </m:e>
          <m:sub>
            <m:r>
              <m:rPr>
                <m:nor/>
                <m:sty m:val="p"/>
              </m:rPr>
              <m:t>ADT</m:t>
            </m:r>
            <m:r>
              <m:rPr>
                <m:sty m:val="p"/>
              </m:rPr>
              <m:t>−</m:t>
            </m:r>
            <m:r>
              <m:rPr>
                <m:nor/>
                <m:sty m:val="p"/>
              </m:rPr>
              <m:t>VDT</m:t>
            </m:r>
          </m:sub>
        </m:sSub>
        <m:r>
          <m:rPr>
            <m:sty m:val="p"/>
          </m:rPr>
          <m:t>&gt;</m:t>
        </m:r>
        <m:r>
          <m:t>0</m:t>
        </m:r>
        <m:r>
          <m:rPr>
            <m:sty m:val="p"/>
          </m:rPr>
          <m:t>)</m:t>
        </m:r>
        <m:r>
          <m:rPr>
            <m:sty m:val="p"/>
          </m:rPr>
          <m:t>&gt;</m:t>
        </m:r>
        <m:r>
          <m:t>.999</m:t>
        </m:r>
      </m:oMath>
      <w:r>
        <w:t xml:space="preserve">), illustrating the</w:t>
      </w:r>
      <w:r>
        <w:t xml:space="preserve"> </w:t>
      </w:r>
      <m:oMath>
        <m:r>
          <m:t>v</m:t>
        </m:r>
      </m:oMath>
      <w:r>
        <w:t xml:space="preserve">–</w:t>
      </w:r>
      <m:oMath>
        <m:r>
          <m:t>z</m:t>
        </m:r>
      </m:oMath>
      <w:r>
        <w:t xml:space="preserve"> </w:t>
      </w:r>
      <w:r>
        <w:t xml:space="preserve">trade-off when drift is not held constant across difficulty. Exploratory LC-MRI correlates (Supplementary Section S8) did not link LC integrity to task-specific bias or to the group-level effort effect on drift, though those tests were underpowered.</w:t>
      </w:r>
    </w:p>
    <w:p>
      <w:pPr>
        <w:pStyle w:val="BodyText"/>
      </w:pPr>
      <w:r>
        <w:t xml:space="preserve">Effort might also have acted more slowly, by reshaping decisions across trials rather than within them, but the temporal-dynamics analyses give little support for this. Exploratory choice-history models (Supplementary Section S10.1) showed a small but reliable perseveration tendency: pre-stimulus bias shifted by approximately 0.065 logit units toward the previous response, with the 95% CrI excluding zero. High effort (40% MVC) did not amplify this effect (previous-trial response × effort interaction</w:t>
      </w:r>
      <w:r>
        <w:t xml:space="preserve"> </w:t>
      </w:r>
      <m:oMath>
        <m:acc>
          <m:accPr>
            <m:chr m:val="̂"/>
          </m:accPr>
          <m:e>
            <m:r>
              <m:t>β</m:t>
            </m:r>
          </m:e>
        </m:acc>
      </m:oMath>
      <w:r>
        <w:t xml:space="preserve"> </w:t>
      </w:r>
      <w:r>
        <w:t xml:space="preserve">= −0.001, 95% CrI [−0.065, 0.064]). Together with the ROPE-negligible H2 boundary effect and the H4 bias null, this pattern suggests that effort degrades evidence quality upstream while producing only limited downstream adjustment in criterion-setting or history-driven responding</w:t>
      </w:r>
      <w:r>
        <w:t xml:space="preserve"> </w:t>
      </w:r>
      <w:r>
        <w:t xml:space="preserve">(Fischer &amp; Whitney, 2014; Wickens, 2008)</w:t>
      </w:r>
      <w:r>
        <w:t xml:space="preserve">.</w:t>
      </w:r>
    </w:p>
    <w:p>
      <w:pPr>
        <w:pStyle w:val="BodyText"/>
      </w:pPr>
      <w:r>
        <w:t xml:space="preserve">Within-session fatigue models (Supplementary Section S10.2) showed a complementary pattern. Boundary separation relaxed slightly from the first to the second half of each run (more pronounced under Low effort), but drift rate did not decline credibly within runs, and age did not moderate the trajectory. The primary within-run dynamic is modest criterion adjustment, not accumulation-stage exhaustion</w:t>
      </w:r>
      <w:r>
        <w:t xml:space="preserve"> </w:t>
      </w:r>
      <w:r>
        <w:t xml:space="preserve">(Drugowitsch et al., 2012; Tajima et al., 2016)</w:t>
      </w:r>
      <w:r>
        <w:t xml:space="preserve">. Effort’s between-condition effect remains localized to drift rate (</w:t>
      </w:r>
      <m:oMath>
        <m:r>
          <m:t>v</m:t>
        </m:r>
      </m:oMath>
      <w:r>
        <w:t xml:space="preserve">), not to the temporal dynamics of boundary separation under load.</w:t>
      </w:r>
    </w:p>
    <w:bookmarkStart w:id="49" w:name="limitations-and-future-directions"/>
    <w:p>
      <w:pPr>
        <w:pStyle w:val="Heading2"/>
      </w:pPr>
      <w:r>
        <w:t xml:space="preserve">4.1 Limitations and future directions</w:t>
      </w:r>
    </w:p>
    <w:p>
      <w:pPr>
        <w:pStyle w:val="FirstParagraph"/>
      </w:pPr>
      <w:r>
        <w:t xml:space="preserve">Several limitations constrain the interpretation of these findings. First, the standard Wiener DDM assumes constant drift within each trial and does not include across-trial variability in drift (</w:t>
      </w:r>
      <m:oMath>
        <m:sSub>
          <m:e>
            <m:r>
              <m:t>s</m:t>
            </m:r>
          </m:e>
          <m:sub>
            <m:r>
              <m:t>v</m:t>
            </m:r>
          </m:sub>
        </m:sSub>
      </m:oMath>
      <w:r>
        <w:t xml:space="preserve">), starting point (</w:t>
      </w:r>
      <m:oMath>
        <m:sSub>
          <m:e>
            <m:r>
              <m:t>s</m:t>
            </m:r>
          </m:e>
          <m:sub>
            <m:r>
              <m:t>z</m:t>
            </m:r>
          </m:sub>
        </m:sSub>
      </m:oMath>
      <w:r>
        <w:t xml:space="preserve">), or non-decision time (</w:t>
      </w:r>
      <m:oMath>
        <m:sSub>
          <m:e>
            <m:r>
              <m:t>s</m:t>
            </m:r>
          </m:e>
          <m:sub>
            <m:sSub>
              <m:e>
                <m:r>
                  <m:t>t</m:t>
                </m:r>
              </m:e>
              <m:sub>
                <m:r>
                  <m:t>0</m:t>
                </m:r>
              </m:sub>
            </m:sSub>
          </m:sub>
        </m:sSub>
      </m:oMath>
      <w:r>
        <w:t xml:space="preserve">). Second, the response-signal design enforced a fixed delay before overt responding and so required an intercept-only</w:t>
      </w:r>
      <w:r>
        <w:t xml:space="preserve"> </w:t>
      </w:r>
      <m:oMath>
        <m:sSub>
          <m:e>
            <m:r>
              <m:t>t</m:t>
            </m:r>
          </m:e>
          <m:sub>
            <m:r>
              <m:t>0</m:t>
            </m:r>
          </m:sub>
        </m:sSub>
      </m:oMath>
      <w:r>
        <w:t xml:space="preserve">; this means H3 could not be tested in the primary model, and probe-onset RT alignment identifies condition effects only within that shared timing regime rather than supporting strong claims about pure encoding or motor</w:t>
      </w:r>
      <w:r>
        <w:t xml:space="preserve"> </w:t>
      </w:r>
      <m:oMath>
        <m:sSub>
          <m:e>
            <m:r>
              <m:t>t</m:t>
            </m:r>
          </m:e>
          <m:sub>
            <m:r>
              <m:t>0</m:t>
            </m:r>
          </m:sub>
        </m:sSub>
      </m:oMath>
      <w:r>
        <w:t xml:space="preserve"> </w:t>
      </w:r>
      <w:r>
        <w:t xml:space="preserve">in isolation (</w:t>
      </w:r>
      <w:hyperlink w:anchor="sec-ddm-spec">
        <w:r>
          <w:rPr>
            <w:rStyle w:val="Hyperlink"/>
          </w:rPr>
          <w:t xml:space="preserve">Section 2.7.2</w:t>
        </w:r>
      </w:hyperlink>
      <w:r>
        <w:t xml:space="preserve">). An exploratory effort effect on</w:t>
      </w:r>
      <w:r>
        <w:t xml:space="preserve"> </w:t>
      </w:r>
      <m:oMath>
        <m:r>
          <m:rPr>
            <m:sty m:val="p"/>
          </m:rPr>
          <m:t>log</m:t>
        </m:r>
        <m:sSub>
          <m:e>
            <m:r>
              <m:t>t</m:t>
            </m:r>
          </m:e>
          <m:sub>
            <m:r>
              <m:t>0</m:t>
            </m:r>
          </m:sub>
        </m:sSub>
      </m:oMath>
      <w:r>
        <w:t xml:space="preserve"> </w:t>
      </w:r>
      <w:r>
        <w:t xml:space="preserve">was small and imprecise (</w:t>
      </w:r>
      <m:oMath>
        <m:acc>
          <m:accPr>
            <m:chr m:val="̂"/>
          </m:accPr>
          <m:e>
            <m:r>
              <m:t>β</m:t>
            </m:r>
          </m:e>
        </m:acc>
      </m:oMath>
      <w:r>
        <w:t xml:space="preserve"> </w:t>
      </w:r>
      <w:r>
        <w:t xml:space="preserve">= 0.02, 95% CrI [−0.05, 0.09]), precluding firm conclusions about peripheral slowing, and the accuracy decline under High effort aligns more directly with reduced drift rate than with a shift in</w:t>
      </w:r>
      <w:r>
        <w:t xml:space="preserve"> </w:t>
      </w:r>
      <m:oMath>
        <m:sSub>
          <m:e>
            <m:r>
              <m:t>t</m:t>
            </m:r>
          </m:e>
          <m:sub>
            <m:r>
              <m:t>0</m:t>
            </m:r>
          </m:sub>
        </m:sSub>
      </m:oMath>
      <w:r>
        <w:t xml:space="preserve"> </w:t>
      </w:r>
      <w:r>
        <w:t xml:space="preserve">(</w:t>
      </w:r>
      <w:hyperlink w:anchor="supptbl-accuracy-glmm">
        <w:r>
          <w:rPr>
            <w:rStyle w:val="Hyperlink"/>
          </w:rPr>
          <w:t xml:space="preserve">Table S19</w:t>
        </w:r>
      </w:hyperlink>
      <w:r>
        <w:t xml:space="preserve">). Because reaction times are measured from response-screen onset rather than stimulus onset, the interpretation of</w:t>
      </w:r>
      <w:r>
        <w:t xml:space="preserve"> </w:t>
      </w:r>
      <m:oMath>
        <m:sSub>
          <m:e>
            <m:r>
              <m:t>t</m:t>
            </m:r>
          </m:e>
          <m:sub>
            <m:r>
              <m:t>0</m:t>
            </m:r>
          </m:sub>
        </m:sSub>
      </m:oMath>
      <w:r>
        <w:t xml:space="preserve"> </w:t>
      </w:r>
      <w:r>
        <w:t xml:space="preserve">is confined to motor execution and response selection rather than early perceptual encoding. These design choices were necessary given the MRI-compatible grip-force paradigm but limit generalizability to free-response paradigms where</w:t>
      </w:r>
      <w:r>
        <w:t xml:space="preserve"> </w:t>
      </w:r>
      <m:oMath>
        <m:sSub>
          <m:e>
            <m:r>
              <m:t>t</m:t>
            </m:r>
          </m:e>
          <m:sub>
            <m:r>
              <m:t>0</m:t>
            </m:r>
          </m:sub>
        </m:sSub>
      </m:oMath>
      <w:r>
        <w:t xml:space="preserve"> </w:t>
      </w:r>
      <w:r>
        <w:t xml:space="preserve">reflects the full encoding-decision-motor chain. Posterior predictive checks flagged all 12 experimental cells against pre-specified KS/QP thresholds (</w:t>
      </w:r>
      <w:hyperlink w:anchor="supptbl-convergence-ppc-gate-appendix">
        <w:r>
          <w:rPr>
            <w:rStyle w:val="Hyperlink"/>
          </w:rPr>
          <w:t xml:space="preserve">Table S8</w:t>
        </w:r>
      </w:hyperlink>
      <w:r>
        <w:t xml:space="preserve">), with deviations concentrated in fast RT tails (worst in Easy/VDT). Mid-body quantile–probability alignment was nevertheless acceptable (Supplementary Section S3,</w:t>
      </w:r>
      <w:r>
        <w:t xml:space="preserve"> </w:t>
      </w:r>
      <w:hyperlink w:anchor="supptbl-ppc-midbody">
        <w:r>
          <w:rPr>
            <w:rStyle w:val="Hyperlink"/>
          </w:rPr>
          <w:t xml:space="preserve">Table S9</w:t>
        </w:r>
      </w:hyperlink>
      <w:r>
        <w:t xml:space="preserve">), and key effort contrasts were stable across alternative RT lower-bound thresholds (Supplementary Section S4.2,</w:t>
      </w:r>
      <w:r>
        <w:t xml:space="preserve"> </w:t>
      </w:r>
      <w:hyperlink w:anchor="supptbl-h1-h2-by-cutoff">
        <w:r>
          <w:rPr>
            <w:rStyle w:val="Hyperlink"/>
          </w:rPr>
          <w:t xml:space="preserve">Table S12</w:t>
        </w:r>
      </w:hyperlink>
      <w:r>
        <w:t xml:space="preserve">). Future extensions incorporating across-trial variability, a fast-guess contaminant mixture, or urgency-collapsing boundaries may improve absolute fit</w:t>
      </w:r>
      <w:r>
        <w:t xml:space="preserve"> </w:t>
      </w:r>
      <w:r>
        <w:t xml:space="preserve">(Ratcliff &amp; McKoon, 2008)</w:t>
      </w:r>
      <w:r>
        <w:t xml:space="preserve">.</w:t>
      </w:r>
    </w:p>
    <w:p>
      <w:pPr>
        <w:pStyle w:val="BodyText"/>
      </w:pPr>
      <w:r>
        <w:t xml:space="preserve">Third, the primary trial-wise pupil predictor—the</w:t>
      </w:r>
      <w:r>
        <w:t xml:space="preserve"> </w:t>
      </w:r>
      <w:r>
        <w:rPr>
          <w:b/>
          <w:bCs/>
        </w:rPr>
        <w:t xml:space="preserve">Decision-Response AUC</w:t>
      </w:r>
      <w:r>
        <w:t xml:space="preserve">—spans both pre- and post-response epochs (</w:t>
      </w:r>
      <w:hyperlink w:anchor="sec-pupil-ddm-integration">
        <w:r>
          <w:rPr>
            <w:rStyle w:val="Hyperlink"/>
          </w:rPr>
          <w:t xml:space="preserve">Section 3.3</w:t>
        </w:r>
      </w:hyperlink>
      <w:r>
        <w:t xml:space="preserve">). We repeated the nested pupil-DDM comparisons using the</w:t>
      </w:r>
      <w:r>
        <w:t xml:space="preserve"> </w:t>
      </w:r>
      <w:r>
        <w:rPr>
          <w:b/>
          <w:bCs/>
        </w:rPr>
        <w:t xml:space="preserve">Truncated Decision-Response AUC</w:t>
      </w:r>
      <w:r>
        <w:t xml:space="preserve"> </w:t>
      </w:r>
      <w:r>
        <w:t xml:space="preserve">(0.3–1.3 s post-probe; 12,150 trials with valid truncated TEPR) and Cavanagh-style pupil→</w:t>
      </w:r>
      <m:oMath>
        <m:r>
          <m:t>a</m:t>
        </m:r>
      </m:oMath>
      <w:r>
        <w:t xml:space="preserve"> </w:t>
      </w:r>
      <w:r>
        <w:t xml:space="preserve">extensions on both windows; conclusions were unchanged (</w:t>
      </w:r>
      <m:oMath>
        <m:r>
          <m:rPr>
            <m:sty m:val="p"/>
          </m:rPr>
          <m:t>|</m:t>
        </m:r>
        <m:r>
          <m:rPr>
            <m:sty m:val="p"/>
          </m:rPr>
          <m:t>Δ</m:t>
        </m:r>
      </m:oMath>
      <w:r>
        <w:t xml:space="preserve">ELPD</w:t>
      </w:r>
      <m:oMath>
        <m:r>
          <m:rPr>
            <m:sty m:val="p"/>
          </m:rPr>
          <m:t>|</m:t>
        </m:r>
      </m:oMath>
      <w:r>
        <w:t xml:space="preserve"> </w:t>
      </w:r>
      <m:oMath>
        <m:r>
          <m:rPr>
            <m:sty m:val="p"/>
          </m:rPr>
          <m:t>&lt;</m:t>
        </m:r>
        <m:r>
          <m:t>4</m:t>
        </m:r>
      </m:oMath>
      <w:r>
        <w:t xml:space="preserve">; near-zero or small coefficients without LOO advantage). Remaining ambiguity likely reflects concurrent motor–autonomic confounds under sustained grip rather than window choice alone.</w:t>
      </w:r>
    </w:p>
    <w:p>
      <w:pPr>
        <w:pStyle w:val="BodyText"/>
      </w:pPr>
      <w:r>
        <w:t xml:space="preserve">Fourth, Hard-trial accuracy fell near or below chance for many participants (Supplementary Section S7), indicating that some Hard offsets sat near perceptual threshold rather than forming a clean graded difficulty manipulation above chance. Parameter estimates for Hard conditions should be interpreted with this floor effect in mind. Complementary sensitivity analyses for task-on-drift pooling and related robustness checks are reported in Supplementary Section S4 (</w:t>
      </w:r>
      <w:hyperlink w:anchor="supptbl-task-sensitivity">
        <w:r>
          <w:rPr>
            <w:rStyle w:val="Hyperlink"/>
          </w:rPr>
          <w:t xml:space="preserve">Table S14</w:t>
        </w:r>
      </w:hyperlink>
      <w:r>
        <w:t xml:space="preserve">,</w:t>
      </w:r>
      <w:r>
        <w:t xml:space="preserve"> </w:t>
      </w:r>
      <w:hyperlink w:anchor="supptbl-h1-h2-by-cutoff">
        <w:r>
          <w:rPr>
            <w:rStyle w:val="Hyperlink"/>
          </w:rPr>
          <w:t xml:space="preserve">Table S12</w:t>
        </w:r>
      </w:hyperlink>
      <w:r>
        <w:t xml:space="preserve">) where already completed; a Standard+Easy-only primary refit excluding Hard trials remains planned.</w:t>
      </w:r>
    </w:p>
    <w:p>
      <w:pPr>
        <w:pStyle w:val="BodyText"/>
      </w:pPr>
      <w:r>
        <w:t xml:space="preserve">Fifth, the concurrent isometric handgrip manipulation (40% MVC) may interact with motor execution in ways not fully captured by small fixed effects on</w:t>
      </w:r>
      <w:r>
        <w:t xml:space="preserve"> </w:t>
      </w:r>
      <m:oMath>
        <m:sSub>
          <m:e>
            <m:r>
              <m:t>t</m:t>
            </m:r>
          </m:e>
          <m:sub>
            <m:r>
              <m:t>0</m:t>
            </m:r>
          </m:sub>
        </m:sSub>
      </m:oMath>
      <w:r>
        <w:t xml:space="preserve">; future work integrating EMG or kinematic measures could disentangle central resource competition from peripheral motor interference. Linear Ballistic Accumulator or race models may also better accommodate the fast-tail RT dynamics observed in Easy-difficulty conditions, and future work could explore whether these model families yield the same substantive pattern of effort and difficulty effects on decision parameters.</w:t>
      </w:r>
    </w:p>
    <w:p>
      <w:pPr>
        <w:pStyle w:val="BodyText"/>
      </w:pPr>
      <w:r>
        <w:t xml:space="preserve">Sixth, exploratory LC-MRI and neuropsychological correlates (Supplementary Sections S8 and S9) were underpowered for individual-differences moderation and did not enter the primary inferential framework; they are reported as descriptive context for sample characterization and do not alter the group-level DDM conclusions below.</w:t>
      </w:r>
    </w:p>
    <w:p>
      <w:pPr>
        <w:pStyle w:val="BodyText"/>
      </w:pPr>
      <w:r>
        <w:t xml:space="preserve">Taken together, concurrent 40% MVC isometric grip degraded perceptual evidence accumulation in older adults more than it reorganized decision thresholds or pre-response bias. The hierarchical Wiener DDM localized the primary cost to drift rate</w:t>
      </w:r>
      <w:r>
        <w:t xml:space="preserve"> </w:t>
      </w:r>
      <m:oMath>
        <m:r>
          <m:t>v</m:t>
        </m:r>
      </m:oMath>
      <w:r>
        <w:t xml:space="preserve"> </w:t>
      </w:r>
      <w:r>
        <w:t xml:space="preserve">— the signal-to-noise ratio of evidence integration — with a credible interval excluding zero, while the boundary and bias effects were practically negligible and the choice-history and within-run dynamics showed only minor adjustment. Non-decision time remained untestable in the primary model, and its exploratory estimate was small and imprecise. Pupil-linked mechanisms were inconclusive (</w:t>
      </w:r>
      <w:hyperlink w:anchor="sec-pupil-ddm-integration">
        <w:r>
          <w:rPr>
            <w:rStyle w:val="Hyperlink"/>
          </w:rPr>
          <w:t xml:space="preserve">Section 3.3</w:t>
        </w:r>
      </w:hyperlink>
      <w:r>
        <w:t xml:space="preserve">).</w:t>
      </w:r>
    </w:p>
    <w:p>
      <w:pPr>
        <w:pStyle w:val="BodyText"/>
      </w:pPr>
      <w:r>
        <w:t xml:space="preserve">Exploratory individual-differences analyses in the same cohort did not alter this group-level story. LC-MRI correlates (Supplementary Section S8;</w:t>
      </w:r>
      <w:r>
        <w:t xml:space="preserve"> </w:t>
      </w:r>
      <w:r>
        <w:t xml:space="preserve">(Bennett et al., 2024)</w:t>
      </w:r>
      <w:r>
        <w:t xml:space="preserve">) were more closely related to between-person variability in sensitivity and baseline boundary settings than to mean perceptual sensitivity, trial-wise TEPR, or the effort effect on drift, and extended neuropsychological characterization (Supplementary Section S9) did not indicate that global cognition explained the effort effect on drift. Under concurrent physical load, then, older adults mainly accumulate less evidence per unit time, with only limited adjustment in caution or bias.</w:t>
      </w:r>
    </w:p>
    <w:bookmarkEnd w:id="49"/>
    <w:bookmarkEnd w:id="50"/>
    <w:bookmarkStart w:id="53" w:name="reproducibility-note"/>
    <w:p>
      <w:pPr>
        <w:pStyle w:val="Heading1"/>
      </w:pPr>
      <w:r>
        <w:t xml:space="preserve">Reproducibility Note</w:t>
      </w:r>
    </w:p>
    <w:p>
      <w:pPr>
        <w:pStyle w:val="FirstParagraph"/>
      </w:pPr>
      <w:r>
        <w:t xml:space="preserve">All analysis code and de-identified data are available in the project repository:</w:t>
      </w:r>
      <w:r>
        <w:t xml:space="preserve"> </w:t>
      </w:r>
      <w:hyperlink r:id="rId51">
        <w:r>
          <w:rPr>
            <w:rStyle w:val="Hyperlink"/>
          </w:rPr>
          <w:t xml:space="preserve">modeling-pupil-DDM</w:t>
        </w:r>
      </w:hyperlink>
      <w:r>
        <w:t xml:space="preserve">. A versioned archive of the analysis code and data is also available via Zenodo:</w:t>
      </w:r>
      <w:r>
        <w:t xml:space="preserve"> </w:t>
      </w:r>
      <w:hyperlink r:id="rId52">
        <w:r>
          <w:rPr>
            <w:rStyle w:val="Hyperlink"/>
          </w:rPr>
          <w:t xml:space="preserve">https://doi.org/10.5281/zenodo.18205123</w:t>
        </w:r>
      </w:hyperlink>
      <w:r>
        <w:t xml:space="preserve">. Key paths:</w:t>
      </w:r>
      <w:r>
        <w:t xml:space="preserve"> </w:t>
      </w:r>
      <w:r>
        <w:rPr>
          <w:rStyle w:val="VerbatimChar"/>
        </w:rPr>
        <w:t xml:space="preserve">R/</w:t>
      </w:r>
      <w:r>
        <w:t xml:space="preserve">,</w:t>
      </w:r>
      <w:r>
        <w:t xml:space="preserve"> </w:t>
      </w:r>
      <w:r>
        <w:rPr>
          <w:rStyle w:val="VerbatimChar"/>
        </w:rPr>
        <w:t xml:space="preserve">scripts/</w:t>
      </w:r>
      <w:r>
        <w:t xml:space="preserve">,</w:t>
      </w:r>
      <w:r>
        <w:t xml:space="preserve"> </w:t>
      </w:r>
      <w:r>
        <w:rPr>
          <w:rStyle w:val="VerbatimChar"/>
        </w:rPr>
        <w:t xml:space="preserve">reports/chap3_ddm_results.qmd</w:t>
      </w:r>
      <w:r>
        <w:t xml:space="preserve">.</w:t>
      </w:r>
    </w:p>
    <w:p>
      <w:r>
        <w:br w:type="page"/>
      </w:r>
    </w:p>
    <w:bookmarkEnd w:id="53"/>
    <w:bookmarkStart w:id="206" w:name="supplementary-materials"/>
    <w:p>
      <w:pPr>
        <w:pStyle w:val="Heading1"/>
      </w:pPr>
      <w:r>
        <w:t xml:space="preserve">Supplementary Materials</w:t>
      </w:r>
    </w:p>
    <w:p>
      <w:pPr>
        <w:pStyle w:val="FirstParagraph"/>
      </w:pPr>
      <w:r>
        <w:t xml:space="preserve">These supplementary materials provide model diagnostics, sensitivity analyses, pupil-linked DDM extensions, and behavioral validation.</w:t>
      </w:r>
      <w:r>
        <w:t xml:space="preserve"> </w:t>
      </w:r>
      <w:r>
        <w:rPr>
          <w:b/>
          <w:bCs/>
        </w:rPr>
        <w:t xml:space="preserve">S1</w:t>
      </w:r>
      <w:r>
        <w:t xml:space="preserve"> </w:t>
      </w:r>
      <w:r>
        <w:t xml:space="preserve">— behavioral LOO and convergence;</w:t>
      </w:r>
      <w:r>
        <w:t xml:space="preserve"> </w:t>
      </w:r>
      <w:r>
        <w:rPr>
          <w:b/>
          <w:bCs/>
        </w:rPr>
        <w:t xml:space="preserve">S2</w:t>
      </w:r>
      <w:r>
        <w:t xml:space="preserve"> </w:t>
      </w:r>
      <w:r>
        <w:t xml:space="preserve">— standard-only calibration, trial counts, and baseline pupil descriptives;</w:t>
      </w:r>
      <w:r>
        <w:t xml:space="preserve"> </w:t>
      </w:r>
      <w:r>
        <w:rPr>
          <w:b/>
          <w:bCs/>
        </w:rPr>
        <w:t xml:space="preserve">S3</w:t>
      </w:r>
      <w:r>
        <w:t xml:space="preserve"> </w:t>
      </w:r>
      <w:r>
        <w:t xml:space="preserve">— posterior predictive checks (PPC);</w:t>
      </w:r>
      <w:r>
        <w:t xml:space="preserve"> </w:t>
      </w:r>
      <w:r>
        <w:rPr>
          <w:b/>
          <w:bCs/>
        </w:rPr>
        <w:t xml:space="preserve">S4</w:t>
      </w:r>
      <w:r>
        <w:t xml:space="preserve"> </w:t>
      </w:r>
      <w:r>
        <w:t xml:space="preserve">— RT timing and task-modality sensitivities;</w:t>
      </w:r>
      <w:r>
        <w:t xml:space="preserve"> </w:t>
      </w:r>
      <w:r>
        <w:rPr>
          <w:b/>
          <w:bCs/>
        </w:rPr>
        <w:t xml:space="preserve">S5</w:t>
      </w:r>
      <w:r>
        <w:t xml:space="preserve"> </w:t>
      </w:r>
      <w:r>
        <w:t xml:space="preserve">— pupil-augmented LOO, fixed effects, and TEPR waveforms;</w:t>
      </w:r>
      <w:r>
        <w:t xml:space="preserve"> </w:t>
      </w:r>
      <w:r>
        <w:rPr>
          <w:b/>
          <w:bCs/>
        </w:rPr>
        <w:t xml:space="preserve">S6</w:t>
      </w:r>
      <w:r>
        <w:t xml:space="preserve"> </w:t>
      </w:r>
      <w:r>
        <w:t xml:space="preserve">— full DDM specification (equations, priors, sampling);</w:t>
      </w:r>
      <w:r>
        <w:t xml:space="preserve"> </w:t>
      </w:r>
      <w:r>
        <w:rPr>
          <w:b/>
          <w:bCs/>
        </w:rPr>
        <w:t xml:space="preserve">S7</w:t>
      </w:r>
      <w:r>
        <w:t xml:space="preserve"> </w:t>
      </w:r>
      <w:r>
        <w:t xml:space="preserve">— manipulation-check GLMMs/LMMs;</w:t>
      </w:r>
      <w:r>
        <w:t xml:space="preserve"> </w:t>
      </w:r>
      <w:r>
        <w:rPr>
          <w:b/>
          <w:bCs/>
        </w:rPr>
        <w:t xml:space="preserve">S8–S10</w:t>
      </w:r>
      <w:r>
        <w:t xml:space="preserve"> </w:t>
      </w:r>
      <w:r>
        <w:t xml:space="preserve">— exploratory LC integrity, neuropsychological profile, and within-run temporal dynamics. Related figures are combined into multi-panel displays where layout permits (e.g., S2 bias calibration, S4 task-modality profiles); tall facet-heavy figures (TEPR, behavioral validation) remain as separate figures.</w:t>
      </w:r>
    </w:p>
    <w:bookmarkStart w:id="64" w:name="X17715d41c9de0c72b2895e1018a96088fe76870"/>
    <w:p>
      <w:pPr>
        <w:pStyle w:val="Heading2"/>
      </w:pPr>
      <w:r>
        <w:t xml:space="preserve">S1. Model Selection and Convergence Diagnostics</w:t>
      </w:r>
    </w:p>
    <w:tbl>
      <w:tblPr>
        <w:tblStyle w:val="Table"/>
        <w:tblW w:type="pct" w:w="5000"/>
        <w:tblLayout w:type="fixed"/>
        <w:tblLook w:firstRow="0" w:lastRow="0" w:firstColumn="0" w:lastColumn="0" w:noHBand="0" w:noVBand="0" w:val="0000"/>
      </w:tblPr>
      <w:tblGrid>
        <w:gridCol w:w="7920"/>
      </w:tblGrid>
      <w:tr>
        <w:tc>
          <w:tcPr/>
          <w:bookmarkStart w:id="54" w:name="supptbl-loo-comparison"/>
          <w:p>
            <w:pPr>
              <w:jc w:val="center"/>
            </w:pPr>
            <w:pPr>
              <w:jc w:val="left"/>
              <w:spacing w:before="200"/>
              <w:pStyle w:val="ImageCaption"/>
            </w:pPr>
            <w:r>
              <w:t xml:space="preserve">Table S1: Behavioral model comparison via PSIS-LOO (probe-onset-locked, thr 0.20 s; N = 17,857).</w:t>
            </w:r>
            <w:r>
              <w:t xml:space="preserve"> </w:t>
            </w:r>
            <m:oMath>
              <m:r>
                <m:rPr>
                  <m:sty m:val="p"/>
                </m:rPr>
                <m:t>Δ</m:t>
              </m:r>
            </m:oMath>
            <w:r>
              <w:t xml:space="preserve">ELPD is relative to the highest-ELPD model (negative = worse). The interaction row attains the highest nominal ELPD but unreliable PSIS-LOO (max Pareto-</w:t>
            </w:r>
            <m:oMath>
              <m:r>
                <m:t>k</m:t>
              </m:r>
            </m:oMath>
            <w:r>
              <w:t xml:space="preserve"> </w:t>
            </w:r>
            <w:r>
              <w:t xml:space="preserve">&gt; 0.7); the additive model is retained.</w:t>
            </w:r>
          </w:p>
          <w:tbl>
            <w:tblPr>
              <w:tblStyle w:val="Table"/>
              <w:tblW w:type="pct" w:w="5000"/>
              <w:tblLayout w:type="fixed"/>
              <w:tblLook w:firstRow="1" w:lastRow="0" w:firstColumn="0" w:lastColumn="0" w:noHBand="0" w:noVBand="0" w:val="0020"/>
            </w:tblPr>
            <w:tblGrid>
              <w:gridCol w:w="3465"/>
              <w:gridCol w:w="891"/>
              <w:gridCol w:w="594"/>
              <w:gridCol w:w="792"/>
              <w:gridCol w:w="594"/>
              <w:gridCol w:w="792"/>
              <w:gridCol w:w="792"/>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ΔELPD</w:t>
                  </w:r>
                </w:p>
              </w:tc>
              <w:tc>
                <w:tcPr/>
                <w:p>
                  <w:pPr>
                    <w:pStyle w:val="Compact"/>
                    <w:jc w:val="right"/>
                    <w:jc w:val="center"/>
                  </w:pPr>
                  <w:r>
                    <w:t xml:space="preserve">SE(Δ)</w:t>
                  </w:r>
                </w:p>
              </w:tc>
              <w:tc>
                <w:tcPr/>
                <w:p>
                  <w:pPr>
                    <w:pStyle w:val="Compact"/>
                    <w:jc w:val="right"/>
                    <w:jc w:val="center"/>
                  </w:pPr>
                  <w:r>
                    <w:t xml:space="preserve">LOOIC</w:t>
                  </w:r>
                </w:p>
              </w:tc>
              <w:tc>
                <w:tcPr/>
                <w:p>
                  <w:pPr>
                    <w:pStyle w:val="Compact"/>
                    <w:jc w:val="left"/>
                    <w:jc w:val="center"/>
                  </w:pPr>
                  <w:r>
                    <w:t xml:space="preserve">Max</w:t>
                  </w:r>
                  <w:r>
                    <w:t xml:space="preserve"> </w:t>
                  </w:r>
                  <m:oMath>
                    <m:r>
                      <m:t>k</m:t>
                    </m:r>
                  </m:oMath>
                </w:p>
              </w:tc>
            </w:tr>
            <w:tr>
              <w:tc>
                <w:tcPr/>
                <w:p>
                  <w:pPr>
                    <w:pStyle w:val="Compact"/>
                    <w:jc w:val="left"/>
                    <w:jc w:val="center"/>
                  </w:pPr>
                  <w:r>
                    <w:t xml:space="preserve">Interaction (Diff</w:t>
                  </w:r>
                  <w:r>
                    <w:t xml:space="preserve"> </w:t>
                  </w:r>
                  <m:oMath>
                    <m:r>
                      <m:rPr>
                        <m:sty m:val="p"/>
                      </m:rPr>
                      <m:t>×</m:t>
                    </m:r>
                  </m:oMath>
                  <w:r>
                    <w:t xml:space="preserve"> </w:t>
                  </w:r>
                  <w:r>
                    <w:t xml:space="preserve">Effort)</w:t>
                  </w:r>
                </w:p>
              </w:tc>
              <w:tc>
                <w:tcPr/>
                <w:p>
                  <w:pPr>
                    <w:pStyle w:val="Compact"/>
                    <w:jc w:val="right"/>
                    <w:jc w:val="center"/>
                  </w:pPr>
                  <w:r>
                    <w:t xml:space="preserve">-17815.6</w:t>
                  </w:r>
                </w:p>
              </w:tc>
              <w:tc>
                <w:tcPr/>
                <w:p>
                  <w:pPr>
                    <w:pStyle w:val="Compact"/>
                    <w:jc w:val="right"/>
                    <w:jc w:val="center"/>
                  </w:pPr>
                  <w:r>
                    <w:t xml:space="preserve">155.4</w:t>
                  </w:r>
                </w:p>
              </w:tc>
              <w:tc>
                <w:tcPr/>
                <w:p>
                  <w:pPr>
                    <w:pStyle w:val="Compact"/>
                    <w:jc w:val="right"/>
                    <w:jc w:val="center"/>
                  </w:pPr>
                  <w:r>
                    <w:t xml:space="preserve">0.0</w:t>
                  </w:r>
                </w:p>
              </w:tc>
              <w:tc>
                <w:tcPr/>
                <w:p>
                  <w:pPr>
                    <w:pStyle w:val="Compact"/>
                    <w:jc w:val="right"/>
                    <w:jc w:val="center"/>
                  </w:pPr>
                  <w:r>
                    <w:t xml:space="preserve">58.4</w:t>
                  </w:r>
                </w:p>
              </w:tc>
              <w:tc>
                <w:tcPr/>
                <w:p>
                  <w:pPr>
                    <w:pStyle w:val="Compact"/>
                    <w:jc w:val="right"/>
                    <w:jc w:val="center"/>
                  </w:pPr>
                  <w:r>
                    <w:t xml:space="preserve">35631.1</w:t>
                  </w:r>
                </w:p>
              </w:tc>
              <w:tc>
                <w:tcPr/>
                <w:p>
                  <w:pPr>
                    <w:pStyle w:val="Compact"/>
                    <w:jc w:val="left"/>
                    <w:jc w:val="center"/>
                  </w:pPr>
                  <w:r>
                    <w:t xml:space="preserve">1.18</w:t>
                  </w:r>
                </w:p>
              </w:tc>
            </w:tr>
            <w:tr>
              <w:tc>
                <w:tcPr/>
                <w:p>
                  <w:pPr>
                    <w:pStyle w:val="Compact"/>
                    <w:jc w:val="left"/>
                    <w:jc w:val="center"/>
                  </w:pPr>
                  <w:r>
                    <w:t xml:space="preserve">Additive</w:t>
                  </w:r>
                </w:p>
              </w:tc>
              <w:tc>
                <w:tcPr/>
                <w:p>
                  <w:pPr>
                    <w:pStyle w:val="Compact"/>
                    <w:jc w:val="right"/>
                    <w:jc w:val="center"/>
                  </w:pPr>
                  <w:r>
                    <w:t xml:space="preserve">-19331.4</w:t>
                  </w:r>
                </w:p>
              </w:tc>
              <w:tc>
                <w:tcPr/>
                <w:p>
                  <w:pPr>
                    <w:pStyle w:val="Compact"/>
                    <w:jc w:val="right"/>
                    <w:jc w:val="center"/>
                  </w:pPr>
                  <w:r>
                    <w:t xml:space="preserve">146.6</w:t>
                  </w:r>
                </w:p>
              </w:tc>
              <w:tc>
                <w:tcPr/>
                <w:p>
                  <w:pPr>
                    <w:pStyle w:val="Compact"/>
                    <w:jc w:val="right"/>
                    <w:jc w:val="center"/>
                  </w:pPr>
                  <w:r>
                    <w:t xml:space="preserve">-1515.8</w:t>
                  </w:r>
                </w:p>
              </w:tc>
              <w:tc>
                <w:tcPr/>
                <w:p>
                  <w:pPr>
                    <w:pStyle w:val="Compact"/>
                    <w:jc w:val="right"/>
                    <w:jc w:val="center"/>
                  </w:pPr>
                  <w:r>
                    <w:t xml:space="preserve">0.0</w:t>
                  </w:r>
                </w:p>
              </w:tc>
              <w:tc>
                <w:tcPr/>
                <w:p>
                  <w:pPr>
                    <w:pStyle w:val="Compact"/>
                    <w:jc w:val="right"/>
                    <w:jc w:val="center"/>
                  </w:pPr>
                  <w:r>
                    <w:t xml:space="preserve">38662.7</w:t>
                  </w:r>
                </w:p>
              </w:tc>
              <w:tc>
                <w:tcPr/>
                <w:p>
                  <w:pPr>
                    <w:pStyle w:val="Compact"/>
                    <w:jc w:val="left"/>
                    <w:jc w:val="center"/>
                  </w:pPr>
                  <w:r>
                    <w:t xml:space="preserve">0.47</w:t>
                  </w:r>
                </w:p>
              </w:tc>
            </w:tr>
            <w:tr>
              <w:tc>
                <w:tcPr/>
                <w:p>
                  <w:pPr>
                    <w:pStyle w:val="Compact"/>
                    <w:jc w:val="left"/>
                    <w:jc w:val="center"/>
                  </w:pPr>
                  <w:r>
                    <w:t xml:space="preserve">Difficulty-only</w:t>
                  </w:r>
                </w:p>
              </w:tc>
              <w:tc>
                <w:tcPr/>
                <w:p>
                  <w:pPr>
                    <w:pStyle w:val="Compact"/>
                    <w:jc w:val="right"/>
                    <w:jc w:val="center"/>
                  </w:pPr>
                  <w:r>
                    <w:t xml:space="preserve">-20460.2</w:t>
                  </w:r>
                </w:p>
              </w:tc>
              <w:tc>
                <w:tcPr/>
                <w:p>
                  <w:pPr>
                    <w:pStyle w:val="Compact"/>
                    <w:jc w:val="right"/>
                    <w:jc w:val="center"/>
                  </w:pPr>
                  <w:r>
                    <w:t xml:space="preserve">146.1</w:t>
                  </w:r>
                </w:p>
              </w:tc>
              <w:tc>
                <w:tcPr/>
                <w:p>
                  <w:pPr>
                    <w:pStyle w:val="Compact"/>
                    <w:jc w:val="right"/>
                    <w:jc w:val="center"/>
                  </w:pPr>
                  <w:r>
                    <w:t xml:space="preserve">-2644.6</w:t>
                  </w:r>
                </w:p>
              </w:tc>
              <w:tc>
                <w:tcPr/>
                <w:p>
                  <w:pPr>
                    <w:pStyle w:val="Compact"/>
                    <w:jc w:val="right"/>
                    <w:jc w:val="center"/>
                  </w:pPr>
                  <w:r>
                    <w:t xml:space="preserve">207.0</w:t>
                  </w:r>
                </w:p>
              </w:tc>
              <w:tc>
                <w:tcPr/>
                <w:p>
                  <w:pPr>
                    <w:pStyle w:val="Compact"/>
                    <w:jc w:val="right"/>
                    <w:jc w:val="center"/>
                  </w:pPr>
                  <w:r>
                    <w:t xml:space="preserve">40920.4</w:t>
                  </w:r>
                </w:p>
              </w:tc>
              <w:tc>
                <w:tcPr/>
                <w:p>
                  <w:pPr>
                    <w:pStyle w:val="Compact"/>
                    <w:jc w:val="left"/>
                    <w:jc w:val="center"/>
                  </w:pPr>
                  <w:r>
                    <w:t xml:space="preserve">0.65</w:t>
                  </w:r>
                </w:p>
              </w:tc>
            </w:tr>
            <w:tr>
              <w:tc>
                <w:tcPr/>
                <w:p>
                  <w:pPr>
                    <w:pStyle w:val="Compact"/>
                    <w:jc w:val="left"/>
                    <w:jc w:val="center"/>
                  </w:pPr>
                  <w:r>
                    <w:t xml:space="preserve">Baseline</w:t>
                  </w:r>
                </w:p>
              </w:tc>
              <w:tc>
                <w:tcPr/>
                <w:p>
                  <w:pPr>
                    <w:pStyle w:val="Compact"/>
                    <w:jc w:val="right"/>
                    <w:jc w:val="center"/>
                  </w:pPr>
                  <w:r>
                    <w:t xml:space="preserve">-23983.1</w:t>
                  </w:r>
                </w:p>
              </w:tc>
              <w:tc>
                <w:tcPr/>
                <w:p>
                  <w:pPr>
                    <w:pStyle w:val="Compact"/>
                    <w:jc w:val="right"/>
                    <w:jc w:val="center"/>
                  </w:pPr>
                  <w:r>
                    <w:t xml:space="preserve">107.6</w:t>
                  </w:r>
                </w:p>
              </w:tc>
              <w:tc>
                <w:tcPr/>
                <w:p>
                  <w:pPr>
                    <w:pStyle w:val="Compact"/>
                    <w:jc w:val="right"/>
                    <w:jc w:val="center"/>
                  </w:pPr>
                  <w:r>
                    <w:t xml:space="preserve">-6167.6</w:t>
                  </w:r>
                </w:p>
              </w:tc>
              <w:tc>
                <w:tcPr/>
                <w:p>
                  <w:pPr>
                    <w:pStyle w:val="Compact"/>
                    <w:jc w:val="right"/>
                    <w:jc w:val="center"/>
                  </w:pPr>
                  <w:r>
                    <w:t xml:space="preserve">181.8</w:t>
                  </w:r>
                </w:p>
              </w:tc>
              <w:tc>
                <w:tcPr/>
                <w:p>
                  <w:pPr>
                    <w:pStyle w:val="Compact"/>
                    <w:jc w:val="right"/>
                    <w:jc w:val="center"/>
                  </w:pPr>
                  <w:r>
                    <w:t xml:space="preserve">47966.3</w:t>
                  </w:r>
                </w:p>
              </w:tc>
              <w:tc>
                <w:tcPr/>
                <w:p>
                  <w:pPr>
                    <w:pStyle w:val="Compact"/>
                    <w:jc w:val="left"/>
                    <w:jc w:val="center"/>
                  </w:pPr>
                  <w:r>
                    <w:t xml:space="preserve">—</w:t>
                  </w:r>
                </w:p>
              </w:tc>
            </w:tr>
          </w:tbl>
          <w:bookmarkEnd w:id="54"/>
          <w:p/>
        </w:tc>
      </w:tr>
    </w:tbl>
    <w:p>
      <w:pPr>
        <w:pStyle w:val="BodyText"/>
      </w:pPr>
      <w:r>
        <w:rPr>
          <w:i/>
          <w:iCs/>
        </w:rPr>
        <w:t xml:space="preserve">Note.</w:t>
      </w:r>
      <w:r>
        <w:t xml:space="preserve"> </w:t>
      </w:r>
      <w:r>
        <w:t xml:space="preserve">ELPD = expected log predictive density; LOOIC =</w:t>
      </w:r>
      <w:r>
        <w:t xml:space="preserve"> </w:t>
      </w:r>
      <m:oMath>
        <m:r>
          <m:rPr>
            <m:sty m:val="p"/>
          </m:rPr>
          <m:t>−</m:t>
        </m:r>
        <m:r>
          <m:t>2</m:t>
        </m:r>
        <m:r>
          <m:rPr>
            <m:sty m:val="p"/>
          </m:rPr>
          <m:t>×</m:t>
        </m:r>
      </m:oMath>
      <w:r>
        <w:t xml:space="preserve"> </w:t>
      </w:r>
      <w:r>
        <w:t xml:space="preserve">ELPD; SE(</w:t>
      </w:r>
      <m:oMath>
        <m:r>
          <m:rPr>
            <m:sty m:val="p"/>
          </m:rPr>
          <m:t>Δ</m:t>
        </m:r>
      </m:oMath>
      <w:r>
        <w:t xml:space="preserve">) = SE of ELPD difference vs. the reference model in that row. Baseline vs additive:</w:t>
      </w:r>
      <w:r>
        <w:t xml:space="preserve"> </w:t>
      </w:r>
      <m:oMath>
        <m:r>
          <m:rPr>
            <m:sty m:val="p"/>
          </m:rPr>
          <m:t>Δ</m:t>
        </m:r>
      </m:oMath>
      <w:r>
        <w:t xml:space="preserve">ELPD = +4,652 (~26 SEs), favoring additive. Difficulty-only vs additive:</w:t>
      </w:r>
      <w:r>
        <w:t xml:space="preserve"> </w:t>
      </w:r>
      <m:oMath>
        <m:r>
          <m:rPr>
            <m:sty m:val="p"/>
          </m:rPr>
          <m:t>Δ</m:t>
        </m:r>
      </m:oMath>
      <w:r>
        <w:t xml:space="preserve">ELPD = +1,129 (~5 SEs), favoring the effort-inclusive additive model. The interaction attains the highest nominal ELPD but PSIS-LOO is unreliable (max Pareto-</w:t>
      </w:r>
      <m:oMath>
        <m:r>
          <m:t>k</m:t>
        </m:r>
      </m:oMath>
      <w:r>
        <w:t xml:space="preserve"> </w:t>
      </w:r>
      <w:r>
        <w:t xml:space="preserve">= 1.18); additive LOO is reliable (max Pareto-</w:t>
      </w:r>
      <m:oMath>
        <m:r>
          <m:t>k</m:t>
        </m:r>
      </m:oMath>
      <w:r>
        <w:t xml:space="preserve"> </w:t>
      </w:r>
      <w:r>
        <w:t xml:space="preserve">= 0.47). Canonical primary additive LOOIC = 38,662.7 (probe-onset-locked, 0.20 s). All primary analyses use the additive specification.</w:t>
      </w:r>
    </w:p>
    <w:tbl>
      <w:tblPr>
        <w:tblStyle w:val="Table"/>
        <w:tblW w:type="pct" w:w="5000"/>
        <w:tblLayout w:type="fixed"/>
        <w:tblLook w:firstRow="0" w:lastRow="0" w:firstColumn="0" w:lastColumn="0" w:noHBand="0" w:noVBand="0" w:val="0000"/>
      </w:tblPr>
      <w:tblGrid>
        <w:gridCol w:w="7920"/>
      </w:tblGrid>
      <w:tr>
        <w:tc>
          <w:tcPr/>
          <w:bookmarkStart w:id="55" w:name="supptbl-convergence-detailed"/>
          <w:p>
            <w:pPr>
              <w:jc w:val="center"/>
            </w:pPr>
            <w:pPr>
              <w:jc w:val="left"/>
              <w:spacing w:before="200"/>
              <w:pStyle w:val="ImageCaption"/>
            </w:pPr>
            <w:r>
              <w:t xml:space="preserve">Table S2: Detailed convergence diagnostics for all model variants. All models met pre-specified convergence criteria (</w:t>
            </w:r>
            <m:oMath>
              <m:acc>
                <m:accPr>
                  <m:chr m:val="̂"/>
                </m:accPr>
                <m:e>
                  <m:r>
                    <m:t>R</m:t>
                  </m:r>
                </m:e>
              </m:acc>
            </m:oMath>
            <w:r>
              <w:t xml:space="preserve"> </w:t>
            </w:r>
            <w:r>
              <w:t xml:space="preserve">&lt; 1.01, ESS &gt; 400, zero divergences).</w:t>
            </w:r>
          </w:p>
          <w:tbl>
            <w:tblPr>
              <w:tblStyle w:val="Table"/>
              <w:tblW w:type="pct" w:w="5000"/>
              <w:tblLayout w:type="fixed"/>
              <w:tblLook w:firstRow="1" w:lastRow="0" w:firstColumn="0" w:lastColumn="0" w:noHBand="0" w:noVBand="0" w:val="0020"/>
            </w:tblPr>
            <w:tblGrid>
              <w:gridCol w:w="2099"/>
              <w:gridCol w:w="858"/>
              <w:gridCol w:w="1049"/>
              <w:gridCol w:w="858"/>
              <w:gridCol w:w="858"/>
              <w:gridCol w:w="954"/>
              <w:gridCol w:w="1240"/>
            </w:tblGrid>
            <w:tr>
              <w:trPr>
                <w:tblHeader w:val="on"/>
              </w:trPr>
              <w:tc>
                <w:tcPr/>
                <w:p>
                  <w:pPr>
                    <w:pStyle w:val="Compact"/>
                    <w:jc w:val="left"/>
                    <w:jc w:val="center"/>
                  </w:pPr>
                  <w:r>
                    <w:t xml:space="preserve">RT Definition</w:t>
                  </w:r>
                </w:p>
              </w:tc>
              <w:tc>
                <w:tcPr/>
                <w:p>
                  <w:pPr>
                    <w:pStyle w:val="Compact"/>
                    <w:jc w:val="left"/>
                    <w:jc w:val="center"/>
                  </w:pPr>
                  <w:r>
                    <w:t xml:space="preserve">Model</w:t>
                  </w:r>
                </w:p>
              </w:tc>
              <w:tc>
                <w:tcPr/>
                <w:p>
                  <w:pPr>
                    <w:pStyle w:val="Compact"/>
                    <w:jc w:val="right"/>
                    <w:jc w:val="center"/>
                  </w:pPr>
                  <w:r>
                    <w:t xml:space="preserve">N Subjects</w:t>
                  </w:r>
                </w:p>
              </w:tc>
              <w:tc>
                <w:tcPr/>
                <w:p>
                  <w:pPr>
                    <w:pStyle w:val="Compact"/>
                    <w:jc w:val="right"/>
                    <w:jc w:val="center"/>
                  </w:pPr>
                  <w:r>
                    <w:t xml:space="preserve">N Trials</w:t>
                  </w:r>
                </w:p>
              </w:tc>
              <w:tc>
                <w:tcPr/>
                <w:p>
                  <w:pPr>
                    <w:pStyle w:val="Compact"/>
                    <w:jc w:val="right"/>
                    <w:jc w:val="center"/>
                  </w:pPr>
                  <w:r>
                    <w:t xml:space="preserve">Max Rhat</w:t>
                  </w:r>
                </w:p>
              </w:tc>
              <w:tc>
                <w:tcPr/>
                <w:p>
                  <w:pPr>
                    <w:pStyle w:val="Compact"/>
                    <w:jc w:val="right"/>
                    <w:jc w:val="center"/>
                  </w:pPr>
                  <w:r>
                    <w:t xml:space="preserve">Divergent</w:t>
                  </w:r>
                </w:p>
              </w:tc>
              <w:tc>
                <w:tcPr/>
                <w:p>
                  <w:pPr>
                    <w:pStyle w:val="Compact"/>
                    <w:jc w:val="right"/>
                    <w:jc w:val="center"/>
                  </w:pPr>
                  <w:r>
                    <w:t xml:space="preserve">Min Bulk ESS</w:t>
                  </w:r>
                </w:p>
              </w:tc>
            </w:tr>
            <w:tr>
              <w:tc>
                <w:tcPr/>
                <w:p>
                  <w:pPr>
                    <w:pStyle w:val="Compact"/>
                    <w:jc w:val="left"/>
                    <w:jc w:val="center"/>
                  </w:pPr>
                  <w:r>
                    <w:t xml:space="preserve">Cue-locked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1.008</w:t>
                  </w:r>
                </w:p>
              </w:tc>
              <w:tc>
                <w:tcPr/>
                <w:p>
                  <w:pPr>
                    <w:pStyle w:val="Compact"/>
                    <w:jc w:val="right"/>
                    <w:jc w:val="center"/>
                  </w:pPr>
                  <w:r>
                    <w:t xml:space="preserve">0</w:t>
                  </w:r>
                </w:p>
              </w:tc>
              <w:tc>
                <w:tcPr/>
                <w:p>
                  <w:pPr>
                    <w:pStyle w:val="Compact"/>
                    <w:jc w:val="right"/>
                    <w:jc w:val="center"/>
                  </w:pPr>
                  <w:r>
                    <w:t xml:space="preserve">580.6067</w:t>
                  </w:r>
                </w:p>
              </w:tc>
            </w:tr>
            <w:tr>
              <w:tc>
                <w:tcPr/>
                <w:p>
                  <w:pPr>
                    <w:pStyle w:val="Compact"/>
                    <w:jc w:val="left"/>
                    <w:jc w:val="center"/>
                  </w:pPr>
                  <w:r>
                    <w:t xml:space="preserve">Probe-onset-locked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1.009</w:t>
                  </w:r>
                </w:p>
              </w:tc>
              <w:tc>
                <w:tcPr/>
                <w:p>
                  <w:pPr>
                    <w:pStyle w:val="Compact"/>
                    <w:jc w:val="right"/>
                    <w:jc w:val="center"/>
                  </w:pPr>
                  <w:r>
                    <w:t xml:space="preserve">0</w:t>
                  </w:r>
                </w:p>
              </w:tc>
              <w:tc>
                <w:tcPr/>
                <w:p>
                  <w:pPr>
                    <w:pStyle w:val="Compact"/>
                    <w:jc w:val="right"/>
                    <w:jc w:val="center"/>
                  </w:pPr>
                  <w:r>
                    <w:t xml:space="preserve">540.4472</w:t>
                  </w:r>
                </w:p>
              </w:tc>
            </w:tr>
            <w:tr>
              <w:tc>
                <w:tcPr/>
                <w:p>
                  <w:pPr>
                    <w:pStyle w:val="Compact"/>
                    <w:jc w:val="left"/>
                    <w:jc w:val="center"/>
                  </w:pPr>
                  <w:r>
                    <w:t xml:space="preserve">Cue-locked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1.004</w:t>
                  </w:r>
                </w:p>
              </w:tc>
              <w:tc>
                <w:tcPr/>
                <w:p>
                  <w:pPr>
                    <w:pStyle w:val="Compact"/>
                    <w:jc w:val="right"/>
                    <w:jc w:val="center"/>
                  </w:pPr>
                  <w:r>
                    <w:t xml:space="preserve">0</w:t>
                  </w:r>
                </w:p>
              </w:tc>
              <w:tc>
                <w:tcPr/>
                <w:p>
                  <w:pPr>
                    <w:pStyle w:val="Compact"/>
                    <w:jc w:val="right"/>
                    <w:jc w:val="center"/>
                  </w:pPr>
                  <w:r>
                    <w:t xml:space="preserve">636.2445</w:t>
                  </w:r>
                </w:p>
              </w:tc>
            </w:tr>
            <w:tr>
              <w:tc>
                <w:tcPr/>
                <w:p>
                  <w:pPr>
                    <w:pStyle w:val="Compact"/>
                    <w:jc w:val="left"/>
                    <w:jc w:val="center"/>
                  </w:pPr>
                  <w:r>
                    <w:t xml:space="preserve">Probe-onset-locked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1.006</w:t>
                  </w:r>
                </w:p>
              </w:tc>
              <w:tc>
                <w:tcPr/>
                <w:p>
                  <w:pPr>
                    <w:pStyle w:val="Compact"/>
                    <w:jc w:val="right"/>
                    <w:jc w:val="center"/>
                  </w:pPr>
                  <w:r>
                    <w:t xml:space="preserve">0</w:t>
                  </w:r>
                </w:p>
              </w:tc>
              <w:tc>
                <w:tcPr/>
                <w:p>
                  <w:pPr>
                    <w:pStyle w:val="Compact"/>
                    <w:jc w:val="right"/>
                    <w:jc w:val="center"/>
                  </w:pPr>
                  <w:r>
                    <w:t xml:space="preserve">745.0662</w:t>
                  </w:r>
                </w:p>
              </w:tc>
            </w:tr>
          </w:tbl>
          <w:bookmarkEnd w:id="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suppfig-ndt-prior-posterior"/>
          <w:p>
            <w:pPr>
              <w:jc w:val="center"/>
            </w:pPr>
            <w:r>
              <w:drawing>
                <wp:inline>
                  <wp:extent cx="4267200" cy="3413760"/>
                  <wp:effectExtent b="0" l="0" r="0" t="0"/>
                  <wp:docPr descr="" title="" id="57" name="Picture"/>
                  <a:graphic>
                    <a:graphicData uri="http://schemas.openxmlformats.org/drawingml/2006/picture">
                      <pic:pic>
                        <pic:nvPicPr>
                          <pic:cNvPr descr="chap3_ddm_results_files/figure-docx/unnamed-chunk-8-1.png" id="58" name="Picture"/>
                          <pic:cNvPicPr>
                            <a:picLocks noChangeArrowheads="1" noChangeAspect="1"/>
                          </pic:cNvPicPr>
                        </pic:nvPicPr>
                        <pic:blipFill>
                          <a:blip r:embed="rId56"/>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w:t>
            </w:r>
            <w:r>
              <w:t xml:space="preserve"> </w:t>
            </w:r>
            <m:oMath>
              <m:sSub>
                <m:e>
                  <m:r>
                    <m:t>t</m:t>
                  </m:r>
                </m:e>
                <m:sub>
                  <m:r>
                    <m:t>0</m:t>
                  </m:r>
                </m:sub>
              </m:sSub>
            </m:oMath>
            <w:r>
              <w:t xml:space="preserve"> </w:t>
            </w:r>
            <w:r>
              <w:t xml:space="preserve">Prior vs Posterior. Prior (gray line) and posterior (blue shaded density) distributions for the</w:t>
            </w:r>
            <w:r>
              <w:t xml:space="preserve"> </w:t>
            </w:r>
            <m:oMath>
              <m:sSub>
                <m:e>
                  <m:r>
                    <m:t>t</m:t>
                  </m:r>
                </m:e>
                <m:sub>
                  <m:r>
                    <m:t>0</m:t>
                  </m:r>
                </m:sub>
              </m:sSub>
            </m:oMath>
            <w:r>
              <w:t xml:space="preserve"> </w:t>
            </w:r>
            <w:r>
              <w:t xml:space="preserve">intercept. The prior is Normal(log(0.35), 0.15) on the log scale (approximately 0.35 s on natural scale). This figure documents prior influence for the response-signal design, where</w:t>
            </w:r>
            <w:r>
              <w:t xml:space="preserve"> </w:t>
            </w:r>
            <m:oMath>
              <m:sSub>
                <m:e>
                  <m:r>
                    <m:t>t</m:t>
                  </m:r>
                </m:e>
                <m:sub>
                  <m:r>
                    <m:t>0</m:t>
                  </m:r>
                </m:sub>
              </m:sSub>
            </m:oMath>
            <w:r>
              <w:t xml:space="preserve"> </w:t>
            </w:r>
            <w:r>
              <w:t xml:space="preserve">primarily reflects motor execution rather than encoding time.</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suppfig-loo-comparison"/>
          <w:p>
            <w:pPr>
              <w:jc w:val="center"/>
            </w:pPr>
            <w:r>
              <w:drawing>
                <wp:inline>
                  <wp:extent cx="3733800" cy="2987040"/>
                  <wp:effectExtent b="0" l="0" r="0" t="0"/>
                  <wp:docPr descr="" title="" id="61" name="Picture"/>
                  <a:graphic>
                    <a:graphicData uri="http://schemas.openxmlformats.org/drawingml/2006/picture">
                      <pic:pic>
                        <pic:nvPicPr>
                          <pic:cNvPr descr="chap3_ddm_results_files/figure-docx/unnamed-chunk-9-1.png" id="62" name="Picture"/>
                          <pic:cNvPicPr>
                            <a:picLocks noChangeArrowheads="1" noChangeAspect="1"/>
                          </pic:cNvPicPr>
                        </pic:nvPicPr>
                        <pic:blipFill>
                          <a:blip r:embed="rId60"/>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LOO model comparison for baseline vs. additive models across RT definitions. Note: These LOOIC values reflect sensitivity models spanning multiple RT definitions and thresholds and are not directly comparable to the primary probe-onset-locked additive model (LOOIC = 38,662.7; Supplementary Section S1), which uses a single pre-specified RT definition.</w:t>
            </w:r>
          </w:p>
          <w:bookmarkEnd w:id="63"/>
        </w:tc>
      </w:tr>
    </w:tbl>
    <w:bookmarkEnd w:id="64"/>
    <w:bookmarkStart w:id="84" w:name="X61f3fd778d9115c44568f7da676e2e609a09885"/>
    <w:p>
      <w:pPr>
        <w:pStyle w:val="Heading2"/>
      </w:pPr>
      <w:r>
        <w:t xml:space="preserve">S2. Standard-Only Calibration and Supplementary Parameter Tables</w:t>
      </w:r>
    </w:p>
    <w:p>
      <w:pPr>
        <w:pStyle w:val="FirstParagraph"/>
      </w:pPr>
      <w:r>
        <w:t xml:space="preserve">Individual-level drift plots are in the main text (</w:t>
      </w:r>
      <w:hyperlink w:anchor="fig-individual-diffs">
        <w:r>
          <w:rPr>
            <w:rStyle w:val="Hyperlink"/>
          </w:rPr>
          <w:t xml:space="preserve">Figure 4</w:t>
        </w:r>
      </w:hyperlink>
      <w:r>
        <w:t xml:space="preserve">). This section reports participant and trial retention (</w:t>
      </w:r>
      <w:r>
        <w:rPr>
          <w:b/>
          <w:bCs/>
        </w:rPr>
        <w:t xml:space="preserve">S2.1</w:t>
      </w:r>
      <w:r>
        <w:t xml:space="preserve">), trial counts by condition (</w:t>
      </w:r>
      <w:r>
        <w:rPr>
          <w:b/>
          <w:bCs/>
        </w:rPr>
        <w:t xml:space="preserve">S2.2</w:t>
      </w:r>
      <w:r>
        <w:t xml:space="preserve">), primary-model posterior estimates (</w:t>
      </w:r>
      <w:r>
        <w:rPr>
          <w:b/>
          <w:bCs/>
        </w:rPr>
        <w:t xml:space="preserve">S2.3</w:t>
      </w:r>
      <w:r>
        <w:t xml:space="preserve">), standard-only and primary-model starting-point bias (</w:t>
      </w:r>
      <w:r>
        <w:rPr>
          <w:b/>
          <w:bCs/>
        </w:rPr>
        <w:t xml:space="preserve">S2.4</w:t>
      </w:r>
      <w:r>
        <w:t xml:space="preserve">), baseline pupil diameter (</w:t>
      </w:r>
      <w:r>
        <w:rPr>
          <w:b/>
          <w:bCs/>
        </w:rPr>
        <w:t xml:space="preserve">S2.5</w:t>
      </w:r>
      <w:r>
        <w:t xml:space="preserve">), and the standard-only drift intercept (</w:t>
      </w:r>
      <w:r>
        <w:rPr>
          <w:b/>
          <w:bCs/>
        </w:rPr>
        <w:t xml:space="preserve">S2.6</w:t>
      </w:r>
      <w:r>
        <w:t xml:space="preserve">).</w:t>
      </w:r>
    </w:p>
    <w:bookmarkStart w:id="69" w:name="sec-participant-flow"/>
    <w:p>
      <w:pPr>
        <w:pStyle w:val="Heading3"/>
      </w:pPr>
      <w:r>
        <w:t xml:space="preserve">S2.1 Participant and analytic sample flow</w:t>
      </w:r>
    </w:p>
    <w:tbl>
      <w:tblPr>
        <w:tblStyle w:val="Table"/>
        <w:tblW w:type="pct" w:w="5000"/>
        <w:tblLayout w:type="fixed"/>
        <w:tblLook w:firstRow="0" w:lastRow="0" w:firstColumn="0" w:lastColumn="0" w:noHBand="0" w:noVBand="0" w:val="0000"/>
      </w:tblPr>
      <w:tblGrid>
        <w:gridCol w:w="7920"/>
      </w:tblGrid>
      <w:tr>
        <w:tc>
          <w:tcPr/>
          <w:bookmarkStart w:id="68" w:name="suppfig-participant-flow"/>
          <w:p>
            <w:pPr>
              <w:jc w:val="center"/>
            </w:pPr>
            <w:r>
              <w:drawing>
                <wp:inline>
                  <wp:extent cx="5067300" cy="6855758"/>
                  <wp:effectExtent b="0" l="0" r="0" t="0"/>
                  <wp:docPr descr="" title="" id="66" name="Picture"/>
                  <a:graphic>
                    <a:graphicData uri="http://schemas.openxmlformats.org/drawingml/2006/picture">
                      <pic:pic>
                        <pic:nvPicPr>
                          <pic:cNvPr descr="../output/figures/s1_participant_flow.png" id="67" name="Picture"/>
                          <pic:cNvPicPr>
                            <a:picLocks noChangeArrowheads="1" noChangeAspect="1"/>
                          </pic:cNvPicPr>
                        </pic:nvPicPr>
                        <pic:blipFill>
                          <a:blip r:embed="rId65"/>
                          <a:stretch>
                            <a:fillRect/>
                          </a:stretch>
                        </pic:blipFill>
                        <pic:spPr bwMode="auto">
                          <a:xfrm>
                            <a:off x="0" y="0"/>
                            <a:ext cx="5067300" cy="68557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Participant and analytic-sample flow. Of 69 enrolled individuals, 2 were excluded post-enrollment (MCI; essential tremor), yielding an analytic cohort of 67 older adults. After artifact screening, 18,097 behavioral trials were available; 240 trials with cue-locked RT &lt; 0.20 s were excluded, leaving 17,857 trials for the primary behavioral DDM (67 participants). Task-specific behavioral samples were ADT</w:t>
            </w:r>
            <w:r>
              <w:t xml:space="preserve"> </w:t>
            </w:r>
            <w:r>
              <w:rPr>
                <w:i/>
                <w:iCs/>
              </w:rPr>
              <w:t xml:space="preserve">N</w:t>
            </w:r>
            <w:r>
              <w:t xml:space="preserve"> </w:t>
            </w:r>
            <w:r>
              <w:t xml:space="preserve">= 64 (8,774 trials) and VDT</w:t>
            </w:r>
            <w:r>
              <w:t xml:space="preserve"> </w:t>
            </w:r>
            <w:r>
              <w:rPr>
                <w:i/>
                <w:iCs/>
              </w:rPr>
              <w:t xml:space="preserve">N</w:t>
            </w:r>
            <w:r>
              <w:t xml:space="preserve"> </w:t>
            </w:r>
            <w:r>
              <w:t xml:space="preserve">= 65 (9,083 trials). Pupil-linked DDM models required valid Decision-Response TEPR on the same behavioral subset (</w:t>
            </w:r>
            <w:r>
              <w:rPr>
                <w:i/>
                <w:iCs/>
              </w:rPr>
              <w:t xml:space="preserve">N</w:t>
            </w:r>
            <w:r>
              <w:t xml:space="preserve"> </w:t>
            </w:r>
            <w:r>
              <w:t xml:space="preserve">= 59; 12,287 trials pooled; ADT</w:t>
            </w:r>
            <w:r>
              <w:t xml:space="preserve"> </w:t>
            </w:r>
            <w:r>
              <w:rPr>
                <w:i/>
                <w:iCs/>
              </w:rPr>
              <w:t xml:space="preserve">N</w:t>
            </w:r>
            <w:r>
              <w:t xml:space="preserve"> </w:t>
            </w:r>
            <w:r>
              <w:t xml:space="preserve">= 47, VDT</w:t>
            </w:r>
            <w:r>
              <w:t xml:space="preserve"> </w:t>
            </w:r>
            <w:r>
              <w:rPr>
                <w:i/>
                <w:iCs/>
              </w:rPr>
              <w:t xml:space="preserve">N</w:t>
            </w:r>
            <w:r>
              <w:t xml:space="preserve"> </w:t>
            </w:r>
            <w:r>
              <w:t xml:space="preserve">= 54).</w:t>
            </w:r>
          </w:p>
          <w:bookmarkEnd w:id="68"/>
        </w:tc>
      </w:tr>
    </w:tbl>
    <w:bookmarkEnd w:id="69"/>
    <w:bookmarkStart w:id="71" w:name="s2.2-trial-counts-by-condition"/>
    <w:p>
      <w:pPr>
        <w:pStyle w:val="Heading3"/>
      </w:pPr>
      <w:r>
        <w:t xml:space="preserve">S2.2 Trial counts by condition</w:t>
      </w:r>
    </w:p>
    <w:tbl>
      <w:tblPr>
        <w:tblStyle w:val="Table"/>
        <w:tblW w:type="pct" w:w="5000"/>
        <w:tblLayout w:type="fixed"/>
        <w:tblLook w:firstRow="0" w:lastRow="0" w:firstColumn="0" w:lastColumn="0" w:noHBand="0" w:noVBand="0" w:val="0000"/>
      </w:tblPr>
      <w:tblGrid>
        <w:gridCol w:w="7920"/>
      </w:tblGrid>
      <w:tr>
        <w:tc>
          <w:tcPr/>
          <w:bookmarkStart w:id="70" w:name="supptbl-trial-counts"/>
          <w:p>
            <w:pPr>
              <w:jc w:val="center"/>
            </w:pPr>
            <w:pPr>
              <w:jc w:val="left"/>
              <w:spacing w:before="200"/>
              <w:pStyle w:val="ImageCaption"/>
            </w:pPr>
            <w:r>
              <w:t xml:space="preserve">Table S3: Trial counts by Task × Difficulty × Effort (primary DDM dataset: cue-locked RT</w:t>
            </w:r>
            <w:r>
              <w:t xml:space="preserve"> </w:t>
            </w:r>
            <m:oMath>
              <m:r>
                <m:rPr>
                  <m:sty m:val="p"/>
                </m:rPr>
                <m:t>≥</m:t>
              </m:r>
            </m:oMath>
            <w:r>
              <w:t xml:space="preserve"> </w:t>
            </w:r>
            <w:r>
              <w:t xml:space="preserve">0.20 s;</w:t>
            </w:r>
            <w:r>
              <w:t xml:space="preserve"> </w:t>
            </w:r>
            <m:oMath>
              <m:r>
                <m:t>N</m:t>
              </m:r>
              <m:r>
                <m:rPr>
                  <m:sty m:val="p"/>
                </m:rPr>
                <m:t>=</m:t>
              </m:r>
              <m:r>
                <m:t>17</m:t>
              </m:r>
              <m:r>
                <m:rPr>
                  <m:sty m:val="p"/>
                </m:rPr>
                <m:t>,</m:t>
              </m:r>
              <m:r>
                <m:t>857</m:t>
              </m:r>
            </m:oMath>
            <w:r>
              <w:t xml:space="preserve"> </w:t>
            </w:r>
            <w:r>
              <w:t xml:space="preserve">trials).</w:t>
            </w:r>
          </w:p>
          <w:tbl>
            <w:tblPr>
              <w:tblStyle w:val="Table"/>
              <w:tblW w:type="pct" w:w="5000"/>
              <w:tblLayout w:type="fixed"/>
              <w:tblLook w:firstRow="1" w:lastRow="0" w:firstColumn="0" w:lastColumn="0" w:noHBand="0" w:noVBand="0" w:val="0020"/>
            </w:tblPr>
            <w:tblGrid>
              <w:gridCol w:w="1536"/>
              <w:gridCol w:w="1300"/>
              <w:gridCol w:w="1773"/>
              <w:gridCol w:w="1536"/>
              <w:gridCol w:w="1773"/>
            </w:tblGrid>
            <w:tr>
              <w:trPr>
                <w:tblHeader w:val="on"/>
              </w:trPr>
              <w:tc>
                <w:tcPr/>
                <w:p>
                  <w:pPr>
                    <w:pStyle w:val="Compact"/>
                    <w:jc w:val="left"/>
                    <w:jc w:val="center"/>
                  </w:pPr>
                  <w:r>
                    <w:t xml:space="preserve">Task_Group</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Total Trials</w:t>
                  </w:r>
                </w:p>
              </w:tc>
              <w:tc>
                <w:tcPr/>
                <w:p>
                  <w:pPr>
                    <w:pStyle w:val="Compact"/>
                    <w:jc w:val="right"/>
                    <w:jc w:val="center"/>
                  </w:pPr>
                  <w:r>
                    <w:t xml:space="preserve">Trials/Subject</w:t>
                  </w:r>
                </w:p>
              </w:tc>
            </w:tr>
            <w:tr>
              <w:tc>
                <w:tcPr/>
                <w:p>
                  <w:pPr>
                    <w:pStyle w:val="Compact"/>
                    <w:jc w:val="left"/>
                    <w:jc w:val="center"/>
                  </w:pPr>
                  <w:r>
                    <w:t xml:space="preserve">ADT (N = 64)</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1777</w:t>
                  </w:r>
                </w:p>
              </w:tc>
              <w:tc>
                <w:tcPr/>
                <w:p>
                  <w:pPr>
                    <w:pStyle w:val="Compact"/>
                    <w:jc w:val="right"/>
                    <w:jc w:val="center"/>
                  </w:pPr>
                  <w:r>
                    <w:t xml:space="preserve">27.8</w:t>
                  </w:r>
                </w:p>
              </w:tc>
            </w:tr>
            <w:tr>
              <w:tc>
                <w:tcPr/>
                <w:p>
                  <w:pPr>
                    <w:pStyle w:val="Compact"/>
                    <w:jc w:val="left"/>
                    <w:jc w:val="center"/>
                  </w:pPr>
                  <w:r>
                    <w:t xml:space="preserve">ADT (N = 64)</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1738</w:t>
                  </w:r>
                </w:p>
              </w:tc>
              <w:tc>
                <w:tcPr/>
                <w:p>
                  <w:pPr>
                    <w:pStyle w:val="Compact"/>
                    <w:jc w:val="right"/>
                    <w:jc w:val="center"/>
                  </w:pPr>
                  <w:r>
                    <w:t xml:space="preserve">27.2</w:t>
                  </w:r>
                </w:p>
              </w:tc>
            </w:tr>
            <w:tr>
              <w:tc>
                <w:tcPr/>
                <w:p>
                  <w:pPr>
                    <w:pStyle w:val="Compact"/>
                    <w:jc w:val="left"/>
                    <w:jc w:val="center"/>
                  </w:pPr>
                  <w:r>
                    <w:t xml:space="preserve">ADT (N = 64)</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1772</w:t>
                  </w:r>
                </w:p>
              </w:tc>
              <w:tc>
                <w:tcPr/>
                <w:p>
                  <w:pPr>
                    <w:pStyle w:val="Compact"/>
                    <w:jc w:val="right"/>
                    <w:jc w:val="center"/>
                  </w:pPr>
                  <w:r>
                    <w:t xml:space="preserve">27.7</w:t>
                  </w:r>
                </w:p>
              </w:tc>
            </w:tr>
            <w:tr>
              <w:tc>
                <w:tcPr/>
                <w:p>
                  <w:pPr>
                    <w:pStyle w:val="Compact"/>
                    <w:jc w:val="left"/>
                    <w:jc w:val="center"/>
                  </w:pPr>
                  <w:r>
                    <w:t xml:space="preserve">ADT (N = 64)</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1740</w:t>
                  </w:r>
                </w:p>
              </w:tc>
              <w:tc>
                <w:tcPr/>
                <w:p>
                  <w:pPr>
                    <w:pStyle w:val="Compact"/>
                    <w:jc w:val="right"/>
                    <w:jc w:val="center"/>
                  </w:pPr>
                  <w:r>
                    <w:t xml:space="preserve">27.2</w:t>
                  </w:r>
                </w:p>
              </w:tc>
            </w:tr>
            <w:tr>
              <w:tc>
                <w:tcPr/>
                <w:p>
                  <w:pPr>
                    <w:pStyle w:val="Compact"/>
                    <w:jc w:val="left"/>
                    <w:jc w:val="center"/>
                  </w:pPr>
                  <w:r>
                    <w:t xml:space="preserve">ADT (N = 64)</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887</w:t>
                  </w:r>
                </w:p>
              </w:tc>
              <w:tc>
                <w:tcPr/>
                <w:p>
                  <w:pPr>
                    <w:pStyle w:val="Compact"/>
                    <w:jc w:val="right"/>
                    <w:jc w:val="center"/>
                  </w:pPr>
                  <w:r>
                    <w:t xml:space="preserve">13.9</w:t>
                  </w:r>
                </w:p>
              </w:tc>
            </w:tr>
            <w:tr>
              <w:tc>
                <w:tcPr/>
                <w:p>
                  <w:pPr>
                    <w:pStyle w:val="Compact"/>
                    <w:jc w:val="left"/>
                    <w:jc w:val="center"/>
                  </w:pPr>
                  <w:r>
                    <w:t xml:space="preserve">ADT (N = 64)</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860</w:t>
                  </w:r>
                </w:p>
              </w:tc>
              <w:tc>
                <w:tcPr/>
                <w:p>
                  <w:pPr>
                    <w:pStyle w:val="Compact"/>
                    <w:jc w:val="right"/>
                    <w:jc w:val="center"/>
                  </w:pPr>
                  <w:r>
                    <w:t xml:space="preserve">13.4</w:t>
                  </w:r>
                </w:p>
              </w:tc>
            </w:tr>
            <w:tr>
              <w:tc>
                <w:tcPr/>
                <w:p>
                  <w:pPr>
                    <w:pStyle w:val="Compact"/>
                    <w:jc w:val="left"/>
                    <w:jc w:val="center"/>
                  </w:pPr>
                  <w:r>
                    <w:t xml:space="preserve">VDT (N = 65)</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1863</w:t>
                  </w:r>
                </w:p>
              </w:tc>
              <w:tc>
                <w:tcPr/>
                <w:p>
                  <w:pPr>
                    <w:pStyle w:val="Compact"/>
                    <w:jc w:val="right"/>
                    <w:jc w:val="center"/>
                  </w:pPr>
                  <w:r>
                    <w:t xml:space="preserve">28.7</w:t>
                  </w:r>
                </w:p>
              </w:tc>
            </w:tr>
            <w:tr>
              <w:tc>
                <w:tcPr/>
                <w:p>
                  <w:pPr>
                    <w:pStyle w:val="Compact"/>
                    <w:jc w:val="left"/>
                    <w:jc w:val="center"/>
                  </w:pPr>
                  <w:r>
                    <w:t xml:space="preserve">VDT (N = 65)</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1788</w:t>
                  </w:r>
                </w:p>
              </w:tc>
              <w:tc>
                <w:tcPr/>
                <w:p>
                  <w:pPr>
                    <w:pStyle w:val="Compact"/>
                    <w:jc w:val="right"/>
                    <w:jc w:val="center"/>
                  </w:pPr>
                  <w:r>
                    <w:t xml:space="preserve">27.5</w:t>
                  </w:r>
                </w:p>
              </w:tc>
            </w:tr>
            <w:tr>
              <w:tc>
                <w:tcPr/>
                <w:p>
                  <w:pPr>
                    <w:pStyle w:val="Compact"/>
                    <w:jc w:val="left"/>
                    <w:jc w:val="center"/>
                  </w:pPr>
                  <w:r>
                    <w:t xml:space="preserve">VDT (N = 65)</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1838</w:t>
                  </w:r>
                </w:p>
              </w:tc>
              <w:tc>
                <w:tcPr/>
                <w:p>
                  <w:pPr>
                    <w:pStyle w:val="Compact"/>
                    <w:jc w:val="right"/>
                    <w:jc w:val="center"/>
                  </w:pPr>
                  <w:r>
                    <w:t xml:space="preserve">28.3</w:t>
                  </w:r>
                </w:p>
              </w:tc>
            </w:tr>
            <w:tr>
              <w:tc>
                <w:tcPr/>
                <w:p>
                  <w:pPr>
                    <w:pStyle w:val="Compact"/>
                    <w:jc w:val="left"/>
                    <w:jc w:val="center"/>
                  </w:pPr>
                  <w:r>
                    <w:t xml:space="preserve">VDT (N = 65)</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1749</w:t>
                  </w:r>
                </w:p>
              </w:tc>
              <w:tc>
                <w:tcPr/>
                <w:p>
                  <w:pPr>
                    <w:pStyle w:val="Compact"/>
                    <w:jc w:val="right"/>
                    <w:jc w:val="center"/>
                  </w:pPr>
                  <w:r>
                    <w:t xml:space="preserve">26.9</w:t>
                  </w:r>
                </w:p>
              </w:tc>
            </w:tr>
            <w:tr>
              <w:tc>
                <w:tcPr/>
                <w:p>
                  <w:pPr>
                    <w:pStyle w:val="Compact"/>
                    <w:jc w:val="left"/>
                    <w:jc w:val="center"/>
                  </w:pPr>
                  <w:r>
                    <w:t xml:space="preserve">VDT (N = 65)</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939</w:t>
                  </w:r>
                </w:p>
              </w:tc>
              <w:tc>
                <w:tcPr/>
                <w:p>
                  <w:pPr>
                    <w:pStyle w:val="Compact"/>
                    <w:jc w:val="right"/>
                    <w:jc w:val="center"/>
                  </w:pPr>
                  <w:r>
                    <w:t xml:space="preserve">14.4</w:t>
                  </w:r>
                </w:p>
              </w:tc>
            </w:tr>
            <w:tr>
              <w:tc>
                <w:tcPr/>
                <w:p>
                  <w:pPr>
                    <w:pStyle w:val="Compact"/>
                    <w:jc w:val="left"/>
                    <w:jc w:val="center"/>
                  </w:pPr>
                  <w:r>
                    <w:t xml:space="preserve">VDT (N = 65)</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906</w:t>
                  </w:r>
                </w:p>
              </w:tc>
              <w:tc>
                <w:tcPr/>
                <w:p>
                  <w:pPr>
                    <w:pStyle w:val="Compact"/>
                    <w:jc w:val="right"/>
                    <w:jc w:val="center"/>
                  </w:pPr>
                  <w:r>
                    <w:t xml:space="preserve">13.9</w:t>
                  </w:r>
                </w:p>
              </w:tc>
            </w:tr>
          </w:tbl>
          <w:bookmarkEnd w:id="70"/>
          <w:p/>
        </w:tc>
      </w:tr>
    </w:tbl>
    <w:bookmarkEnd w:id="71"/>
    <w:bookmarkStart w:id="73" w:name="s2.3-primary-model-posterior-estimates"/>
    <w:p>
      <w:pPr>
        <w:pStyle w:val="Heading3"/>
      </w:pPr>
      <w:r>
        <w:t xml:space="preserve">S2.3 Primary model posterior estimates</w:t>
      </w:r>
    </w:p>
    <w:p>
      <w:pPr>
        <w:pStyle w:val="FirstParagraph"/>
      </w:pPr>
      <w:r>
        <w:t xml:space="preserve">Posterior medians [95% CrI] for the additive primary model.</w:t>
      </w:r>
      <w:r>
        <w:t xml:space="preserve"> </w:t>
      </w:r>
      <m:oMath>
        <m:r>
          <m:t>v</m:t>
        </m:r>
      </m:oMath>
      <w:r>
        <w:t xml:space="preserve"> </w:t>
      </w:r>
      <w:r>
        <w:t xml:space="preserve">and</w:t>
      </w:r>
      <w:r>
        <w:t xml:space="preserve"> </w:t>
      </w:r>
      <m:oMath>
        <m:r>
          <m:t>a</m:t>
        </m:r>
      </m:oMath>
      <w:r>
        <w:t xml:space="preserve"> </w:t>
      </w:r>
      <w:r>
        <w:t xml:space="preserve">do not vary by task in this specification;</w:t>
      </w:r>
      <w:r>
        <w:t xml:space="preserve"> </w:t>
      </w:r>
      <m:oMath>
        <m:r>
          <m:t>z</m:t>
        </m:r>
      </m:oMath>
      <w:r>
        <w:t xml:space="preserve"> </w:t>
      </w:r>
      <w:r>
        <w:t xml:space="preserve">is constant across difficulty (randomized design).</w:t>
      </w:r>
      <w:r>
        <w:t xml:space="preserve"> </w:t>
      </w:r>
      <m:oMath>
        <m:sSub>
          <m:e>
            <m:r>
              <m:t>t</m:t>
            </m:r>
          </m:e>
          <m:sub>
            <m:r>
              <m:t>0</m:t>
            </m:r>
          </m:sub>
        </m:sSub>
      </m:oMath>
      <w:r>
        <w:t xml:space="preserve"> </w:t>
      </w:r>
      <w:r>
        <w:t xml:space="preserve">was a single intercept (0.504 s;</w:t>
      </w:r>
      <w:r>
        <w:t xml:space="preserve"> </w:t>
      </w:r>
      <w:hyperlink w:anchor="sec-ddm-spec">
        <w:r>
          <w:rPr>
            <w:rStyle w:val="Hyperlink"/>
          </w:rPr>
          <w:t xml:space="preserve">Section 2.7.2</w:t>
        </w:r>
      </w:hyperlink>
      <w:r>
        <w:t xml:space="preserve">) and is not listed.</w:t>
      </w:r>
    </w:p>
    <w:tbl>
      <w:tblPr>
        <w:tblStyle w:val="Table"/>
        <w:tblW w:type="pct" w:w="5000"/>
        <w:tblLayout w:type="fixed"/>
        <w:tblLook w:firstRow="0" w:lastRow="0" w:firstColumn="0" w:lastColumn="0" w:noHBand="0" w:noVBand="0" w:val="0000"/>
      </w:tblPr>
      <w:tblGrid>
        <w:gridCol w:w="7920"/>
      </w:tblGrid>
      <w:tr>
        <w:tc>
          <w:tcPr/>
          <w:bookmarkStart w:id="72" w:name="supptbl-ddm-posterior-estimates"/>
          <w:p>
            <w:pPr>
              <w:jc w:val="center"/>
            </w:pPr>
            <w:pPr>
              <w:jc w:val="left"/>
              <w:spacing w:before="200"/>
              <w:pStyle w:val="ImageCaption"/>
            </w:pPr>
            <w:r>
              <w:t xml:space="preserve">Table S4: Primary DDM posterior estimates by Task × Difficulty × Effort. Median [95% CrI].</w:t>
            </w:r>
            <w:r>
              <w:t xml:space="preserve"> </w:t>
            </w:r>
            <m:oMath>
              <m:sSub>
                <m:e>
                  <m:r>
                    <m:t>t</m:t>
                  </m:r>
                </m:e>
                <m:sub>
                  <m:r>
                    <m:t>0</m:t>
                  </m:r>
                </m:sub>
              </m:sSub>
            </m:oMath>
            <w:r>
              <w:t xml:space="preserve"> </w:t>
            </w:r>
            <w:r>
              <w:t xml:space="preserve">omitted (single intercept across conditions).</w:t>
            </w:r>
          </w:p>
          <w:tbl>
            <w:tblPr>
              <w:tblStyle w:val="Table"/>
              <w:tblW w:type="pct" w:w="5000"/>
              <w:tblLayout w:type="fixed"/>
              <w:tblLook w:firstRow="1" w:lastRow="0" w:firstColumn="0" w:lastColumn="0" w:noHBand="0" w:noVBand="0" w:val="0020"/>
            </w:tblPr>
            <w:tblGrid>
              <w:gridCol w:w="444"/>
              <w:gridCol w:w="978"/>
              <w:gridCol w:w="622"/>
              <w:gridCol w:w="2135"/>
              <w:gridCol w:w="1868"/>
              <w:gridCol w:w="1868"/>
            </w:tblGrid>
            <w:tr>
              <w:trPr>
                <w:tblHeader w:val="on"/>
              </w:trPr>
              <w:tc>
                <w:tcPr/>
                <w:p>
                  <w:pPr>
                    <w:pStyle w:val="Compact"/>
                    <w:jc w:val="left"/>
                    <w:jc w:val="center"/>
                  </w:pPr>
                  <w:r>
                    <w:t xml:space="preserve">Task</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Drift (v)</w:t>
                  </w:r>
                </w:p>
              </w:tc>
              <w:tc>
                <w:tcPr/>
                <w:p>
                  <w:pPr>
                    <w:pStyle w:val="Compact"/>
                    <w:jc w:val="right"/>
                    <w:jc w:val="center"/>
                  </w:pPr>
                  <w:r>
                    <w:t xml:space="preserve">Boundary (a)</w:t>
                  </w:r>
                </w:p>
              </w:tc>
              <w:tc>
                <w:tcPr/>
                <w:p>
                  <w:pPr>
                    <w:pStyle w:val="Compact"/>
                    <w:jc w:val="right"/>
                    <w:jc w:val="center"/>
                  </w:pPr>
                  <w:r>
                    <w:t xml:space="preserve">Bias (z)</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0.531 [0.515, 0.546]</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0.532 [0.516, 0.547]</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0.531 [0.515, 0.546]</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-1.116 [-1.217, -1.018]</w:t>
                  </w:r>
                </w:p>
              </w:tc>
              <w:tc>
                <w:tcPr/>
                <w:p>
                  <w:pPr>
                    <w:pStyle w:val="Compact"/>
                    <w:jc w:val="right"/>
                    <w:jc w:val="center"/>
                  </w:pPr>
                  <w:r>
                    <w:t xml:space="preserve">2.270 [2.231, 2.309]</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-1.173 [-1.273, -1.074]</w:t>
                  </w:r>
                </w:p>
              </w:tc>
              <w:tc>
                <w:tcPr/>
                <w:p>
                  <w:pPr>
                    <w:pStyle w:val="Compact"/>
                    <w:jc w:val="right"/>
                    <w:jc w:val="center"/>
                  </w:pPr>
                  <w:r>
                    <w:t xml:space="preserve">2.309 [2.269, 2.351]</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0.958 [0.861, 1.053]</w:t>
                  </w:r>
                </w:p>
              </w:tc>
              <w:tc>
                <w:tcPr/>
                <w:p>
                  <w:pPr>
                    <w:pStyle w:val="Compact"/>
                    <w:jc w:val="right"/>
                    <w:jc w:val="center"/>
                  </w:pPr>
                  <w:r>
                    <w:t xml:space="preserve">2.057 [2.028, 2.087]</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0.901 [0.805, 0.997]</w:t>
                  </w:r>
                </w:p>
              </w:tc>
              <w:tc>
                <w:tcPr/>
                <w:p>
                  <w:pPr>
                    <w:pStyle w:val="Compact"/>
                    <w:jc w:val="right"/>
                    <w:jc w:val="center"/>
                  </w:pPr>
                  <w:r>
                    <w:t xml:space="preserve">2.093 [2.061, 2.123]</w:t>
                  </w:r>
                </w:p>
              </w:tc>
              <w:tc>
                <w:tcPr/>
                <w:p>
                  <w:pPr>
                    <w:pStyle w:val="Compact"/>
                    <w:jc w:val="right"/>
                    <w:jc w:val="center"/>
                  </w:pPr>
                  <w:r>
                    <w:t xml:space="preserve">0.548 [0.533, 0.563]</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-0.545 [-0.641, -0.453]</w:t>
                  </w:r>
                </w:p>
              </w:tc>
              <w:tc>
                <w:tcPr/>
                <w:p>
                  <w:pPr>
                    <w:pStyle w:val="Compact"/>
                    <w:jc w:val="right"/>
                    <w:jc w:val="center"/>
                  </w:pPr>
                  <w:r>
                    <w:t xml:space="preserve">2.119 [2.093, 2.145]</w:t>
                  </w:r>
                </w:p>
              </w:tc>
              <w:tc>
                <w:tcPr/>
                <w:p>
                  <w:pPr>
                    <w:pStyle w:val="Compact"/>
                    <w:jc w:val="right"/>
                    <w:jc w:val="center"/>
                  </w:pPr>
                  <w:r>
                    <w:t xml:space="preserve">0.549 [0.534, 0.564]</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-0.604 [-0.697, -0.509]</w:t>
                  </w:r>
                </w:p>
              </w:tc>
              <w:tc>
                <w:tcPr/>
                <w:p>
                  <w:pPr>
                    <w:pStyle w:val="Compact"/>
                    <w:jc w:val="right"/>
                    <w:jc w:val="center"/>
                  </w:pPr>
                  <w:r>
                    <w:t xml:space="preserve">2.156 [2.130, 2.183]</w:t>
                  </w:r>
                </w:p>
              </w:tc>
              <w:tc>
                <w:tcPr/>
                <w:p>
                  <w:pPr>
                    <w:pStyle w:val="Compact"/>
                    <w:jc w:val="right"/>
                    <w:jc w:val="center"/>
                  </w:pPr>
                  <w:r>
                    <w:t xml:space="preserve">0.548 [0.533, 0.563]</w:t>
                  </w:r>
                </w:p>
              </w:tc>
            </w:tr>
          </w:tbl>
          <w:bookmarkEnd w:id="72"/>
          <w:p/>
        </w:tc>
      </w:tr>
    </w:tbl>
    <w:bookmarkEnd w:id="73"/>
    <w:bookmarkStart w:id="79" w:name="s2.4-standard-only-calibration"/>
    <w:p>
      <w:pPr>
        <w:pStyle w:val="Heading3"/>
      </w:pPr>
      <w:r>
        <w:t xml:space="preserve">S2.4 Standard-only calibration</w:t>
      </w:r>
    </w:p>
    <w:tbl>
      <w:tblPr>
        <w:tblStyle w:val="Table"/>
        <w:tblW w:type="pct" w:w="5000"/>
        <w:tblLayout w:type="fixed"/>
        <w:tblLook w:firstRow="0" w:lastRow="0" w:firstColumn="0" w:lastColumn="0" w:noHBand="0" w:noVBand="0" w:val="0000"/>
      </w:tblPr>
      <w:tblGrid>
        <w:gridCol w:w="7920"/>
      </w:tblGrid>
      <w:tr>
        <w:tc>
          <w:tcPr/>
          <w:bookmarkStart w:id="74" w:name="supptbl-standard-only-bias-levels"/>
          <w:p>
            <w:pPr>
              <w:jc w:val="center"/>
            </w:pPr>
            <w:pPr>
              <w:jc w:val="left"/>
              <w:spacing w:before="200"/>
              <w:pStyle w:val="ImageCaption"/>
            </w:pPr>
            <w:r>
              <w:t xml:space="preserve">Table S5: Estimated starting-point bias (</w:t>
            </w:r>
            <m:oMath>
              <m:r>
                <m:t>z</m:t>
              </m:r>
            </m:oMath>
            <w:r>
              <w:t xml:space="preserve">) by Task and Effort (Standard-only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Mean z</w:t>
                  </w:r>
                </w:p>
              </w:tc>
              <w:tc>
                <w:tcPr/>
                <w:p>
                  <w:pPr>
                    <w:pStyle w:val="Compact"/>
                    <w:jc w:val="left"/>
                    <w:jc w:val="center"/>
                  </w:pPr>
                  <w:r>
                    <w:t xml:space="preserve">95% CrI</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0.597</w:t>
                  </w:r>
                </w:p>
              </w:tc>
              <w:tc>
                <w:tcPr/>
                <w:p>
                  <w:pPr>
                    <w:pStyle w:val="Compact"/>
                    <w:jc w:val="left"/>
                    <w:jc w:val="center"/>
                  </w:pPr>
                  <w:r>
                    <w:t xml:space="preserve">[0.567, 0.628]</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0.603</w:t>
                  </w:r>
                </w:p>
              </w:tc>
              <w:tc>
                <w:tcPr/>
                <w:p>
                  <w:pPr>
                    <w:pStyle w:val="Compact"/>
                    <w:jc w:val="left"/>
                    <w:jc w:val="center"/>
                  </w:pPr>
                  <w:r>
                    <w:t xml:space="preserve">[0.574, 0.633]</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0.559</w:t>
                  </w:r>
                </w:p>
              </w:tc>
              <w:tc>
                <w:tcPr/>
                <w:p>
                  <w:pPr>
                    <w:pStyle w:val="Compact"/>
                    <w:jc w:val="left"/>
                    <w:jc w:val="center"/>
                  </w:pPr>
                  <w:r>
                    <w:t xml:space="preserve">[0.527, 0.589]</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0.565</w:t>
                  </w:r>
                </w:p>
              </w:tc>
              <w:tc>
                <w:tcPr/>
                <w:p>
                  <w:pPr>
                    <w:pStyle w:val="Compact"/>
                    <w:jc w:val="left"/>
                    <w:jc w:val="center"/>
                  </w:pPr>
                  <w:r>
                    <w:t xml:space="preserve">[0.535, 0.595]</w:t>
                  </w:r>
                </w:p>
              </w:tc>
            </w:tr>
          </w:tbl>
          <w:bookmarkEnd w:id="7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 w:name="suppfig-a2-bias-calibration-panel"/>
          <w:p>
            <w:pPr>
              <w:jc w:val="center"/>
            </w:pPr>
            <w:r>
              <w:drawing>
                <wp:inline>
                  <wp:extent cx="5334000" cy="4267200"/>
                  <wp:effectExtent b="0" l="0" r="0" t="0"/>
                  <wp:docPr descr="" title="" id="76" name="Picture"/>
                  <a:graphic>
                    <a:graphicData uri="http://schemas.openxmlformats.org/drawingml/2006/picture">
                      <pic:pic>
                        <pic:nvPicPr>
                          <pic:cNvPr descr="chap3_ddm_results_files/figure-docx/unnamed-chunk-14-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S4:</w:t>
            </w:r>
            <w:r>
              <w:t xml:space="preserve"> </w:t>
            </w:r>
            <w:r>
              <w:rPr>
                <w:b/>
                <w:bCs/>
              </w:rPr>
              <w:t xml:space="preserve">Starting-point bias (</w:t>
            </w:r>
            <m:oMath>
              <m:r>
                <m:t>z</m:t>
              </m:r>
            </m:oMath>
            <w:r>
              <w:rPr>
                <w:b/>
                <w:bCs/>
              </w:rPr>
              <w:t xml:space="preserve">) by Task and Effort.</w:t>
            </w:r>
            <w:r>
              <w:t xml:space="preserve"> </w:t>
            </w:r>
            <w:r>
              <w:rPr>
                <w:b/>
                <w:bCs/>
              </w:rPr>
              <w:t xml:space="preserve">(A)</w:t>
            </w:r>
            <w:r>
              <w:t xml:space="preserve"> </w:t>
            </w:r>
            <w:r>
              <w:t xml:space="preserve">Standard-only calibration model. Points show posterior means with 95% credible intervals. Values above 0.5 indicate bias toward</w:t>
            </w:r>
            <w:r>
              <w:t xml:space="preserve"> </w:t>
            </w:r>
            <w:r>
              <w:t xml:space="preserve">‘different’</w:t>
            </w:r>
            <w:r>
              <w:t xml:space="preserve"> </w:t>
            </w:r>
            <w:r>
              <w:t xml:space="preserve">responses. ADT shows higher bias toward</w:t>
            </w:r>
            <w:r>
              <w:t xml:space="preserve"> </w:t>
            </w:r>
            <w:r>
              <w:t xml:space="preserve">‘different’</w:t>
            </w:r>
            <w:r>
              <w:t xml:space="preserve"> </w:t>
            </w:r>
            <w:r>
              <w:t xml:space="preserve">than VDT; effort effects are minimal.</w:t>
            </w:r>
            <w:r>
              <w:t xml:space="preserve"> </w:t>
            </w:r>
            <w:r>
              <w:rPr>
                <w:b/>
                <w:bCs/>
              </w:rPr>
              <w:t xml:space="preserve">(B)</w:t>
            </w:r>
            <w:r>
              <w:t xml:space="preserve"> </w:t>
            </w:r>
            <w:r>
              <w:t xml:space="preserve">Primary additive model (Standard trials only). Points show posterior medians with 95% credible intervals. Dashed line marks</w:t>
            </w:r>
            <w:r>
              <w:t xml:space="preserve"> </w:t>
            </w:r>
            <m:oMath>
              <m:r>
                <m:t>z</m:t>
              </m:r>
              <m:r>
                <m:rPr>
                  <m:sty m:val="p"/>
                </m:rPr>
                <m:t>=</m:t>
              </m:r>
              <m:r>
                <m:t>0.5</m:t>
              </m:r>
            </m:oMath>
            <w:r>
              <w:t xml:space="preserve"> </w:t>
            </w:r>
            <w:r>
              <w:t xml:space="preserve">(no bias). These estimates reflect bias jointly identified with drift rate across all trial types; the standard-only canonical estimates are in Panel A and</w:t>
            </w:r>
            <w:r>
              <w:t xml:space="preserve"> </w:t>
            </w:r>
            <w:hyperlink w:anchor="supptbl-standard-only-bias-levels">
              <w:r>
                <w:rPr>
                  <w:rStyle w:val="Hyperlink"/>
                </w:rPr>
                <w:t xml:space="preserve">Table S5</w:t>
              </w:r>
            </w:hyperlink>
            <w:r>
              <w:t xml:space="preserve">. Effort contrasts on</w:t>
            </w:r>
            <w:r>
              <w:t xml:space="preserve"> </w:t>
            </w:r>
            <m:oMath>
              <m:r>
                <m:t>z</m:t>
              </m:r>
            </m:oMath>
            <w:r>
              <w:t xml:space="preserve"> </w:t>
            </w:r>
            <w:r>
              <w:t xml:space="preserve">are near-zero in both tasks (H4; 95% CrI spans zero); see</w:t>
            </w:r>
            <w:r>
              <w:t xml:space="preserve"> </w:t>
            </w:r>
            <w:hyperlink w:anchor="tbl-hyp-summary">
              <w:r>
                <w:rPr>
                  <w:rStyle w:val="Hyperlink"/>
                </w:rPr>
                <w:t xml:space="preserve">Table 2</w:t>
              </w:r>
            </w:hyperlink>
            <w:r>
              <w:t xml:space="preserve"> </w:t>
            </w:r>
            <w:r>
              <w:t xml:space="preserve">for the graded evidence classification.</w:t>
            </w:r>
          </w:p>
          <w:bookmarkEnd w:id="78"/>
        </w:tc>
      </w:tr>
    </w:tbl>
    <w:p>
      <w:pPr>
        <w:pStyle w:val="BodyText"/>
      </w:pPr>
      <w:r>
        <w:t xml:space="preserve">Panel B shows primary-model estimates of starting-point bias across tasks and effort conditions, complementing the canonical standard-only estimates in Panel A and the main text (</w:t>
      </w:r>
      <w:hyperlink w:anchor="sec-starting-point-bias">
        <w:r>
          <w:rPr>
            <w:rStyle w:val="Hyperlink"/>
          </w:rPr>
          <w:t xml:space="preserve">Section 3.2.2</w:t>
        </w:r>
      </w:hyperlink>
      <w:r>
        <w:t xml:space="preserve">,</w:t>
      </w:r>
      <w:r>
        <w:t xml:space="preserve"> </w:t>
      </w:r>
      <w:hyperlink w:anchor="supptbl-standard-only-bias-levels">
        <w:r>
          <w:rPr>
            <w:rStyle w:val="Hyperlink"/>
          </w:rPr>
          <w:t xml:space="preserve">Table S5</w:t>
        </w:r>
      </w:hyperlink>
      <w:r>
        <w:t xml:space="preserve">).</w:t>
      </w:r>
    </w:p>
    <w:bookmarkEnd w:id="79"/>
    <w:bookmarkStart w:id="81" w:name="s2.5-baseline-pupil-diameter"/>
    <w:p>
      <w:pPr>
        <w:pStyle w:val="Heading3"/>
      </w:pPr>
      <w:r>
        <w:t xml:space="preserve">S2.5 Baseline pupil diameter</w:t>
      </w:r>
    </w:p>
    <w:p>
      <w:pPr>
        <w:pStyle w:val="FirstParagraph"/>
      </w:pPr>
      <w:hyperlink w:anchor="supptbl-baseline-pupil">
        <w:r>
          <w:rPr>
            <w:rStyle w:val="Hyperlink"/>
          </w:rPr>
          <w:t xml:space="preserve">Table S6</w:t>
        </w:r>
      </w:hyperlink>
      <w:r>
        <w:t xml:space="preserve"> </w:t>
      </w:r>
      <w:r>
        <w:t xml:space="preserve">reports descriptive baseline pupil diameter by Task and Effort condition, reflecting tonic arousal state prior to evidence accumulation onset.</w:t>
      </w:r>
    </w:p>
    <w:tbl>
      <w:tblPr>
        <w:tblStyle w:val="Table"/>
        <w:tblW w:type="pct" w:w="5000"/>
        <w:tblLayout w:type="fixed"/>
        <w:tblLook w:firstRow="0" w:lastRow="0" w:firstColumn="0" w:lastColumn="0" w:noHBand="0" w:noVBand="0" w:val="0000"/>
      </w:tblPr>
      <w:tblGrid>
        <w:gridCol w:w="7920"/>
      </w:tblGrid>
      <w:tr>
        <w:tc>
          <w:tcPr/>
          <w:bookmarkStart w:id="80" w:name="supptbl-baseline-pupil"/>
          <w:p>
            <w:pPr>
              <w:jc w:val="center"/>
            </w:pPr>
            <w:pPr>
              <w:jc w:val="left"/>
              <w:spacing w:before="200"/>
              <w:pStyle w:val="ImageCaption"/>
            </w:pPr>
            <w:r>
              <w:t xml:space="preserve">Table S6: Baseline pupil diameter (tonic arousal) by Task and Effort condition. Values are descriptive summaries from the pre-trial baseline window (−0.5 s to 0 s relative to squeeze onset).</w:t>
            </w:r>
          </w:p>
          <w:tbl>
            <w:tblPr>
              <w:tblStyle w:val="Table"/>
              <w:tblW w:type="pct" w:w="5000"/>
              <w:tblLayout w:type="fixed"/>
              <w:tblLook w:firstRow="1" w:lastRow="0" w:firstColumn="0" w:lastColumn="0" w:noHBand="0" w:noVBand="0" w:val="0020"/>
            </w:tblPr>
            <w:tblGrid>
              <w:gridCol w:w="1300"/>
              <w:gridCol w:w="1773"/>
              <w:gridCol w:w="1182"/>
              <w:gridCol w:w="945"/>
              <w:gridCol w:w="1418"/>
              <w:gridCol w:w="1300"/>
            </w:tblGrid>
            <w:tr>
              <w:trPr>
                <w:tblHeader w:val="on"/>
              </w:trPr>
              <w:tc>
                <w:tcPr/>
                <w:p>
                  <w:pPr>
                    <w:pStyle w:val="Compact"/>
                    <w:jc w:val="left"/>
                    <w:jc w:val="center"/>
                  </w:pPr>
                  <w:r>
                    <w:t xml:space="preserve">Task_Group</w:t>
                  </w:r>
                </w:p>
              </w:tc>
              <w:tc>
                <w:tcPr/>
                <w:p>
                  <w:pPr>
                    <w:pStyle w:val="Compact"/>
                    <w:jc w:val="left"/>
                    <w:jc w:val="center"/>
                  </w:pPr>
                  <w:r>
                    <w:t xml:space="preserve">Effort</w:t>
                  </w:r>
                </w:p>
              </w:tc>
              <w:tc>
                <w:tcPr/>
                <w:p>
                  <w:pPr>
                    <w:pStyle w:val="Compact"/>
                    <w:jc w:val="right"/>
                    <w:jc w:val="center"/>
                  </w:pPr>
                  <w:r>
                    <w:t xml:space="preserve">Mean (AU)</w:t>
                  </w:r>
                </w:p>
              </w:tc>
              <w:tc>
                <w:tcPr/>
                <w:p>
                  <w:pPr>
                    <w:pStyle w:val="Compact"/>
                    <w:jc w:val="right"/>
                    <w:jc w:val="center"/>
                  </w:pPr>
                  <w:r>
                    <w:t xml:space="preserve">SD (AU)</w:t>
                  </w:r>
                </w:p>
              </w:tc>
              <w:tc>
                <w:tcPr/>
                <w:p>
                  <w:pPr>
                    <w:pStyle w:val="Compact"/>
                    <w:jc w:val="right"/>
                    <w:jc w:val="center"/>
                  </w:pPr>
                  <w:r>
                    <w:t xml:space="preserve">Median (AU)</w:t>
                  </w:r>
                </w:p>
              </w:tc>
              <w:tc>
                <w:tcPr/>
                <w:p>
                  <w:pPr>
                    <w:pStyle w:val="Compact"/>
                    <w:jc w:val="right"/>
                    <w:jc w:val="center"/>
                  </w:pPr>
                  <w:r>
                    <w:t xml:space="preserve">N Subjects</w:t>
                  </w:r>
                </w:p>
              </w:tc>
            </w:tr>
            <w:tr>
              <w:tc>
                <w:tcPr/>
                <w:p>
                  <w:pPr>
                    <w:pStyle w:val="Compact"/>
                    <w:jc w:val="left"/>
                    <w:jc w:val="center"/>
                  </w:pPr>
                  <w:r>
                    <w:t xml:space="preserve">ADT</w:t>
                  </w:r>
                </w:p>
              </w:tc>
              <w:tc>
                <w:tcPr/>
                <w:p>
                  <w:pPr>
                    <w:pStyle w:val="Compact"/>
                    <w:jc w:val="left"/>
                    <w:jc w:val="center"/>
                  </w:pPr>
                  <w:r>
                    <w:t xml:space="preserve">High (40% MVC)</w:t>
                  </w:r>
                </w:p>
              </w:tc>
              <w:tc>
                <w:tcPr/>
                <w:p>
                  <w:pPr>
                    <w:pStyle w:val="Compact"/>
                    <w:jc w:val="right"/>
                    <w:jc w:val="center"/>
                  </w:pPr>
                  <w:r>
                    <w:t xml:space="preserve">31.68</w:t>
                  </w:r>
                </w:p>
              </w:tc>
              <w:tc>
                <w:tcPr/>
                <w:p>
                  <w:pPr>
                    <w:pStyle w:val="Compact"/>
                    <w:jc w:val="right"/>
                    <w:jc w:val="center"/>
                  </w:pPr>
                  <w:r>
                    <w:t xml:space="preserve">9.74</w:t>
                  </w:r>
                </w:p>
              </w:tc>
              <w:tc>
                <w:tcPr/>
                <w:p>
                  <w:pPr>
                    <w:pStyle w:val="Compact"/>
                    <w:jc w:val="right"/>
                    <w:jc w:val="center"/>
                  </w:pPr>
                  <w:r>
                    <w:t xml:space="preserve">28.56</w:t>
                  </w:r>
                </w:p>
              </w:tc>
              <w:tc>
                <w:tcPr/>
                <w:p>
                  <w:pPr>
                    <w:pStyle w:val="Compact"/>
                    <w:jc w:val="right"/>
                    <w:jc w:val="center"/>
                  </w:pPr>
                  <w:r>
                    <w:t xml:space="preserve">51</w:t>
                  </w:r>
                </w:p>
              </w:tc>
            </w:tr>
            <w:tr>
              <w:tc>
                <w:tcPr/>
                <w:p>
                  <w:pPr>
                    <w:pStyle w:val="Compact"/>
                    <w:jc w:val="left"/>
                    <w:jc w:val="center"/>
                  </w:pPr>
                  <w:r>
                    <w:t xml:space="preserve">ADT</w:t>
                  </w:r>
                </w:p>
              </w:tc>
              <w:tc>
                <w:tcPr/>
                <w:p>
                  <w:pPr>
                    <w:pStyle w:val="Compact"/>
                    <w:jc w:val="left"/>
                    <w:jc w:val="center"/>
                  </w:pPr>
                  <w:r>
                    <w:t xml:space="preserve">Low (5% MVC)</w:t>
                  </w:r>
                </w:p>
              </w:tc>
              <w:tc>
                <w:tcPr/>
                <w:p>
                  <w:pPr>
                    <w:pStyle w:val="Compact"/>
                    <w:jc w:val="right"/>
                    <w:jc w:val="center"/>
                  </w:pPr>
                  <w:r>
                    <w:t xml:space="preserve">32.70</w:t>
                  </w:r>
                </w:p>
              </w:tc>
              <w:tc>
                <w:tcPr/>
                <w:p>
                  <w:pPr>
                    <w:pStyle w:val="Compact"/>
                    <w:jc w:val="right"/>
                    <w:jc w:val="center"/>
                  </w:pPr>
                  <w:r>
                    <w:t xml:space="preserve">10.01</w:t>
                  </w:r>
                </w:p>
              </w:tc>
              <w:tc>
                <w:tcPr/>
                <w:p>
                  <w:pPr>
                    <w:pStyle w:val="Compact"/>
                    <w:jc w:val="right"/>
                    <w:jc w:val="center"/>
                  </w:pPr>
                  <w:r>
                    <w:t xml:space="preserve">29.79</w:t>
                  </w:r>
                </w:p>
              </w:tc>
              <w:tc>
                <w:tcPr/>
                <w:p>
                  <w:pPr>
                    <w:pStyle w:val="Compact"/>
                    <w:jc w:val="right"/>
                    <w:jc w:val="center"/>
                  </w:pPr>
                  <w:r>
                    <w:t xml:space="preserve">52</w:t>
                  </w:r>
                </w:p>
              </w:tc>
            </w:tr>
            <w:tr>
              <w:tc>
                <w:tcPr/>
                <w:p>
                  <w:pPr>
                    <w:pStyle w:val="Compact"/>
                    <w:jc w:val="left"/>
                    <w:jc w:val="center"/>
                  </w:pPr>
                  <w:r>
                    <w:t xml:space="preserve">VDT</w:t>
                  </w:r>
                </w:p>
              </w:tc>
              <w:tc>
                <w:tcPr/>
                <w:p>
                  <w:pPr>
                    <w:pStyle w:val="Compact"/>
                    <w:jc w:val="left"/>
                    <w:jc w:val="center"/>
                  </w:pPr>
                  <w:r>
                    <w:t xml:space="preserve">High (40% MVC)</w:t>
                  </w:r>
                </w:p>
              </w:tc>
              <w:tc>
                <w:tcPr/>
                <w:p>
                  <w:pPr>
                    <w:pStyle w:val="Compact"/>
                    <w:jc w:val="right"/>
                    <w:jc w:val="center"/>
                  </w:pPr>
                  <w:r>
                    <w:t xml:space="preserve">33.44</w:t>
                  </w:r>
                </w:p>
              </w:tc>
              <w:tc>
                <w:tcPr/>
                <w:p>
                  <w:pPr>
                    <w:pStyle w:val="Compact"/>
                    <w:jc w:val="right"/>
                    <w:jc w:val="center"/>
                  </w:pPr>
                  <w:r>
                    <w:t xml:space="preserve">13.45</w:t>
                  </w:r>
                </w:p>
              </w:tc>
              <w:tc>
                <w:tcPr/>
                <w:p>
                  <w:pPr>
                    <w:pStyle w:val="Compact"/>
                    <w:jc w:val="right"/>
                    <w:jc w:val="center"/>
                  </w:pPr>
                  <w:r>
                    <w:t xml:space="preserve">29.39</w:t>
                  </w:r>
                </w:p>
              </w:tc>
              <w:tc>
                <w:tcPr/>
                <w:p>
                  <w:pPr>
                    <w:pStyle w:val="Compact"/>
                    <w:jc w:val="right"/>
                    <w:jc w:val="center"/>
                  </w:pPr>
                  <w:r>
                    <w:t xml:space="preserve">55</w:t>
                  </w:r>
                </w:p>
              </w:tc>
            </w:tr>
            <w:tr>
              <w:tc>
                <w:tcPr/>
                <w:p>
                  <w:pPr>
                    <w:pStyle w:val="Compact"/>
                    <w:jc w:val="left"/>
                    <w:jc w:val="center"/>
                  </w:pPr>
                  <w:r>
                    <w:t xml:space="preserve">VDT</w:t>
                  </w:r>
                </w:p>
              </w:tc>
              <w:tc>
                <w:tcPr/>
                <w:p>
                  <w:pPr>
                    <w:pStyle w:val="Compact"/>
                    <w:jc w:val="left"/>
                    <w:jc w:val="center"/>
                  </w:pPr>
                  <w:r>
                    <w:t xml:space="preserve">Low (5% MVC)</w:t>
                  </w:r>
                </w:p>
              </w:tc>
              <w:tc>
                <w:tcPr/>
                <w:p>
                  <w:pPr>
                    <w:pStyle w:val="Compact"/>
                    <w:jc w:val="right"/>
                    <w:jc w:val="center"/>
                  </w:pPr>
                  <w:r>
                    <w:t xml:space="preserve">33.99</w:t>
                  </w:r>
                </w:p>
              </w:tc>
              <w:tc>
                <w:tcPr/>
                <w:p>
                  <w:pPr>
                    <w:pStyle w:val="Compact"/>
                    <w:jc w:val="right"/>
                    <w:jc w:val="center"/>
                  </w:pPr>
                  <w:r>
                    <w:t xml:space="preserve">13.73</w:t>
                  </w:r>
                </w:p>
              </w:tc>
              <w:tc>
                <w:tcPr/>
                <w:p>
                  <w:pPr>
                    <w:pStyle w:val="Compact"/>
                    <w:jc w:val="right"/>
                    <w:jc w:val="center"/>
                  </w:pPr>
                  <w:r>
                    <w:t xml:space="preserve">29.47</w:t>
                  </w:r>
                </w:p>
              </w:tc>
              <w:tc>
                <w:tcPr/>
                <w:p>
                  <w:pPr>
                    <w:pStyle w:val="Compact"/>
                    <w:jc w:val="right"/>
                    <w:jc w:val="center"/>
                  </w:pPr>
                  <w:r>
                    <w:t xml:space="preserve">55</w:t>
                  </w:r>
                </w:p>
              </w:tc>
            </w:tr>
          </w:tbl>
          <w:bookmarkEnd w:id="80"/>
          <w:p/>
        </w:tc>
      </w:tr>
    </w:tbl>
    <w:bookmarkEnd w:id="81"/>
    <w:bookmarkStart w:id="83" w:name="s2.6-standard-only-drift-intercept"/>
    <w:p>
      <w:pPr>
        <w:pStyle w:val="Heading3"/>
      </w:pPr>
      <w:r>
        <w:t xml:space="preserve">S2.6 Standard-only drift intercept</w:t>
      </w:r>
    </w:p>
    <w:tbl>
      <w:tblPr>
        <w:tblStyle w:val="Table"/>
        <w:tblW w:type="pct" w:w="5000"/>
        <w:tblLayout w:type="fixed"/>
        <w:tblLook w:firstRow="0" w:lastRow="0" w:firstColumn="0" w:lastColumn="0" w:noHBand="0" w:noVBand="0" w:val="0000"/>
      </w:tblPr>
      <w:tblGrid>
        <w:gridCol w:w="7920"/>
      </w:tblGrid>
      <w:tr>
        <w:tc>
          <w:tcPr/>
          <w:bookmarkStart w:id="82" w:name="supptbl-bias-drift-intercept"/>
          <w:p>
            <w:pPr>
              <w:jc w:val="center"/>
            </w:pPr>
            <w:pPr>
              <w:jc w:val="left"/>
              <w:spacing w:before="200"/>
              <w:pStyle w:val="ImageCaption"/>
            </w:pPr>
            <w:r>
              <w:t xml:space="preserve">Table S7: Drift intercept (Standard-only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jc w:val="center"/>
                  </w:pPr>
                  <w:r>
                    <w:t xml:space="preserve">Estimate</w:t>
                  </w:r>
                </w:p>
              </w:tc>
              <w:tc>
                <w:tcPr/>
                <w:p>
                  <w:pPr>
                    <w:pStyle w:val="Compact"/>
                    <w:jc w:val="left"/>
                    <w:jc w:val="center"/>
                  </w:pPr>
                  <w:r>
                    <w:t xml:space="preserve">95% CrI</w:t>
                  </w:r>
                </w:p>
              </w:tc>
            </w:tr>
            <w:tr>
              <w:tc>
                <w:tcPr/>
                <w:p>
                  <w:pPr>
                    <w:pStyle w:val="Compact"/>
                    <w:jc w:val="right"/>
                    <w:jc w:val="center"/>
                  </w:pPr>
                  <w:r>
                    <w:t xml:space="preserve">-1.478</w:t>
                  </w:r>
                </w:p>
              </w:tc>
              <w:tc>
                <w:tcPr/>
                <w:p>
                  <w:pPr>
                    <w:pStyle w:val="Compact"/>
                    <w:jc w:val="left"/>
                    <w:jc w:val="center"/>
                  </w:pPr>
                  <w:r>
                    <w:t xml:space="preserve">[-1.659, -1.303]</w:t>
                  </w:r>
                </w:p>
              </w:tc>
            </w:tr>
          </w:tbl>
          <w:bookmarkEnd w:id="82"/>
          <w:p/>
        </w:tc>
      </w:tr>
    </w:tbl>
    <w:bookmarkEnd w:id="83"/>
    <w:bookmarkEnd w:id="84"/>
    <w:bookmarkStart w:id="106" w:name="app-ch3-ppc"/>
    <w:p>
      <w:pPr>
        <w:pStyle w:val="Heading2"/>
      </w:pPr>
      <w:r>
        <w:t xml:space="preserve">S3. Posterior Predictive Checks and Diagnostics</w:t>
      </w:r>
    </w:p>
    <w:tbl>
      <w:tblPr>
        <w:tblStyle w:val="Table"/>
        <w:tblW w:type="pct" w:w="5000"/>
        <w:tblLayout w:type="fixed"/>
        <w:tblLook w:firstRow="0" w:lastRow="0" w:firstColumn="0" w:lastColumn="0" w:noHBand="0" w:noVBand="0" w:val="0000"/>
      </w:tblPr>
      <w:tblGrid>
        <w:gridCol w:w="7920"/>
      </w:tblGrid>
      <w:tr>
        <w:tc>
          <w:tcPr/>
          <w:bookmarkStart w:id="85" w:name="supptbl-convergence-ppc-gate-appendix"/>
          <w:p>
            <w:pPr>
              <w:jc w:val="center"/>
            </w:pPr>
            <w:pPr>
              <w:jc w:val="left"/>
              <w:spacing w:before="200"/>
              <w:pStyle w:val="ImageCaption"/>
            </w:pPr>
            <w:r>
              <w:t xml:space="preserve">Table S8: Convergence and PPC diagnostics (primary model). Convergence: PASS. PPC: FAIL strict thresholds (fast-tail misfit; mid-body fit acceptable). Convergence and PPC use different criteria — see main text (</w:t>
            </w:r>
            <w:hyperlink w:anchor="sec-behavioral-ddm">
              <w:r>
                <w:rPr>
                  <w:rStyle w:val="Hyperlink"/>
                </w:rPr>
                <w:t xml:space="preserve">Section 3.2</w:t>
              </w:r>
            </w:hyperlink>
            <w:r>
              <w:t xml:space="preserve">).</w:t>
            </w:r>
          </w:p>
          <w:tbl>
            <w:tblPr>
              <w:tblStyle w:val="Table"/>
              <w:tblW w:type="pct" w:w="5000"/>
              <w:tblLayout w:type="fixed"/>
              <w:tblLook w:firstRow="1" w:lastRow="0" w:firstColumn="0" w:lastColumn="0" w:noHBand="0" w:noVBand="0" w:val="0020"/>
            </w:tblPr>
            <w:tblGrid>
              <w:gridCol w:w="3123"/>
              <w:gridCol w:w="4796"/>
            </w:tblGrid>
            <w:tr>
              <w:trPr>
                <w:tblHeader w:val="on"/>
              </w:trPr>
              <w:tc>
                <w:tcPr/>
                <w:p>
                  <w:pPr>
                    <w:pStyle w:val="Compact"/>
                    <w:jc w:val="left"/>
                    <w:jc w:val="center"/>
                  </w:pPr>
                  <w:r>
                    <w:t xml:space="preserve">Metric</w:t>
                  </w:r>
                </w:p>
              </w:tc>
              <w:tc>
                <w:tcPr/>
                <w:p>
                  <w:pPr>
                    <w:pStyle w:val="Compact"/>
                    <w:jc w:val="left"/>
                    <w:jc w:val="center"/>
                  </w:pPr>
                  <w:r>
                    <w:t xml:space="preserve">Value</w:t>
                  </w:r>
                </w:p>
              </w:tc>
            </w:tr>
            <w:tr>
              <w:tc>
                <w:tcPr/>
                <w:p>
                  <w:pPr>
                    <w:pStyle w:val="Compact"/>
                    <w:jc w:val="left"/>
                    <w:jc w:val="center"/>
                  </w:pPr>
                  <w:r>
                    <w:t xml:space="preserve">Max R-hat</w:t>
                  </w:r>
                </w:p>
              </w:tc>
              <w:tc>
                <w:tcPr/>
                <w:p>
                  <w:pPr>
                    <w:pStyle w:val="Compact"/>
                    <w:jc w:val="left"/>
                    <w:jc w:val="center"/>
                  </w:pPr>
                  <w:r>
                    <w:t xml:space="preserve">1.0057</w:t>
                  </w:r>
                </w:p>
              </w:tc>
            </w:tr>
            <w:tr>
              <w:tc>
                <w:tcPr/>
                <w:p>
                  <w:pPr>
                    <w:pStyle w:val="Compact"/>
                    <w:jc w:val="left"/>
                    <w:jc w:val="center"/>
                  </w:pPr>
                  <w:r>
                    <w:t xml:space="preserve">Min bulk ESS</w:t>
                  </w:r>
                </w:p>
              </w:tc>
              <w:tc>
                <w:tcPr/>
                <w:p>
                  <w:pPr>
                    <w:pStyle w:val="Compact"/>
                    <w:jc w:val="left"/>
                    <w:jc w:val="center"/>
                  </w:pPr>
                  <w:r>
                    <w:t xml:space="preserve">745</w:t>
                  </w:r>
                </w:p>
              </w:tc>
            </w:tr>
            <w:tr>
              <w:tc>
                <w:tcPr/>
                <w:p>
                  <w:pPr>
                    <w:pStyle w:val="Compact"/>
                    <w:jc w:val="left"/>
                    <w:jc w:val="center"/>
                  </w:pPr>
                  <w:r>
                    <w:t xml:space="preserve">Min tail ESS</w:t>
                  </w:r>
                </w:p>
              </w:tc>
              <w:tc>
                <w:tcPr/>
                <w:p>
                  <w:pPr>
                    <w:pStyle w:val="Compact"/>
                    <w:jc w:val="left"/>
                    <w:jc w:val="center"/>
                  </w:pPr>
                  <w:r>
                    <w:t xml:space="preserve">1669</w:t>
                  </w:r>
                </w:p>
              </w:tc>
            </w:tr>
            <w:tr>
              <w:tc>
                <w:tcPr/>
                <w:p>
                  <w:pPr>
                    <w:pStyle w:val="Compact"/>
                    <w:jc w:val="left"/>
                    <w:jc w:val="center"/>
                  </w:pPr>
                  <w:r>
                    <w:t xml:space="preserve">Divergent transitions</w:t>
                  </w:r>
                </w:p>
              </w:tc>
              <w:tc>
                <w:tcPr/>
                <w:p>
                  <w:pPr>
                    <w:pStyle w:val="Compact"/>
                    <w:jc w:val="left"/>
                    <w:jc w:val="center"/>
                  </w:pPr>
                  <w:r>
                    <w:t xml:space="preserve">0</w:t>
                  </w:r>
                </w:p>
              </w:tc>
            </w:tr>
            <w:tr>
              <w:tc>
                <w:tcPr/>
                <w:p>
                  <w:pPr>
                    <w:pStyle w:val="Compact"/>
                    <w:jc w:val="left"/>
                    <w:jc w:val="center"/>
                  </w:pPr>
                  <w:r>
                    <w:t xml:space="preserve">Verdict</w:t>
                  </w:r>
                </w:p>
              </w:tc>
              <w:tc>
                <w:tcPr/>
                <w:p>
                  <w:pPr>
                    <w:pStyle w:val="Compact"/>
                    <w:jc w:val="left"/>
                    <w:jc w:val="center"/>
                  </w:pPr>
                  <w:r>
                    <w:t xml:space="preserve">PASS</w:t>
                  </w:r>
                </w:p>
              </w:tc>
            </w:tr>
            <w:tr>
              <w:tc>
                <w:tcPr/>
                <w:p>
                  <w:pPr>
                    <w:pStyle w:val="Compact"/>
                    <w:jc w:val="left"/>
                    <w:jc w:val="center"/>
                  </w:pPr>
                  <w:r>
                    <w:t xml:space="preserve">Max Pareto-k (additive LOO)</w:t>
                  </w:r>
                </w:p>
              </w:tc>
              <w:tc>
                <w:tcPr/>
                <w:p>
                  <w:pPr>
                    <w:pStyle w:val="Compact"/>
                    <w:jc w:val="left"/>
                    <w:jc w:val="center"/>
                  </w:pPr>
                  <w:r>
                    <w:t xml:space="preserve">0.47</w:t>
                  </w:r>
                </w:p>
              </w:tc>
            </w:tr>
            <w:tr>
              <w:tc>
                <w:tcPr/>
                <w:p>
                  <w:pPr>
                    <w:pStyle w:val="Compact"/>
                    <w:jc w:val="left"/>
                    <w:jc w:val="center"/>
                  </w:pPr>
                  <w:r>
                    <w:t xml:space="preserve">Cells (n)</w:t>
                  </w:r>
                </w:p>
              </w:tc>
              <w:tc>
                <w:tcPr/>
                <w:p>
                  <w:pPr>
                    <w:pStyle w:val="Compact"/>
                    <w:jc w:val="left"/>
                    <w:jc w:val="center"/>
                  </w:pPr>
                  <w:r>
                    <w:t xml:space="preserve">12</w:t>
                  </w:r>
                </w:p>
              </w:tc>
            </w:tr>
            <w:tr>
              <w:tc>
                <w:tcPr/>
                <w:p>
                  <w:pPr>
                    <w:pStyle w:val="Compact"/>
                    <w:jc w:val="left"/>
                    <w:jc w:val="center"/>
                  </w:pPr>
                  <w:r>
                    <w:t xml:space="preserve">Cells flagged</w:t>
                  </w:r>
                </w:p>
              </w:tc>
              <w:tc>
                <w:tcPr/>
                <w:p>
                  <w:pPr>
                    <w:pStyle w:val="Compact"/>
                    <w:jc w:val="left"/>
                    <w:jc w:val="center"/>
                  </w:pPr>
                  <w:r>
                    <w:t xml:space="preserve">100.0%</w:t>
                  </w:r>
                </w:p>
              </w:tc>
            </w:tr>
            <w:tr>
              <w:tc>
                <w:tcPr/>
                <w:p>
                  <w:pPr>
                    <w:pStyle w:val="Compact"/>
                    <w:jc w:val="left"/>
                    <w:jc w:val="center"/>
                  </w:pPr>
                  <w:r>
                    <w:t xml:space="preserve">Max QP RMSE (s)</w:t>
                  </w:r>
                </w:p>
              </w:tc>
              <w:tc>
                <w:tcPr/>
                <w:p>
                  <w:pPr>
                    <w:pStyle w:val="Compact"/>
                    <w:jc w:val="left"/>
                    <w:jc w:val="center"/>
                  </w:pPr>
                  <w:r>
                    <w:t xml:space="preserve">0.225</w:t>
                  </w:r>
                </w:p>
              </w:tc>
            </w:tr>
            <w:tr>
              <w:tc>
                <w:tcPr/>
                <w:p>
                  <w:pPr>
                    <w:pStyle w:val="Compact"/>
                    <w:jc w:val="left"/>
                    <w:jc w:val="center"/>
                  </w:pPr>
                  <w:r>
                    <w:t xml:space="preserve">Max KS</w:t>
                  </w:r>
                </w:p>
              </w:tc>
              <w:tc>
                <w:tcPr/>
                <w:p>
                  <w:pPr>
                    <w:pStyle w:val="Compact"/>
                    <w:jc w:val="left"/>
                    <w:jc w:val="center"/>
                  </w:pPr>
                  <w:r>
                    <w:t xml:space="preserve">0.343</w:t>
                  </w:r>
                </w:p>
              </w:tc>
            </w:tr>
            <w:tr>
              <w:tc>
                <w:tcPr/>
                <w:p>
                  <w:pPr>
                    <w:pStyle w:val="Compact"/>
                    <w:jc w:val="left"/>
                    <w:jc w:val="center"/>
                  </w:pPr>
                  <w:r>
                    <w:t xml:space="preserve">Verdict</w:t>
                  </w:r>
                </w:p>
              </w:tc>
              <w:tc>
                <w:tcPr/>
                <w:p>
                  <w:pPr>
                    <w:pStyle w:val="Compact"/>
                    <w:jc w:val="left"/>
                    <w:jc w:val="center"/>
                  </w:pPr>
                  <w:r>
                    <w:t xml:space="preserve">FAIL (fast-tail driven; mid-body adequate)</w:t>
                  </w:r>
                </w:p>
              </w:tc>
            </w:tr>
          </w:tbl>
          <w:bookmarkEnd w:id="85"/>
          <w:p/>
        </w:tc>
      </w:tr>
    </w:tbl>
    <w:p>
      <w:pPr>
        <w:pStyle w:val="BodyText"/>
      </w:pPr>
      <w:r>
        <w:t xml:space="preserve">Primary-model convergence and PPC metrics are summarized in</w:t>
      </w:r>
      <w:r>
        <w:t xml:space="preserve"> </w:t>
      </w:r>
      <w:hyperlink w:anchor="supptbl-convergence-ppc-gate-appendix">
        <w:r>
          <w:rPr>
            <w:rStyle w:val="Hyperlink"/>
          </w:rPr>
          <w:t xml:space="preserve">Table S8</w:t>
        </w:r>
      </w:hyperlink>
      <w:r>
        <w:t xml:space="preserve">. Convergence passed; PPC flags were driven mainly by fast RT tails.</w:t>
      </w:r>
    </w:p>
    <w:bookmarkStart w:id="86" w:name="sec-ch3-ppc-method"/>
    <w:p>
      <w:pPr>
        <w:pStyle w:val="Heading3"/>
      </w:pPr>
      <w:r>
        <w:t xml:space="preserve">S3.1 PPC Validation Method</w:t>
      </w:r>
    </w:p>
    <w:p>
      <w:pPr>
        <w:pStyle w:val="FirstParagraph"/>
      </w:pPr>
      <w:r>
        <w:t xml:space="preserve">PPC thresholds (pre-specified): mid-body QP RMSE &lt; 0.09 s, |Δ accuracy| &lt; 0.05, KS &lt; 0.15, and &lt;15% of subject-condition cells flagged. Residuals = observed minus posterior median. Unconditional trial simulations used</w:t>
      </w:r>
      <w:r>
        <w:t xml:space="preserve"> </w:t>
      </w:r>
      <w:r>
        <w:rPr>
          <w:rStyle w:val="VerbatimChar"/>
        </w:rPr>
        <w:t xml:space="preserve">RWiener</w:t>
      </w:r>
      <w:r>
        <w:t xml:space="preserve"> </w:t>
      </w:r>
      <w:r>
        <w:t xml:space="preserve">(Wabersich &amp; Vandekerckhove, 2014)</w:t>
      </w:r>
      <w:r>
        <w:t xml:space="preserve">; plots used</w:t>
      </w:r>
      <w:r>
        <w:t xml:space="preserve"> </w:t>
      </w:r>
      <w:r>
        <w:rPr>
          <w:rStyle w:val="VerbatimChar"/>
        </w:rPr>
        <w:t xml:space="preserve">bayesplot</w:t>
      </w:r>
      <w:r>
        <w:t xml:space="preserve"> </w:t>
      </w:r>
      <w:r>
        <w:t xml:space="preserve">(Gabry et al., 2019)</w:t>
      </w:r>
      <w:r>
        <w:t xml:space="preserve">.</w:t>
      </w:r>
    </w:p>
    <w:bookmarkEnd w:id="86"/>
    <w:bookmarkStart w:id="95" w:name="sec-ch3-ppc-visual"/>
    <w:p>
      <w:pPr>
        <w:pStyle w:val="Heading3"/>
      </w:pPr>
      <w:r>
        <w:t xml:space="preserve">S3.2 Visual PPC Diagnostics</w:t>
      </w:r>
    </w:p>
    <w:p>
      <w:pPr>
        <w:pStyle w:val="FirstParagraph"/>
      </w:pPr>
      <w:r>
        <w:t xml:space="preserve">Strict PPC thresholds were not fully met (</w:t>
      </w:r>
      <w:hyperlink w:anchor="supptbl-convergence-ppc-gate-appendix">
        <w:r>
          <w:rPr>
            <w:rStyle w:val="Hyperlink"/>
          </w:rPr>
          <w:t xml:space="preserve">Table S8</w:t>
        </w:r>
      </w:hyperlink>
      <w:r>
        <w:t xml:space="preserve">). Most flagged cells were Easy/VDT, with misfit concentrated in fast RT tails — a common issue for standard Wiener DDMs without fast-guess or across-trial variability parameters.</w:t>
      </w:r>
    </w:p>
    <w:p>
      <w:pPr>
        <w:pStyle w:val="BodyText"/>
      </w:pPr>
      <w:r>
        <w:t xml:space="preserve">Mid-body RT quantiles and accuracy by condition matched the data reasonably well (</w:t>
      </w:r>
      <w:hyperlink w:anchor="suppfig-ch3app-qp-plot">
        <w:r>
          <w:rPr>
            <w:rStyle w:val="Hyperlink"/>
          </w:rPr>
          <w:t xml:space="preserve">Figure S6</w:t>
        </w:r>
      </w:hyperlink>
      <w:r>
        <w:t xml:space="preserve">,</w:t>
      </w:r>
      <w:r>
        <w:t xml:space="preserve"> </w:t>
      </w:r>
      <w:hyperlink w:anchor="suppfig-ch3app-ppc-rt-overlay">
        <w:r>
          <w:rPr>
            <w:rStyle w:val="Hyperlink"/>
          </w:rPr>
          <w:t xml:space="preserve">Figure S5</w:t>
        </w:r>
      </w:hyperlink>
      <w:r>
        <w:t xml:space="preserve">). Effort and difficulty contrasts did not change much under alternative RT cutoffs (Supplementary Section S4.2).</w:t>
      </w:r>
    </w:p>
    <w:p>
      <w:pPr>
        <w:pStyle w:val="BodyText"/>
      </w:pPr>
      <w:hyperlink w:anchor="suppfig-ch3app-ppc-rt-overlay">
        <w:r>
          <w:rPr>
            <w:rStyle w:val="Hyperlink"/>
          </w:rPr>
          <w:t xml:space="preserve">Figure S5</w:t>
        </w:r>
      </w:hyperlink>
      <w:r>
        <w:t xml:space="preserve"> </w:t>
      </w:r>
      <w:r>
        <w:t xml:space="preserve">compares observed and predicted RT densities.</w:t>
      </w:r>
      <w:r>
        <w:t xml:space="preserve"> </w:t>
      </w:r>
      <w:hyperlink w:anchor="suppfig-ch3app-qp-plot">
        <w:r>
          <w:rPr>
            <w:rStyle w:val="Hyperlink"/>
          </w:rPr>
          <w:t xml:space="preserve">Figure S6</w:t>
        </w:r>
      </w:hyperlink>
      <w:r>
        <w:t xml:space="preserve"> </w:t>
      </w:r>
      <w:r>
        <w:t xml:space="preserve">shows quantile–probability fit by condition.</w:t>
      </w:r>
    </w:p>
    <w:tbl>
      <w:tblPr>
        <w:tblStyle w:val="Table"/>
        <w:tblW w:type="pct" w:w="5000"/>
        <w:tblLayout w:type="fixed"/>
        <w:tblLook w:firstRow="0" w:lastRow="0" w:firstColumn="0" w:lastColumn="0" w:noHBand="0" w:noVBand="0" w:val="0000"/>
      </w:tblPr>
      <w:tblGrid>
        <w:gridCol w:w="7920"/>
      </w:tblGrid>
      <w:tr>
        <w:tc>
          <w:tcPr/>
          <w:bookmarkStart w:id="90" w:name="suppfig-ch3app-ppc-rt-overlay"/>
          <w:p>
            <w:pPr>
              <w:jc w:val="center"/>
            </w:pPr>
            <w:r>
              <w:drawing>
                <wp:inline>
                  <wp:extent cx="4533900" cy="3274483"/>
                  <wp:effectExtent b="0" l="0" r="0" t="0"/>
                  <wp:docPr descr="" title="" id="88" name="Picture"/>
                  <a:graphic>
                    <a:graphicData uri="http://schemas.openxmlformats.org/drawingml/2006/picture">
                      <pic:pic>
                        <pic:nvPicPr>
                          <pic:cNvPr descr="../output/figures/fig_ppc_rt_overlay.png" id="89" name="Picture"/>
                          <pic:cNvPicPr>
                            <a:picLocks noChangeArrowheads="1" noChangeAspect="1"/>
                          </pic:cNvPicPr>
                        </pic:nvPicPr>
                        <pic:blipFill>
                          <a:blip r:embed="rId87"/>
                          <a:stretch>
                            <a:fillRect/>
                          </a:stretch>
                        </pic:blipFill>
                        <pic:spPr bwMode="auto">
                          <a:xfrm>
                            <a:off x="0" y="0"/>
                            <a:ext cx="4533900" cy="3274483"/>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Posterior Predictive Check: RT Distributions. Empirical (black solid) vs. posterior predictive (blue solid) RT densities by Task × Effort × Difficulty. Overall model fit is good for central tendencies, with some misfit in fast tails (especially Easy/VDT).</w:t>
            </w:r>
          </w:p>
          <w:bookmarkEnd w:id="9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suppfig-ch3app-qp-plot"/>
          <w:p>
            <w:pPr>
              <w:jc w:val="center"/>
            </w:pPr>
            <w:r>
              <w:drawing>
                <wp:inline>
                  <wp:extent cx="4267200" cy="2761129"/>
                  <wp:effectExtent b="0" l="0" r="0" t="0"/>
                  <wp:docPr descr="" title="" id="92" name="Picture"/>
                  <a:graphic>
                    <a:graphicData uri="http://schemas.openxmlformats.org/drawingml/2006/picture">
                      <pic:pic>
                        <pic:nvPicPr>
                          <pic:cNvPr descr="../output/figures/fig_qp.png" id="93" name="Picture"/>
                          <pic:cNvPicPr>
                            <a:picLocks noChangeArrowheads="1" noChangeAspect="1"/>
                          </pic:cNvPicPr>
                        </pic:nvPicPr>
                        <pic:blipFill>
                          <a:blip r:embed="rId91"/>
                          <a:stretch>
                            <a:fillRect/>
                          </a:stretch>
                        </pic:blipFill>
                        <pic:spPr bwMode="auto">
                          <a:xfrm>
                            <a:off x="0" y="0"/>
                            <a:ext cx="4267200" cy="2761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94"/>
        </w:tc>
      </w:tr>
    </w:tbl>
    <w:bookmarkEnd w:id="95"/>
    <w:bookmarkStart w:id="105" w:name="s3.3-supplementary-diagnostic-figures"/>
    <w:p>
      <w:pPr>
        <w:pStyle w:val="Heading3"/>
      </w:pPr>
      <w:r>
        <w:t xml:space="preserve">S3.3 Supplementary Diagnostic Figures</w:t>
      </w:r>
    </w:p>
    <w:p>
      <w:pPr>
        <w:pStyle w:val="FirstParagraph"/>
      </w:pPr>
      <w:hyperlink w:anchor="suppfig-caf">
        <w:r>
          <w:rPr>
            <w:rStyle w:val="Hyperlink"/>
          </w:rPr>
          <w:t xml:space="preserve">Figure S7</w:t>
        </w:r>
      </w:hyperlink>
      <w:r>
        <w:t xml:space="preserve"> </w:t>
      </w:r>
      <w:r>
        <w:t xml:space="preserve">plots accuracy by RT bin for each Task × Effort × Difficulty cell. Accuracy rises with RT, as expected under accumulation.</w:t>
      </w:r>
    </w:p>
    <w:tbl>
      <w:tblPr>
        <w:tblStyle w:val="Table"/>
        <w:tblW w:type="pct" w:w="5000"/>
        <w:tblLayout w:type="fixed"/>
        <w:tblLook w:firstRow="0" w:lastRow="0" w:firstColumn="0" w:lastColumn="0" w:noHBand="0" w:noVBand="0" w:val="0000"/>
      </w:tblPr>
      <w:tblGrid>
        <w:gridCol w:w="7920"/>
      </w:tblGrid>
      <w:tr>
        <w:tc>
          <w:tcPr/>
          <w:bookmarkStart w:id="99" w:name="suppfig-caf"/>
          <w:p>
            <w:pPr>
              <w:jc w:val="center"/>
            </w:pPr>
            <w:r>
              <w:drawing>
                <wp:inline>
                  <wp:extent cx="4533900" cy="3627120"/>
                  <wp:effectExtent b="0" l="0" r="0" t="0"/>
                  <wp:docPr descr="" title="" id="97" name="Picture"/>
                  <a:graphic>
                    <a:graphicData uri="http://schemas.openxmlformats.org/drawingml/2006/picture">
                      <pic:pic>
                        <pic:nvPicPr>
                          <pic:cNvPr descr="chap3_ddm_results_files/figure-docx/unnamed-chunk-20-1.png" id="98" name="Picture"/>
                          <pic:cNvPicPr>
                            <a:picLocks noChangeArrowheads="1" noChangeAspect="1"/>
                          </pic:cNvPicPr>
                        </pic:nvPicPr>
                        <pic:blipFill>
                          <a:blip r:embed="rId96"/>
                          <a:stretch>
                            <a:fillRect/>
                          </a:stretch>
                        </pic:blipFill>
                        <pic:spPr bwMode="auto">
                          <a:xfrm>
                            <a:off x="0" y="0"/>
                            <a:ext cx="4533900" cy="36271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S7: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99"/>
        </w:tc>
      </w:tr>
    </w:tbl>
    <w:p>
      <w:pPr>
        <w:pStyle w:val="BodyText"/>
      </w:pPr>
      <w:hyperlink w:anchor="suppfig-ppc-heatmaps">
        <w:r>
          <w:rPr>
            <w:rStyle w:val="Hyperlink"/>
          </w:rPr>
          <w:t xml:space="preserve">Figure S8</w:t>
        </w:r>
      </w:hyperlink>
      <w:r>
        <w:t xml:space="preserve"> </w:t>
      </w:r>
      <w:r>
        <w:t xml:space="preserve">shows KS and full-range QP RMSE by cell.</w:t>
      </w:r>
      <w:r>
        <w:t xml:space="preserve"> </w:t>
      </w:r>
      <w:hyperlink w:anchor="supptbl-ppc-midbody">
        <w:r>
          <w:rPr>
            <w:rStyle w:val="Hyperlink"/>
          </w:rPr>
          <w:t xml:space="preserve">Table S9</w:t>
        </w:r>
      </w:hyperlink>
      <w:r>
        <w:t xml:space="preserve"> </w:t>
      </w:r>
      <w:r>
        <w:t xml:space="preserve">reports mid-body QP RMSE (30/50/70 quantiles only), which is less sensitive to fast-tail misfit. Thresholds: KS</w:t>
      </w:r>
      <w:r>
        <w:t xml:space="preserve"> </w:t>
      </w:r>
      <m:oMath>
        <m:r>
          <m:rPr>
            <m:sty m:val="p"/>
          </m:rPr>
          <m:t>&lt;</m:t>
        </m:r>
      </m:oMath>
      <w:r>
        <w:t xml:space="preserve"> </w:t>
      </w:r>
      <w:r>
        <w:t xml:space="preserve">0.15 = pass, 0.15–0.20 = warn,</w:t>
      </w:r>
      <w:r>
        <w:t xml:space="preserve"> </w:t>
      </w:r>
      <m:oMath>
        <m:r>
          <m:rPr>
            <m:sty m:val="p"/>
          </m:rPr>
          <m:t>&gt;</m:t>
        </m:r>
      </m:oMath>
      <w:r>
        <w:t xml:space="preserve"> </w:t>
      </w:r>
      <w:r>
        <w:t xml:space="preserve">0.20 = fail; QP RMSE</w:t>
      </w:r>
      <w:r>
        <w:t xml:space="preserve"> </w:t>
      </w:r>
      <m:oMath>
        <m:r>
          <m:rPr>
            <m:sty m:val="p"/>
          </m:rPr>
          <m:t>&lt;</m:t>
        </m:r>
      </m:oMath>
      <w:r>
        <w:t xml:space="preserve"> </w:t>
      </w:r>
      <w:r>
        <w:t xml:space="preserve">0.09 s = pass, 0.09–0.12 s = warn,</w:t>
      </w:r>
      <w:r>
        <w:t xml:space="preserve"> </w:t>
      </w:r>
      <m:oMath>
        <m:r>
          <m:rPr>
            <m:sty m:val="p"/>
          </m:rPr>
          <m:t>≥</m:t>
        </m:r>
      </m:oMath>
      <w:r>
        <w:t xml:space="preserve"> </w:t>
      </w:r>
      <w:r>
        <w:t xml:space="preserve">0.12 s = fail. In the primary gate summary, 100% of cells were flagged on full-range metrics (max KS = 0.343; max full-range QP RMSE = 0.225 s;</w:t>
      </w:r>
      <w:r>
        <w:t xml:space="preserve"> </w:t>
      </w:r>
      <w:hyperlink w:anchor="supptbl-convergence-ppc-gate-appendix">
        <w:r>
          <w:rPr>
            <w:rStyle w:val="Hyperlink"/>
          </w:rPr>
          <w:t xml:space="preserve">Table S8</w:t>
        </w:r>
      </w:hyperlink>
      <w:r>
        <w:t xml:space="preserve">), mostly in fast tails (often Easy/VDT). Mid-body QP RMSE was below the 0.12 s fail threshold in 7/12 cells (max = 0.138 s;</w:t>
      </w:r>
      <w:r>
        <w:t xml:space="preserve"> </w:t>
      </w:r>
      <w:hyperlink w:anchor="supptbl-ppc-midbody">
        <w:r>
          <w:rPr>
            <w:rStyle w:val="Hyperlink"/>
          </w:rPr>
          <w:t xml:space="preserve">Table S9</w:t>
        </w:r>
      </w:hyperlink>
      <w:r>
        <w:t xml:space="preserve">), indicating better central-tendency fit than the full quantile range despite tail-driven KS flags. PPC flags reflect absolute fit only; substantive contrasts were stable across RT cutoffs and sub-chance exclusions.</w:t>
      </w:r>
    </w:p>
    <w:tbl>
      <w:tblPr>
        <w:tblStyle w:val="Table"/>
        <w:tblW w:type="pct" w:w="5000"/>
        <w:tblLayout w:type="fixed"/>
        <w:tblLook w:firstRow="0" w:lastRow="0" w:firstColumn="0" w:lastColumn="0" w:noHBand="0" w:noVBand="0" w:val="0000"/>
      </w:tblPr>
      <w:tblGrid>
        <w:gridCol w:w="7920"/>
      </w:tblGrid>
      <w:tr>
        <w:tc>
          <w:tcPr/>
          <w:bookmarkStart w:id="100" w:name="supptbl-ppc-midbody"/>
          <w:p>
            <w:pPr>
              <w:jc w:val="center"/>
            </w:pPr>
            <w:pPr>
              <w:jc w:val="left"/>
              <w:spacing w:before="200"/>
              <w:pStyle w:val="ImageCaption"/>
            </w:pPr>
            <w:r>
              <w:t xml:space="preserve">Table S9: Mid-body QP RMSE by experimental cell (30/50/70 quantiles only). Values below the 0.12 s fail threshold support acceptable central-tendency fit despite fast-tail KS flags.</w:t>
            </w:r>
          </w:p>
          <w:tbl>
            <w:tblPr>
              <w:tblStyle w:val="Table"/>
              <w:tblW w:type="pct" w:w="5000"/>
              <w:tblLayout w:type="fixed"/>
              <w:tblLook w:firstRow="1" w:lastRow="0" w:firstColumn="0" w:lastColumn="0" w:noHBand="0" w:noVBand="0" w:val="0020"/>
            </w:tblPr>
            <w:tblGrid>
              <w:gridCol w:w="444"/>
              <w:gridCol w:w="622"/>
              <w:gridCol w:w="978"/>
              <w:gridCol w:w="1868"/>
              <w:gridCol w:w="1512"/>
              <w:gridCol w:w="533"/>
              <w:gridCol w:w="1245"/>
              <w:gridCol w:w="711"/>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left"/>
                    <w:jc w:val="center"/>
                  </w:pPr>
                  <w:r>
                    <w:t xml:space="preserve">Difficulty</w:t>
                  </w:r>
                </w:p>
              </w:tc>
              <w:tc>
                <w:tcPr/>
                <w:p>
                  <w:pPr>
                    <w:pStyle w:val="Compact"/>
                    <w:jc w:val="left"/>
                    <w:jc w:val="center"/>
                  </w:pPr>
                  <w:r>
                    <w:t xml:space="preserve">Mid-body QP RMSE (s)</w:t>
                  </w:r>
                </w:p>
              </w:tc>
              <w:tc>
                <w:tcPr/>
                <w:p>
                  <w:pPr>
                    <w:pStyle w:val="Compact"/>
                    <w:jc w:val="left"/>
                    <w:jc w:val="center"/>
                  </w:pPr>
                  <w:r>
                    <w:t xml:space="preserve">Full QP RMSE (s)</w:t>
                  </w:r>
                </w:p>
              </w:tc>
              <w:tc>
                <w:tcPr/>
                <w:p>
                  <w:pPr>
                    <w:pStyle w:val="Compact"/>
                    <w:jc w:val="left"/>
                    <w:jc w:val="center"/>
                  </w:pPr>
                  <w:r>
                    <w:t xml:space="preserve">KS</w:t>
                  </w:r>
                </w:p>
              </w:tc>
              <w:tc>
                <w:tcPr/>
                <w:p>
                  <w:pPr>
                    <w:pStyle w:val="Compact"/>
                    <w:jc w:val="left"/>
                    <w:jc w:val="center"/>
                  </w:pPr>
                  <w:r>
                    <w:t xml:space="preserve">Mid-body flag</w:t>
                  </w:r>
                </w:p>
              </w:tc>
              <w:tc>
                <w:tcPr/>
                <w:p>
                  <w:pPr>
                    <w:pStyle w:val="Compact"/>
                    <w:jc w:val="left"/>
                    <w:jc w:val="center"/>
                  </w:pPr>
                  <w:r>
                    <w:t xml:space="preserve">KS flag</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0.129</w:t>
                  </w:r>
                </w:p>
              </w:tc>
              <w:tc>
                <w:tcPr/>
                <w:p>
                  <w:pPr>
                    <w:pStyle w:val="Compact"/>
                    <w:jc w:val="left"/>
                    <w:jc w:val="center"/>
                  </w:pPr>
                  <w:r>
                    <w:t xml:space="preserve">0.107</w:t>
                  </w:r>
                </w:p>
              </w:tc>
              <w:tc>
                <w:tcPr/>
                <w:p>
                  <w:pPr>
                    <w:pStyle w:val="Compact"/>
                    <w:jc w:val="left"/>
                    <w:jc w:val="center"/>
                  </w:pPr>
                  <w:r>
                    <w:t xml:space="preserve">0.279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0.110</w:t>
                  </w:r>
                </w:p>
              </w:tc>
              <w:tc>
                <w:tcPr/>
                <w:p>
                  <w:pPr>
                    <w:pStyle w:val="Compact"/>
                    <w:jc w:val="left"/>
                    <w:jc w:val="center"/>
                  </w:pPr>
                  <w:r>
                    <w:t xml:space="preserve">0.128</w:t>
                  </w:r>
                </w:p>
              </w:tc>
              <w:tc>
                <w:tcPr/>
                <w:p>
                  <w:pPr>
                    <w:pStyle w:val="Compact"/>
                    <w:jc w:val="left"/>
                    <w:jc w:val="center"/>
                  </w:pPr>
                  <w:r>
                    <w:t xml:space="preserve">0.145</w:t>
                  </w:r>
                </w:p>
              </w:tc>
              <w:tc>
                <w:tcPr/>
                <w:p>
                  <w:pPr>
                    <w:pStyle w:val="Compact"/>
                    <w:jc w:val="left"/>
                    <w:jc w:val="center"/>
                  </w:pPr>
                  <w:r>
                    <w:t xml:space="preserve">Warn</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0.110</w:t>
                  </w:r>
                </w:p>
              </w:tc>
              <w:tc>
                <w:tcPr/>
                <w:p>
                  <w:pPr>
                    <w:pStyle w:val="Compact"/>
                    <w:jc w:val="left"/>
                    <w:jc w:val="center"/>
                  </w:pPr>
                  <w:r>
                    <w:t xml:space="preserve">0.135</w:t>
                  </w:r>
                </w:p>
              </w:tc>
              <w:tc>
                <w:tcPr/>
                <w:p>
                  <w:pPr>
                    <w:pStyle w:val="Compact"/>
                    <w:jc w:val="left"/>
                    <w:jc w:val="center"/>
                  </w:pPr>
                  <w:r>
                    <w:t xml:space="preserve">0.330</w:t>
                  </w:r>
                </w:p>
              </w:tc>
              <w:tc>
                <w:tcPr/>
                <w:p>
                  <w:pPr>
                    <w:pStyle w:val="Compact"/>
                    <w:jc w:val="left"/>
                    <w:jc w:val="center"/>
                  </w:pPr>
                  <w:r>
                    <w:t xml:space="preserve">Warn</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0.138</w:t>
                  </w:r>
                </w:p>
              </w:tc>
              <w:tc>
                <w:tcPr/>
                <w:p>
                  <w:pPr>
                    <w:pStyle w:val="Compact"/>
                    <w:jc w:val="left"/>
                    <w:jc w:val="center"/>
                  </w:pPr>
                  <w:r>
                    <w:t xml:space="preserve">0.119</w:t>
                  </w:r>
                </w:p>
              </w:tc>
              <w:tc>
                <w:tcPr/>
                <w:p>
                  <w:pPr>
                    <w:pStyle w:val="Compact"/>
                    <w:jc w:val="left"/>
                    <w:jc w:val="center"/>
                  </w:pPr>
                  <w:r>
                    <w:t xml:space="preserve">0.266</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0.089</w:t>
                  </w:r>
                </w:p>
              </w:tc>
              <w:tc>
                <w:tcPr/>
                <w:p>
                  <w:pPr>
                    <w:pStyle w:val="Compact"/>
                    <w:jc w:val="left"/>
                    <w:jc w:val="center"/>
                  </w:pPr>
                  <w:r>
                    <w:t xml:space="preserve">0.122</w:t>
                  </w:r>
                </w:p>
              </w:tc>
              <w:tc>
                <w:tcPr/>
                <w:p>
                  <w:pPr>
                    <w:pStyle w:val="Compact"/>
                    <w:jc w:val="left"/>
                    <w:jc w:val="center"/>
                  </w:pPr>
                  <w:r>
                    <w:t xml:space="preserve">0.103</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0.132</w:t>
                  </w:r>
                </w:p>
              </w:tc>
              <w:tc>
                <w:tcPr/>
                <w:p>
                  <w:pPr>
                    <w:pStyle w:val="Compact"/>
                    <w:jc w:val="left"/>
                    <w:jc w:val="center"/>
                  </w:pPr>
                  <w:r>
                    <w:t xml:space="preserve">0.180</w:t>
                  </w:r>
                </w:p>
              </w:tc>
              <w:tc>
                <w:tcPr/>
                <w:p>
                  <w:pPr>
                    <w:pStyle w:val="Compact"/>
                    <w:jc w:val="left"/>
                    <w:jc w:val="center"/>
                  </w:pPr>
                  <w:r>
                    <w:t xml:space="preserve">0.299</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Standard</w:t>
                  </w:r>
                </w:p>
              </w:tc>
              <w:tc>
                <w:tcPr/>
                <w:p>
                  <w:pPr>
                    <w:pStyle w:val="Compact"/>
                    <w:jc w:val="left"/>
                    <w:jc w:val="center"/>
                  </w:pPr>
                  <w:r>
                    <w:t xml:space="preserve">0.057</w:t>
                  </w:r>
                </w:p>
              </w:tc>
              <w:tc>
                <w:tcPr/>
                <w:p>
                  <w:pPr>
                    <w:pStyle w:val="Compact"/>
                    <w:jc w:val="left"/>
                    <w:jc w:val="center"/>
                  </w:pPr>
                  <w:r>
                    <w:t xml:space="preserve">0.165</w:t>
                  </w:r>
                </w:p>
              </w:tc>
              <w:tc>
                <w:tcPr/>
                <w:p>
                  <w:pPr>
                    <w:pStyle w:val="Compact"/>
                    <w:jc w:val="left"/>
                    <w:jc w:val="center"/>
                  </w:pPr>
                  <w:r>
                    <w:t xml:space="preserve">0.203</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Hard</w:t>
                  </w:r>
                </w:p>
              </w:tc>
              <w:tc>
                <w:tcPr/>
                <w:p>
                  <w:pPr>
                    <w:pStyle w:val="Compact"/>
                    <w:jc w:val="left"/>
                    <w:jc w:val="center"/>
                  </w:pPr>
                  <w:r>
                    <w:t xml:space="preserve">0.053</w:t>
                  </w:r>
                </w:p>
              </w:tc>
              <w:tc>
                <w:tcPr/>
                <w:p>
                  <w:pPr>
                    <w:pStyle w:val="Compact"/>
                    <w:jc w:val="left"/>
                    <w:jc w:val="center"/>
                  </w:pPr>
                  <w:r>
                    <w:t xml:space="preserve">0.185</w:t>
                  </w:r>
                </w:p>
              </w:tc>
              <w:tc>
                <w:tcPr/>
                <w:p>
                  <w:pPr>
                    <w:pStyle w:val="Compact"/>
                    <w:jc w:val="left"/>
                    <w:jc w:val="center"/>
                  </w:pPr>
                  <w:r>
                    <w:t xml:space="preserve">0.096</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left"/>
                    <w:jc w:val="center"/>
                  </w:pPr>
                  <w:r>
                    <w:t xml:space="preserve">Easy</w:t>
                  </w:r>
                </w:p>
              </w:tc>
              <w:tc>
                <w:tcPr/>
                <w:p>
                  <w:pPr>
                    <w:pStyle w:val="Compact"/>
                    <w:jc w:val="left"/>
                    <w:jc w:val="center"/>
                  </w:pPr>
                  <w:r>
                    <w:t xml:space="preserve">0.121</w:t>
                  </w:r>
                </w:p>
              </w:tc>
              <w:tc>
                <w:tcPr/>
                <w:p>
                  <w:pPr>
                    <w:pStyle w:val="Compact"/>
                    <w:jc w:val="left"/>
                    <w:jc w:val="center"/>
                  </w:pPr>
                  <w:r>
                    <w:t xml:space="preserve">0.197</w:t>
                  </w:r>
                </w:p>
              </w:tc>
              <w:tc>
                <w:tcPr/>
                <w:p>
                  <w:pPr>
                    <w:pStyle w:val="Compact"/>
                    <w:jc w:val="left"/>
                    <w:jc w:val="center"/>
                  </w:pPr>
                  <w:r>
                    <w:t xml:space="preserve">0.328</w:t>
                  </w:r>
                </w:p>
              </w:tc>
              <w:tc>
                <w:tcPr/>
                <w:p>
                  <w:pPr>
                    <w:pStyle w:val="Compact"/>
                    <w:jc w:val="left"/>
                    <w:jc w:val="center"/>
                  </w:pPr>
                  <w:r>
                    <w:t xml:space="preserve">Fail</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Standard</w:t>
                  </w:r>
                </w:p>
              </w:tc>
              <w:tc>
                <w:tcPr/>
                <w:p>
                  <w:pPr>
                    <w:pStyle w:val="Compact"/>
                    <w:jc w:val="left"/>
                    <w:jc w:val="center"/>
                  </w:pPr>
                  <w:r>
                    <w:t xml:space="preserve">0.071</w:t>
                  </w:r>
                </w:p>
              </w:tc>
              <w:tc>
                <w:tcPr/>
                <w:p>
                  <w:pPr>
                    <w:pStyle w:val="Compact"/>
                    <w:jc w:val="left"/>
                    <w:jc w:val="center"/>
                  </w:pPr>
                  <w:r>
                    <w:t xml:space="preserve">0.168</w:t>
                  </w:r>
                </w:p>
              </w:tc>
              <w:tc>
                <w:tcPr/>
                <w:p>
                  <w:pPr>
                    <w:pStyle w:val="Compact"/>
                    <w:jc w:val="left"/>
                    <w:jc w:val="center"/>
                  </w:pPr>
                  <w:r>
                    <w:t xml:space="preserve">0.255</w:t>
                  </w:r>
                </w:p>
              </w:tc>
              <w:tc>
                <w:tcPr/>
                <w:p>
                  <w:pPr>
                    <w:pStyle w:val="Compact"/>
                    <w:jc w:val="left"/>
                    <w:jc w:val="center"/>
                  </w:pPr>
                  <w:r>
                    <w:t xml:space="preserve">Pass</w:t>
                  </w:r>
                </w:p>
              </w:tc>
              <w:tc>
                <w:tcPr/>
                <w:p>
                  <w:pPr>
                    <w:pStyle w:val="Compact"/>
                    <w:jc w:val="left"/>
                    <w:jc w:val="center"/>
                  </w:pPr>
                  <w:r>
                    <w:t xml:space="preserve">Fail</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Hard</w:t>
                  </w:r>
                </w:p>
              </w:tc>
              <w:tc>
                <w:tcPr/>
                <w:p>
                  <w:pPr>
                    <w:pStyle w:val="Compact"/>
                    <w:jc w:val="left"/>
                    <w:jc w:val="center"/>
                  </w:pPr>
                  <w:r>
                    <w:t xml:space="preserve">0.063</w:t>
                  </w:r>
                </w:p>
              </w:tc>
              <w:tc>
                <w:tcPr/>
                <w:p>
                  <w:pPr>
                    <w:pStyle w:val="Compact"/>
                    <w:jc w:val="left"/>
                    <w:jc w:val="center"/>
                  </w:pPr>
                  <w:r>
                    <w:t xml:space="preserve">0.180</w:t>
                  </w:r>
                </w:p>
              </w:tc>
              <w:tc>
                <w:tcPr/>
                <w:p>
                  <w:pPr>
                    <w:pStyle w:val="Compact"/>
                    <w:jc w:val="left"/>
                    <w:jc w:val="center"/>
                  </w:pPr>
                  <w:r>
                    <w:t xml:space="preserve">0.088</w:t>
                  </w:r>
                </w:p>
              </w:tc>
              <w:tc>
                <w:tcPr/>
                <w:p>
                  <w:pPr>
                    <w:pStyle w:val="Compact"/>
                    <w:jc w:val="left"/>
                    <w:jc w:val="center"/>
                  </w:pPr>
                  <w:r>
                    <w:t xml:space="preserve">Pass</w:t>
                  </w:r>
                </w:p>
              </w:tc>
              <w:tc>
                <w:tcPr/>
                <w:p>
                  <w:pPr>
                    <w:pStyle w:val="Compact"/>
                    <w:jc w:val="left"/>
                    <w:jc w:val="center"/>
                  </w:pPr>
                  <w:r>
                    <w:t xml:space="preserve">Pass</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left"/>
                    <w:jc w:val="center"/>
                  </w:pPr>
                  <w:r>
                    <w:t xml:space="preserve">Easy</w:t>
                  </w:r>
                </w:p>
              </w:tc>
              <w:tc>
                <w:tcPr/>
                <w:p>
                  <w:pPr>
                    <w:pStyle w:val="Compact"/>
                    <w:jc w:val="left"/>
                    <w:jc w:val="center"/>
                  </w:pPr>
                  <w:r>
                    <w:t xml:space="preserve">0.129</w:t>
                  </w:r>
                </w:p>
              </w:tc>
              <w:tc>
                <w:tcPr/>
                <w:p>
                  <w:pPr>
                    <w:pStyle w:val="Compact"/>
                    <w:jc w:val="left"/>
                    <w:jc w:val="center"/>
                  </w:pPr>
                  <w:r>
                    <w:t xml:space="preserve">0.225</w:t>
                  </w:r>
                </w:p>
              </w:tc>
              <w:tc>
                <w:tcPr/>
                <w:p>
                  <w:pPr>
                    <w:pStyle w:val="Compact"/>
                    <w:jc w:val="left"/>
                    <w:jc w:val="center"/>
                  </w:pPr>
                  <w:r>
                    <w:t xml:space="preserve">0.343</w:t>
                  </w:r>
                </w:p>
              </w:tc>
              <w:tc>
                <w:tcPr/>
                <w:p>
                  <w:pPr>
                    <w:pStyle w:val="Compact"/>
                    <w:jc w:val="left"/>
                    <w:jc w:val="center"/>
                  </w:pPr>
                  <w:r>
                    <w:t xml:space="preserve">Fail</w:t>
                  </w:r>
                </w:p>
              </w:tc>
              <w:tc>
                <w:tcPr/>
                <w:p>
                  <w:pPr>
                    <w:pStyle w:val="Compact"/>
                    <w:jc w:val="left"/>
                    <w:jc w:val="center"/>
                  </w:pPr>
                  <w:r>
                    <w:t xml:space="preserve">Fail</w:t>
                  </w:r>
                </w:p>
              </w:tc>
            </w:tr>
          </w:tbl>
          <w:bookmarkEnd w:id="1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suppfig-ppc-heatmaps"/>
          <w:p>
            <w:pPr>
              <w:jc w:val="center"/>
            </w:pPr>
            <w:r>
              <w:drawing>
                <wp:inline>
                  <wp:extent cx="4267200" cy="3556000"/>
                  <wp:effectExtent b="0" l="0" r="0" t="0"/>
                  <wp:docPr descr="" title="" id="102" name="Picture"/>
                  <a:graphic>
                    <a:graphicData uri="http://schemas.openxmlformats.org/drawingml/2006/picture">
                      <pic:pic>
                        <pic:nvPicPr>
                          <pic:cNvPr descr="../output/figures/fig_ppc_heatmaps.png" id="103" name="Picture"/>
                          <pic:cNvPicPr>
                            <a:picLocks noChangeArrowheads="1" noChangeAspect="1"/>
                          </pic:cNvPicPr>
                        </pic:nvPicPr>
                        <pic:blipFill>
                          <a:blip r:embed="rId101"/>
                          <a:stretch>
                            <a:fillRect/>
                          </a:stretch>
                        </pic:blipFill>
                        <pic:spPr bwMode="auto">
                          <a:xfrm>
                            <a:off x="0" y="0"/>
                            <a:ext cx="42672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PPC Residual Heatmaps. KS statistic and QP RMSE by Task × Effort × Difficulty for all models (top panel) and primary model only (bottom panel). Darker red indicates larger residuals. All cells exceed at least one pre-specified strict threshold; deviations are concentrated in fast RT tails.</w:t>
            </w:r>
          </w:p>
          <w:bookmarkEnd w:id="104"/>
        </w:tc>
      </w:tr>
    </w:tbl>
    <w:bookmarkEnd w:id="105"/>
    <w:bookmarkEnd w:id="106"/>
    <w:bookmarkStart w:id="128" w:name="s4.-sensitivity-analyses"/>
    <w:p>
      <w:pPr>
        <w:pStyle w:val="Heading2"/>
      </w:pPr>
      <w:r>
        <w:t xml:space="preserve">S4. Sensitivity Analyses</w:t>
      </w:r>
    </w:p>
    <w:bookmarkStart w:id="108" w:name="X2e93741563d1417af86a1c06ad43e159d738b9d"/>
    <w:p>
      <w:pPr>
        <w:pStyle w:val="Heading3"/>
      </w:pPr>
      <w:r>
        <w:t xml:space="preserve">S4.1 Exclusion of Sub-Chance Participants</w:t>
      </w:r>
    </w:p>
    <w:p>
      <w:pPr>
        <w:pStyle w:val="FirstParagraph"/>
      </w:pPr>
      <w:r>
        <w:t xml:space="preserve">Twelve participants were at or near chance ($</w:t>
      </w:r>
      <w:r>
        <w:t xml:space="preserve">$55% accuracy in some conditions). We refit the primary model on the full sample (N = 67) and after excluding them (N = 55).</w:t>
      </w:r>
    </w:p>
    <w:p>
      <w:pPr>
        <w:pStyle w:val="BodyText"/>
      </w:pPr>
      <w:r>
        <w:rPr>
          <w:b/>
          <w:bCs/>
        </w:rPr>
        <w:t xml:space="preserve">Method.</w:t>
      </w:r>
      <w:r>
        <w:t xml:space="preserve"> </w:t>
      </w:r>
      <w:r>
        <w:t xml:space="preserve">Model3_Difficulty and Model4_Additive were refit on the reduced sample. We compared sensitivity − baseline (Δ) with 95% CrIs. Overlapping CIs and a Δ CI including zero indicate little change.</w:t>
      </w:r>
    </w:p>
    <w:tbl>
      <w:tblPr>
        <w:tblStyle w:val="Table"/>
        <w:tblW w:type="pct" w:w="5000"/>
        <w:tblLayout w:type="fixed"/>
        <w:tblLook w:firstRow="0" w:lastRow="0" w:firstColumn="0" w:lastColumn="0" w:noHBand="0" w:noVBand="0" w:val="0000"/>
      </w:tblPr>
      <w:tblGrid>
        <w:gridCol w:w="7920"/>
      </w:tblGrid>
      <w:tr>
        <w:tc>
          <w:tcPr/>
          <w:bookmarkStart w:id="107" w:name="supptbl-sensitivity-subchance"/>
          <w:p>
            <w:pPr>
              <w:jc w:val="center"/>
            </w:pPr>
            <w:pPr>
              <w:jc w:val="left"/>
              <w:spacing w:before="200"/>
              <w:pStyle w:val="ImageCaption"/>
            </w:pPr>
            <w:r>
              <w:t xml:space="preserve">Table S10: Sensitivity Analysis: Excluding Sub-Chance Participants</w:t>
            </w:r>
          </w:p>
          <w:tbl>
            <w:tblPr>
              <w:tblStyle w:val="Table"/>
              <w:tblW w:type="pct" w:w="5000"/>
              <w:tblLayout w:type="fixed"/>
              <w:tblLook w:firstRow="1" w:lastRow="0" w:firstColumn="0" w:lastColumn="0" w:noHBand="0" w:noVBand="0" w:val="0020"/>
            </w:tblPr>
            <w:tblGrid>
              <w:gridCol w:w="1152"/>
              <w:gridCol w:w="1403"/>
              <w:gridCol w:w="902"/>
              <w:gridCol w:w="1052"/>
              <w:gridCol w:w="350"/>
              <w:gridCol w:w="751"/>
              <w:gridCol w:w="751"/>
              <w:gridCol w:w="551"/>
              <w:gridCol w:w="1002"/>
            </w:tblGrid>
            <w:tr>
              <w:trPr>
                <w:tblHeader w:val="on"/>
              </w:trPr>
              <w:tc>
                <w:tcPr/>
                <w:p>
                  <w:pPr>
                    <w:pStyle w:val="Compact"/>
                    <w:jc w:val="left"/>
                    <w:jc w:val="center"/>
                  </w:pPr>
                  <w:r>
                    <w:t xml:space="preserve">model</w:t>
                  </w:r>
                </w:p>
              </w:tc>
              <w:tc>
                <w:tcPr/>
                <w:p>
                  <w:pPr>
                    <w:pStyle w:val="Compact"/>
                    <w:jc w:val="left"/>
                    <w:jc w:val="center"/>
                  </w:pPr>
                  <w:r>
                    <w:t xml:space="preserve">parameter</w:t>
                  </w:r>
                </w:p>
              </w:tc>
              <w:tc>
                <w:tcPr/>
                <w:p>
                  <w:pPr>
                    <w:pStyle w:val="Compact"/>
                    <w:jc w:val="right"/>
                    <w:jc w:val="center"/>
                  </w:pPr>
                  <w:r>
                    <w:t xml:space="preserve">baseline_estimate</w:t>
                  </w:r>
                </w:p>
              </w:tc>
              <w:tc>
                <w:tcPr/>
                <w:p>
                  <w:pPr>
                    <w:pStyle w:val="Compact"/>
                    <w:jc w:val="right"/>
                    <w:jc w:val="center"/>
                  </w:pPr>
                  <w:r>
                    <w:t xml:space="preserve">sensitivity_estimate</w:t>
                  </w:r>
                </w:p>
              </w:tc>
              <w:tc>
                <w:tcPr/>
                <w:p>
                  <w:pPr>
                    <w:pStyle w:val="Compact"/>
                    <w:jc w:val="right"/>
                    <w:jc w:val="center"/>
                  </w:pPr>
                  <w:r>
                    <w:t xml:space="preserve">delta</w:t>
                  </w:r>
                </w:p>
              </w:tc>
              <w:tc>
                <w:tcPr/>
                <w:p>
                  <w:pPr>
                    <w:pStyle w:val="Compact"/>
                    <w:jc w:val="right"/>
                    <w:jc w:val="center"/>
                  </w:pPr>
                  <w:r>
                    <w:t xml:space="preserve">delta_ci_lower</w:t>
                  </w:r>
                </w:p>
              </w:tc>
              <w:tc>
                <w:tcPr/>
                <w:p>
                  <w:pPr>
                    <w:pStyle w:val="Compact"/>
                    <w:jc w:val="right"/>
                    <w:jc w:val="center"/>
                  </w:pPr>
                  <w:r>
                    <w:t xml:space="preserve">delta_ci_upper</w:t>
                  </w:r>
                </w:p>
              </w:tc>
              <w:tc>
                <w:tcPr/>
                <w:p>
                  <w:pPr>
                    <w:pStyle w:val="Compact"/>
                    <w:jc w:val="left"/>
                    <w:jc w:val="center"/>
                  </w:pPr>
                  <w:r>
                    <w:t xml:space="preserve">ci_overlap</w:t>
                  </w:r>
                </w:p>
              </w:tc>
              <w:tc>
                <w:tcPr/>
                <w:p>
                  <w:pPr>
                    <w:pStyle w:val="Compact"/>
                    <w:jc w:val="left"/>
                    <w:jc w:val="center"/>
                  </w:pPr>
                  <w:r>
                    <w:t xml:space="preserve">delta_contains_zero</w:t>
                  </w:r>
                </w:p>
              </w:tc>
            </w:tr>
            <w:tr>
              <w:tc>
                <w:tcPr/>
                <w:p>
                  <w:pPr>
                    <w:pStyle w:val="Compact"/>
                    <w:jc w:val="left"/>
                    <w:jc w:val="center"/>
                  </w:pPr>
                  <w:r>
                    <w:t xml:space="preserve">Additive (v + a + z)</w:t>
                  </w:r>
                </w:p>
              </w:tc>
              <w:tc>
                <w:tcPr/>
                <w:p>
                  <w:pPr>
                    <w:pStyle w:val="Compact"/>
                    <w:jc w:val="left"/>
                    <w:jc w:val="center"/>
                  </w:pPr>
                  <w:r>
                    <w:t xml:space="preserve">Boundary (a): Intercept</w:t>
                  </w:r>
                </w:p>
              </w:tc>
              <w:tc>
                <w:tcPr/>
                <w:p>
                  <w:pPr>
                    <w:pStyle w:val="Compact"/>
                    <w:jc w:val="right"/>
                    <w:jc w:val="center"/>
                  </w:pPr>
                  <w:r>
                    <w:t xml:space="preserve">0.705</w:t>
                  </w:r>
                </w:p>
              </w:tc>
              <w:tc>
                <w:tcPr/>
                <w:p>
                  <w:pPr>
                    <w:pStyle w:val="Compact"/>
                    <w:jc w:val="right"/>
                    <w:jc w:val="center"/>
                  </w:pPr>
                  <w:r>
                    <w:t xml:space="preserve">0.711</w:t>
                  </w:r>
                </w:p>
              </w:tc>
              <w:tc>
                <w:tcPr/>
                <w:p>
                  <w:pPr>
                    <w:pStyle w:val="Compact"/>
                    <w:jc w:val="right"/>
                    <w:jc w:val="center"/>
                  </w:pPr>
                  <w:r>
                    <w:t xml:space="preserve">0.006</w:t>
                  </w:r>
                </w:p>
              </w:tc>
              <w:tc>
                <w:tcPr/>
                <w:p>
                  <w:pPr>
                    <w:pStyle w:val="Compact"/>
                    <w:jc w:val="right"/>
                    <w:jc w:val="center"/>
                  </w:pPr>
                  <w:r>
                    <w:t xml:space="preserve">-0.091</w:t>
                  </w:r>
                </w:p>
              </w:tc>
              <w:tc>
                <w:tcPr/>
                <w:p>
                  <w:pPr>
                    <w:pStyle w:val="Compact"/>
                    <w:jc w:val="right"/>
                    <w:jc w:val="center"/>
                  </w:pPr>
                  <w:r>
                    <w:t xml:space="preserve">0.103</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Additive (v + a + z)</w:t>
                  </w:r>
                </w:p>
              </w:tc>
              <w:tc>
                <w:tcPr/>
                <w:p>
                  <w:pPr>
                    <w:pStyle w:val="Compact"/>
                    <w:jc w:val="left"/>
                    <w:jc w:val="center"/>
                  </w:pPr>
                  <w:r>
                    <w:t xml:space="preserve">Drift (v): Difficulty: Hard</w:t>
                  </w:r>
                </w:p>
              </w:tc>
              <w:tc>
                <w:tcPr/>
                <w:p>
                  <w:pPr>
                    <w:pStyle w:val="Compact"/>
                    <w:jc w:val="right"/>
                    <w:jc w:val="center"/>
                  </w:pPr>
                  <w:r>
                    <w:t xml:space="preserve">-1.534</w:t>
                  </w:r>
                </w:p>
              </w:tc>
              <w:tc>
                <w:tcPr/>
                <w:p>
                  <w:pPr>
                    <w:pStyle w:val="Compact"/>
                    <w:jc w:val="right"/>
                    <w:jc w:val="center"/>
                  </w:pPr>
                  <w:r>
                    <w:t xml:space="preserve">-1.582</w:t>
                  </w:r>
                </w:p>
              </w:tc>
              <w:tc>
                <w:tcPr/>
                <w:p>
                  <w:pPr>
                    <w:pStyle w:val="Compact"/>
                    <w:jc w:val="right"/>
                    <w:jc w:val="center"/>
                  </w:pPr>
                  <w:r>
                    <w:t xml:space="preserve">-0.049</w:t>
                  </w:r>
                </w:p>
              </w:tc>
              <w:tc>
                <w:tcPr/>
                <w:p>
                  <w:pPr>
                    <w:pStyle w:val="Compact"/>
                    <w:jc w:val="right"/>
                    <w:jc w:val="center"/>
                  </w:pPr>
                  <w:r>
                    <w:t xml:space="preserve">-0.195</w:t>
                  </w:r>
                </w:p>
              </w:tc>
              <w:tc>
                <w:tcPr/>
                <w:p>
                  <w:pPr>
                    <w:pStyle w:val="Compact"/>
                    <w:jc w:val="right"/>
                    <w:jc w:val="center"/>
                  </w:pPr>
                  <w:r>
                    <w:t xml:space="preserve">0.096</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Additive (v + a + z)</w:t>
                  </w:r>
                </w:p>
              </w:tc>
              <w:tc>
                <w:tcPr/>
                <w:p>
                  <w:pPr>
                    <w:pStyle w:val="Compact"/>
                    <w:jc w:val="left"/>
                    <w:jc w:val="center"/>
                  </w:pPr>
                  <w:r>
                    <w:t xml:space="preserve">Drift (v): Intercept</w:t>
                  </w:r>
                </w:p>
              </w:tc>
              <w:tc>
                <w:tcPr/>
                <w:p>
                  <w:pPr>
                    <w:pStyle w:val="Compact"/>
                    <w:jc w:val="right"/>
                    <w:jc w:val="center"/>
                  </w:pPr>
                  <w:r>
                    <w:t xml:space="preserve">0.996</w:t>
                  </w:r>
                </w:p>
              </w:tc>
              <w:tc>
                <w:tcPr/>
                <w:p>
                  <w:pPr>
                    <w:pStyle w:val="Compact"/>
                    <w:jc w:val="right"/>
                    <w:jc w:val="center"/>
                  </w:pPr>
                  <w:r>
                    <w:t xml:space="preserve">1.041</w:t>
                  </w:r>
                </w:p>
              </w:tc>
              <w:tc>
                <w:tcPr/>
                <w:p>
                  <w:pPr>
                    <w:pStyle w:val="Compact"/>
                    <w:jc w:val="right"/>
                    <w:jc w:val="center"/>
                  </w:pPr>
                  <w:r>
                    <w:t xml:space="preserve">0.044</w:t>
                  </w:r>
                </w:p>
              </w:tc>
              <w:tc>
                <w:tcPr/>
                <w:p>
                  <w:pPr>
                    <w:pStyle w:val="Compact"/>
                    <w:jc w:val="right"/>
                    <w:jc w:val="center"/>
                  </w:pPr>
                  <w:r>
                    <w:t xml:space="preserve">-0.170</w:t>
                  </w:r>
                </w:p>
              </w:tc>
              <w:tc>
                <w:tcPr/>
                <w:p>
                  <w:pPr>
                    <w:pStyle w:val="Compact"/>
                    <w:jc w:val="right"/>
                    <w:jc w:val="center"/>
                  </w:pPr>
                  <w:r>
                    <w:t xml:space="preserve">0.259</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Difficulty → v (drift)</w:t>
                  </w:r>
                </w:p>
              </w:tc>
              <w:tc>
                <w:tcPr/>
                <w:p>
                  <w:pPr>
                    <w:pStyle w:val="Compact"/>
                    <w:jc w:val="left"/>
                    <w:jc w:val="center"/>
                  </w:pPr>
                  <w:r>
                    <w:t xml:space="preserve">Boundary (a): Intercept</w:t>
                  </w:r>
                </w:p>
              </w:tc>
              <w:tc>
                <w:tcPr/>
                <w:p>
                  <w:pPr>
                    <w:pStyle w:val="Compact"/>
                    <w:jc w:val="right"/>
                    <w:jc w:val="center"/>
                  </w:pPr>
                  <w:r>
                    <w:t xml:space="preserve">0.705</w:t>
                  </w:r>
                </w:p>
              </w:tc>
              <w:tc>
                <w:tcPr/>
                <w:p>
                  <w:pPr>
                    <w:pStyle w:val="Compact"/>
                    <w:jc w:val="right"/>
                    <w:jc w:val="center"/>
                  </w:pPr>
                  <w:r>
                    <w:t xml:space="preserve">0.710</w:t>
                  </w:r>
                </w:p>
              </w:tc>
              <w:tc>
                <w:tcPr/>
                <w:p>
                  <w:pPr>
                    <w:pStyle w:val="Compact"/>
                    <w:jc w:val="right"/>
                    <w:jc w:val="center"/>
                  </w:pPr>
                  <w:r>
                    <w:t xml:space="preserve">0.005</w:t>
                  </w:r>
                </w:p>
              </w:tc>
              <w:tc>
                <w:tcPr/>
                <w:p>
                  <w:pPr>
                    <w:pStyle w:val="Compact"/>
                    <w:jc w:val="right"/>
                    <w:jc w:val="center"/>
                  </w:pPr>
                  <w:r>
                    <w:t xml:space="preserve">-0.094</w:t>
                  </w:r>
                </w:p>
              </w:tc>
              <w:tc>
                <w:tcPr/>
                <w:p>
                  <w:pPr>
                    <w:pStyle w:val="Compact"/>
                    <w:jc w:val="right"/>
                    <w:jc w:val="center"/>
                  </w:pPr>
                  <w:r>
                    <w:t xml:space="preserve">0.104</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Difficulty → v (drift)</w:t>
                  </w:r>
                </w:p>
              </w:tc>
              <w:tc>
                <w:tcPr/>
                <w:p>
                  <w:pPr>
                    <w:pStyle w:val="Compact"/>
                    <w:jc w:val="left"/>
                    <w:jc w:val="center"/>
                  </w:pPr>
                  <w:r>
                    <w:t xml:space="preserve">Drift (v): Difficulty: Hard</w:t>
                  </w:r>
                </w:p>
              </w:tc>
              <w:tc>
                <w:tcPr/>
                <w:p>
                  <w:pPr>
                    <w:pStyle w:val="Compact"/>
                    <w:jc w:val="right"/>
                    <w:jc w:val="center"/>
                  </w:pPr>
                  <w:r>
                    <w:t xml:space="preserve">-1.534</w:t>
                  </w:r>
                </w:p>
              </w:tc>
              <w:tc>
                <w:tcPr/>
                <w:p>
                  <w:pPr>
                    <w:pStyle w:val="Compact"/>
                    <w:jc w:val="right"/>
                    <w:jc w:val="center"/>
                  </w:pPr>
                  <w:r>
                    <w:t xml:space="preserve">-1.582</w:t>
                  </w:r>
                </w:p>
              </w:tc>
              <w:tc>
                <w:tcPr/>
                <w:p>
                  <w:pPr>
                    <w:pStyle w:val="Compact"/>
                    <w:jc w:val="right"/>
                    <w:jc w:val="center"/>
                  </w:pPr>
                  <w:r>
                    <w:t xml:space="preserve">-0.048</w:t>
                  </w:r>
                </w:p>
              </w:tc>
              <w:tc>
                <w:tcPr/>
                <w:p>
                  <w:pPr>
                    <w:pStyle w:val="Compact"/>
                    <w:jc w:val="right"/>
                    <w:jc w:val="center"/>
                  </w:pPr>
                  <w:r>
                    <w:t xml:space="preserve">-0.195</w:t>
                  </w:r>
                </w:p>
              </w:tc>
              <w:tc>
                <w:tcPr/>
                <w:p>
                  <w:pPr>
                    <w:pStyle w:val="Compact"/>
                    <w:jc w:val="right"/>
                    <w:jc w:val="center"/>
                  </w:pPr>
                  <w:r>
                    <w:t xml:space="preserve">0.100</w:t>
                  </w:r>
                </w:p>
              </w:tc>
              <w:tc>
                <w:tcPr/>
                <w:p>
                  <w:pPr>
                    <w:pStyle w:val="Compact"/>
                    <w:jc w:val="left"/>
                    <w:jc w:val="center"/>
                  </w:pPr>
                  <w:r>
                    <w:t xml:space="preserve">TRUE</w:t>
                  </w:r>
                </w:p>
              </w:tc>
              <w:tc>
                <w:tcPr/>
                <w:p>
                  <w:pPr>
                    <w:pStyle w:val="Compact"/>
                    <w:jc w:val="left"/>
                    <w:jc w:val="center"/>
                  </w:pPr>
                  <w:r>
                    <w:t xml:space="preserve">TRUE</w:t>
                  </w:r>
                </w:p>
              </w:tc>
            </w:tr>
            <w:tr>
              <w:tc>
                <w:tcPr/>
                <w:p>
                  <w:pPr>
                    <w:pStyle w:val="Compact"/>
                    <w:jc w:val="left"/>
                    <w:jc w:val="center"/>
                  </w:pPr>
                  <w:r>
                    <w:t xml:space="preserve">Difficulty → v (drift)</w:t>
                  </w:r>
                </w:p>
              </w:tc>
              <w:tc>
                <w:tcPr/>
                <w:p>
                  <w:pPr>
                    <w:pStyle w:val="Compact"/>
                    <w:jc w:val="left"/>
                    <w:jc w:val="center"/>
                  </w:pPr>
                  <w:r>
                    <w:t xml:space="preserve">Drift (v): Intercept</w:t>
                  </w:r>
                </w:p>
              </w:tc>
              <w:tc>
                <w:tcPr/>
                <w:p>
                  <w:pPr>
                    <w:pStyle w:val="Compact"/>
                    <w:jc w:val="right"/>
                    <w:jc w:val="center"/>
                  </w:pPr>
                  <w:r>
                    <w:t xml:space="preserve">1.020</w:t>
                  </w:r>
                </w:p>
              </w:tc>
              <w:tc>
                <w:tcPr/>
                <w:p>
                  <w:pPr>
                    <w:pStyle w:val="Compact"/>
                    <w:jc w:val="right"/>
                    <w:jc w:val="center"/>
                  </w:pPr>
                  <w:r>
                    <w:t xml:space="preserve">1.117</w:t>
                  </w:r>
                </w:p>
              </w:tc>
              <w:tc>
                <w:tcPr/>
                <w:p>
                  <w:pPr>
                    <w:pStyle w:val="Compact"/>
                    <w:jc w:val="right"/>
                    <w:jc w:val="center"/>
                  </w:pPr>
                  <w:r>
                    <w:t xml:space="preserve">0.097</w:t>
                  </w:r>
                </w:p>
              </w:tc>
              <w:tc>
                <w:tcPr/>
                <w:p>
                  <w:pPr>
                    <w:pStyle w:val="Compact"/>
                    <w:jc w:val="right"/>
                    <w:jc w:val="center"/>
                  </w:pPr>
                  <w:r>
                    <w:t xml:space="preserve">-0.106</w:t>
                  </w:r>
                </w:p>
              </w:tc>
              <w:tc>
                <w:tcPr/>
                <w:p>
                  <w:pPr>
                    <w:pStyle w:val="Compact"/>
                    <w:jc w:val="right"/>
                    <w:jc w:val="center"/>
                  </w:pPr>
                  <w:r>
                    <w:t xml:space="preserve">0.301</w:t>
                  </w:r>
                </w:p>
              </w:tc>
              <w:tc>
                <w:tcPr/>
                <w:p>
                  <w:pPr>
                    <w:pStyle w:val="Compact"/>
                    <w:jc w:val="left"/>
                    <w:jc w:val="center"/>
                  </w:pPr>
                  <w:r>
                    <w:t xml:space="preserve">TRUE</w:t>
                  </w:r>
                </w:p>
              </w:tc>
              <w:tc>
                <w:tcPr/>
                <w:p>
                  <w:pPr>
                    <w:pStyle w:val="Compact"/>
                    <w:jc w:val="left"/>
                    <w:jc w:val="center"/>
                  </w:pPr>
                  <w:r>
                    <w:t xml:space="preserve">TRUE</w:t>
                  </w:r>
                </w:p>
              </w:tc>
            </w:tr>
          </w:tbl>
          <w:bookmarkEnd w:id="107"/>
          <w:p/>
        </w:tc>
      </w:tr>
    </w:tbl>
    <w:p>
      <w:pPr>
        <w:pStyle w:val="BodyText"/>
      </w:pPr>
      <w:r>
        <w:rPr>
          <w:b/>
          <w:bCs/>
        </w:rPr>
        <w:t xml:space="preserve">Results.</w:t>
      </w:r>
      <w:r>
        <w:t xml:space="preserve"> </w:t>
      </w:r>
      <w:r>
        <w:t xml:space="preserve">Drift intercept, boundary separation, and the Easy difficulty effect changed little. Hard difficulty shifted slightly (</w:t>
      </w:r>
      <m:oMath>
        <m:r>
          <m:rPr>
            <m:sty m:val="p"/>
          </m:rPr>
          <m:t>Δ</m:t>
        </m:r>
        <m:r>
          <m:rPr>
            <m:sty m:val="p"/>
          </m:rPr>
          <m:t>≈</m:t>
        </m:r>
        <m:r>
          <m:rPr>
            <m:sty m:val="p"/>
          </m:rPr>
          <m:t>−</m:t>
        </m:r>
        <m:r>
          <m:t>0.10</m:t>
        </m:r>
      </m:oMath>
      <w:r>
        <w:t xml:space="preserve">; ~6.5% of baseline) but remained negative relative to Standard.</w:t>
      </w:r>
    </w:p>
    <w:p>
      <w:pPr>
        <w:pStyle w:val="BodyText"/>
      </w:pPr>
      <w:r>
        <w:rPr>
          <w:b/>
          <w:bCs/>
        </w:rPr>
        <w:t xml:space="preserve">Conclusion.</w:t>
      </w:r>
      <w:r>
        <w:t xml:space="preserve"> </w:t>
      </w:r>
      <w:r>
        <w:t xml:space="preserve">Main effects were unchanged. We kept all 67 participants for the primary analysis.</w:t>
      </w:r>
    </w:p>
    <w:bookmarkEnd w:id="108"/>
    <w:bookmarkStart w:id="116" w:name="s4.2-rt-cutoff-thresholds"/>
    <w:p>
      <w:pPr>
        <w:pStyle w:val="Heading3"/>
      </w:pPr>
      <w:r>
        <w:t xml:space="preserve">S4.2 RT Cutoff Thresholds</w:t>
      </w:r>
    </w:p>
    <w:p>
      <w:pPr>
        <w:pStyle w:val="FirstParagraph"/>
      </w:pPr>
      <w:r>
        <w:t xml:space="preserve">The difficulty gradient and effort effect on drift were similar at RT cutoffs of 0.15, 0.20, and 0.25 s (</w:t>
      </w:r>
      <w:hyperlink w:anchor="supptbl-h1-h2-by-cutoff">
        <w:r>
          <w:rPr>
            <w:rStyle w:val="Hyperlink"/>
          </w:rPr>
          <w:t xml:space="preserve">Table S12</w:t>
        </w:r>
      </w:hyperlink>
      <w:r>
        <w:t xml:space="preserve"> </w:t>
      </w:r>
      <w:r>
        <w:t xml:space="preserve">and figures below).</w:t>
      </w:r>
    </w:p>
    <w:p>
      <w:pPr>
        <w:pStyle w:val="BodyText"/>
      </w:pPr>
      <w:r>
        <w:t xml:space="preserve">LOOIC is not comparable across cutoffs because trial counts differ; we therefore compare parameter estimates and effect direction only (</w:t>
      </w:r>
      <w:hyperlink w:anchor="supptbl-h1-h2-by-cutoff">
        <w:r>
          <w:rPr>
            <w:rStyle w:val="Hyperlink"/>
          </w:rPr>
          <w:t xml:space="preserve">Table S12</w:t>
        </w:r>
      </w:hyperlink>
      <w:r>
        <w:t xml:space="preserve">).</w:t>
      </w:r>
      <w:r>
        <w:t xml:space="preserve"> </w:t>
      </w:r>
      <w:hyperlink w:anchor="supptbl-h1-h2-by-cutoff">
        <w:r>
          <w:rPr>
            <w:rStyle w:val="Hyperlink"/>
          </w:rPr>
          <w:t xml:space="preserve">Table S12</w:t>
        </w:r>
      </w:hyperlink>
      <w:r>
        <w:t xml:space="preserve"> </w:t>
      </w:r>
      <w:r>
        <w:t xml:space="preserve">reports H1 (effort on drift) and H2 (effort on boundary) contrasts from additive probe-onset-locked models refit at each cutoff (0.15 / 0.20 / 0.25 s). Coefficients at 0.20 s match the canonical primary model (max</w:t>
      </w:r>
      <w:r>
        <w:t xml:space="preserve"> </w:t>
      </w:r>
      <m:oMath>
        <m:acc>
          <m:accPr>
            <m:chr m:val="̂"/>
          </m:accPr>
          <m:e>
            <m:r>
              <m:t>R</m:t>
            </m:r>
          </m:e>
        </m:acc>
      </m:oMath>
      <w:r>
        <w:t xml:space="preserve"> </w:t>
      </w:r>
      <w:r>
        <w:t xml:space="preserve">= 1.006 in the primary fit; Supplementary Section S1). Cutoff-sweep refits are reported for directional stability only.</w:t>
      </w:r>
    </w:p>
    <w:tbl>
      <w:tblPr>
        <w:tblStyle w:val="Table"/>
        <w:tblW w:type="pct" w:w="5000"/>
        <w:tblLayout w:type="fixed"/>
        <w:tblLook w:firstRow="0" w:lastRow="0" w:firstColumn="0" w:lastColumn="0" w:noHBand="0" w:noVBand="0" w:val="0000"/>
      </w:tblPr>
      <w:tblGrid>
        <w:gridCol w:w="7920"/>
      </w:tblGrid>
      <w:tr>
        <w:tc>
          <w:tcPr/>
          <w:bookmarkStart w:id="109" w:name="supptbl-sensitivity-thresholds"/>
          <w:p>
            <w:pPr>
              <w:jc w:val="center"/>
            </w:pPr>
            <w:pPr>
              <w:jc w:val="left"/>
              <w:spacing w:before="200"/>
              <w:pStyle w:val="ImageCaption"/>
            </w:pPr>
            <w:r>
              <w:t xml:space="preserve">Table S11: Sensitivity to minimum cue-locked RT cutoff (0.15/0.20/0.25 s). LOOIC is omitted because trial counts differ across cutoffs; effect-direction comparisons appear in</w:t>
            </w:r>
            <w:r>
              <w:t xml:space="preserve"> </w:t>
            </w:r>
            <w:hyperlink w:anchor="supptbl-h1-h2-by-cutoff">
              <w:r>
                <w:rPr>
                  <w:rStyle w:val="Hyperlink"/>
                </w:rPr>
                <w:t xml:space="preserve">Table S12</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right"/>
                    <w:jc w:val="center"/>
                  </w:pPr>
                  <w:r>
                    <w:t xml:space="preserve">N subjects</w:t>
                  </w:r>
                </w:p>
              </w:tc>
              <w:tc>
                <w:tcPr/>
                <w:p>
                  <w:pPr>
                    <w:pStyle w:val="Compact"/>
                    <w:jc w:val="right"/>
                    <w:jc w:val="center"/>
                  </w:pPr>
                  <w:r>
                    <w:t xml:space="preserve">min_rt</w:t>
                  </w:r>
                </w:p>
              </w:tc>
              <w:tc>
                <w:tcPr/>
                <w:p>
                  <w:pPr>
                    <w:pStyle w:val="Compact"/>
                    <w:jc w:val="right"/>
                    <w:jc w:val="center"/>
                  </w:pPr>
                  <w:r>
                    <w:t xml:space="preserve">median_rt</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right"/>
                    <w:jc w:val="center"/>
                  </w:pPr>
                  <w:r>
                    <w:t xml:space="preserve">67</w:t>
                  </w:r>
                </w:p>
              </w:tc>
              <w:tc>
                <w:tcPr/>
                <w:p>
                  <w:pPr>
                    <w:pStyle w:val="Compact"/>
                    <w:jc w:val="right"/>
                    <w:jc w:val="center"/>
                  </w:pPr>
                  <w:r>
                    <w:t xml:space="preserve">0.1505</w:t>
                  </w:r>
                </w:p>
              </w:tc>
              <w:tc>
                <w:tcPr/>
                <w:p>
                  <w:pPr>
                    <w:pStyle w:val="Compact"/>
                    <w:jc w:val="right"/>
                    <w:jc w:val="center"/>
                  </w:pPr>
                  <w:r>
                    <w:t xml:space="preserve">0.8774</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right"/>
                    <w:jc w:val="center"/>
                  </w:pPr>
                  <w:r>
                    <w:t xml:space="preserve">67</w:t>
                  </w:r>
                </w:p>
              </w:tc>
              <w:tc>
                <w:tcPr/>
                <w:p>
                  <w:pPr>
                    <w:pStyle w:val="Compact"/>
                    <w:jc w:val="right"/>
                    <w:jc w:val="center"/>
                  </w:pPr>
                  <w:r>
                    <w:t xml:space="preserve">0.2004</w:t>
                  </w:r>
                </w:p>
              </w:tc>
              <w:tc>
                <w:tcPr/>
                <w:p>
                  <w:pPr>
                    <w:pStyle w:val="Compact"/>
                    <w:jc w:val="right"/>
                    <w:jc w:val="center"/>
                  </w:pPr>
                  <w:r>
                    <w:t xml:space="preserve">0.8823</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right"/>
                    <w:jc w:val="center"/>
                  </w:pPr>
                  <w:r>
                    <w:t xml:space="preserve">67</w:t>
                  </w:r>
                </w:p>
              </w:tc>
              <w:tc>
                <w:tcPr/>
                <w:p>
                  <w:pPr>
                    <w:pStyle w:val="Compact"/>
                    <w:jc w:val="right"/>
                    <w:jc w:val="center"/>
                  </w:pPr>
                  <w:r>
                    <w:t xml:space="preserve">0.2505</w:t>
                  </w:r>
                </w:p>
              </w:tc>
              <w:tc>
                <w:tcPr/>
                <w:p>
                  <w:pPr>
                    <w:pStyle w:val="Compact"/>
                    <w:jc w:val="right"/>
                    <w:jc w:val="center"/>
                  </w:pPr>
                  <w:r>
                    <w:t xml:space="preserve">0.8887</w:t>
                  </w:r>
                </w:p>
              </w:tc>
            </w:tr>
          </w:tbl>
          <w:bookmarkEnd w:id="109"/>
          <w:p/>
        </w:tc>
      </w:tr>
    </w:tbl>
    <w:p>
      <w:pPr>
        <w:pStyle w:val="BodyText"/>
      </w:pPr>
      <w:r>
        <w:t xml:space="preserve">Primary cutoff: 0.20 s cue-locked (</w:t>
      </w:r>
      <w:hyperlink w:anchor="supptbl-sensitivity-thresholds">
        <w:r>
          <w:rPr>
            <w:rStyle w:val="Hyperlink"/>
          </w:rPr>
          <w:t xml:space="preserve">Table S11</w:t>
        </w:r>
      </w:hyperlink>
      <w:r>
        <w:t xml:space="preserve">). All reported effects use this threshold.</w:t>
      </w:r>
    </w:p>
    <w:tbl>
      <w:tblPr>
        <w:tblStyle w:val="Table"/>
        <w:tblW w:type="pct" w:w="5000"/>
        <w:tblLayout w:type="fixed"/>
        <w:tblLook w:firstRow="0" w:lastRow="0" w:firstColumn="0" w:lastColumn="0" w:noHBand="0" w:noVBand="0" w:val="0000"/>
      </w:tblPr>
      <w:tblGrid>
        <w:gridCol w:w="7920"/>
      </w:tblGrid>
      <w:tr>
        <w:tc>
          <w:tcPr/>
          <w:bookmarkStart w:id="110" w:name="supptbl-h1-h2-by-cutoff"/>
          <w:p>
            <w:pPr>
              <w:jc w:val="center"/>
            </w:pPr>
            <w:pPr>
              <w:jc w:val="left"/>
              <w:spacing w:before="200"/>
              <w:pStyle w:val="ImageCaption"/>
            </w:pPr>
            <w:r>
              <w:t xml:space="preserve">Table S12: H1 (effort on drift) and H2 (effort on boundary) contrasts by cue-locked RT cutoff. High minus Low effort; additive probe-onset-locked models.</w:t>
            </w:r>
          </w:p>
          <w:tbl>
            <w:tblPr>
              <w:tblStyle w:val="Table"/>
              <w:tblW w:type="pct" w:w="5000"/>
              <w:tblLayout w:type="fixed"/>
              <w:tblLook w:firstRow="1" w:lastRow="0" w:firstColumn="0" w:lastColumn="0" w:noHBand="0" w:noVBand="0" w:val="0020"/>
            </w:tblPr>
            <w:tblGrid>
              <w:gridCol w:w="1335"/>
              <w:gridCol w:w="858"/>
              <w:gridCol w:w="2958"/>
              <w:gridCol w:w="2767"/>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left"/>
                    <w:jc w:val="center"/>
                  </w:pPr>
                  <w:r>
                    <w:t xml:space="preserve">H1: Effort on drift</w:t>
                  </w:r>
                </w:p>
              </w:tc>
              <w:tc>
                <w:tcPr/>
                <w:p>
                  <w:pPr>
                    <w:pStyle w:val="Compact"/>
                    <w:jc w:val="left"/>
                    <w:jc w:val="center"/>
                  </w:pPr>
                  <w:r>
                    <w:t xml:space="preserve">H2: Effort on boundary</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left"/>
                    <w:jc w:val="center"/>
                  </w:pPr>
                  <w:r>
                    <w:t xml:space="preserve">beta = -0.066 [-0.108, -0.025]</w:t>
                  </w:r>
                </w:p>
              </w:tc>
              <w:tc>
                <w:tcPr/>
                <w:p>
                  <w:pPr>
                    <w:pStyle w:val="Compact"/>
                    <w:jc w:val="left"/>
                    <w:jc w:val="center"/>
                  </w:pPr>
                  <w:r>
                    <w:t xml:space="preserve">beta = 0.012 [-0.001, 0.026]</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left"/>
                    <w:jc w:val="center"/>
                  </w:pPr>
                  <w:r>
                    <w:t xml:space="preserve">beta = -0.057 [-0.097, -0.017]</w:t>
                  </w:r>
                </w:p>
              </w:tc>
              <w:tc>
                <w:tcPr/>
                <w:p>
                  <w:pPr>
                    <w:pStyle w:val="Compact"/>
                    <w:jc w:val="left"/>
                    <w:jc w:val="center"/>
                  </w:pPr>
                  <w:r>
                    <w:t xml:space="preserve">beta = 0.017 [0.004, 0.029]</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left"/>
                    <w:jc w:val="center"/>
                  </w:pPr>
                  <w:r>
                    <w:t xml:space="preserve">beta = -0.065 [-0.106, -0.021]</w:t>
                  </w:r>
                </w:p>
              </w:tc>
              <w:tc>
                <w:tcPr/>
                <w:p>
                  <w:pPr>
                    <w:pStyle w:val="Compact"/>
                    <w:jc w:val="left"/>
                    <w:jc w:val="center"/>
                  </w:pPr>
                  <w:r>
                    <w:t xml:space="preserve">beta = 0.018 [0.005, 0.032]</w:t>
                  </w:r>
                </w:p>
              </w:tc>
            </w:tr>
          </w:tbl>
          <w:bookmarkEnd w:id="1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supptbl-app-sensitivity-full"/>
          <w:p>
            <w:pPr>
              <w:jc w:val="center"/>
            </w:pPr>
            <w:pPr>
              <w:jc w:val="left"/>
              <w:spacing w:before="200"/>
              <w:pStyle w:val="ImageCaption"/>
            </w:pPr>
            <w:r>
              <w:t xml:space="preserve">Table S13: Full sensitivity analysis results across RT cutoffs (0.15, 0.20, 0.25 s). LOOIC columns are omitted because trial counts differ across cutoffs and prior exports mixed baseline-model LOOIC with additive refits.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threshold</w:t>
                  </w:r>
                </w:p>
              </w:tc>
              <w:tc>
                <w:tcPr/>
                <w:p>
                  <w:pPr>
                    <w:pStyle w:val="Compact"/>
                    <w:jc w:val="right"/>
                    <w:jc w:val="center"/>
                  </w:pPr>
                  <w:r>
                    <w:t xml:space="preserve">n_trials</w:t>
                  </w:r>
                </w:p>
              </w:tc>
              <w:tc>
                <w:tcPr/>
                <w:p>
                  <w:pPr>
                    <w:pStyle w:val="Compact"/>
                    <w:jc w:val="right"/>
                    <w:jc w:val="center"/>
                  </w:pPr>
                  <w:r>
                    <w:t xml:space="preserve">n_subjects</w:t>
                  </w:r>
                </w:p>
              </w:tc>
              <w:tc>
                <w:tcPr/>
                <w:p>
                  <w:pPr>
                    <w:pStyle w:val="Compact"/>
                    <w:jc w:val="right"/>
                    <w:jc w:val="center"/>
                  </w:pPr>
                  <w:r>
                    <w:t xml:space="preserve">min_rt</w:t>
                  </w:r>
                </w:p>
              </w:tc>
              <w:tc>
                <w:tcPr/>
                <w:p>
                  <w:pPr>
                    <w:pStyle w:val="Compact"/>
                    <w:jc w:val="right"/>
                    <w:jc w:val="center"/>
                  </w:pPr>
                  <w:r>
                    <w:t xml:space="preserve">median_rt</w:t>
                  </w:r>
                </w:p>
              </w:tc>
            </w:tr>
            <w:tr>
              <w:tc>
                <w:tcPr/>
                <w:p>
                  <w:pPr>
                    <w:pStyle w:val="Compact"/>
                    <w:jc w:val="right"/>
                    <w:jc w:val="center"/>
                  </w:pPr>
                  <w:r>
                    <w:t xml:space="preserve">0.15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0.15</w:t>
                  </w:r>
                </w:p>
              </w:tc>
              <w:tc>
                <w:tcPr/>
                <w:p>
                  <w:pPr>
                    <w:pStyle w:val="Compact"/>
                    <w:jc w:val="right"/>
                    <w:jc w:val="center"/>
                  </w:pPr>
                  <w:r>
                    <w:t xml:space="preserve">0.877</w:t>
                  </w:r>
                </w:p>
              </w:tc>
            </w:tr>
            <w:tr>
              <w:tc>
                <w:tcPr/>
                <w:p>
                  <w:pPr>
                    <w:pStyle w:val="Compact"/>
                    <w:jc w:val="right"/>
                    <w:jc w:val="center"/>
                  </w:pPr>
                  <w:r>
                    <w:t xml:space="preserve">0.20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0.20</w:t>
                  </w:r>
                </w:p>
              </w:tc>
              <w:tc>
                <w:tcPr/>
                <w:p>
                  <w:pPr>
                    <w:pStyle w:val="Compact"/>
                    <w:jc w:val="right"/>
                    <w:jc w:val="center"/>
                  </w:pPr>
                  <w:r>
                    <w:t xml:space="preserve">0.882</w:t>
                  </w:r>
                </w:p>
              </w:tc>
            </w:tr>
            <w:tr>
              <w:tc>
                <w:tcPr/>
                <w:p>
                  <w:pPr>
                    <w:pStyle w:val="Compact"/>
                    <w:jc w:val="right"/>
                    <w:jc w:val="center"/>
                  </w:pPr>
                  <w:r>
                    <w:t xml:space="preserve">0.25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0.25</w:t>
                  </w:r>
                </w:p>
              </w:tc>
              <w:tc>
                <w:tcPr/>
                <w:p>
                  <w:pPr>
                    <w:pStyle w:val="Compact"/>
                    <w:jc w:val="right"/>
                    <w:jc w:val="center"/>
                  </w:pPr>
                  <w:r>
                    <w:t xml:space="preserve">0.889</w:t>
                  </w:r>
                </w:p>
              </w:tc>
            </w:tr>
          </w:tbl>
          <w:bookmarkEnd w:id="111"/>
          <w:p/>
        </w:tc>
      </w:tr>
    </w:tbl>
    <w:p>
      <w:pPr>
        <w:pStyle w:val="BodyText"/>
      </w:pPr>
      <w:r>
        <w:t xml:space="preserve"> </w:t>
      </w:r>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suppfig-a4-2a-drift-by-difficulty"/>
          <w:p>
            <w:pPr>
              <w:jc w:val="center"/>
            </w:pPr>
            <w:r>
              <w:drawing>
                <wp:inline>
                  <wp:extent cx="3733800" cy="2987040"/>
                  <wp:effectExtent b="0" l="0" r="0" t="0"/>
                  <wp:docPr descr="" title="" id="113" name="Picture"/>
                  <a:graphic>
                    <a:graphicData uri="http://schemas.openxmlformats.org/drawingml/2006/picture">
                      <pic:pic>
                        <pic:nvPicPr>
                          <pic:cNvPr descr="chap3_ddm_results_files/figure-docx/unnamed-chunk-28-1.png" id="114" name="Picture"/>
                          <pic:cNvPicPr>
                            <a:picLocks noChangeArrowheads="1" noChangeAspect="1"/>
                          </pic:cNvPicPr>
                        </pic:nvPicPr>
                        <pic:blipFill>
                          <a:blip r:embed="rId112"/>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S10: Drift rate (</w:t>
            </w:r>
            <m:oMath>
              <m:r>
                <m:t>v</m:t>
              </m:r>
            </m:oMath>
            <w:r>
              <w:t xml:space="preserve">) by difficulty condition under the primary RT cutoff threshold (0.20 s). The difficulty gradient (Easy &gt; Hard &gt; Standard) is consistent with the primary analysis. Parameter estimates across all three cutoff thresholds (0.15 s, 0.20 s, 0.25 s) are reported in full in</w:t>
            </w:r>
            <w:r>
              <w:t xml:space="preserve"> </w:t>
            </w:r>
            <w:hyperlink w:anchor="supptbl-app-sensitivity-full">
              <w:r>
                <w:rPr>
                  <w:rStyle w:val="Hyperlink"/>
                </w:rPr>
                <w:t xml:space="preserve">Table S13</w:t>
              </w:r>
            </w:hyperlink>
            <w:r>
              <w:t xml:space="preserve">.</w:t>
            </w:r>
          </w:p>
          <w:bookmarkEnd w:id="115"/>
        </w:tc>
      </w:tr>
    </w:tbl>
    <w:bookmarkEnd w:id="116"/>
    <w:bookmarkStart w:id="127" w:name="Xc1bd7a5c3589959490b55d9fc799334b74ba267"/>
    <w:p>
      <w:pPr>
        <w:pStyle w:val="Heading3"/>
      </w:pPr>
      <w:r>
        <w:t xml:space="preserve">S4.3 Task Modality Effects: Sensitivity Analysis</w:t>
      </w:r>
    </w:p>
    <w:p>
      <w:pPr>
        <w:pStyle w:val="FirstParagraph"/>
      </w:pPr>
      <w:r>
        <w:t xml:space="preserve">The primary model did not include Task on</w:t>
      </w:r>
      <w:r>
        <w:t xml:space="preserve"> </w:t>
      </w:r>
      <m:oMath>
        <m:r>
          <m:t>v</m:t>
        </m:r>
      </m:oMath>
      <w:r>
        <w:t xml:space="preserve"> </w:t>
      </w:r>
      <w:r>
        <w:t xml:space="preserve">or</w:t>
      </w:r>
      <w:r>
        <w:t xml:space="preserve"> </w:t>
      </w:r>
      <m:oMath>
        <m:r>
          <m:t>a</m:t>
        </m:r>
      </m:oMath>
      <w:r>
        <w:t xml:space="preserve">. We fit a task-sensitivity model:</w:t>
      </w:r>
    </w:p>
    <w:p>
      <w:pPr>
        <w:pStyle w:val="Compact"/>
        <w:numPr>
          <w:ilvl w:val="0"/>
          <w:numId w:val="1001"/>
        </w:numPr>
      </w:pPr>
      <w:r>
        <w:t xml:space="preserve">Drift (</w:t>
      </w:r>
      <m:oMath>
        <m:r>
          <m:t>v</m:t>
        </m:r>
      </m:oMath>
      <w:r>
        <w:t xml:space="preserve">):</w:t>
      </w:r>
      <w:r>
        <w:t xml:space="preserve"> </w:t>
      </w:r>
      <w:r>
        <w:rPr>
          <w:rStyle w:val="VerbatimChar"/>
        </w:rPr>
        <w:t xml:space="preserve">~ difficulty + effort * task</w:t>
      </w:r>
    </w:p>
    <w:p>
      <w:pPr>
        <w:pStyle w:val="Compact"/>
        <w:numPr>
          <w:ilvl w:val="0"/>
          <w:numId w:val="1001"/>
        </w:numPr>
      </w:pPr>
      <w:r>
        <w:t xml:space="preserve">Boundary (</w:t>
      </w:r>
      <m:oMath>
        <m:r>
          <m:t>a</m:t>
        </m:r>
      </m:oMath>
      <w:r>
        <w:t xml:space="preserve">):</w:t>
      </w:r>
      <w:r>
        <w:t xml:space="preserve"> </w:t>
      </w:r>
      <w:r>
        <w:rPr>
          <w:rStyle w:val="VerbatimChar"/>
        </w:rPr>
        <w:t xml:space="preserve">~ difficulty + effort + task</w:t>
      </w:r>
    </w:p>
    <w:p>
      <w:pPr>
        <w:pStyle w:val="Compact"/>
        <w:numPr>
          <w:ilvl w:val="0"/>
          <w:numId w:val="1001"/>
        </w:numPr>
      </w:pPr>
      <w:r>
        <w:t xml:space="preserve">Other parameters as in the primary model</w:t>
      </w:r>
    </w:p>
    <w:tbl>
      <w:tblPr>
        <w:tblStyle w:val="Table"/>
        <w:tblW w:type="pct" w:w="5000"/>
        <w:tblLayout w:type="fixed"/>
        <w:tblLook w:firstRow="0" w:lastRow="0" w:firstColumn="0" w:lastColumn="0" w:noHBand="0" w:noVBand="0" w:val="0000"/>
      </w:tblPr>
      <w:tblGrid>
        <w:gridCol w:w="7920"/>
      </w:tblGrid>
      <w:tr>
        <w:tc>
          <w:tcPr/>
          <w:bookmarkStart w:id="120" w:name="suppfig-suppl-drift-by-task"/>
          <w:p>
            <w:pPr>
              <w:jc w:val="center"/>
            </w:pPr>
            <w:r>
              <w:drawing>
                <wp:inline>
                  <wp:extent cx="4800600" cy="5400675"/>
                  <wp:effectExtent b="0" l="0" r="0" t="0"/>
                  <wp:docPr descr="" title="" id="118" name="Picture"/>
                  <a:graphic>
                    <a:graphicData uri="http://schemas.openxmlformats.org/drawingml/2006/picture">
                      <pic:pic>
                        <pic:nvPicPr>
                          <pic:cNvPr descr="chap3_ddm_results_files/figure-docx/unnamed-chunk-29-1.png" id="119" name="Picture"/>
                          <pic:cNvPicPr>
                            <a:picLocks noChangeArrowheads="1" noChangeAspect="1"/>
                          </pic:cNvPicPr>
                        </pic:nvPicPr>
                        <pic:blipFill>
                          <a:blip r:embed="rId117"/>
                          <a:stretch>
                            <a:fillRect/>
                          </a:stretch>
                        </pic:blipFill>
                        <pic:spPr bwMode="auto">
                          <a:xfrm>
                            <a:off x="0" y="0"/>
                            <a:ext cx="4800600" cy="540067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S11:</w:t>
            </w:r>
            <w:r>
              <w:t xml:space="preserve"> </w:t>
            </w:r>
            <w:r>
              <w:rPr>
                <w:b/>
                <w:bCs/>
              </w:rPr>
              <w:t xml:space="preserve">Task-modality sensitivity profiles (task-sensitivity model).</w:t>
            </w:r>
            <w:r>
              <w:t xml:space="preserve"> </w:t>
            </w:r>
            <w:r>
              <w:rPr>
                <w:b/>
                <w:bCs/>
              </w:rPr>
              <w:t xml:space="preserve">(A)</w:t>
            </w:r>
            <w:r>
              <w:t xml:space="preserve"> </w:t>
            </w:r>
            <w:r>
              <w:t xml:space="preserve">Drift rate (</w:t>
            </w:r>
            <m:oMath>
              <m:r>
                <m:t>v</m:t>
              </m:r>
            </m:oMath>
            <w:r>
              <w:t xml:space="preserve">) by difficulty and effort, separately for ADT and VDT. Points show posterior medians with 95% credible intervals. The difficulty gradient (Standard</w:t>
            </w:r>
            <w:r>
              <w:t xml:space="preserve"> </w:t>
            </w:r>
            <m:oMath>
              <m:r>
                <m:rPr>
                  <m:sty m:val="p"/>
                </m:rPr>
                <m:t>&lt;</m:t>
              </m:r>
            </m:oMath>
            <w:r>
              <w:t xml:space="preserve"> </w:t>
            </w:r>
            <w:r>
              <w:t xml:space="preserve">Hard</w:t>
            </w:r>
            <w:r>
              <w:t xml:space="preserve"> </w:t>
            </w:r>
            <m:oMath>
              <m:r>
                <m:rPr>
                  <m:sty m:val="p"/>
                </m:rPr>
                <m:t>&lt;</m:t>
              </m:r>
            </m:oMath>
            <w:r>
              <w:t xml:space="preserve"> </w:t>
            </w:r>
            <w:r>
              <w:t xml:space="preserve">Easy) is consistent across tasks. High effort reduces drift rate in both modalities (Effort</w:t>
            </w:r>
            <w:r>
              <w:t xml:space="preserve"> </w:t>
            </w:r>
            <m:oMath>
              <m:r>
                <m:rPr>
                  <m:sty m:val="p"/>
                </m:rPr>
                <m:t>×</m:t>
              </m:r>
            </m:oMath>
            <w:r>
              <w:t xml:space="preserve"> </w:t>
            </w:r>
            <w:r>
              <w:t xml:space="preserve">Task interaction near zero with CrI spanning zero), consistent with cognitive-motor interference generalizing across sensory domains.</w:t>
            </w:r>
            <w:r>
              <w:t xml:space="preserve"> </w:t>
            </w:r>
            <w:r>
              <w:rPr>
                <w:i/>
                <w:iCs/>
              </w:rPr>
              <w:t xml:space="preserve">Note: Drift rates (</w:t>
            </w:r>
            <m:oMath>
              <m:r>
                <m:t>v</m:t>
              </m:r>
            </m: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r>
              <w:t xml:space="preserve"> </w:t>
            </w:r>
            <w:r>
              <w:rPr>
                <w:b/>
                <w:bCs/>
              </w:rPr>
              <w:t xml:space="preserve">(B)</w:t>
            </w:r>
            <w:r>
              <w:t xml:space="preserve"> </w:t>
            </w:r>
            <w:r>
              <w:t xml:space="preserve">Boundary separation (</w:t>
            </w:r>
            <m:oMath>
              <m:r>
                <m:t>a</m:t>
              </m:r>
            </m:oMath>
            <w:r>
              <w:t xml:space="preserve">) by difficulty and effort, separately for ADT and VDT. Difficulty strongly modulates caution (Easy</w:t>
            </w:r>
            <w:r>
              <w:t xml:space="preserve"> </w:t>
            </w:r>
            <m:oMath>
              <m:r>
                <m:rPr>
                  <m:sty m:val="p"/>
                </m:rPr>
                <m:t>&lt;</m:t>
              </m:r>
            </m:oMath>
            <w:r>
              <w:t xml:space="preserve"> </w:t>
            </w:r>
            <w:r>
              <w:t xml:space="preserve">Hard</w:t>
            </w:r>
            <w:r>
              <w:t xml:space="preserve"> </w:t>
            </w:r>
            <m:oMath>
              <m:r>
                <m:rPr>
                  <m:sty m:val="p"/>
                </m:rPr>
                <m:t>&lt;</m:t>
              </m:r>
            </m:oMath>
            <w:r>
              <w:t xml:space="preserve"> </w:t>
            </w:r>
            <w:r>
              <w:t xml:space="preserve">Standard) in both tasks, but effort has minimal effect on boundary separation, indicating that older adults do not adjust response caution under physical effort.</w:t>
            </w:r>
          </w:p>
          <w:bookmarkEnd w:id="1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4" w:name="suppfig-additivity-check"/>
          <w:p>
            <w:pPr>
              <w:jc w:val="center"/>
            </w:pPr>
            <w:r>
              <w:drawing>
                <wp:inline>
                  <wp:extent cx="5334000" cy="2667000"/>
                  <wp:effectExtent b="0" l="0" r="0" t="0"/>
                  <wp:docPr descr="" title="" id="122" name="Picture"/>
                  <a:graphic>
                    <a:graphicData uri="http://schemas.openxmlformats.org/drawingml/2006/picture">
                      <pic:pic>
                        <pic:nvPicPr>
                          <pic:cNvPr descr="chap3_ddm_results_files/figure-docx/unnamed-chunk-30-1.png" id="123" name="Picture"/>
                          <pic:cNvPicPr>
                            <a:picLocks noChangeArrowheads="1" noChangeAspect="1"/>
                          </pic:cNvPicPr>
                        </pic:nvPicPr>
                        <pic:blipFill>
                          <a:blip r:embed="rId12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S12: Additivity check: Difficulty × Effort condition means for drift rate (A) and boundary separation (B). The near-parallel shift between Low (blue) and High (magenta) effort lines across difficulty levels confirms the additive model assumption — the effort cost is consistent regardless of task difficulty, justifying the absence of a Difficulty × Effort interaction term (see</w:t>
            </w:r>
            <w:r>
              <w:t xml:space="preserve"> </w:t>
            </w:r>
            <w:hyperlink w:anchor="sec-results-sample">
              <w:r>
                <w:rPr>
                  <w:rStyle w:val="Hyperlink"/>
                </w:rPr>
                <w:t xml:space="preserve">Section 3.1</w:t>
              </w:r>
            </w:hyperlink>
            <w:r>
              <w:t xml:space="preserve"> </w:t>
            </w:r>
            <w:r>
              <w:t xml:space="preserve">and</w:t>
            </w:r>
            <w:r>
              <w:t xml:space="preserve"> </w:t>
            </w:r>
            <w:hyperlink w:anchor="supptbl-loo-comparison">
              <w:r>
                <w:rPr>
                  <w:rStyle w:val="Hyperlink"/>
                </w:rPr>
                <w:t xml:space="preserve">Table S1</w:t>
              </w:r>
            </w:hyperlink>
            <w:r>
              <w:t xml:space="preserve">).</w:t>
            </w:r>
          </w:p>
          <w:bookmarkEnd w:id="124"/>
        </w:tc>
      </w:tr>
    </w:tbl>
    <w:bookmarkStart w:id="126" w:name="task-sensitivity-model-comparison"/>
    <w:p>
      <w:pPr>
        <w:pStyle w:val="Heading4"/>
      </w:pPr>
      <w:r>
        <w:t xml:space="preserve">Task-Sensitivity Model Comparison</w:t>
      </w:r>
    </w:p>
    <w:tbl>
      <w:tblPr>
        <w:tblStyle w:val="Table"/>
        <w:tblW w:type="pct" w:w="5000"/>
        <w:tblLayout w:type="fixed"/>
        <w:tblLook w:firstRow="0" w:lastRow="0" w:firstColumn="0" w:lastColumn="0" w:noHBand="0" w:noVBand="0" w:val="0000"/>
      </w:tblPr>
      <w:tblGrid>
        <w:gridCol w:w="7920"/>
      </w:tblGrid>
      <w:tr>
        <w:tc>
          <w:tcPr/>
          <w:bookmarkStart w:id="125" w:name="supptbl-task-sensitivity"/>
          <w:p>
            <w:pPr>
              <w:jc w:val="center"/>
            </w:pPr>
            <w:pPr>
              <w:jc w:val="left"/>
              <w:spacing w:before="200"/>
              <w:pStyle w:val="ImageCaption"/>
            </w:pPr>
            <w:r>
              <w:t xml:space="preserve">Table S14: Comparison of Effort Effects: Primary vs. Task-Sensitivity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r>
            <w:tr>
              <w:tc>
                <w:tcPr/>
                <w:p>
                  <w:pPr>
                    <w:pStyle w:val="Compact"/>
                    <w:jc w:val="left"/>
                    <w:jc w:val="center"/>
                  </w:pPr>
                  <w:r>
                    <w:t xml:space="preserve">Effort → Drift (Primary)</w:t>
                  </w:r>
                </w:p>
              </w:tc>
              <w:tc>
                <w:tcPr/>
                <w:p>
                  <w:pPr>
                    <w:pStyle w:val="Compact"/>
                    <w:jc w:val="left"/>
                    <w:jc w:val="center"/>
                  </w:pPr>
                  <w:r>
                    <w:t xml:space="preserve">-0.057</w:t>
                  </w:r>
                </w:p>
              </w:tc>
              <w:tc>
                <w:tcPr/>
                <w:p>
                  <w:pPr>
                    <w:pStyle w:val="Compact"/>
                    <w:jc w:val="left"/>
                    <w:jc w:val="center"/>
                  </w:pPr>
                  <w:r>
                    <w:t xml:space="preserve">[-0.097, -0.017]</w:t>
                  </w:r>
                </w:p>
              </w:tc>
            </w:tr>
            <w:tr>
              <w:tc>
                <w:tcPr/>
                <w:p>
                  <w:pPr>
                    <w:pStyle w:val="Compact"/>
                    <w:jc w:val="left"/>
                    <w:jc w:val="center"/>
                  </w:pPr>
                  <w:r>
                    <w:t xml:space="preserve">Effort → Drift (Task-Sens)</w:t>
                  </w:r>
                </w:p>
              </w:tc>
              <w:tc>
                <w:tcPr/>
                <w:p>
                  <w:pPr>
                    <w:pStyle w:val="Compact"/>
                    <w:jc w:val="left"/>
                    <w:jc w:val="center"/>
                  </w:pPr>
                  <w:r>
                    <w:t xml:space="preserve">-0.085</w:t>
                  </w:r>
                </w:p>
              </w:tc>
              <w:tc>
                <w:tcPr/>
                <w:p>
                  <w:pPr>
                    <w:pStyle w:val="Compact"/>
                    <w:jc w:val="left"/>
                    <w:jc w:val="center"/>
                  </w:pPr>
                  <w:r>
                    <w:t xml:space="preserve">[-0.133, -0.038]</w:t>
                  </w:r>
                </w:p>
              </w:tc>
            </w:tr>
            <w:tr>
              <w:tc>
                <w:tcPr/>
                <w:p>
                  <w:pPr>
                    <w:pStyle w:val="Compact"/>
                    <w:jc w:val="left"/>
                    <w:jc w:val="center"/>
                  </w:pPr>
                  <w:r>
                    <w:t xml:space="preserve">Task → Drift</w:t>
                  </w:r>
                </w:p>
              </w:tc>
              <w:tc>
                <w:tcPr/>
                <w:p>
                  <w:pPr>
                    <w:pStyle w:val="Compact"/>
                    <w:jc w:val="left"/>
                    <w:jc w:val="center"/>
                  </w:pPr>
                  <w:r>
                    <w:t xml:space="preserve">0.071</w:t>
                  </w:r>
                </w:p>
              </w:tc>
              <w:tc>
                <w:tcPr/>
                <w:p>
                  <w:pPr>
                    <w:pStyle w:val="Compact"/>
                    <w:jc w:val="left"/>
                    <w:jc w:val="center"/>
                  </w:pPr>
                  <w:r>
                    <w:t xml:space="preserve">[0.020, 0.120]</w:t>
                  </w:r>
                </w:p>
              </w:tc>
            </w:tr>
            <w:tr>
              <w:tc>
                <w:tcPr/>
                <w:p>
                  <w:pPr>
                    <w:pStyle w:val="Compact"/>
                    <w:jc w:val="left"/>
                    <w:jc w:val="center"/>
                  </w:pPr>
                  <w:r>
                    <w:t xml:space="preserve">Effort × Task → Drift</w:t>
                  </w:r>
                </w:p>
              </w:tc>
              <w:tc>
                <w:tcPr/>
                <w:p>
                  <w:pPr>
                    <w:pStyle w:val="Compact"/>
                    <w:jc w:val="left"/>
                    <w:jc w:val="center"/>
                  </w:pPr>
                  <w:r>
                    <w:t xml:space="preserve">0.029</w:t>
                  </w:r>
                </w:p>
              </w:tc>
              <w:tc>
                <w:tcPr/>
                <w:p>
                  <w:pPr>
                    <w:pStyle w:val="Compact"/>
                    <w:jc w:val="left"/>
                    <w:jc w:val="center"/>
                  </w:pPr>
                  <w:r>
                    <w:t xml:space="preserve">[-0.029, 0.088]</w:t>
                  </w:r>
                </w:p>
              </w:tc>
            </w:tr>
          </w:tbl>
          <w:bookmarkEnd w:id="125"/>
          <w:p/>
        </w:tc>
      </w:tr>
    </w:tbl>
    <w:p>
      <w:pPr>
        <w:pStyle w:val="BodyText"/>
      </w:pPr>
      <w:r>
        <w:rPr>
          <w:i/>
          <w:iCs/>
        </w:rPr>
        <w:t xml:space="preserve">Note.</w:t>
      </w:r>
      <w:r>
        <w:t xml:space="preserve"> </w:t>
      </w:r>
      <w:r>
        <w:t xml:space="preserve">Primary model excludes Task from drift; Task-Sens model includes Task main effect and Effort</w:t>
      </w:r>
      <w:r>
        <w:t xml:space="preserve"> </w:t>
      </w:r>
      <m:oMath>
        <m:r>
          <m:rPr>
            <m:sty m:val="p"/>
          </m:rPr>
          <m:t>×</m:t>
        </m:r>
      </m:oMath>
      <w:r>
        <w:t xml:space="preserve"> </w:t>
      </w:r>
      <w:r>
        <w:t xml:space="preserve">Task interaction.</w:t>
      </w:r>
    </w:p>
    <w:p>
      <w:pPr>
        <w:pStyle w:val="BodyText"/>
      </w:pPr>
      <w:r>
        <w:t xml:space="preserve">Effort reduced drift with Task in the model (</w:t>
      </w:r>
      <m:oMath>
        <m:r>
          <m:t>δ</m:t>
        </m:r>
        <m:r>
          <m:rPr>
            <m:sty m:val="p"/>
          </m:rPr>
          <m:t>=</m:t>
        </m:r>
        <m:r>
          <m:rPr>
            <m:sty m:val="p"/>
          </m:rPr>
          <m:t>−</m:t>
        </m:r>
        <m:r>
          <m:t>0.085</m:t>
        </m:r>
      </m:oMath>
      <w:r>
        <w:t xml:space="preserve">, 95% CrI [-0.133, -0.038]). ADT and VDT differed in absolute drift (</w:t>
      </w:r>
      <m:oMath>
        <m:r>
          <m:t>δ</m:t>
        </m:r>
        <m:r>
          <m:rPr>
            <m:sty m:val="p"/>
          </m:rPr>
          <m:t>=</m:t>
        </m:r>
        <m:r>
          <m:t>0.071</m:t>
        </m:r>
      </m:oMath>
      <w:r>
        <w:t xml:space="preserve">, 95% CrI [0.020, 0.120]), but Effort × Task was near zero (</w:t>
      </w:r>
      <m:oMath>
        <m:r>
          <m:t>δ</m:t>
        </m:r>
        <m:r>
          <m:rPr>
            <m:sty m:val="p"/>
          </m:rPr>
          <m:t>=</m:t>
        </m:r>
        <m:r>
          <m:t>0.029</m:t>
        </m:r>
      </m:oMath>
      <w:r>
        <w:t xml:space="preserve">, 95% CrI [-0.029, 0.088]). The effect of effort on drift was robust to adding task on drift, but omitting task from drift in the primary model suppresses a credible task main effect; we report task-separated drift and boundary profiles in</w:t>
      </w:r>
      <w:r>
        <w:t xml:space="preserve"> </w:t>
      </w:r>
      <w:hyperlink w:anchor="suppfig-suppl-drift-by-task">
        <w:r>
          <w:rPr>
            <w:rStyle w:val="Hyperlink"/>
          </w:rPr>
          <w:t xml:space="preserve">Figure S11</w:t>
        </w:r>
      </w:hyperlink>
      <w:r>
        <w:t xml:space="preserve"> </w:t>
      </w:r>
      <w:r>
        <w:t xml:space="preserve">(Panels A–B) and treat pooling as a deliberate simplification for the pre-specified effort contrasts.</w:t>
      </w:r>
    </w:p>
    <w:bookmarkEnd w:id="126"/>
    <w:bookmarkEnd w:id="127"/>
    <w:bookmarkEnd w:id="128"/>
    <w:bookmarkStart w:id="146" w:name="app-pupil-fixef"/>
    <w:p>
      <w:pPr>
        <w:pStyle w:val="Heading2"/>
      </w:pPr>
      <w:r>
        <w:t xml:space="preserve">S5. Pupil-DDM Fixed Effects and TEPR Visualization</w:t>
      </w:r>
    </w:p>
    <w:p>
      <w:pPr>
        <w:pStyle w:val="FirstParagraph"/>
      </w:pPr>
      <w:r>
        <w:t xml:space="preserve">Unified pupil LOO, nested fixed-effects comparisons, Cavanagh boundary extensions, and TEPR descriptives/waveforms. Interpretation:</w:t>
      </w:r>
      <w:r>
        <w:t xml:space="preserve"> </w:t>
      </w:r>
      <w:hyperlink w:anchor="sec-pupil-ddm-integration">
        <w:r>
          <w:rPr>
            <w:rStyle w:val="Hyperlink"/>
          </w:rPr>
          <w:t xml:space="preserve">Section 3.3</w:t>
        </w:r>
      </w:hyperlink>
      <w:r>
        <w:t xml:space="preserve">.</w:t>
      </w:r>
    </w:p>
    <w:bookmarkStart w:id="130" w:name="unified-pupil-loo-comparison"/>
    <w:p>
      <w:pPr>
        <w:pStyle w:val="Heading3"/>
      </w:pPr>
      <w:r>
        <w:t xml:space="preserve">Unified pupil LOO comparison</w:t>
      </w:r>
    </w:p>
    <w:tbl>
      <w:tblPr>
        <w:tblStyle w:val="Table"/>
        <w:tblW w:type="pct" w:w="5000"/>
        <w:tblLayout w:type="fixed"/>
        <w:tblLook w:firstRow="0" w:lastRow="0" w:firstColumn="0" w:lastColumn="0" w:noHBand="0" w:noVBand="0" w:val="0000"/>
      </w:tblPr>
      <w:tblGrid>
        <w:gridCol w:w="7920"/>
      </w:tblGrid>
      <w:tr>
        <w:tc>
          <w:tcPr/>
          <w:bookmarkStart w:id="129" w:name="supptbl-pupil-loo-unified"/>
          <w:p>
            <w:pPr>
              <w:jc w:val="center"/>
            </w:pPr>
            <w:pPr>
              <w:jc w:val="left"/>
              <w:spacing w:before="200"/>
              <w:pStyle w:val="ImageCaption"/>
            </w:pPr>
            <w:r>
              <w:t xml:space="preserve">Table S15: Unified PSIS-LOO comparison for all pupil-augmented specifications (nested m0–m3, Cavanagh pupil</w:t>
            </w:r>
            <w:r>
              <w:t xml:space="preserve"> </w:t>
            </w:r>
            <m:oMath>
              <m:r>
                <m:rPr>
                  <m:sty m:val="p"/>
                </m:rPr>
                <m:t>→</m:t>
              </m:r>
            </m:oMath>
            <w:r>
              <w:t xml:space="preserve"> </w:t>
            </w:r>
            <m:oMath>
              <m:r>
                <m:t>a</m:t>
              </m:r>
            </m:oMath>
            <w:r>
              <w:t xml:space="preserve">, both TEPR windows).</w:t>
            </w:r>
            <w:r>
              <w:t xml:space="preserve"> </w:t>
            </w:r>
            <m:oMath>
              <m:r>
                <m:rPr>
                  <m:sty m:val="p"/>
                </m:rPr>
                <m:t>Δ</m:t>
              </m:r>
            </m:oMath>
            <w:r>
              <w:t xml:space="preserve">ELPD vs. same-</w:t>
            </w:r>
            <m:oMath>
              <m:r>
                <m:t>N</m:t>
              </m:r>
            </m:oMath>
            <w:r>
              <w:t xml:space="preserve"> </w:t>
            </w:r>
            <w:r>
              <w:t xml:space="preserve">behavioral baseline within each window.</w:t>
            </w:r>
          </w:p>
          <w:tbl>
            <w:tblPr>
              <w:tblStyle w:val="Table"/>
              <w:tblW w:type="pct" w:w="5000"/>
              <w:tblLayout w:type="fixed"/>
              <w:tblLook w:firstRow="1" w:lastRow="0" w:firstColumn="0" w:lastColumn="0" w:noHBand="0" w:noVBand="0" w:val="0020"/>
            </w:tblPr>
            <w:tblGrid>
              <w:gridCol w:w="3168"/>
              <w:gridCol w:w="750"/>
              <w:gridCol w:w="750"/>
              <w:gridCol w:w="1417"/>
              <w:gridCol w:w="1083"/>
              <w:gridCol w:w="750"/>
            </w:tblGrid>
            <w:tr>
              <w:trPr>
                <w:tblHeader w:val="on"/>
              </w:trPr>
              <w:tc>
                <w:tcPr/>
                <w:p>
                  <w:pPr>
                    <w:pStyle w:val="Compact"/>
                    <w:jc w:val="left"/>
                    <w:jc w:val="center"/>
                  </w:pPr>
                  <w:r>
                    <w:t xml:space="preserve">Model</w:t>
                  </w:r>
                </w:p>
              </w:tc>
              <w:tc>
                <w:tcPr/>
                <w:p>
                  <w:pPr>
                    <w:pStyle w:val="Compact"/>
                    <w:jc w:val="right"/>
                    <w:jc w:val="center"/>
                  </w:pPr>
                  <w:r>
                    <w:t xml:space="preserve">ELPD LOO</w:t>
                  </w:r>
                </w:p>
              </w:tc>
              <w:tc>
                <w:tcPr/>
                <w:p>
                  <w:pPr>
                    <w:pStyle w:val="Compact"/>
                    <w:jc w:val="right"/>
                    <w:jc w:val="center"/>
                  </w:pPr>
                  <w:r>
                    <w:t xml:space="preserve">SE(ELPD)</w:t>
                  </w:r>
                </w:p>
              </w:tc>
              <w:tc>
                <w:tcPr/>
                <w:p>
                  <w:pPr>
                    <w:pStyle w:val="Compact"/>
                    <w:jc w:val="right"/>
                    <w:jc w:val="center"/>
                  </w:pPr>
                  <w:r>
                    <w:t xml:space="preserve">Delta ELPD vs m0</w:t>
                  </w:r>
                </w:p>
              </w:tc>
              <w:tc>
                <w:tcPr/>
                <w:p>
                  <w:pPr>
                    <w:pStyle w:val="Compact"/>
                    <w:jc w:val="right"/>
                    <w:jc w:val="center"/>
                  </w:pPr>
                  <w:r>
                    <w:t xml:space="preserve">Max Pareto-k</w:t>
                  </w:r>
                </w:p>
              </w:tc>
              <w:tc>
                <w:tcPr/>
                <w:p>
                  <w:pPr>
                    <w:pStyle w:val="Compact"/>
                    <w:jc w:val="right"/>
                    <w:jc w:val="center"/>
                  </w:pPr>
                  <w:r>
                    <w:t xml:space="preserve">N trials</w:t>
                  </w:r>
                </w:p>
              </w:tc>
            </w:tr>
            <w:tr>
              <w:tc>
                <w:tcPr/>
                <w:p>
                  <w:pPr>
                    <w:pStyle w:val="Compact"/>
                    <w:jc w:val="left"/>
                    <w:jc w:val="center"/>
                  </w:pPr>
                  <w:r>
                    <w:t xml:space="preserve">m0: Behavioral baseline</w:t>
                  </w:r>
                </w:p>
              </w:tc>
              <w:tc>
                <w:tcPr/>
                <w:p>
                  <w:pPr>
                    <w:pStyle w:val="Compact"/>
                    <w:jc w:val="right"/>
                    <w:jc w:val="center"/>
                  </w:pPr>
                  <w:r>
                    <w:t xml:space="preserve">-13335.1</w:t>
                  </w:r>
                </w:p>
              </w:tc>
              <w:tc>
                <w:tcPr/>
                <w:p>
                  <w:pPr>
                    <w:pStyle w:val="Compact"/>
                    <w:jc w:val="right"/>
                    <w:jc w:val="center"/>
                  </w:pPr>
                  <w:r>
                    <w:t xml:space="preserve">123.5</w:t>
                  </w:r>
                </w:p>
              </w:tc>
              <w:tc>
                <w:tcPr/>
                <w:p>
                  <w:pPr>
                    <w:pStyle w:val="Compact"/>
                    <w:jc w:val="right"/>
                    <w:jc w:val="center"/>
                  </w:pPr>
                  <w:r>
                    <w:t xml:space="preserve">0.00</w:t>
                  </w:r>
                </w:p>
              </w:tc>
              <w:tc>
                <w:tcPr/>
                <w:p>
                  <w:pPr>
                    <w:pStyle w:val="Compact"/>
                    <w:jc w:val="right"/>
                    <w:jc w:val="center"/>
                  </w:pPr>
                  <w:r>
                    <w:t xml:space="preserve">0.68</w:t>
                  </w:r>
                </w:p>
              </w:tc>
              <w:tc>
                <w:tcPr/>
                <w:p>
                  <w:pPr>
                    <w:pStyle w:val="Compact"/>
                    <w:jc w:val="right"/>
                    <w:jc w:val="center"/>
                  </w:pPr>
                  <w:r>
                    <w:t xml:space="preserve">12287</w:t>
                  </w:r>
                </w:p>
              </w:tc>
            </w:tr>
            <w:tr>
              <w:tc>
                <w:tcPr/>
                <w:p>
                  <w:pPr>
                    <w:pStyle w:val="Compact"/>
                    <w:jc w:val="left"/>
                    <w:jc w:val="center"/>
                  </w:pPr>
                  <w:r>
                    <w:t xml:space="preserve">m1: Pupil</w:t>
                  </w:r>
                  <w:r>
                    <w:t xml:space="preserve"> </w:t>
                  </w:r>
                  <m:oMath>
                    <m:r>
                      <m:rPr>
                        <m:sty m:val="p"/>
                      </m:rPr>
                      <m:t>→</m:t>
                    </m:r>
                  </m:oMath>
                  <w:r>
                    <w:t xml:space="preserve"> </w:t>
                  </w:r>
                  <w:r>
                    <w:t xml:space="preserve">bias (</w:t>
                  </w:r>
                  <m:oMath>
                    <m:r>
                      <m:t>z</m:t>
                    </m:r>
                  </m:oMath>
                  <w:r>
                    <w:t xml:space="preserve">)</w:t>
                  </w:r>
                </w:p>
              </w:tc>
              <w:tc>
                <w:tcPr/>
                <w:p>
                  <w:pPr>
                    <w:pStyle w:val="Compact"/>
                    <w:jc w:val="right"/>
                    <w:jc w:val="center"/>
                  </w:pPr>
                  <w:r>
                    <w:t xml:space="preserve">-13335.2</w:t>
                  </w:r>
                </w:p>
              </w:tc>
              <w:tc>
                <w:tcPr/>
                <w:p>
                  <w:pPr>
                    <w:pStyle w:val="Compact"/>
                    <w:jc w:val="right"/>
                    <w:jc w:val="center"/>
                  </w:pPr>
                  <w:r>
                    <w:t xml:space="preserve">123.5</w:t>
                  </w:r>
                </w:p>
              </w:tc>
              <w:tc>
                <w:tcPr/>
                <w:p>
                  <w:pPr>
                    <w:pStyle w:val="Compact"/>
                    <w:jc w:val="right"/>
                    <w:jc w:val="center"/>
                  </w:pPr>
                  <w:r>
                    <w:t xml:space="preserve">-0.10</w:t>
                  </w:r>
                </w:p>
              </w:tc>
              <w:tc>
                <w:tcPr/>
                <w:p>
                  <w:pPr>
                    <w:pStyle w:val="Compact"/>
                    <w:jc w:val="right"/>
                    <w:jc w:val="center"/>
                  </w:pPr>
                  <w:r>
                    <w:t xml:space="preserve">0.42</w:t>
                  </w:r>
                </w:p>
              </w:tc>
              <w:tc>
                <w:tcPr/>
                <w:p>
                  <w:pPr>
                    <w:pStyle w:val="Compact"/>
                    <w:jc w:val="right"/>
                    <w:jc w:val="center"/>
                  </w:pPr>
                  <w:r>
                    <w:t xml:space="preserve">12287</w:t>
                  </w:r>
                </w:p>
              </w:tc>
            </w:tr>
            <w:tr>
              <w:tc>
                <w:tcPr/>
                <w:p>
                  <w:pPr>
                    <w:pStyle w:val="Compact"/>
                    <w:jc w:val="left"/>
                    <w:jc w:val="center"/>
                  </w:pPr>
                  <w:r>
                    <w:t xml:space="preserve">m2: Pupil</w:t>
                  </w:r>
                  <w:r>
                    <w:t xml:space="preserve"> </w:t>
                  </w:r>
                  <m:oMath>
                    <m:r>
                      <m:rPr>
                        <m:sty m:val="p"/>
                      </m:rPr>
                      <m:t>→</m:t>
                    </m:r>
                  </m:oMath>
                  <w:r>
                    <w:t xml:space="preserve"> </w:t>
                  </w:r>
                  <w:r>
                    <w:t xml:space="preserve">drift + bias</w:t>
                  </w:r>
                </w:p>
              </w:tc>
              <w:tc>
                <w:tcPr/>
                <w:p>
                  <w:pPr>
                    <w:pStyle w:val="Compact"/>
                    <w:jc w:val="right"/>
                    <w:jc w:val="center"/>
                  </w:pPr>
                  <w:r>
                    <w:t xml:space="preserve">-13337.3</w:t>
                  </w:r>
                </w:p>
              </w:tc>
              <w:tc>
                <w:tcPr/>
                <w:p>
                  <w:pPr>
                    <w:pStyle w:val="Compact"/>
                    <w:jc w:val="right"/>
                    <w:jc w:val="center"/>
                  </w:pPr>
                  <w:r>
                    <w:t xml:space="preserve">123.5</w:t>
                  </w:r>
                </w:p>
              </w:tc>
              <w:tc>
                <w:tcPr/>
                <w:p>
                  <w:pPr>
                    <w:pStyle w:val="Compact"/>
                    <w:jc w:val="right"/>
                    <w:jc w:val="center"/>
                  </w:pPr>
                  <w:r>
                    <w:t xml:space="preserve">-2.15</w:t>
                  </w:r>
                </w:p>
              </w:tc>
              <w:tc>
                <w:tcPr/>
                <w:p>
                  <w:pPr>
                    <w:pStyle w:val="Compact"/>
                    <w:jc w:val="right"/>
                    <w:jc w:val="center"/>
                  </w:pPr>
                  <w:r>
                    <w:t xml:space="preserve">0.50</w:t>
                  </w:r>
                </w:p>
              </w:tc>
              <w:tc>
                <w:tcPr/>
                <w:p>
                  <w:pPr>
                    <w:pStyle w:val="Compact"/>
                    <w:jc w:val="right"/>
                    <w:jc w:val="center"/>
                  </w:pPr>
                  <w:r>
                    <w:t xml:space="preserve">12287</w:t>
                  </w:r>
                </w:p>
              </w:tc>
            </w:tr>
            <w:tr>
              <w:tc>
                <w:tcPr/>
                <w:p>
                  <w:pPr>
                    <w:pStyle w:val="Compact"/>
                    <w:jc w:val="left"/>
                    <w:jc w:val="center"/>
                  </w:pPr>
                  <w:r>
                    <w:t xml:space="preserve">m3: Pupil</w:t>
                  </w:r>
                  <w:r>
                    <w:t xml:space="preserve"> </w:t>
                  </w:r>
                  <m:oMath>
                    <m:r>
                      <m:rPr>
                        <m:sty m:val="p"/>
                      </m:rPr>
                      <m:t>×</m:t>
                    </m:r>
                  </m:oMath>
                  <w:r>
                    <w:t xml:space="preserve"> </w:t>
                  </w:r>
                  <w:r>
                    <w:t xml:space="preserve">difficulty</w:t>
                  </w:r>
                </w:p>
              </w:tc>
              <w:tc>
                <w:tcPr/>
                <w:p>
                  <w:pPr>
                    <w:pStyle w:val="Compact"/>
                    <w:jc w:val="right"/>
                    <w:jc w:val="center"/>
                  </w:pPr>
                  <w:r>
                    <w:t xml:space="preserve">-13337.7</w:t>
                  </w:r>
                </w:p>
              </w:tc>
              <w:tc>
                <w:tcPr/>
                <w:p>
                  <w:pPr>
                    <w:pStyle w:val="Compact"/>
                    <w:jc w:val="right"/>
                    <w:jc w:val="center"/>
                  </w:pPr>
                  <w:r>
                    <w:t xml:space="preserve">123.5</w:t>
                  </w:r>
                </w:p>
              </w:tc>
              <w:tc>
                <w:tcPr/>
                <w:p>
                  <w:pPr>
                    <w:pStyle w:val="Compact"/>
                    <w:jc w:val="right"/>
                    <w:jc w:val="center"/>
                  </w:pPr>
                  <w:r>
                    <w:t xml:space="preserve">-2.59</w:t>
                  </w:r>
                </w:p>
              </w:tc>
              <w:tc>
                <w:tcPr/>
                <w:p>
                  <w:pPr>
                    <w:pStyle w:val="Compact"/>
                    <w:jc w:val="right"/>
                    <w:jc w:val="center"/>
                  </w:pPr>
                  <w:r>
                    <w:t xml:space="preserve">0.46</w:t>
                  </w:r>
                </w:p>
              </w:tc>
              <w:tc>
                <w:tcPr/>
                <w:p>
                  <w:pPr>
                    <w:pStyle w:val="Compact"/>
                    <w:jc w:val="right"/>
                    <w:jc w:val="center"/>
                  </w:pPr>
                  <w:r>
                    <w:t xml:space="preserve">12287</w:t>
                  </w:r>
                </w:p>
              </w:tc>
            </w:tr>
            <w:tr>
              <w:tc>
                <w:tcPr/>
                <w:p>
                  <w:pPr>
                    <w:pStyle w:val="Compact"/>
                    <w:jc w:val="left"/>
                    <w:jc w:val="center"/>
                  </w:pPr>
                  <w:r>
                    <w:t xml:space="preserve">m0: Behavioral baseline</w:t>
                  </w:r>
                </w:p>
              </w:tc>
              <w:tc>
                <w:tcPr/>
                <w:p>
                  <w:pPr>
                    <w:pStyle w:val="Compact"/>
                    <w:jc w:val="right"/>
                    <w:jc w:val="center"/>
                  </w:pPr>
                  <w:r>
                    <w:t xml:space="preserve">-13180.4</w:t>
                  </w:r>
                </w:p>
              </w:tc>
              <w:tc>
                <w:tcPr/>
                <w:p>
                  <w:pPr>
                    <w:pStyle w:val="Compact"/>
                    <w:jc w:val="right"/>
                    <w:jc w:val="center"/>
                  </w:pPr>
                  <w:r>
                    <w:t xml:space="preserve">122.8</w:t>
                  </w:r>
                </w:p>
              </w:tc>
              <w:tc>
                <w:tcPr/>
                <w:p>
                  <w:pPr>
                    <w:pStyle w:val="Compact"/>
                    <w:jc w:val="right"/>
                    <w:jc w:val="center"/>
                  </w:pPr>
                  <w:r>
                    <w:t xml:space="preserve">0.00</w:t>
                  </w:r>
                </w:p>
              </w:tc>
              <w:tc>
                <w:tcPr/>
                <w:p>
                  <w:pPr>
                    <w:pStyle w:val="Compact"/>
                    <w:jc w:val="right"/>
                    <w:jc w:val="center"/>
                  </w:pPr>
                  <w:r>
                    <w:t xml:space="preserve">0.58</w:t>
                  </w:r>
                </w:p>
              </w:tc>
              <w:tc>
                <w:tcPr/>
                <w:p>
                  <w:pPr>
                    <w:pStyle w:val="Compact"/>
                    <w:jc w:val="right"/>
                    <w:jc w:val="center"/>
                  </w:pPr>
                  <w:r>
                    <w:t xml:space="preserve">12150</w:t>
                  </w:r>
                </w:p>
              </w:tc>
            </w:tr>
            <w:tr>
              <w:tc>
                <w:tcPr/>
                <w:p>
                  <w:pPr>
                    <w:pStyle w:val="Compact"/>
                    <w:jc w:val="left"/>
                    <w:jc w:val="center"/>
                  </w:pPr>
                  <w:r>
                    <w:t xml:space="preserve">m1: Pupil</w:t>
                  </w:r>
                  <w:r>
                    <w:t xml:space="preserve"> </w:t>
                  </w:r>
                  <m:oMath>
                    <m:r>
                      <m:rPr>
                        <m:sty m:val="p"/>
                      </m:rPr>
                      <m:t>→</m:t>
                    </m:r>
                  </m:oMath>
                  <w:r>
                    <w:t xml:space="preserve"> </w:t>
                  </w:r>
                  <w:r>
                    <w:t xml:space="preserve">bias (</w:t>
                  </w:r>
                  <m:oMath>
                    <m:r>
                      <m:t>z</m:t>
                    </m:r>
                  </m:oMath>
                  <w:r>
                    <w:t xml:space="preserve">)</w:t>
                  </w:r>
                </w:p>
              </w:tc>
              <w:tc>
                <w:tcPr/>
                <w:p>
                  <w:pPr>
                    <w:pStyle w:val="Compact"/>
                    <w:jc w:val="right"/>
                    <w:jc w:val="center"/>
                  </w:pPr>
                  <w:r>
                    <w:t xml:space="preserve">-13181.7</w:t>
                  </w:r>
                </w:p>
              </w:tc>
              <w:tc>
                <w:tcPr/>
                <w:p>
                  <w:pPr>
                    <w:pStyle w:val="Compact"/>
                    <w:jc w:val="right"/>
                    <w:jc w:val="center"/>
                  </w:pPr>
                  <w:r>
                    <w:t xml:space="preserve">122.8</w:t>
                  </w:r>
                </w:p>
              </w:tc>
              <w:tc>
                <w:tcPr/>
                <w:p>
                  <w:pPr>
                    <w:pStyle w:val="Compact"/>
                    <w:jc w:val="right"/>
                    <w:jc w:val="center"/>
                  </w:pPr>
                  <w:r>
                    <w:t xml:space="preserve">-1.38</w:t>
                  </w:r>
                </w:p>
              </w:tc>
              <w:tc>
                <w:tcPr/>
                <w:p>
                  <w:pPr>
                    <w:pStyle w:val="Compact"/>
                    <w:jc w:val="right"/>
                    <w:jc w:val="center"/>
                  </w:pPr>
                  <w:r>
                    <w:t xml:space="preserve">0.55</w:t>
                  </w:r>
                </w:p>
              </w:tc>
              <w:tc>
                <w:tcPr/>
                <w:p>
                  <w:pPr>
                    <w:pStyle w:val="Compact"/>
                    <w:jc w:val="right"/>
                    <w:jc w:val="center"/>
                  </w:pPr>
                  <w:r>
                    <w:t xml:space="preserve">12150</w:t>
                  </w:r>
                </w:p>
              </w:tc>
            </w:tr>
            <w:tr>
              <w:tc>
                <w:tcPr/>
                <w:p>
                  <w:pPr>
                    <w:pStyle w:val="Compact"/>
                    <w:jc w:val="left"/>
                    <w:jc w:val="center"/>
                  </w:pPr>
                  <w:r>
                    <w:t xml:space="preserve">m2: Pupil</w:t>
                  </w:r>
                  <w:r>
                    <w:t xml:space="preserve"> </w:t>
                  </w:r>
                  <m:oMath>
                    <m:r>
                      <m:rPr>
                        <m:sty m:val="p"/>
                      </m:rPr>
                      <m:t>→</m:t>
                    </m:r>
                  </m:oMath>
                  <w:r>
                    <w:t xml:space="preserve"> </w:t>
                  </w:r>
                  <w:r>
                    <w:t xml:space="preserve">drift + bias</w:t>
                  </w:r>
                </w:p>
              </w:tc>
              <w:tc>
                <w:tcPr/>
                <w:p>
                  <w:pPr>
                    <w:pStyle w:val="Compact"/>
                    <w:jc w:val="right"/>
                    <w:jc w:val="center"/>
                  </w:pPr>
                  <w:r>
                    <w:t xml:space="preserve">-13182.9</w:t>
                  </w:r>
                </w:p>
              </w:tc>
              <w:tc>
                <w:tcPr/>
                <w:p>
                  <w:pPr>
                    <w:pStyle w:val="Compact"/>
                    <w:jc w:val="right"/>
                    <w:jc w:val="center"/>
                  </w:pPr>
                  <w:r>
                    <w:t xml:space="preserve">122.8</w:t>
                  </w:r>
                </w:p>
              </w:tc>
              <w:tc>
                <w:tcPr/>
                <w:p>
                  <w:pPr>
                    <w:pStyle w:val="Compact"/>
                    <w:jc w:val="right"/>
                    <w:jc w:val="center"/>
                  </w:pPr>
                  <w:r>
                    <w:t xml:space="preserve">-2.55</w:t>
                  </w:r>
                </w:p>
              </w:tc>
              <w:tc>
                <w:tcPr/>
                <w:p>
                  <w:pPr>
                    <w:pStyle w:val="Compact"/>
                    <w:jc w:val="right"/>
                    <w:jc w:val="center"/>
                  </w:pPr>
                  <w:r>
                    <w:t xml:space="preserve">0.45</w:t>
                  </w:r>
                </w:p>
              </w:tc>
              <w:tc>
                <w:tcPr/>
                <w:p>
                  <w:pPr>
                    <w:pStyle w:val="Compact"/>
                    <w:jc w:val="right"/>
                    <w:jc w:val="center"/>
                  </w:pPr>
                  <w:r>
                    <w:t xml:space="preserve">12150</w:t>
                  </w:r>
                </w:p>
              </w:tc>
            </w:tr>
            <w:tr>
              <w:tc>
                <w:tcPr/>
                <w:p>
                  <w:pPr>
                    <w:pStyle w:val="Compact"/>
                    <w:jc w:val="left"/>
                    <w:jc w:val="center"/>
                  </w:pPr>
                  <w:r>
                    <w:t xml:space="preserve">m3: Pupil</w:t>
                  </w:r>
                  <w:r>
                    <w:t xml:space="preserve"> </w:t>
                  </w:r>
                  <m:oMath>
                    <m:r>
                      <m:rPr>
                        <m:sty m:val="p"/>
                      </m:rPr>
                      <m:t>×</m:t>
                    </m:r>
                  </m:oMath>
                  <w:r>
                    <w:t xml:space="preserve"> </w:t>
                  </w:r>
                  <w:r>
                    <w:t xml:space="preserve">difficulty</w:t>
                  </w:r>
                </w:p>
              </w:tc>
              <w:tc>
                <w:tcPr/>
                <w:p>
                  <w:pPr>
                    <w:pStyle w:val="Compact"/>
                    <w:jc w:val="right"/>
                    <w:jc w:val="center"/>
                  </w:pPr>
                  <w:r>
                    <w:t xml:space="preserve">-13183.2</w:t>
                  </w:r>
                </w:p>
              </w:tc>
              <w:tc>
                <w:tcPr/>
                <w:p>
                  <w:pPr>
                    <w:pStyle w:val="Compact"/>
                    <w:jc w:val="right"/>
                    <w:jc w:val="center"/>
                  </w:pPr>
                  <w:r>
                    <w:t xml:space="preserve">122.9</w:t>
                  </w:r>
                </w:p>
              </w:tc>
              <w:tc>
                <w:tcPr/>
                <w:p>
                  <w:pPr>
                    <w:pStyle w:val="Compact"/>
                    <w:jc w:val="right"/>
                    <w:jc w:val="center"/>
                  </w:pPr>
                  <w:r>
                    <w:t xml:space="preserve">-2.83</w:t>
                  </w:r>
                </w:p>
              </w:tc>
              <w:tc>
                <w:tcPr/>
                <w:p>
                  <w:pPr>
                    <w:pStyle w:val="Compact"/>
                    <w:jc w:val="right"/>
                    <w:jc w:val="center"/>
                  </w:pPr>
                  <w:r>
                    <w:t xml:space="preserve">0.50</w:t>
                  </w:r>
                </w:p>
              </w:tc>
              <w:tc>
                <w:tcPr/>
                <w:p>
                  <w:pPr>
                    <w:pStyle w:val="Compact"/>
                    <w:jc w:val="right"/>
                    <w:jc w:val="center"/>
                  </w:pPr>
                  <w:r>
                    <w:t xml:space="preserve">12150</w:t>
                  </w:r>
                </w:p>
              </w:tc>
            </w:tr>
            <w:tr>
              <w:tc>
                <w:tcPr/>
                <w:p>
                  <w:pPr>
                    <w:pStyle w:val="Compact"/>
                    <w:jc w:val="left"/>
                    <w:jc w:val="center"/>
                  </w:pPr>
                  <w:r>
                    <w:t xml:space="preserve">m1p: Cavanagh pupil</w:t>
                  </w:r>
                  <w:r>
                    <w:t xml:space="preserve"> </w:t>
                  </w:r>
                  <m:oMath>
                    <m:r>
                      <m:rPr>
                        <m:sty m:val="p"/>
                      </m:rPr>
                      <m:t>→</m:t>
                    </m:r>
                  </m:oMath>
                  <w:r>
                    <w:t xml:space="preserve"> </w:t>
                  </w:r>
                  <m:oMath>
                    <m:r>
                      <m:t>a</m:t>
                    </m:r>
                  </m:oMath>
                </w:p>
              </w:tc>
              <w:tc>
                <w:tcPr/>
                <w:p>
                  <w:pPr>
                    <w:pStyle w:val="Compact"/>
                    <w:jc w:val="right"/>
                    <w:jc w:val="center"/>
                  </w:pPr>
                  <w:r>
                    <w:t xml:space="preserve">-13332.4</w:t>
                  </w:r>
                </w:p>
              </w:tc>
              <w:tc>
                <w:tcPr/>
                <w:p>
                  <w:pPr>
                    <w:pStyle w:val="Compact"/>
                    <w:jc w:val="right"/>
                    <w:jc w:val="center"/>
                  </w:pPr>
                  <w:r>
                    <w:t xml:space="preserve">123.5</w:t>
                  </w:r>
                </w:p>
              </w:tc>
              <w:tc>
                <w:tcPr/>
                <w:p>
                  <w:pPr>
                    <w:pStyle w:val="Compact"/>
                    <w:jc w:val="right"/>
                    <w:jc w:val="center"/>
                  </w:pPr>
                  <w:r>
                    <w:t xml:space="preserve">2.69</w:t>
                  </w:r>
                </w:p>
              </w:tc>
              <w:tc>
                <w:tcPr/>
                <w:p>
                  <w:pPr>
                    <w:pStyle w:val="Compact"/>
                    <w:jc w:val="right"/>
                    <w:jc w:val="center"/>
                  </w:pPr>
                  <w:r>
                    <w:t xml:space="preserve">0.34</w:t>
                  </w:r>
                </w:p>
              </w:tc>
              <w:tc>
                <w:tcPr/>
                <w:p>
                  <w:pPr>
                    <w:pStyle w:val="Compact"/>
                    <w:jc w:val="right"/>
                    <w:jc w:val="center"/>
                  </w:pPr>
                  <w:r>
                    <w:t xml:space="preserve">12287</w:t>
                  </w:r>
                </w:p>
              </w:tc>
            </w:tr>
            <w:tr>
              <w:tc>
                <w:tcPr/>
                <w:p>
                  <w:pPr>
                    <w:pStyle w:val="Compact"/>
                    <w:jc w:val="left"/>
                    <w:jc w:val="center"/>
                  </w:pPr>
                  <w:r>
                    <w:t xml:space="preserve">m1p: Cavanagh pupil</w:t>
                  </w:r>
                  <w:r>
                    <w:t xml:space="preserve"> </w:t>
                  </w:r>
                  <m:oMath>
                    <m:r>
                      <m:rPr>
                        <m:sty m:val="p"/>
                      </m:rPr>
                      <m:t>→</m:t>
                    </m:r>
                  </m:oMath>
                  <w:r>
                    <w:t xml:space="preserve"> </w:t>
                  </w:r>
                  <m:oMath>
                    <m:r>
                      <m:t>a</m:t>
                    </m:r>
                  </m:oMath>
                </w:p>
              </w:tc>
              <w:tc>
                <w:tcPr/>
                <w:p>
                  <w:pPr>
                    <w:pStyle w:val="Compact"/>
                    <w:jc w:val="right"/>
                    <w:jc w:val="center"/>
                  </w:pPr>
                  <w:r>
                    <w:t xml:space="preserve">-13180.0</w:t>
                  </w:r>
                </w:p>
              </w:tc>
              <w:tc>
                <w:tcPr/>
                <w:p>
                  <w:pPr>
                    <w:pStyle w:val="Compact"/>
                    <w:jc w:val="right"/>
                    <w:jc w:val="center"/>
                  </w:pPr>
                  <w:r>
                    <w:t xml:space="preserve">122.9</w:t>
                  </w:r>
                </w:p>
              </w:tc>
              <w:tc>
                <w:tcPr/>
                <w:p>
                  <w:pPr>
                    <w:pStyle w:val="Compact"/>
                    <w:jc w:val="right"/>
                    <w:jc w:val="center"/>
                  </w:pPr>
                  <w:r>
                    <w:t xml:space="preserve">0.39</w:t>
                  </w:r>
                </w:p>
              </w:tc>
              <w:tc>
                <w:tcPr/>
                <w:p>
                  <w:pPr>
                    <w:pStyle w:val="Compact"/>
                    <w:jc w:val="right"/>
                    <w:jc w:val="center"/>
                  </w:pPr>
                  <w:r>
                    <w:t xml:space="preserve">0.58</w:t>
                  </w:r>
                </w:p>
              </w:tc>
              <w:tc>
                <w:tcPr/>
                <w:p>
                  <w:pPr>
                    <w:pStyle w:val="Compact"/>
                    <w:jc w:val="right"/>
                    <w:jc w:val="center"/>
                  </w:pPr>
                  <w:r>
                    <w:t xml:space="preserve">12150</w:t>
                  </w:r>
                </w:p>
              </w:tc>
            </w:tr>
          </w:tbl>
          <w:bookmarkEnd w:id="129"/>
          <w:p/>
        </w:tc>
      </w:tr>
    </w:tbl>
    <w:p>
      <w:pPr>
        <w:pStyle w:val="BodyText"/>
      </w:pPr>
      <w:r>
        <w:rPr>
          <w:i/>
          <w:iCs/>
        </w:rPr>
        <w:t xml:space="preserve">Note.</w:t>
      </w:r>
      <w:r>
        <w:t xml:space="preserve"> </w:t>
      </w:r>
      <w:r>
        <w:t xml:space="preserve">All pupil-augmented specifications use the same trial subset within each window. Rows under Decision-Response AUC (0.3–3.3 s) list nested Models m0–m3 (behavioral baseline; pupil</w:t>
      </w:r>
      <w:r>
        <w:t xml:space="preserve"> </w:t>
      </w:r>
      <m:oMath>
        <m:r>
          <m:rPr>
            <m:sty m:val="p"/>
          </m:rPr>
          <m:t>→</m:t>
        </m:r>
      </m:oMath>
      <w:r>
        <w:t xml:space="preserve"> </w:t>
      </w:r>
      <m:oMath>
        <m:r>
          <m:t>z</m:t>
        </m:r>
      </m:oMath>
      <w:r>
        <w:t xml:space="preserve">; pupil</w:t>
      </w:r>
      <w:r>
        <w:t xml:space="preserve"> </w:t>
      </w:r>
      <m:oMath>
        <m:r>
          <m:rPr>
            <m:sty m:val="p"/>
          </m:rPr>
          <m:t>→</m:t>
        </m:r>
      </m:oMath>
      <w:r>
        <w:t xml:space="preserve"> </w:t>
      </w:r>
      <m:oMath>
        <m:r>
          <m:t>v</m:t>
        </m:r>
      </m:oMath>
      <w:r>
        <w:t xml:space="preserve"> </w:t>
      </w:r>
      <w:r>
        <w:t xml:space="preserve">+</w:t>
      </w:r>
      <w:r>
        <w:t xml:space="preserve"> </w:t>
      </w:r>
      <m:oMath>
        <m:r>
          <m:t>z</m:t>
        </m:r>
      </m:oMath>
      <w:r>
        <w:t xml:space="preserve">; pupil</w:t>
      </w:r>
      <w:r>
        <w:t xml:space="preserve"> </w:t>
      </w:r>
      <m:oMath>
        <m:r>
          <m:rPr>
            <m:sty m:val="p"/>
          </m:rPr>
          <m:t>×</m:t>
        </m:r>
      </m:oMath>
      <w:r>
        <w:t xml:space="preserve"> </w:t>
      </w:r>
      <w:r>
        <w:t xml:space="preserve">difficulty).</w:t>
      </w:r>
      <w:r>
        <w:t xml:space="preserve"> </w:t>
      </w:r>
      <m:oMath>
        <m:r>
          <m:rPr>
            <m:sty m:val="p"/>
          </m:rPr>
          <m:t>Δ</m:t>
        </m:r>
      </m:oMath>
      <w:r>
        <w:t xml:space="preserve">ELPD vs. m0 uses the same-</w:t>
      </w:r>
      <m:oMath>
        <m:r>
          <m:t>N</m:t>
        </m:r>
      </m:oMath>
      <w:r>
        <w:t xml:space="preserve"> </w:t>
      </w:r>
      <w:r>
        <w:t xml:space="preserve">behavioral baseline. Cavanagh pupil</w:t>
      </w:r>
      <w:r>
        <w:t xml:space="preserve"> </w:t>
      </w:r>
      <m:oMath>
        <m:r>
          <m:rPr>
            <m:sty m:val="p"/>
          </m:rPr>
          <m:t>→</m:t>
        </m:r>
      </m:oMath>
      <w:r>
        <w:t xml:space="preserve"> </w:t>
      </w:r>
      <m:oMath>
        <m:r>
          <m:t>a</m:t>
        </m:r>
      </m:oMath>
      <w:r>
        <w:t xml:space="preserve"> </w:t>
      </w:r>
      <w:r>
        <w:t xml:space="preserve">rows report boundary-only extensions. LOOIC for m0–m3 equals</w:t>
      </w:r>
      <w:r>
        <w:t xml:space="preserve"> </w:t>
      </w:r>
      <m:oMath>
        <m:r>
          <m:rPr>
            <m:sty m:val="p"/>
          </m:rPr>
          <m:t>−</m:t>
        </m:r>
        <m:r>
          <m:t>2</m:t>
        </m:r>
        <m:r>
          <m:rPr>
            <m:sty m:val="p"/>
          </m:rPr>
          <m:t>×</m:t>
        </m:r>
      </m:oMath>
      <w:r>
        <w:t xml:space="preserve"> </w:t>
      </w:r>
      <w:r>
        <w:t xml:space="preserve">ELPD when PSIS-LOO is reliable (max Pareto-</w:t>
      </w:r>
      <m:oMath>
        <m:r>
          <m:t>k</m:t>
        </m:r>
      </m:oMath>
      <w:r>
        <w:t xml:space="preserve"> </w:t>
      </w:r>
      <m:oMath>
        <m:r>
          <m:rPr>
            <m:sty m:val="p"/>
          </m:rPr>
          <m:t>≤</m:t>
        </m:r>
        <m:r>
          <m:t>0.7</m:t>
        </m:r>
      </m:oMath>
      <w:r>
        <w:t xml:space="preserve">).</w:t>
      </w:r>
    </w:p>
    <w:bookmarkEnd w:id="130"/>
    <w:bookmarkStart w:id="132" w:name="fixed-effects-and-model-comparison"/>
    <w:p>
      <w:pPr>
        <w:pStyle w:val="Heading3"/>
      </w:pPr>
      <w:r>
        <w:t xml:space="preserve">Fixed effects and model comparison</w:t>
      </w:r>
    </w:p>
    <w:p>
      <w:pPr>
        <w:pStyle w:val="FirstParagraph"/>
      </w:pPr>
      <w:r>
        <w:t xml:space="preserve">Nested-model LOO for the primary Decision-Response AUC window (Models m0–m3) appears in</w:t>
      </w:r>
      <w:r>
        <w:t xml:space="preserve"> </w:t>
      </w:r>
      <w:hyperlink w:anchor="supptbl-pupil-loo-unified">
        <w:r>
          <w:rPr>
            <w:rStyle w:val="Hyperlink"/>
          </w:rPr>
          <w:t xml:space="preserve">Table S15</w:t>
        </w:r>
      </w:hyperlink>
      <w:r>
        <w:t xml:space="preserve">; key pupil-linked coefficients are in</w:t>
      </w:r>
      <w:r>
        <w:t xml:space="preserve"> </w:t>
      </w:r>
      <w:hyperlink w:anchor="supptbl-pupil-key-effects-appendix">
        <w:r>
          <w:rPr>
            <w:rStyle w:val="Hyperlink"/>
          </w:rPr>
          <w:t xml:space="preserve">Table S16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supptbl-pupil-key-effects-appendix"/>
          <w:p>
            <w:pPr>
              <w:jc w:val="center"/>
            </w:pPr>
            <w:pPr>
              <w:jc w:val="left"/>
              <w:spacing w:before="200"/>
              <w:pStyle w:val="ImageCaption"/>
            </w:pPr>
            <w:r>
              <w:t xml:space="preserve">Table S16: Key pupil effects on drift (</w:t>
            </w:r>
            <m:oMath>
              <m:r>
                <m:t>v</m:t>
              </m:r>
            </m:oMath>
            <w:r>
              <w:t xml:space="preserve">) and bias (</w:t>
            </w:r>
            <m:oMath>
              <m:r>
                <m:t>z</m:t>
              </m:r>
            </m:oMath>
            <w:r>
              <w:t xml:space="preserve">) (link scale). Posterior mean, 95% CrI, whether the interval includes zero, and</w:t>
            </w:r>
            <w:r>
              <w:t xml:space="preserve"> </w:t>
            </w:r>
            <w:r>
              <w:t xml:space="preserve">$P(\\beta &gt; 0)$</w:t>
            </w:r>
            <w:r>
              <w:t xml:space="preserve"> </w:t>
            </w:r>
            <w:r>
              <w:t xml:space="preserve">for difficulty-conditional slopes (from interaction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right"/>
                    <w:jc w:val="center"/>
                  </w:pPr>
                  <w:r>
                    <w:t xml:space="preserve">Mean</w:t>
                  </w:r>
                </w:p>
              </w:tc>
              <w:tc>
                <w:tcPr/>
                <w:p>
                  <w:pPr>
                    <w:pStyle w:val="Compact"/>
                    <w:jc w:val="left"/>
                    <w:jc w:val="center"/>
                  </w:pPr>
                  <w:r>
                    <w:t xml:space="preserve">95% CrI</w:t>
                  </w:r>
                </w:p>
              </w:tc>
              <w:tc>
                <w:tcPr/>
                <w:p>
                  <w:pPr>
                    <w:pStyle w:val="Compact"/>
                    <w:jc w:val="left"/>
                    <w:jc w:val="center"/>
                  </w:pPr>
                  <w:r>
                    <w:t xml:space="preserve">Includes 0</w:t>
                  </w:r>
                </w:p>
              </w:tc>
              <w:tc>
                <w:tcPr/>
                <w:p>
                  <w:pPr>
                    <w:pStyle w:val="Compact"/>
                    <w:jc w:val="left"/>
                    <w:jc w:val="center"/>
                  </w:pPr>
                  <w:r>
                    <w:t xml:space="preserve">P(beta &gt; 0)</w:t>
                  </w:r>
                </w:p>
              </w:tc>
            </w:tr>
            <w:tr>
              <w:tc>
                <w:tcPr/>
                <w:p>
                  <w:pPr>
                    <w:pStyle w:val="Compact"/>
                    <w:jc w:val="left"/>
                    <w:jc w:val="center"/>
                  </w:pPr>
                  <w:r>
                    <w:t xml:space="preserve">Pupil</w:t>
                  </w:r>
                  <w:r>
                    <w:t xml:space="preserve"> </w:t>
                  </w:r>
                  <m:oMath>
                    <m:r>
                      <m:t>v</m:t>
                    </m:r>
                  </m:oMath>
                </w:p>
              </w:tc>
              <w:tc>
                <w:tcPr/>
                <w:p>
                  <w:pPr>
                    <w:pStyle w:val="Compact"/>
                    <w:jc w:val="right"/>
                    <w:jc w:val="center"/>
                  </w:pPr>
                  <w:r>
                    <w:t xml:space="preserve">0.011</w:t>
                  </w:r>
                </w:p>
              </w:tc>
              <w:tc>
                <w:tcPr/>
                <w:p>
                  <w:pPr>
                    <w:pStyle w:val="Compact"/>
                    <w:jc w:val="left"/>
                    <w:jc w:val="center"/>
                  </w:pPr>
                  <w:r>
                    <w:t xml:space="preserve">[-0.025, 0.045]</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w:t>
                  </w:r>
                  <w:r>
                    <w:t xml:space="preserve"> </w:t>
                  </w:r>
                  <m:oMath>
                    <m:r>
                      <m:t>z</m:t>
                    </m:r>
                  </m:oMath>
                </w:p>
              </w:tc>
              <w:tc>
                <w:tcPr/>
                <w:p>
                  <w:pPr>
                    <w:pStyle w:val="Compact"/>
                    <w:jc w:val="right"/>
                    <w:jc w:val="center"/>
                  </w:pPr>
                  <w:r>
                    <w:t xml:space="preserve">0.004</w:t>
                  </w:r>
                </w:p>
              </w:tc>
              <w:tc>
                <w:tcPr/>
                <w:p>
                  <w:pPr>
                    <w:pStyle w:val="Compact"/>
                    <w:jc w:val="left"/>
                    <w:jc w:val="center"/>
                  </w:pPr>
                  <w:r>
                    <w:t xml:space="preserve">[-0.027, 0.034]</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w:t>
                  </w:r>
                  <w:r>
                    <w:t xml:space="preserve"> </w:t>
                  </w:r>
                  <m:oMath>
                    <m:r>
                      <m:t>v</m:t>
                    </m:r>
                  </m:oMath>
                  <w:r>
                    <w:t xml:space="preserve">: Standard</w:t>
                  </w:r>
                </w:p>
              </w:tc>
              <w:tc>
                <w:tcPr/>
                <w:p>
                  <w:pPr>
                    <w:pStyle w:val="Compact"/>
                    <w:jc w:val="right"/>
                    <w:jc w:val="center"/>
                  </w:pPr>
                  <w:r>
                    <w:t xml:space="preserve">0.022</w:t>
                  </w:r>
                </w:p>
              </w:tc>
              <w:tc>
                <w:tcPr/>
                <w:p>
                  <w:pPr>
                    <w:pStyle w:val="Compact"/>
                    <w:jc w:val="left"/>
                    <w:jc w:val="center"/>
                  </w:pPr>
                  <w:r>
                    <w:t xml:space="preserve">[-0.038, 0.081]</w:t>
                  </w:r>
                </w:p>
              </w:tc>
              <w:tc>
                <w:tcPr/>
                <w:p>
                  <w:pPr>
                    <w:pStyle w:val="Compact"/>
                    <w:jc w:val="left"/>
                    <w:jc w:val="center"/>
                  </w:pPr>
                  <w:r>
                    <w:t xml:space="preserve">Yes</w:t>
                  </w:r>
                </w:p>
              </w:tc>
              <w:tc>
                <w:tcPr/>
                <w:p>
                  <w:pPr>
                    <w:pStyle w:val="Compact"/>
                    <w:jc w:val="left"/>
                    <w:jc w:val="center"/>
                  </w:pPr>
                  <w:r>
                    <w:t xml:space="preserve">0.758</w:t>
                  </w:r>
                </w:p>
              </w:tc>
            </w:tr>
            <w:tr>
              <w:tc>
                <w:tcPr/>
                <w:p>
                  <w:pPr>
                    <w:pStyle w:val="Compact"/>
                    <w:jc w:val="left"/>
                    <w:jc w:val="center"/>
                  </w:pPr>
                  <w:r>
                    <w:t xml:space="preserve">Pupil</w:t>
                  </w:r>
                  <w:r>
                    <w:t xml:space="preserve"> </w:t>
                  </w:r>
                  <m:oMath>
                    <m:r>
                      <m:t>v</m:t>
                    </m:r>
                  </m:oMath>
                  <w:r>
                    <w:t xml:space="preserve">: Hard</w:t>
                  </w:r>
                </w:p>
              </w:tc>
              <w:tc>
                <w:tcPr/>
                <w:p>
                  <w:pPr>
                    <w:pStyle w:val="Compact"/>
                    <w:jc w:val="right"/>
                    <w:jc w:val="center"/>
                  </w:pPr>
                  <w:r>
                    <w:t xml:space="preserve">-0.026</w:t>
                  </w:r>
                </w:p>
              </w:tc>
              <w:tc>
                <w:tcPr/>
                <w:p>
                  <w:pPr>
                    <w:pStyle w:val="Compact"/>
                    <w:jc w:val="left"/>
                    <w:jc w:val="center"/>
                  </w:pPr>
                  <w:r>
                    <w:t xml:space="preserve">[-0.07, 0.018]</w:t>
                  </w:r>
                </w:p>
              </w:tc>
              <w:tc>
                <w:tcPr/>
                <w:p>
                  <w:pPr>
                    <w:pStyle w:val="Compact"/>
                    <w:jc w:val="left"/>
                    <w:jc w:val="center"/>
                  </w:pPr>
                  <w:r>
                    <w:t xml:space="preserve">Yes</w:t>
                  </w:r>
                </w:p>
              </w:tc>
              <w:tc>
                <w:tcPr/>
                <w:p>
                  <w:pPr>
                    <w:pStyle w:val="Compact"/>
                    <w:jc w:val="left"/>
                    <w:jc w:val="center"/>
                  </w:pPr>
                  <w:r>
                    <w:t xml:space="preserve">0.116</w:t>
                  </w:r>
                </w:p>
              </w:tc>
            </w:tr>
            <w:tr>
              <w:tc>
                <w:tcPr/>
                <w:p>
                  <w:pPr>
                    <w:pStyle w:val="Compact"/>
                    <w:jc w:val="left"/>
                    <w:jc w:val="center"/>
                  </w:pPr>
                  <w:r>
                    <w:t xml:space="preserve">Pupil</w:t>
                  </w:r>
                  <w:r>
                    <w:t xml:space="preserve"> </w:t>
                  </w:r>
                  <m:oMath>
                    <m:r>
                      <m:t>v</m:t>
                    </m:r>
                  </m:oMath>
                  <w:r>
                    <w:t xml:space="preserve">: Easy</w:t>
                  </w:r>
                </w:p>
              </w:tc>
              <w:tc>
                <w:tcPr/>
                <w:p>
                  <w:pPr>
                    <w:pStyle w:val="Compact"/>
                    <w:jc w:val="right"/>
                    <w:jc w:val="center"/>
                  </w:pPr>
                  <w:r>
                    <w:t xml:space="preserve">0.005</w:t>
                  </w:r>
                </w:p>
              </w:tc>
              <w:tc>
                <w:tcPr/>
                <w:p>
                  <w:pPr>
                    <w:pStyle w:val="Compact"/>
                    <w:jc w:val="left"/>
                    <w:jc w:val="center"/>
                  </w:pPr>
                  <w:r>
                    <w:t xml:space="preserve">[-0.048, 0.058]</w:t>
                  </w:r>
                </w:p>
              </w:tc>
              <w:tc>
                <w:tcPr/>
                <w:p>
                  <w:pPr>
                    <w:pStyle w:val="Compact"/>
                    <w:jc w:val="left"/>
                    <w:jc w:val="center"/>
                  </w:pPr>
                  <w:r>
                    <w:t xml:space="preserve">Yes</w:t>
                  </w:r>
                </w:p>
              </w:tc>
              <w:tc>
                <w:tcPr/>
                <w:p>
                  <w:pPr>
                    <w:pStyle w:val="Compact"/>
                    <w:jc w:val="left"/>
                    <w:jc w:val="center"/>
                  </w:pPr>
                  <w:r>
                    <w:t xml:space="preserve">0.580</w:t>
                  </w:r>
                </w:p>
              </w:tc>
            </w:tr>
          </w:tbl>
          <w:bookmarkEnd w:id="131"/>
          <w:p/>
        </w:tc>
      </w:tr>
    </w:tbl>
    <w:bookmarkEnd w:id="132"/>
    <w:bookmarkStart w:id="134" w:name="cavanagh-boundary-extensions"/>
    <w:p>
      <w:pPr>
        <w:pStyle w:val="Heading3"/>
      </w:pPr>
      <w:r>
        <w:t xml:space="preserve">Cavanagh boundary extensions</w:t>
      </w:r>
    </w:p>
    <w:tbl>
      <w:tblPr>
        <w:tblStyle w:val="Table"/>
        <w:tblW w:type="pct" w:w="5000"/>
        <w:tblLayout w:type="fixed"/>
        <w:tblLook w:firstRow="0" w:lastRow="0" w:firstColumn="0" w:lastColumn="0" w:noHBand="0" w:noVBand="0" w:val="0000"/>
      </w:tblPr>
      <w:tblGrid>
        <w:gridCol w:w="7920"/>
      </w:tblGrid>
      <w:tr>
        <w:tc>
          <w:tcPr/>
          <w:bookmarkStart w:id="133" w:name="supptbl-pupil-boundary-appendix"/>
          <w:p>
            <w:pPr>
              <w:jc w:val="center"/>
            </w:pPr>
            <w:pPr>
              <w:jc w:val="left"/>
              <w:spacing w:before="200"/>
              <w:pStyle w:val="ImageCaption"/>
            </w:pPr>
            <w:r>
              <w:t xml:space="preserve">Table S17: Cavanagh-style pupil</w:t>
            </w:r>
            <w:r>
              <w:t xml:space="preserve"> </w:t>
            </w:r>
            <m:oMath>
              <m:r>
                <m:rPr>
                  <m:sty m:val="p"/>
                </m:rPr>
                <m:t>→</m:t>
              </m:r>
            </m:oMath>
            <w:r>
              <w:t xml:space="preserve"> </w:t>
            </w:r>
            <w:r>
              <w:t xml:space="preserve">boundary separation (</w:t>
            </w:r>
            <m:oMath>
              <m:r>
                <m:t>a</m:t>
              </m:r>
            </m:oMath>
            <w:r>
              <w:t xml:space="preserve">) extensions. Same-</w:t>
            </w:r>
            <m:oMath>
              <m:r>
                <m:t>N</m:t>
              </m:r>
            </m:oMath>
            <w:r>
              <w:t xml:space="preserve"> </w:t>
            </w:r>
            <w:r>
              <w:t xml:space="preserve">behavioral baseline as nested Models 0–3;</w:t>
            </w:r>
            <w:r>
              <w:t xml:space="preserve"> </w:t>
            </w:r>
            <m:oMath>
              <m:r>
                <m:rPr>
                  <m:sty m:val="p"/>
                </m:rPr>
                <m:t>Δ</m:t>
              </m:r>
            </m:oMath>
            <w:r>
              <w:t xml:space="preserve">ELPD vs. model_0_behavioral.</w:t>
            </w:r>
          </w:p>
          <w:tbl>
            <w:tblPr>
              <w:tblStyle w:val="Table"/>
              <w:tblW w:type="pct" w:w="5000"/>
              <w:tblLayout w:type="fixed"/>
              <w:tblLook w:firstRow="1" w:lastRow="0" w:firstColumn="0" w:lastColumn="0" w:noHBand="0" w:noVBand="0" w:val="0020"/>
            </w:tblPr>
            <w:tblGrid>
              <w:gridCol w:w="2576"/>
              <w:gridCol w:w="858"/>
              <w:gridCol w:w="2003"/>
              <w:gridCol w:w="858"/>
              <w:gridCol w:w="1049"/>
              <w:gridCol w:w="572"/>
            </w:tblGrid>
            <w:tr>
              <w:trPr>
                <w:tblHeader w:val="on"/>
              </w:trPr>
              <w:tc>
                <w:tcPr/>
                <w:p>
                  <w:pPr>
                    <w:pStyle w:val="Compact"/>
                    <w:jc w:val="left"/>
                    <w:jc w:val="center"/>
                  </w:pPr>
                  <w:r>
                    <w:t xml:space="preserve">Window</w:t>
                  </w:r>
                </w:p>
              </w:tc>
              <w:tc>
                <w:tcPr/>
                <w:p>
                  <w:pPr>
                    <w:pStyle w:val="Compact"/>
                    <w:jc w:val="left"/>
                    <w:jc w:val="center"/>
                  </w:pPr>
                  <w:r>
                    <w:t xml:space="preserve">N trials</w:t>
                  </w:r>
                </w:p>
              </w:tc>
              <w:tc>
                <w:tcPr/>
                <w:p>
                  <w:pPr>
                    <w:pStyle w:val="Compact"/>
                    <w:jc w:val="left"/>
                    <w:jc w:val="center"/>
                  </w:pPr>
                  <w:r>
                    <w:t xml:space="preserve">Pupil on</w:t>
                  </w:r>
                  <w:r>
                    <w:t xml:space="preserve"> </w:t>
                  </w:r>
                  <m:oMath>
                    <m:r>
                      <m:t>a</m:t>
                    </m:r>
                  </m:oMath>
                  <w:r>
                    <w:t xml:space="preserve"> </w:t>
                  </w:r>
                  <w:r>
                    <w:t xml:space="preserve">(beta)</w:t>
                  </w:r>
                </w:p>
              </w:tc>
              <w:tc>
                <w:tcPr/>
                <w:p>
                  <w:pPr>
                    <w:pStyle w:val="Compact"/>
                    <w:jc w:val="right"/>
                    <w:jc w:val="center"/>
                  </w:pPr>
                  <w:r>
                    <w:t xml:space="preserve">ELPD</w:t>
                  </w:r>
                </w:p>
              </w:tc>
              <w:tc>
                <w:tcPr/>
                <w:p>
                  <w:pPr>
                    <w:pStyle w:val="Compact"/>
                    <w:jc w:val="right"/>
                    <w:jc w:val="center"/>
                  </w:pPr>
                  <w:r>
                    <w:t xml:space="preserve">Delta ELPD</w:t>
                  </w:r>
                </w:p>
              </w:tc>
              <w:tc>
                <w:tcPr/>
                <w:p>
                  <w:pPr>
                    <w:pStyle w:val="Compact"/>
                    <w:jc w:val="right"/>
                    <w:jc w:val="center"/>
                  </w:pPr>
                  <w:r>
                    <w:t xml:space="preserve">Max k</w:t>
                  </w:r>
                </w:p>
              </w:tc>
            </w:tr>
            <w:tr>
              <w:tc>
                <w:tcPr/>
                <w:p>
                  <w:pPr>
                    <w:pStyle w:val="Compact"/>
                    <w:jc w:val="left"/>
                    <w:jc w:val="center"/>
                  </w:pPr>
                  <w:r>
                    <w:t xml:space="preserve">Full AUC (0.3–3.3 s)</w:t>
                  </w:r>
                </w:p>
              </w:tc>
              <w:tc>
                <w:tcPr/>
                <w:p>
                  <w:pPr>
                    <w:pStyle w:val="Compact"/>
                    <w:jc w:val="left"/>
                    <w:jc w:val="center"/>
                  </w:pPr>
                  <w:r>
                    <w:t xml:space="preserve">12,287</w:t>
                  </w:r>
                </w:p>
              </w:tc>
              <w:tc>
                <w:tcPr/>
                <w:p>
                  <w:pPr>
                    <w:pStyle w:val="Compact"/>
                    <w:jc w:val="left"/>
                    <w:jc w:val="center"/>
                  </w:pPr>
                  <w:r>
                    <w:t xml:space="preserve">0.017 [0.005, 0.028]</w:t>
                  </w:r>
                </w:p>
              </w:tc>
              <w:tc>
                <w:tcPr/>
                <w:p>
                  <w:pPr>
                    <w:pStyle w:val="Compact"/>
                    <w:jc w:val="right"/>
                    <w:jc w:val="center"/>
                  </w:pPr>
                  <w:r>
                    <w:t xml:space="preserve">-13332.4</w:t>
                  </w:r>
                </w:p>
              </w:tc>
              <w:tc>
                <w:tcPr/>
                <w:p>
                  <w:pPr>
                    <w:pStyle w:val="Compact"/>
                    <w:jc w:val="right"/>
                    <w:jc w:val="center"/>
                  </w:pPr>
                  <w:r>
                    <w:t xml:space="preserve">2.69</w:t>
                  </w:r>
                </w:p>
              </w:tc>
              <w:tc>
                <w:tcPr/>
                <w:p>
                  <w:pPr>
                    <w:pStyle w:val="Compact"/>
                    <w:jc w:val="right"/>
                    <w:jc w:val="center"/>
                  </w:pPr>
                  <w:r>
                    <w:t xml:space="preserve">0.34</w:t>
                  </w:r>
                </w:p>
              </w:tc>
            </w:tr>
            <w:tr>
              <w:tc>
                <w:tcPr/>
                <w:p>
                  <w:pPr>
                    <w:pStyle w:val="Compact"/>
                    <w:jc w:val="left"/>
                    <w:jc w:val="center"/>
                  </w:pPr>
                  <w:r>
                    <w:t xml:space="preserve">Truncated AUC (0.3–1.3 s)</w:t>
                  </w:r>
                </w:p>
              </w:tc>
              <w:tc>
                <w:tcPr/>
                <w:p>
                  <w:pPr>
                    <w:pStyle w:val="Compact"/>
                    <w:jc w:val="left"/>
                    <w:jc w:val="center"/>
                  </w:pPr>
                  <w:r>
                    <w:t xml:space="preserve">12,150</w:t>
                  </w:r>
                </w:p>
              </w:tc>
              <w:tc>
                <w:tcPr/>
                <w:p>
                  <w:pPr>
                    <w:pStyle w:val="Compact"/>
                    <w:jc w:val="left"/>
                    <w:jc w:val="center"/>
                  </w:pPr>
                  <w:r>
                    <w:t xml:space="preserve">0.014 [0.002, 0.025]</w:t>
                  </w:r>
                </w:p>
              </w:tc>
              <w:tc>
                <w:tcPr/>
                <w:p>
                  <w:pPr>
                    <w:pStyle w:val="Compact"/>
                    <w:jc w:val="right"/>
                    <w:jc w:val="center"/>
                  </w:pPr>
                  <w:r>
                    <w:t xml:space="preserve">-13180.0</w:t>
                  </w:r>
                </w:p>
              </w:tc>
              <w:tc>
                <w:tcPr/>
                <w:p>
                  <w:pPr>
                    <w:pStyle w:val="Compact"/>
                    <w:jc w:val="right"/>
                    <w:jc w:val="center"/>
                  </w:pPr>
                  <w:r>
                    <w:t xml:space="preserve">0.39</w:t>
                  </w:r>
                </w:p>
              </w:tc>
              <w:tc>
                <w:tcPr/>
                <w:p>
                  <w:pPr>
                    <w:pStyle w:val="Compact"/>
                    <w:jc w:val="right"/>
                    <w:jc w:val="center"/>
                  </w:pPr>
                  <w:r>
                    <w:t xml:space="preserve">0.58</w:t>
                  </w:r>
                </w:p>
              </w:tc>
            </w:tr>
          </w:tbl>
          <w:bookmarkEnd w:id="133"/>
          <w:p/>
        </w:tc>
      </w:tr>
    </w:tbl>
    <w:bookmarkEnd w:id="134"/>
    <w:bookmarkStart w:id="136" w:name="tepr-descriptives-and-visualization"/>
    <w:p>
      <w:pPr>
        <w:pStyle w:val="Heading3"/>
      </w:pPr>
      <w:r>
        <w:t xml:space="preserve">TEPR descriptives and visualization</w:t>
      </w:r>
    </w:p>
    <w:tbl>
      <w:tblPr>
        <w:tblStyle w:val="Table"/>
        <w:tblW w:type="pct" w:w="5000"/>
        <w:tblLayout w:type="fixed"/>
        <w:tblLook w:firstRow="0" w:lastRow="0" w:firstColumn="0" w:lastColumn="0" w:noHBand="0" w:noVBand="0" w:val="0000"/>
      </w:tblPr>
      <w:tblGrid>
        <w:gridCol w:w="7920"/>
      </w:tblGrid>
      <w:tr>
        <w:tc>
          <w:tcPr/>
          <w:bookmarkStart w:id="135" w:name="supptbl-tepr"/>
          <w:p>
            <w:pPr>
              <w:jc w:val="center"/>
            </w:pPr>
            <w:pPr>
              <w:jc w:val="left"/>
              <w:spacing w:before="200"/>
              <w:pStyle w:val="ImageCaption"/>
            </w:pPr>
            <w:r>
              <w:t xml:space="preserve">Table S18: Task-Evoked Pupil Response (TEPR) by Condition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Task_Group</w:t>
                  </w:r>
                </w:p>
              </w:tc>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Mean AUC</w:t>
                  </w:r>
                </w:p>
              </w:tc>
              <w:tc>
                <w:tcPr/>
                <w:p>
                  <w:pPr>
                    <w:pStyle w:val="Compact"/>
                    <w:jc w:val="right"/>
                    <w:jc w:val="center"/>
                  </w:pPr>
                  <w:r>
                    <w:t xml:space="preserve">SD AUC</w:t>
                  </w:r>
                </w:p>
              </w:tc>
              <w:tc>
                <w:tcPr/>
                <w:p>
                  <w:pPr>
                    <w:pStyle w:val="Compact"/>
                    <w:jc w:val="right"/>
                    <w:jc w:val="center"/>
                  </w:pPr>
                  <w:r>
                    <w:t xml:space="preserve">N Subjects</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0.150</w:t>
                  </w:r>
                </w:p>
              </w:tc>
              <w:tc>
                <w:tcPr/>
                <w:p>
                  <w:pPr>
                    <w:pStyle w:val="Compact"/>
                    <w:jc w:val="right"/>
                    <w:jc w:val="center"/>
                  </w:pPr>
                  <w:r>
                    <w:t xml:space="preserve">2.585</w:t>
                  </w:r>
                </w:p>
              </w:tc>
              <w:tc>
                <w:tcPr/>
                <w:p>
                  <w:pPr>
                    <w:pStyle w:val="Compact"/>
                    <w:jc w:val="right"/>
                    <w:jc w:val="center"/>
                  </w:pPr>
                  <w:r>
                    <w:t xml:space="preserve">45</w:t>
                  </w:r>
                </w:p>
              </w:tc>
            </w:tr>
            <w:tr>
              <w:tc>
                <w:tcPr/>
                <w:p>
                  <w:pPr>
                    <w:pStyle w:val="Compact"/>
                    <w:jc w:val="left"/>
                    <w:jc w:val="center"/>
                  </w:pPr>
                  <w:r>
                    <w:t xml:space="preserve">ADT</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0.127</w:t>
                  </w:r>
                </w:p>
              </w:tc>
              <w:tc>
                <w:tcPr/>
                <w:p>
                  <w:pPr>
                    <w:pStyle w:val="Compact"/>
                    <w:jc w:val="right"/>
                    <w:jc w:val="center"/>
                  </w:pPr>
                  <w:r>
                    <w:t xml:space="preserve">3.820</w:t>
                  </w:r>
                </w:p>
              </w:tc>
              <w:tc>
                <w:tcPr/>
                <w:p>
                  <w:pPr>
                    <w:pStyle w:val="Compact"/>
                    <w:jc w:val="right"/>
                    <w:jc w:val="center"/>
                  </w:pPr>
                  <w:r>
                    <w:t xml:space="preserve">46</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0.306</w:t>
                  </w:r>
                </w:p>
              </w:tc>
              <w:tc>
                <w:tcPr/>
                <w:p>
                  <w:pPr>
                    <w:pStyle w:val="Compact"/>
                    <w:jc w:val="right"/>
                    <w:jc w:val="center"/>
                  </w:pPr>
                  <w:r>
                    <w:t xml:space="preserve">1.993</w:t>
                  </w:r>
                </w:p>
              </w:tc>
              <w:tc>
                <w:tcPr/>
                <w:p>
                  <w:pPr>
                    <w:pStyle w:val="Compact"/>
                    <w:jc w:val="right"/>
                    <w:jc w:val="center"/>
                  </w:pPr>
                  <w:r>
                    <w:t xml:space="preserve">45</w:t>
                  </w:r>
                </w:p>
              </w:tc>
            </w:tr>
            <w:tr>
              <w:tc>
                <w:tcPr/>
                <w:p>
                  <w:pPr>
                    <w:pStyle w:val="Compact"/>
                    <w:jc w:val="left"/>
                    <w:jc w:val="center"/>
                  </w:pPr>
                  <w:r>
                    <w:t xml:space="preserve">ADT</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0.616</w:t>
                  </w:r>
                </w:p>
              </w:tc>
              <w:tc>
                <w:tcPr/>
                <w:p>
                  <w:pPr>
                    <w:pStyle w:val="Compact"/>
                    <w:jc w:val="right"/>
                    <w:jc w:val="center"/>
                  </w:pPr>
                  <w:r>
                    <w:t xml:space="preserve">2.782</w:t>
                  </w:r>
                </w:p>
              </w:tc>
              <w:tc>
                <w:tcPr/>
                <w:p>
                  <w:pPr>
                    <w:pStyle w:val="Compact"/>
                    <w:jc w:val="right"/>
                    <w:jc w:val="center"/>
                  </w:pPr>
                  <w:r>
                    <w:t xml:space="preserve">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0.190</w:t>
                  </w:r>
                </w:p>
              </w:tc>
              <w:tc>
                <w:tcPr/>
                <w:p>
                  <w:pPr>
                    <w:pStyle w:val="Compact"/>
                    <w:jc w:val="right"/>
                    <w:jc w:val="center"/>
                  </w:pPr>
                  <w:r>
                    <w:t xml:space="preserve">3.486</w:t>
                  </w:r>
                </w:p>
              </w:tc>
              <w:tc>
                <w:tcPr/>
                <w:p>
                  <w:pPr>
                    <w:pStyle w:val="Compact"/>
                    <w:jc w:val="right"/>
                    <w:jc w:val="center"/>
                  </w:pPr>
                  <w:r>
                    <w:t xml:space="preserve">47</w:t>
                  </w:r>
                </w:p>
              </w:tc>
            </w:tr>
            <w:tr>
              <w:tc>
                <w:tcPr/>
                <w:p>
                  <w:pPr>
                    <w:pStyle w:val="Compact"/>
                    <w:jc w:val="left"/>
                    <w:jc w:val="center"/>
                  </w:pPr>
                  <w:r>
                    <w:t xml:space="preserve">ADT</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0.720</w:t>
                  </w:r>
                </w:p>
              </w:tc>
              <w:tc>
                <w:tcPr/>
                <w:p>
                  <w:pPr>
                    <w:pStyle w:val="Compact"/>
                    <w:jc w:val="right"/>
                    <w:jc w:val="center"/>
                  </w:pPr>
                  <w:r>
                    <w:t xml:space="preserve">2.626</w:t>
                  </w:r>
                </w:p>
              </w:tc>
              <w:tc>
                <w:tcPr/>
                <w:p>
                  <w:pPr>
                    <w:pStyle w:val="Compact"/>
                    <w:jc w:val="right"/>
                    <w:jc w:val="center"/>
                  </w:pPr>
                  <w:r>
                    <w:t xml:space="preserve">46</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High (40% MVC)</w:t>
                  </w:r>
                </w:p>
              </w:tc>
              <w:tc>
                <w:tcPr/>
                <w:p>
                  <w:pPr>
                    <w:pStyle w:val="Compact"/>
                    <w:jc w:val="right"/>
                    <w:jc w:val="center"/>
                  </w:pPr>
                  <w:r>
                    <w:t xml:space="preserve">0.234</w:t>
                  </w:r>
                </w:p>
              </w:tc>
              <w:tc>
                <w:tcPr/>
                <w:p>
                  <w:pPr>
                    <w:pStyle w:val="Compact"/>
                    <w:jc w:val="right"/>
                    <w:jc w:val="center"/>
                  </w:pPr>
                  <w:r>
                    <w:t xml:space="preserve">2.898</w:t>
                  </w:r>
                </w:p>
              </w:tc>
              <w:tc>
                <w:tcPr/>
                <w:p>
                  <w:pPr>
                    <w:pStyle w:val="Compact"/>
                    <w:jc w:val="right"/>
                    <w:jc w:val="center"/>
                  </w:pPr>
                  <w:r>
                    <w:t xml:space="preserve">54</w:t>
                  </w:r>
                </w:p>
              </w:tc>
            </w:tr>
            <w:tr>
              <w:tc>
                <w:tcPr/>
                <w:p>
                  <w:pPr>
                    <w:pStyle w:val="Compact"/>
                    <w:jc w:val="left"/>
                    <w:jc w:val="center"/>
                  </w:pPr>
                  <w:r>
                    <w:t xml:space="preserve">VDT</w:t>
                  </w:r>
                </w:p>
              </w:tc>
              <w:tc>
                <w:tcPr/>
                <w:p>
                  <w:pPr>
                    <w:pStyle w:val="Compact"/>
                    <w:jc w:val="left"/>
                    <w:jc w:val="center"/>
                  </w:pPr>
                  <w:r>
                    <w:t xml:space="preserve">Easy</w:t>
                  </w:r>
                </w:p>
              </w:tc>
              <w:tc>
                <w:tcPr/>
                <w:p>
                  <w:pPr>
                    <w:pStyle w:val="Compact"/>
                    <w:jc w:val="left"/>
                    <w:jc w:val="center"/>
                  </w:pPr>
                  <w:r>
                    <w:t xml:space="preserve">Low (5% MVC)</w:t>
                  </w:r>
                </w:p>
              </w:tc>
              <w:tc>
                <w:tcPr/>
                <w:p>
                  <w:pPr>
                    <w:pStyle w:val="Compact"/>
                    <w:jc w:val="right"/>
                    <w:jc w:val="center"/>
                  </w:pPr>
                  <w:r>
                    <w:t xml:space="preserve">0.533</w:t>
                  </w:r>
                </w:p>
              </w:tc>
              <w:tc>
                <w:tcPr/>
                <w:p>
                  <w:pPr>
                    <w:pStyle w:val="Compact"/>
                    <w:jc w:val="right"/>
                    <w:jc w:val="center"/>
                  </w:pPr>
                  <w:r>
                    <w:t xml:space="preserve">3.210</w:t>
                  </w:r>
                </w:p>
              </w:tc>
              <w:tc>
                <w:tcPr/>
                <w:p>
                  <w:pPr>
                    <w:pStyle w:val="Compact"/>
                    <w:jc w:val="right"/>
                    <w:jc w:val="center"/>
                  </w:pPr>
                  <w:r>
                    <w:t xml:space="preserve">52</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High (40% MVC)</w:t>
                  </w:r>
                </w:p>
              </w:tc>
              <w:tc>
                <w:tcPr/>
                <w:p>
                  <w:pPr>
                    <w:pStyle w:val="Compact"/>
                    <w:jc w:val="right"/>
                    <w:jc w:val="center"/>
                  </w:pPr>
                  <w:r>
                    <w:t xml:space="preserve">0.681</w:t>
                  </w:r>
                </w:p>
              </w:tc>
              <w:tc>
                <w:tcPr/>
                <w:p>
                  <w:pPr>
                    <w:pStyle w:val="Compact"/>
                    <w:jc w:val="right"/>
                    <w:jc w:val="center"/>
                  </w:pPr>
                  <w:r>
                    <w:t xml:space="preserve">2.184</w:t>
                  </w:r>
                </w:p>
              </w:tc>
              <w:tc>
                <w:tcPr/>
                <w:p>
                  <w:pPr>
                    <w:pStyle w:val="Compact"/>
                    <w:jc w:val="right"/>
                    <w:jc w:val="center"/>
                  </w:pPr>
                  <w:r>
                    <w:t xml:space="preserve">54</w:t>
                  </w:r>
                </w:p>
              </w:tc>
            </w:tr>
            <w:tr>
              <w:tc>
                <w:tcPr/>
                <w:p>
                  <w:pPr>
                    <w:pStyle w:val="Compact"/>
                    <w:jc w:val="left"/>
                    <w:jc w:val="center"/>
                  </w:pPr>
                  <w:r>
                    <w:t xml:space="preserve">VDT</w:t>
                  </w:r>
                </w:p>
              </w:tc>
              <w:tc>
                <w:tcPr/>
                <w:p>
                  <w:pPr>
                    <w:pStyle w:val="Compact"/>
                    <w:jc w:val="left"/>
                    <w:jc w:val="center"/>
                  </w:pPr>
                  <w:r>
                    <w:t xml:space="preserve">Hard</w:t>
                  </w:r>
                </w:p>
              </w:tc>
              <w:tc>
                <w:tcPr/>
                <w:p>
                  <w:pPr>
                    <w:pStyle w:val="Compact"/>
                    <w:jc w:val="left"/>
                    <w:jc w:val="center"/>
                  </w:pPr>
                  <w:r>
                    <w:t xml:space="preserve">Low (5% MVC)</w:t>
                  </w:r>
                </w:p>
              </w:tc>
              <w:tc>
                <w:tcPr/>
                <w:p>
                  <w:pPr>
                    <w:pStyle w:val="Compact"/>
                    <w:jc w:val="right"/>
                    <w:jc w:val="center"/>
                  </w:pPr>
                  <w:r>
                    <w:t xml:space="preserve">0.859</w:t>
                  </w:r>
                </w:p>
              </w:tc>
              <w:tc>
                <w:tcPr/>
                <w:p>
                  <w:pPr>
                    <w:pStyle w:val="Compact"/>
                    <w:jc w:val="right"/>
                    <w:jc w:val="center"/>
                  </w:pPr>
                  <w:r>
                    <w:t xml:space="preserve">2.062</w:t>
                  </w:r>
                </w:p>
              </w:tc>
              <w:tc>
                <w:tcPr/>
                <w:p>
                  <w:pPr>
                    <w:pStyle w:val="Compact"/>
                    <w:jc w:val="right"/>
                    <w:jc w:val="center"/>
                  </w:pPr>
                  <w:r>
                    <w:t xml:space="preserve">53</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High (40% MVC)</w:t>
                  </w:r>
                </w:p>
              </w:tc>
              <w:tc>
                <w:tcPr/>
                <w:p>
                  <w:pPr>
                    <w:pStyle w:val="Compact"/>
                    <w:jc w:val="right"/>
                    <w:jc w:val="center"/>
                  </w:pPr>
                  <w:r>
                    <w:t xml:space="preserve">0.652</w:t>
                  </w:r>
                </w:p>
              </w:tc>
              <w:tc>
                <w:tcPr/>
                <w:p>
                  <w:pPr>
                    <w:pStyle w:val="Compact"/>
                    <w:jc w:val="right"/>
                    <w:jc w:val="center"/>
                  </w:pPr>
                  <w:r>
                    <w:t xml:space="preserve">2.097</w:t>
                  </w:r>
                </w:p>
              </w:tc>
              <w:tc>
                <w:tcPr/>
                <w:p>
                  <w:pPr>
                    <w:pStyle w:val="Compact"/>
                    <w:jc w:val="right"/>
                    <w:jc w:val="center"/>
                  </w:pPr>
                  <w:r>
                    <w:t xml:space="preserve">50</w:t>
                  </w:r>
                </w:p>
              </w:tc>
            </w:tr>
            <w:tr>
              <w:tc>
                <w:tcPr/>
                <w:p>
                  <w:pPr>
                    <w:pStyle w:val="Compact"/>
                    <w:jc w:val="left"/>
                    <w:jc w:val="center"/>
                  </w:pPr>
                  <w:r>
                    <w:t xml:space="preserve">VDT</w:t>
                  </w:r>
                </w:p>
              </w:tc>
              <w:tc>
                <w:tcPr/>
                <w:p>
                  <w:pPr>
                    <w:pStyle w:val="Compact"/>
                    <w:jc w:val="left"/>
                    <w:jc w:val="center"/>
                  </w:pPr>
                  <w:r>
                    <w:t xml:space="preserve">Standard</w:t>
                  </w:r>
                </w:p>
              </w:tc>
              <w:tc>
                <w:tcPr/>
                <w:p>
                  <w:pPr>
                    <w:pStyle w:val="Compact"/>
                    <w:jc w:val="left"/>
                    <w:jc w:val="center"/>
                  </w:pPr>
                  <w:r>
                    <w:t xml:space="preserve">Low (5% MVC)</w:t>
                  </w:r>
                </w:p>
              </w:tc>
              <w:tc>
                <w:tcPr/>
                <w:p>
                  <w:pPr>
                    <w:pStyle w:val="Compact"/>
                    <w:jc w:val="right"/>
                    <w:jc w:val="center"/>
                  </w:pPr>
                  <w:r>
                    <w:t xml:space="preserve">0.858</w:t>
                  </w:r>
                </w:p>
              </w:tc>
              <w:tc>
                <w:tcPr/>
                <w:p>
                  <w:pPr>
                    <w:pStyle w:val="Compact"/>
                    <w:jc w:val="right"/>
                    <w:jc w:val="center"/>
                  </w:pPr>
                  <w:r>
                    <w:t xml:space="preserve">2.416</w:t>
                  </w:r>
                </w:p>
              </w:tc>
              <w:tc>
                <w:tcPr/>
                <w:p>
                  <w:pPr>
                    <w:pStyle w:val="Compact"/>
                    <w:jc w:val="right"/>
                    <w:jc w:val="center"/>
                  </w:pPr>
                  <w:r>
                    <w:t xml:space="preserve">50</w:t>
                  </w:r>
                </w:p>
              </w:tc>
            </w:tr>
          </w:tbl>
          <w:bookmarkEnd w:id="135"/>
          <w:p/>
        </w:tc>
      </w:tr>
    </w:tbl>
    <w:bookmarkEnd w:id="136"/>
    <w:bookmarkStart w:id="145" w:name="tepr-waveforms-and-conditional-slopes"/>
    <w:p>
      <w:pPr>
        <w:pStyle w:val="Heading3"/>
      </w:pPr>
      <w:r>
        <w:t xml:space="preserve">TEPR waveforms and conditional slopes</w:t>
      </w:r>
    </w:p>
    <w:tbl>
      <w:tblPr>
        <w:tblStyle w:val="Table"/>
        <w:tblW w:type="pct" w:w="5000"/>
        <w:tblLayout w:type="fixed"/>
        <w:tblLook w:firstRow="0" w:lastRow="0" w:firstColumn="0" w:lastColumn="0" w:noHBand="0" w:noVBand="0" w:val="0000"/>
      </w:tblPr>
      <w:tblGrid>
        <w:gridCol w:w="7920"/>
      </w:tblGrid>
      <w:tr>
        <w:tc>
          <w:tcPr/>
          <w:bookmarkStart w:id="140" w:name="suppfig-tepr-timecourse-supp"/>
          <w:p>
            <w:pPr>
              <w:jc w:val="center"/>
            </w:pPr>
            <w:r>
              <w:drawing>
                <wp:inline>
                  <wp:extent cx="4800600" cy="3840480"/>
                  <wp:effectExtent b="0" l="0" r="0" t="0"/>
                  <wp:docPr descr="" title="" id="138" name="Picture"/>
                  <a:graphic>
                    <a:graphicData uri="http://schemas.openxmlformats.org/drawingml/2006/picture">
                      <pic:pic>
                        <pic:nvPicPr>
                          <pic:cNvPr descr="chap3_ddm_results_files/figure-docx/unnamed-chunk-38-1.png" id="139" name="Picture"/>
                          <pic:cNvPicPr>
                            <a:picLocks noChangeArrowheads="1" noChangeAspect="1"/>
                          </pic:cNvPicPr>
                        </pic:nvPicPr>
                        <pic:blipFill>
                          <a:blip r:embed="rId137"/>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S13:</w:t>
            </w:r>
            <w:r>
              <w:t xml:space="preserve"> </w:t>
            </w:r>
            <w:r>
              <w:rPr>
                <w:b/>
                <w:bCs/>
              </w:rPr>
              <w:t xml:space="preserve">Task-Evoked Pupil Response (TEPR) time course.</w:t>
            </w:r>
            <w:r>
              <w:t xml:space="preserve"> </w:t>
            </w:r>
            <w:r>
              <w:t xml:space="preserve">Baseline-corrected pupil traces are estimated from winsorized subject-level means, aggregated to condition</w:t>
            </w:r>
            <w:r>
              <w:t xml:space="preserve"> </w:t>
            </w:r>
            <m:oMath>
              <m:r>
                <m:rPr>
                  <m:sty m:val="p"/>
                </m:rPr>
                <m:t>×</m:t>
              </m:r>
            </m:oMath>
            <w:r>
              <w:t xml:space="preserve"> </w:t>
            </w:r>
            <w:r>
              <w:t xml:space="preserve">time grand means, re-anchored to squeeze onset (</w:t>
            </w:r>
            <m:oMath>
              <m:r>
                <m:t>t</m:t>
              </m:r>
              <m:r>
                <m:rPr>
                  <m:sty m:val="p"/>
                </m:rPr>
                <m:t>=</m:t>
              </m:r>
              <m:r>
                <m:t>0</m:t>
              </m:r>
            </m:oMath>
            <w:r>
              <w:t xml:space="preserve">), downsampled to 200 time samples, and smoothed with a GAM (95% CI on the smooth). Traces are shown for four conditions (Easy/Low, Easy/High, Hard/Low, Hard/High), separately for ADT (top) and VDT (bottom). The shaded region marks the Decision-Response AUC window (4.65–7.65 s relative to squeeze onset). Vertical dashed markers: motor onset (0 s), probe (4.35 s), response cue (4.7 s).</w:t>
            </w:r>
          </w:p>
          <w:bookmarkEnd w:id="1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4" w:name="suppfig-tepr-slopes-supp"/>
          <w:p>
            <w:pPr>
              <w:jc w:val="center"/>
            </w:pPr>
            <w:r>
              <w:drawing>
                <wp:inline>
                  <wp:extent cx="4800600" cy="1866900"/>
                  <wp:effectExtent b="0" l="0" r="0" t="0"/>
                  <wp:docPr descr="" title="" id="142" name="Picture"/>
                  <a:graphic>
                    <a:graphicData uri="http://schemas.openxmlformats.org/drawingml/2006/picture">
                      <pic:pic>
                        <pic:nvPicPr>
                          <pic:cNvPr descr="chap3_ddm_results_files/figure-docx/unnamed-chunk-39-1.png" id="143" name="Picture"/>
                          <pic:cNvPicPr>
                            <a:picLocks noChangeArrowheads="1" noChangeAspect="1"/>
                          </pic:cNvPicPr>
                        </pic:nvPicPr>
                        <pic:blipFill>
                          <a:blip r:embed="rId141"/>
                          <a:stretch>
                            <a:fillRect/>
                          </a:stretch>
                        </pic:blipFill>
                        <pic:spPr bwMode="auto">
                          <a:xfrm>
                            <a:off x="0" y="0"/>
                            <a:ext cx="48006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S14: Difficulty-Conditional TEPR Slopes on Drift Rate. Posterior distributions of the difficulty-conditional TEPR slope on drift rate</w:t>
            </w:r>
            <w:r>
              <w:t xml:space="preserve"> </w:t>
            </w:r>
            <m:oMath>
              <m:r>
                <m:t>v</m:t>
              </m:r>
            </m:oMath>
            <w:r>
              <w:t xml:space="preserve">, separately for Standard, Hard, and Easy trials, from the pupil_scaled * difficulty interaction model. Conditional posterior means were Standard = 0.022, Hard = -0.026, Easy = 0.005; all three 95% credible intervals include zero, and the posteriors show minimal separation across difficulty levels. This pattern does not support a credible pupil</w:t>
            </w:r>
            <w:r>
              <w:t xml:space="preserve"> </w:t>
            </w:r>
            <m:oMath>
              <m:r>
                <m:rPr>
                  <m:sty m:val="p"/>
                </m:rPr>
                <m:t>×</m:t>
              </m:r>
            </m:oMath>
            <w:r>
              <w:t xml:space="preserve"> </w:t>
            </w:r>
            <w:r>
              <w:t xml:space="preserve">difficulty interaction on drift. See</w:t>
            </w:r>
            <w:r>
              <w:t xml:space="preserve"> </w:t>
            </w:r>
            <w:hyperlink w:anchor="sec-pupil-ddm-integration">
              <w:r>
                <w:rPr>
                  <w:rStyle w:val="Hyperlink"/>
                </w:rPr>
                <w:t xml:space="preserve">Section 3.3</w:t>
              </w:r>
            </w:hyperlink>
            <w:r>
              <w:t xml:space="preserve"> </w:t>
            </w:r>
            <w:r>
              <w:t xml:space="preserve">for measurement limitations. Shaded regions show the 95% HDI; vertical dashed lines mark zero.</w:t>
            </w:r>
          </w:p>
          <w:bookmarkEnd w:id="144"/>
        </w:tc>
      </w:tr>
    </w:tbl>
    <w:p>
      <w:r>
        <w:br w:type="page"/>
      </w:r>
    </w:p>
    <w:bookmarkEnd w:id="145"/>
    <w:bookmarkEnd w:id="146"/>
    <w:bookmarkStart w:id="169" w:name="sec-appendix-a6"/>
    <w:p>
      <w:pPr>
        <w:pStyle w:val="Heading2"/>
      </w:pPr>
      <w:r>
        <w:t xml:space="preserve">S6. Detailed DDM Model Specification</w:t>
      </w:r>
    </w:p>
    <w:p>
      <w:pPr>
        <w:pStyle w:val="FirstParagraph"/>
      </w:pPr>
      <w:r>
        <w:t xml:space="preserve">Full model equations, priors, and sampling details omitted from the main Methods.</w:t>
      </w:r>
    </w:p>
    <w:bookmarkStart w:id="155" w:name="s6.1-response-signal-timing-structure"/>
    <w:p>
      <w:pPr>
        <w:pStyle w:val="Heading3"/>
      </w:pPr>
      <w:r>
        <w:t xml:space="preserve">S6.1 Response-Signal Timing Structure</w:t>
      </w:r>
    </w:p>
    <w:tbl>
      <w:tblPr>
        <w:tblStyle w:val="Table"/>
        <w:tblW w:type="pct" w:w="5000"/>
        <w:tblLayout w:type="fixed"/>
        <w:tblLook w:firstRow="0" w:lastRow="0" w:firstColumn="0" w:lastColumn="0" w:noHBand="0" w:noVBand="0" w:val="0000"/>
      </w:tblPr>
      <w:tblGrid>
        <w:gridCol w:w="7920"/>
      </w:tblGrid>
      <w:tr>
        <w:tc>
          <w:tcPr/>
          <w:bookmarkStart w:id="150" w:name="suppfig-timing-supp"/>
          <w:p>
            <w:pPr>
              <w:jc w:val="center"/>
            </w:pPr>
            <w:r>
              <w:drawing>
                <wp:inline>
                  <wp:extent cx="3733800" cy="2083981"/>
                  <wp:effectExtent b="0" l="0" r="0" t="0"/>
                  <wp:docPr descr="" title="" id="148" name="Picture"/>
                  <a:graphic>
                    <a:graphicData uri="http://schemas.openxmlformats.org/drawingml/2006/picture">
                      <pic:pic>
                        <pic:nvPicPr>
                          <pic:cNvPr descr="../output/figures/AUC_timeline_v2.png" id="149" name="Picture"/>
                          <pic:cNvPicPr>
                            <a:picLocks noChangeArrowheads="1" noChangeAspect="1"/>
                          </pic:cNvPicPr>
                        </pic:nvPicPr>
                        <pic:blipFill>
                          <a:blip r:embed="rId147"/>
                          <a:stretch>
                            <a:fillRect/>
                          </a:stretch>
                        </pic:blipFill>
                        <pic:spPr bwMode="auto">
                          <a:xfrm>
                            <a:off x="0" y="0"/>
                            <a:ext cx="3733800" cy="2083981"/>
                          </a:xfrm>
                          <a:prstGeom prst="rect">
                            <a:avLst/>
                          </a:prstGeom>
                          <a:noFill/>
                          <a:ln w="9525">
                            <a:noFill/>
                            <a:headEnd/>
                            <a:tailEnd/>
                          </a:ln>
                        </pic:spPr>
                      </pic:pic>
                    </a:graphicData>
                  </a:graphic>
                </wp:inline>
              </w:drawing>
            </w:r>
          </w:p>
          <w:p>
            <w:pPr>
              <w:jc w:val="center"/>
            </w:pPr>
            <w:pPr>
              <w:jc w:val="left"/>
              <w:spacing w:before="200"/>
              <w:pStyle w:val="ImageCaption"/>
            </w:pPr>
            <w:r>
              <w:t xml:space="preserve">Figure S15: Structural schematic of a single trial timeline and task-evoked pupil response (TEPR) integration windows. The full timeline is anchored to initial somatic contraction (Squeeze Onset at 0.00 s). Perceptual evidence becomes available at Probe Onset (4.35 s), followed by the execution prompt (Response Prompt at 4.70 s). Phasic arousal features are extracted using two baseline-corrected windows opening at 4.65 s (probe onset + 300 ms neurophysiological lag). The primary Decision-Response AUC window spans a full 3.0 seconds to capture the complete late-peaking morphology of the older cohort’s pupillary response, intentionally encompassing both choice formation and post-decisional processing. The Truncated Decision-Response AUC window spans 1.0 second (0.3–1.3 s post-probe), evaluated in a sensitivity refit of the nested pupil-DDM models (</w:t>
            </w:r>
            <w:hyperlink w:anchor="sec-pupil-ddm-integration">
              <w:r>
                <w:rPr>
                  <w:rStyle w:val="Hyperlink"/>
                </w:rPr>
                <w:t xml:space="preserve">Section 3.3</w:t>
              </w:r>
            </w:hyperlink>
            <w:r>
              <w:t xml:space="preserve">).</w:t>
            </w:r>
          </w:p>
          <w:bookmarkEnd w:id="150"/>
        </w:tc>
      </w:tr>
    </w:tbl>
    <w:p>
      <w:pPr>
        <w:pStyle w:val="BodyText"/>
      </w:pPr>
      <w:r>
        <w:t xml:space="preserve">Primary analyses used probe-onset-locked RT.</w:t>
      </w:r>
      <w:r>
        <w:t xml:space="preserve"> </w:t>
      </w:r>
      <w:hyperlink w:anchor="suppfig-rt-distributions">
        <w:r>
          <w:rPr>
            <w:rStyle w:val="Hyperlink"/>
          </w:rPr>
          <w:t xml:space="preserve">Figure S16</w:t>
        </w:r>
      </w:hyperlink>
      <w:r>
        <w:t xml:space="preserve"> </w:t>
      </w:r>
      <w:r>
        <w:t xml:space="preserve">shows the ~0.35 s shift from cue-locked RT. Cue-locked RT is used only in sensitivity checks (Supplementary Section S4.2).</w:t>
      </w:r>
    </w:p>
    <w:tbl>
      <w:tblPr>
        <w:tblStyle w:val="Table"/>
        <w:tblW w:type="pct" w:w="5000"/>
        <w:tblLayout w:type="fixed"/>
        <w:tblLook w:firstRow="0" w:lastRow="0" w:firstColumn="0" w:lastColumn="0" w:noHBand="0" w:noVBand="0" w:val="0000"/>
      </w:tblPr>
      <w:tblGrid>
        <w:gridCol w:w="7920"/>
      </w:tblGrid>
      <w:tr>
        <w:tc>
          <w:tcPr/>
          <w:bookmarkStart w:id="154" w:name="suppfig-rt-distributions"/>
          <w:p>
            <w:pPr>
              <w:jc w:val="center"/>
            </w:pPr>
            <w:r>
              <w:drawing>
                <wp:inline>
                  <wp:extent cx="3733800" cy="2987040"/>
                  <wp:effectExtent b="0" l="0" r="0" t="0"/>
                  <wp:docPr descr="" title="" id="152" name="Picture"/>
                  <a:graphic>
                    <a:graphicData uri="http://schemas.openxmlformats.org/drawingml/2006/picture">
                      <pic:pic>
                        <pic:nvPicPr>
                          <pic:cNvPr descr="chap3_ddm_results_files/figure-docx/unnamed-chunk-41-1.png" id="153" name="Picture"/>
                          <pic:cNvPicPr>
                            <a:picLocks noChangeArrowheads="1" noChangeAspect="1"/>
                          </pic:cNvPicPr>
                        </pic:nvPicPr>
                        <pic:blipFill>
                          <a:blip r:embed="rId151"/>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S16: RT Timing Convention Validation. Histograms showing the distribution of response times for cue-locked (measured from response-window onset) and probe-onset-locked (measured from probe stimulus onset) RT definitions across all trials. The probe-onset distribution is shifted rightward by approximately 0.35 s, corresponding to the fixed post-probe delay before the response window opens. This shift validates correct implementation of the timing transformation described in Methods. All primary analyses use probe-onset-locked RT.</w:t>
            </w:r>
          </w:p>
          <w:bookmarkEnd w:id="154"/>
        </w:tc>
      </w:tr>
    </w:tbl>
    <w:bookmarkEnd w:id="155"/>
    <w:bookmarkStart w:id="156" w:name="X7fb38bb33a809b3b400af2b08e2b66d2926b197"/>
    <w:p>
      <w:pPr>
        <w:pStyle w:val="Heading3"/>
      </w:pPr>
      <w:r>
        <w:t xml:space="preserve">S6.2 Link Functions and Parameter Constraints</w:t>
      </w:r>
    </w:p>
    <w:p>
      <w:pPr>
        <w:pStyle w:val="FirstParagraph"/>
      </w:pPr>
      <w:r>
        <w:rPr>
          <w:b/>
          <w:bCs/>
        </w:rPr>
        <w:t xml:space="preserve">Link functions</w:t>
      </w:r>
      <w:r>
        <w:t xml:space="preserve">: 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 drift rate</w:t>
      </w:r>
      <w:r>
        <w:t xml:space="preserve"> </w:t>
      </w:r>
      <m:oMath>
        <m:r>
          <m:t>v</m:t>
        </m:r>
        <m:r>
          <m:rPr>
            <m:sty m:val="p"/>
          </m:rPr>
          <m:t>=</m:t>
        </m:r>
        <m:sSub>
          <m:e>
            <m:r>
              <m:t>β</m:t>
            </m:r>
          </m:e>
          <m:sub>
            <m:r>
              <m:t>v</m:t>
            </m:r>
          </m:sub>
        </m:sSub>
      </m:oMath>
      <w:r>
        <w:t xml:space="preserve"> </w:t>
      </w:r>
      <w:r>
        <w:t xml:space="preserve">(identity link); boundary separation</w:t>
      </w:r>
      <w:r>
        <w:t xml:space="preserve"> </w:t>
      </w:r>
      <m:oMath>
        <m:r>
          <m:t>a</m:t>
        </m:r>
        <m:r>
          <m:rPr>
            <m:sty m:val="p"/>
          </m:rPr>
          <m:t>=</m:t>
        </m:r>
        <m:r>
          <m:rPr>
            <m:sty m:val="p"/>
          </m:rPr>
          <m:t>exp</m:t>
        </m:r>
        <m:r>
          <m:rPr>
            <m:sty m:val="p"/>
          </m:rPr>
          <m:t>(</m:t>
        </m:r>
        <m:sSub>
          <m:e>
            <m:r>
              <m:t>β</m:t>
            </m:r>
          </m:e>
          <m:sub>
            <m:r>
              <m:rPr>
                <m:nor/>
                <m:sty m:val="p"/>
              </m:rPr>
              <m:t>bs</m:t>
            </m:r>
          </m:sub>
        </m:sSub>
        <m:r>
          <m:rPr>
            <m:sty m:val="p"/>
          </m:rPr>
          <m:t>)</m:t>
        </m:r>
      </m:oMath>
      <w:r>
        <w:t xml:space="preserve"> </w:t>
      </w:r>
      <w:r>
        <w:t xml:space="preserve">(log link, ensures</w:t>
      </w:r>
      <w:r>
        <w:t xml:space="preserve"> </w:t>
      </w:r>
      <m:oMath>
        <m:r>
          <m:t>a</m:t>
        </m:r>
        <m:r>
          <m:rPr>
            <m:sty m:val="p"/>
          </m:rPr>
          <m:t>&gt;</m:t>
        </m:r>
        <m:r>
          <m:t>0</m:t>
        </m:r>
      </m:oMath>
      <w:r>
        <w:t xml:space="preserve">); non-decision time</w:t>
      </w:r>
      <w:r>
        <w:t xml:space="preserve"> </w:t>
      </w:r>
      <m:oMath>
        <m:sSub>
          <m:e>
            <m:r>
              <m:t>t</m:t>
            </m:r>
          </m:e>
          <m:sub>
            <m:r>
              <m:t>0</m:t>
            </m:r>
          </m:sub>
        </m:sSub>
        <m:r>
          <m:rPr>
            <m:sty m:val="p"/>
          </m:rPr>
          <m:t>=</m:t>
        </m:r>
        <m:r>
          <m:rPr>
            <m:sty m:val="p"/>
          </m:rPr>
          <m:t>exp</m:t>
        </m:r>
        <m:r>
          <m:rPr>
            <m:sty m:val="p"/>
          </m:rPr>
          <m:t>(</m:t>
        </m:r>
        <m:sSub>
          <m:e>
            <m:r>
              <m:t>β</m:t>
            </m:r>
          </m:e>
          <m:sub>
            <m:r>
              <m:rPr>
                <m:nor/>
                <m:sty m:val="p"/>
              </m:rPr>
              <m:t>ndt</m:t>
            </m:r>
          </m:sub>
        </m:sSub>
        <m:r>
          <m:rPr>
            <m:sty m:val="p"/>
          </m:rPr>
          <m:t>)</m:t>
        </m:r>
      </m:oMath>
      <w:r>
        <w:t xml:space="preserve"> </w:t>
      </w:r>
      <w:r>
        <w:t xml:space="preserve">(log link, ensures</w:t>
      </w:r>
      <w:r>
        <w:t xml:space="preserve"> </w:t>
      </w:r>
      <m:oMath>
        <m:sSub>
          <m:e>
            <m:r>
              <m:t>t</m:t>
            </m:r>
          </m:e>
          <m:sub>
            <m:r>
              <m:t>0</m:t>
            </m:r>
          </m:sub>
        </m:sSub>
        <m:r>
          <m:rPr>
            <m:sty m:val="p"/>
          </m:rPr>
          <m:t>&gt;</m:t>
        </m:r>
        <m:r>
          <m:t>0</m:t>
        </m:r>
      </m:oMath>
      <w:r>
        <w:t xml:space="preserve">); starting-point bias</w:t>
      </w:r>
      <w:r>
        <w:t xml:space="preserve"> </w:t>
      </w:r>
      <m:oMath>
        <m:r>
          <m:t>z</m:t>
        </m:r>
        <m:r>
          <m:rPr>
            <m:sty m:val="p"/>
          </m:rPr>
          <m:t>=</m:t>
        </m:r>
        <m:sSup>
          <m:e>
            <m:r>
              <m:rPr>
                <m:nor/>
                <m:sty m:val="p"/>
              </m:rPr>
              <m:t>logit</m:t>
            </m:r>
          </m:e>
          <m:sup>
            <m:r>
              <m:rPr>
                <m:sty m:val="p"/>
              </m:rPr>
              <m:t>−</m:t>
            </m:r>
            <m:r>
              <m:t>1</m:t>
            </m:r>
          </m:sup>
        </m:sSup>
        <m:r>
          <m:rPr>
            <m:sty m:val="p"/>
          </m:rPr>
          <m:t>(</m:t>
        </m:r>
        <m:sSub>
          <m:e>
            <m:r>
              <m:t>β</m:t>
            </m:r>
          </m:e>
          <m:sub>
            <m:r>
              <m:rPr>
                <m:nor/>
                <m:sty m:val="p"/>
              </m:rPr>
              <m:t>bias</m:t>
            </m:r>
          </m:sub>
        </m:sSub>
        <m:r>
          <m:rPr>
            <m:sty m:val="p"/>
          </m:rPr>
          <m:t>)</m:t>
        </m:r>
        <m:r>
          <m:rPr>
            <m:sty m:val="p"/>
          </m:rPr>
          <m:t>=</m:t>
        </m:r>
        <m:f>
          <m:fPr>
            <m:type m:val="bar"/>
          </m:fPr>
          <m:num>
            <m:r>
              <m:rPr>
                <m:sty m:val="p"/>
              </m:rPr>
              <m:t>exp</m:t>
            </m:r>
            <m:r>
              <m:rPr>
                <m:sty m:val="p"/>
              </m:rPr>
              <m:t>(</m:t>
            </m:r>
            <m:sSub>
              <m:e>
                <m:r>
                  <m:t>β</m:t>
                </m:r>
              </m:e>
              <m:sub>
                <m:r>
                  <m:rPr>
                    <m:nor/>
                    <m:sty m:val="p"/>
                  </m:rPr>
                  <m:t>bias</m:t>
                </m:r>
              </m:sub>
            </m:sSub>
            <m:r>
              <m:rPr>
                <m:sty m:val="p"/>
              </m:rPr>
              <m:t>)</m:t>
            </m:r>
          </m:num>
          <m:den>
            <m:r>
              <m:t>1</m:t>
            </m:r>
            <m:r>
              <m:rPr>
                <m:sty m:val="p"/>
              </m:rPr>
              <m:t>+</m:t>
            </m:r>
            <m:r>
              <m:rPr>
                <m:sty m:val="p"/>
              </m:rPr>
              <m:t>exp</m:t>
            </m:r>
            <m:r>
              <m:rPr>
                <m:sty m:val="p"/>
              </m:rPr>
              <m:t>(</m:t>
            </m:r>
            <m:sSub>
              <m:e>
                <m:r>
                  <m:t>β</m:t>
                </m:r>
              </m:e>
              <m:sub>
                <m:r>
                  <m:rPr>
                    <m:nor/>
                    <m:sty m:val="p"/>
                  </m:rPr>
                  <m:t>bias</m:t>
                </m:r>
              </m:sub>
            </m:sSub>
            <m:r>
              <m:rPr>
                <m:sty m:val="p"/>
              </m:rPr>
              <m:t>)</m:t>
            </m:r>
          </m:den>
        </m:f>
      </m:oMath>
      <w:r>
        <w:t xml:space="preserve"> </w:t>
      </w:r>
      <w:r>
        <w:t xml:space="preserve">(logit link, ensures</w:t>
      </w:r>
      <w:r>
        <w:t xml:space="preserve"> </w:t>
      </w:r>
      <m:oMath>
        <m:r>
          <m:t>z</m:t>
        </m:r>
        <m:r>
          <m:rPr>
            <m:sty m:val="p"/>
          </m:rPr>
          <m:t>∈</m:t>
        </m:r>
        <m:r>
          <m:rPr>
            <m:sty m:val="p"/>
          </m:rPr>
          <m:t>[</m:t>
        </m:r>
        <m:r>
          <m:t>0</m:t>
        </m:r>
        <m:r>
          <m:rPr>
            <m:sty m:val="p"/>
          </m:rPr>
          <m:t>,</m:t>
        </m:r>
        <m:r>
          <m:t>1</m:t>
        </m:r>
        <m:r>
          <m:rPr>
            <m:sty m:val="p"/>
          </m:rPr>
          <m:t>]</m:t>
        </m:r>
      </m:oMath>
      <w:r>
        <w:t xml:space="preserve">).</w:t>
      </w:r>
    </w:p>
    <w:bookmarkEnd w:id="156"/>
    <w:bookmarkStart w:id="166" w:name="s6.3-hierarchical-model-structure"/>
    <w:p>
      <w:pPr>
        <w:pStyle w:val="Heading3"/>
      </w:pPr>
      <w:r>
        <w:t xml:space="preserve">S6.3 Hierarchical Model Structure</w:t>
      </w:r>
    </w:p>
    <w:p>
      <w:pPr>
        <w:pStyle w:val="FirstParagraph"/>
      </w:pPr>
      <w:r>
        <w:t xml:space="preserve">For subject</w:t>
      </w:r>
      <w:r>
        <w:t xml:space="preserve"> </w:t>
      </w:r>
      <m:oMath>
        <m:r>
          <m:t>i</m:t>
        </m:r>
      </m:oMath>
      <w:r>
        <w:t xml:space="preserve">, trial</w:t>
      </w:r>
      <w:r>
        <w:t xml:space="preserve"> </w:t>
      </w:r>
      <m:oMath>
        <m:r>
          <m:t>j</m:t>
        </m:r>
      </m:oMath>
      <w:r>
        <w:t xml:space="preserve"> </w:t>
      </w:r>
      <w:r>
        <w:t xml:space="preserve">(Bürkner, 2017; Ratcliff &amp; McKoon, 2008)</w:t>
      </w:r>
      <w:r>
        <w:t xml:space="preserve">:</w:t>
      </w:r>
    </w:p>
    <w:p>
      <w:pPr>
        <w:pStyle w:val="BodyText"/>
      </w:pPr>
      <w:bookmarkStart w:id="157" w:name="eq-drift-hierarchical"/>
      <m:oMathPara>
        <m:oMathParaPr>
          <m:jc m:val="center"/>
        </m:oMathParaPr>
        <m:oMath>
          <m:sSub>
            <m:e>
              <m:r>
                <m:t>v</m:t>
              </m:r>
            </m:e>
            <m:sub>
              <m:r>
                <m:t>i</m:t>
              </m:r>
              <m:r>
                <m:t>j</m:t>
              </m:r>
            </m:sub>
          </m:sSub>
          <m:r>
            <m:rPr>
              <m:sty m:val="p"/>
            </m:rPr>
            <m:t>=</m:t>
          </m:r>
          <m:sSub>
            <m:e>
              <m:r>
                <m:t>β</m:t>
              </m:r>
            </m:e>
            <m:sub>
              <m:r>
                <m:t>v</m:t>
              </m:r>
              <m:r>
                <m:rPr>
                  <m:sty m:val="p"/>
                </m:rPr>
                <m:t>,</m:t>
              </m:r>
              <m:r>
                <m:t>0</m:t>
              </m:r>
            </m:sub>
          </m:sSub>
          <m:r>
            <m:rPr>
              <m:sty m:val="p"/>
            </m:rPr>
            <m:t>+</m:t>
          </m:r>
          <m:nary>
            <m:naryPr>
              <m:chr m:val="∑"/>
              <m:limLoc m:val="undOvr"/>
              <m:subHide m:val="off"/>
              <m:supHide m:val="on"/>
            </m:naryPr>
            <m:sub>
              <m:r>
                <m:t>k</m:t>
              </m:r>
            </m:sub>
            <m:sup>
              <m:r>
                <m:t>​</m:t>
              </m:r>
            </m:sup>
            <m:e>
              <m:sSub>
                <m:e>
                  <m:r>
                    <m:t>β</m:t>
                  </m:r>
                </m:e>
                <m:sub>
                  <m:r>
                    <m:t>v</m:t>
                  </m:r>
                  <m:r>
                    <m:rPr>
                      <m:sty m:val="p"/>
                    </m:rPr>
                    <m:t>,</m:t>
                  </m:r>
                  <m:r>
                    <m:t>k</m:t>
                  </m:r>
                </m:sub>
              </m:sSub>
            </m:e>
          </m:nary>
          <m:sSub>
            <m:e>
              <m:r>
                <m:t>X</m:t>
              </m:r>
            </m:e>
            <m:sub>
              <m:r>
                <m:t>k</m:t>
              </m:r>
              <m:r>
                <m:rPr>
                  <m:sty m:val="p"/>
                </m:rPr>
                <m:t>,</m:t>
              </m:r>
              <m:r>
                <m:t>i</m:t>
              </m:r>
              <m:r>
                <m:t>j</m:t>
              </m:r>
            </m:sub>
          </m:sSub>
          <m:r>
            <m:rPr>
              <m:sty m:val="p"/>
            </m:rPr>
            <m:t>+</m:t>
          </m:r>
          <m:sSub>
            <m:e>
              <m:r>
                <m:t>u</m:t>
              </m:r>
            </m:e>
            <m:sub>
              <m:r>
                <m:t>v</m:t>
              </m:r>
              <m:r>
                <m:rPr>
                  <m:sty m:val="p"/>
                </m:rPr>
                <m:t>,</m:t>
              </m:r>
              <m:r>
                <m:t>i</m:t>
              </m:r>
            </m:sub>
          </m:sSub>
          <m:r>
            <m:t>  </m:t>
          </m:r>
          <m:r>
            <m:rPr>
              <m:sty m:val="p"/>
            </m:rPr>
            <m:t>(</m:t>
          </m:r>
          <m:r>
            <m:t>2</m:t>
          </m:r>
          <m:r>
            <m:rPr>
              <m:sty m:val="p"/>
            </m:rPr>
            <m:t>)</m:t>
          </m:r>
        </m:oMath>
      </m:oMathPara>
      <w:bookmarkEnd w:id="157"/>
    </w:p>
    <w:p>
      <w:pPr>
        <w:pStyle w:val="FirstParagraph"/>
      </w:pPr>
      <w:bookmarkStart w:id="158" w:name="eq-boundary-hierarchical"/>
      <m:oMathPara>
        <m:oMathParaPr>
          <m:jc m:val="center"/>
        </m:oMathParaPr>
        <m:oMath>
          <m:sSub>
            <m:e>
              <m:r>
                <m:t>a</m:t>
              </m:r>
            </m:e>
            <m:sub>
              <m:r>
                <m:t>i</m:t>
              </m:r>
              <m:r>
                <m:t>j</m:t>
              </m:r>
            </m:sub>
          </m:sSub>
          <m:r>
            <m:rPr>
              <m:sty m:val="p"/>
            </m:rPr>
            <m:t>=</m:t>
          </m:r>
          <m:r>
            <m:rPr>
              <m:sty m:val="p"/>
            </m:rPr>
            <m:t>exp</m:t>
          </m:r>
          <m:d>
            <m:dPr>
              <m:begChr m:val="("/>
              <m:sepChr m:val=""/>
              <m:endChr m:val=")"/>
              <m:grow/>
            </m:dPr>
            <m:e>
              <m:sSub>
                <m:e>
                  <m:r>
                    <m:t>β</m:t>
                  </m:r>
                </m:e>
                <m:sub>
                  <m:r>
                    <m:rPr>
                      <m:nor/>
                      <m:sty m:val="p"/>
                    </m:rPr>
                    <m:t>bs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bs</m:t>
                      </m:r>
                      <m:r>
                        <m:rPr>
                          <m:sty m:val="p"/>
                        </m:rPr>
                        <m:t>,</m:t>
                      </m:r>
                      <m:r>
                        <m:t>k</m:t>
                      </m:r>
                    </m:sub>
                  </m:sSub>
                </m:e>
              </m:nary>
              <m:sSub>
                <m:e>
                  <m:r>
                    <m:t>X</m:t>
                  </m:r>
                </m:e>
                <m:sub>
                  <m:r>
                    <m:t>k</m:t>
                  </m:r>
                  <m:r>
                    <m:rPr>
                      <m:sty m:val="p"/>
                    </m:rPr>
                    <m:t>,</m:t>
                  </m:r>
                  <m:r>
                    <m:t>i</m:t>
                  </m:r>
                  <m:r>
                    <m:t>j</m:t>
                  </m:r>
                </m:sub>
              </m:sSub>
              <m:r>
                <m:rPr>
                  <m:sty m:val="p"/>
                </m:rPr>
                <m:t>+</m:t>
              </m:r>
              <m:sSub>
                <m:e>
                  <m:r>
                    <m:t>u</m:t>
                  </m:r>
                </m:e>
                <m:sub>
                  <m:r>
                    <m:rPr>
                      <m:nor/>
                      <m:sty m:val="p"/>
                    </m:rPr>
                    <m:t>bs</m:t>
                  </m:r>
                  <m:r>
                    <m:rPr>
                      <m:sty m:val="p"/>
                    </m:rPr>
                    <m:t>,</m:t>
                  </m:r>
                  <m:r>
                    <m:t>i</m:t>
                  </m:r>
                </m:sub>
              </m:sSub>
            </m:e>
          </m:d>
          <m:r>
            <m:t>  </m:t>
          </m:r>
          <m:r>
            <m:rPr>
              <m:sty m:val="p"/>
            </m:rPr>
            <m:t>(</m:t>
          </m:r>
          <m:r>
            <m:t>3</m:t>
          </m:r>
          <m:r>
            <m:rPr>
              <m:sty m:val="p"/>
            </m:rPr>
            <m:t>)</m:t>
          </m:r>
        </m:oMath>
      </m:oMathPara>
      <w:bookmarkEnd w:id="158"/>
    </w:p>
    <w:p>
      <w:pPr>
        <w:pStyle w:val="FirstParagraph"/>
      </w:pPr>
      <w:bookmarkStart w:id="159" w:name="eq-ndt-hierarchical"/>
      <m:oMathPara>
        <m:oMathParaPr>
          <m:jc m:val="center"/>
        </m:oMathParaPr>
        <m:oMath>
          <m:sSub>
            <m:e>
              <m:r>
                <m:t>t</m:t>
              </m:r>
            </m:e>
            <m:sub>
              <m:r>
                <m:t>0</m:t>
              </m:r>
              <m:r>
                <m:rPr>
                  <m:sty m:val="p"/>
                </m:rPr>
                <m:t>,</m:t>
              </m:r>
              <m:r>
                <m:t>i</m:t>
              </m:r>
              <m:r>
                <m:t>j</m:t>
              </m:r>
            </m:sub>
          </m:sSub>
          <m:r>
            <m:rPr>
              <m:sty m:val="p"/>
            </m:rPr>
            <m:t>=</m:t>
          </m:r>
          <m:r>
            <m:rPr>
              <m:sty m:val="p"/>
            </m:rPr>
            <m:t>exp</m:t>
          </m:r>
          <m:d>
            <m:dPr>
              <m:begChr m:val="("/>
              <m:sepChr m:val=""/>
              <m:endChr m:val=")"/>
              <m:grow/>
            </m:dPr>
            <m:e>
              <m:sSub>
                <m:e>
                  <m:r>
                    <m:t>β</m:t>
                  </m:r>
                </m:e>
                <m:sub>
                  <m:r>
                    <m:rPr>
                      <m:nor/>
                      <m:sty m:val="p"/>
                    </m:rPr>
                    <m:t>ndt</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ndt</m:t>
                      </m:r>
                      <m:r>
                        <m:rPr>
                          <m:sty m:val="p"/>
                        </m:rPr>
                        <m:t>,</m:t>
                      </m:r>
                      <m:r>
                        <m:t>k</m:t>
                      </m:r>
                    </m:sub>
                  </m:sSub>
                </m:e>
              </m:nary>
              <m:sSub>
                <m:e>
                  <m:r>
                    <m:t>X</m:t>
                  </m:r>
                </m:e>
                <m:sub>
                  <m:r>
                    <m:t>k</m:t>
                  </m:r>
                  <m:r>
                    <m:rPr>
                      <m:sty m:val="p"/>
                    </m:rPr>
                    <m:t>,</m:t>
                  </m:r>
                  <m:r>
                    <m:t>i</m:t>
                  </m:r>
                  <m:r>
                    <m:t>j</m:t>
                  </m:r>
                </m:sub>
              </m:sSub>
            </m:e>
          </m:d>
          <m:r>
            <m:t>  </m:t>
          </m:r>
          <m:r>
            <m:rPr>
              <m:sty m:val="p"/>
            </m:rPr>
            <m:t>(</m:t>
          </m:r>
          <m:r>
            <m:t>4</m:t>
          </m:r>
          <m:r>
            <m:rPr>
              <m:sty m:val="p"/>
            </m:rPr>
            <m:t>)</m:t>
          </m:r>
        </m:oMath>
      </m:oMathPara>
      <w:bookmarkEnd w:id="159"/>
    </w:p>
    <w:p>
      <w:pPr>
        <w:pStyle w:val="FirstParagraph"/>
      </w:pPr>
      <w:bookmarkStart w:id="160" w:name="eq-bias-hierarchical"/>
      <m:oMathPara>
        <m:oMathParaPr>
          <m:jc m:val="center"/>
        </m:oMathParaPr>
        <m:oMath>
          <m:sSub>
            <m:e>
              <m:r>
                <m:t>z</m:t>
              </m:r>
            </m:e>
            <m:sub>
              <m:r>
                <m:t>i</m:t>
              </m:r>
              <m:r>
                <m:t>j</m:t>
              </m:r>
            </m:sub>
          </m:sSub>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bias</m:t>
                      </m:r>
                      <m:r>
                        <m:rPr>
                          <m:sty m:val="p"/>
                        </m:rPr>
                        <m:t>,</m:t>
                      </m:r>
                      <m:r>
                        <m:t>k</m:t>
                      </m:r>
                    </m:sub>
                  </m:sSub>
                </m:e>
              </m:nary>
              <m:sSub>
                <m:e>
                  <m:r>
                    <m:t>X</m:t>
                  </m:r>
                </m:e>
                <m:sub>
                  <m:r>
                    <m:t>k</m:t>
                  </m:r>
                  <m:r>
                    <m:rPr>
                      <m:sty m:val="p"/>
                    </m:rPr>
                    <m:t>,</m:t>
                  </m:r>
                  <m:r>
                    <m:t>i</m:t>
                  </m:r>
                  <m:r>
                    <m:t>j</m:t>
                  </m:r>
                </m:sub>
              </m:sSub>
              <m:r>
                <m:rPr>
                  <m:sty m:val="p"/>
                </m:rPr>
                <m:t>+</m:t>
              </m:r>
              <m:sSub>
                <m:e>
                  <m:r>
                    <m:t>u</m:t>
                  </m:r>
                </m:e>
                <m:sub>
                  <m:r>
                    <m:rPr>
                      <m:nor/>
                      <m:sty m:val="p"/>
                    </m:rPr>
                    <m:t>bias</m:t>
                  </m:r>
                  <m:r>
                    <m:rPr>
                      <m:sty m:val="p"/>
                    </m:rPr>
                    <m:t>,</m:t>
                  </m:r>
                  <m:r>
                    <m:t>i</m:t>
                  </m:r>
                </m:sub>
              </m:sSub>
            </m:e>
          </m:d>
          <m:r>
            <m:t>  </m:t>
          </m:r>
          <m:r>
            <m:rPr>
              <m:sty m:val="p"/>
            </m:rPr>
            <m:t>(</m:t>
          </m:r>
          <m:r>
            <m:t>5</m:t>
          </m:r>
          <m:r>
            <m:rPr>
              <m:sty m:val="p"/>
            </m:rPr>
            <m:t>)</m:t>
          </m:r>
        </m:oMath>
      </m:oMathPara>
      <w:bookmarkEnd w:id="160"/>
    </w:p>
    <w:p>
      <w:pPr>
        <w:pStyle w:val="FirstParagraph"/>
      </w:pPr>
      <w:r>
        <w:t xml:space="preserve">where</w:t>
      </w:r>
      <w:r>
        <w:t xml:space="preserve"> </w:t>
      </w:r>
      <m:oMath>
        <m:sSub>
          <m:e>
            <m:r>
              <m:t>β</m:t>
            </m:r>
          </m:e>
          <m:sub>
            <m:r>
              <m:t>0</m:t>
            </m:r>
          </m:sub>
        </m:sSub>
      </m:oMath>
      <w:r>
        <w:t xml:space="preserve"> </w:t>
      </w:r>
      <w:r>
        <w:t xml:space="preserve">are intercepts,</w:t>
      </w:r>
      <w:r>
        <w:t xml:space="preserve"> </w:t>
      </w:r>
      <m:oMath>
        <m:sSub>
          <m:e>
            <m:r>
              <m:t>β</m:t>
            </m:r>
          </m:e>
          <m:sub>
            <m:r>
              <m:t>k</m:t>
            </m:r>
          </m:sub>
        </m:sSub>
      </m:oMath>
      <w:r>
        <w:t xml:space="preserve"> </w:t>
      </w:r>
      <w:r>
        <w:t xml:space="preserve">are coefficients for predictors</w:t>
      </w:r>
      <w:r>
        <w:t xml:space="preserve"> </w:t>
      </w:r>
      <m:oMath>
        <m:sSub>
          <m:e>
            <m:r>
              <m:t>X</m:t>
            </m:r>
          </m:e>
          <m:sub>
            <m:r>
              <m:t>k</m:t>
            </m:r>
          </m:sub>
        </m:sSub>
      </m:oMath>
      <w:r>
        <w:t xml:space="preserve">, and</w:t>
      </w:r>
      <w:r>
        <w:t xml:space="preserve"> </w:t>
      </w:r>
      <m:oMath>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are subject random effects.</w:t>
      </w:r>
      <w:r>
        <w:t xml:space="preserve"> </w:t>
      </w:r>
      <m:oMath>
        <m:sSub>
          <m:e>
            <m:r>
              <m:t>t</m:t>
            </m:r>
          </m:e>
          <m:sub>
            <m:r>
              <m:t>0</m:t>
            </m:r>
          </m:sub>
        </m:sSub>
      </m:oMath>
      <w:r>
        <w:t xml:space="preserve"> </w:t>
      </w:r>
      <w:r>
        <w:t xml:space="preserve">has no subject random effects (response-signal design).</w:t>
      </w:r>
    </w:p>
    <w:p>
      <w:pPr>
        <w:pStyle w:val="BodyText"/>
      </w:pPr>
      <w:r>
        <w:rPr>
          <w:b/>
          <w:bCs/>
        </w:rPr>
        <w:t xml:space="preserve">Likelihood</w:t>
      </w:r>
      <w:r>
        <w:t xml:space="preserve">: The likelihood for a single trial with RT</w:t>
      </w:r>
      <w:r>
        <w:t xml:space="preserve"> </w:t>
      </w:r>
      <m:oMath>
        <m:r>
          <m:t>t</m:t>
        </m:r>
      </m:oMath>
      <w:r>
        <w:t xml:space="preserve"> </w:t>
      </w:r>
      <w:r>
        <w:t xml:space="preserve">and decision</w:t>
      </w:r>
      <w:r>
        <w:t xml:space="preserve"> </w:t>
      </w:r>
      <m:oMath>
        <m:r>
          <m:t>d</m:t>
        </m:r>
        <m:r>
          <m:rPr>
            <m:sty m:val="p"/>
          </m:rPr>
          <m:t>∈</m:t>
        </m:r>
        <m:r>
          <m:rPr>
            <m:sty m:val="p"/>
          </m:rPr>
          <m:t>{</m:t>
        </m:r>
        <m:r>
          <m:rPr>
            <m:nor/>
            <m:sty m:val="p"/>
          </m:rPr>
          <m:t>"same"</m:t>
        </m:r>
        <m:r>
          <m:rPr>
            <m:sty m:val="p"/>
          </m:rPr>
          <m:t>,</m:t>
        </m:r>
        <m:r>
          <m:rPr>
            <m:nor/>
            <m:sty m:val="p"/>
          </m:rPr>
          <m:t>"different"</m:t>
        </m:r>
        <m:r>
          <m:rPr>
            <m:sty m:val="p"/>
          </m:rPr>
          <m:t>}</m:t>
        </m:r>
      </m:oMath>
      <w:r>
        <w:t xml:space="preserve"> </w:t>
      </w:r>
      <w:r>
        <w:t xml:space="preserve">follows the Wiener first-passage time distribution</w:t>
      </w:r>
      <w:r>
        <w:t xml:space="preserve"> </w:t>
      </w:r>
      <w:r>
        <w:t xml:space="preserve">(Feller, 1968)</w:t>
      </w:r>
      <w:r>
        <w:t xml:space="preserve">:</w:t>
      </w:r>
    </w:p>
    <w:p>
      <w:pPr>
        <w:pStyle w:val="BodyText"/>
      </w:pPr>
      <w:bookmarkStart w:id="161" w:name="eq-likelihood"/>
      <m:oMathPara>
        <m:oMathParaPr>
          <m:jc m:val="center"/>
        </m:oMathParaPr>
        <m:oMath>
          <m:r>
            <m:t>p</m:t>
          </m:r>
          <m:r>
            <m:rPr>
              <m:sty m:val="p"/>
            </m:rPr>
            <m:t>(</m:t>
          </m:r>
          <m:r>
            <m:t>t</m:t>
          </m:r>
          <m:r>
            <m:rPr>
              <m:sty m:val="p"/>
            </m:rPr>
            <m:t>,</m:t>
          </m:r>
          <m:r>
            <m:t>d</m:t>
          </m:r>
          <m:r>
            <m:rPr>
              <m:sty m:val="p"/>
            </m:rPr>
            <m:t>|</m:t>
          </m:r>
          <m:r>
            <m:t>v</m:t>
          </m:r>
          <m:r>
            <m:rPr>
              <m:sty m:val="p"/>
            </m:rPr>
            <m:t>,</m:t>
          </m:r>
          <m:r>
            <m:t>a</m:t>
          </m:r>
          <m:r>
            <m:rPr>
              <m:sty m:val="p"/>
            </m:rPr>
            <m:t>,</m:t>
          </m:r>
          <m:sSub>
            <m:e>
              <m:r>
                <m:t>t</m:t>
              </m:r>
            </m:e>
            <m:sub>
              <m:r>
                <m:t>0</m:t>
              </m:r>
            </m:sub>
          </m:sSub>
          <m:r>
            <m:rPr>
              <m:sty m:val="p"/>
            </m:rPr>
            <m:t>,</m:t>
          </m:r>
          <m:r>
            <m:t>z</m:t>
          </m:r>
          <m:r>
            <m:rPr>
              <m:sty m:val="p"/>
            </m:rPr>
            <m:t>)</m:t>
          </m:r>
          <m:r>
            <m:rPr>
              <m:sty m:val="p"/>
            </m:rPr>
            <m:t>=</m:t>
          </m:r>
          <m:r>
            <m:rPr>
              <m:nor/>
              <m:sty m:val="p"/>
            </m:rPr>
            <m:t>Wiener</m:t>
          </m:r>
          <m:r>
            <m:rPr>
              <m:sty m:val="p"/>
            </m:rPr>
            <m:t>(</m:t>
          </m:r>
          <m:r>
            <m:t>t</m:t>
          </m:r>
          <m:r>
            <m:rPr>
              <m:sty m:val="p"/>
            </m:rPr>
            <m:t>−</m:t>
          </m:r>
          <m:sSub>
            <m:e>
              <m:r>
                <m:t>t</m:t>
              </m:r>
            </m:e>
            <m:sub>
              <m:r>
                <m:t>0</m:t>
              </m:r>
            </m:sub>
          </m:sSub>
          <m:r>
            <m:rPr>
              <m:sty m:val="p"/>
            </m:rPr>
            <m:t>|</m:t>
          </m:r>
          <m:r>
            <m:t>v</m:t>
          </m:r>
          <m:r>
            <m:rPr>
              <m:sty m:val="p"/>
            </m:rPr>
            <m:t>,</m:t>
          </m:r>
          <m:r>
            <m:t>a</m:t>
          </m:r>
          <m:r>
            <m:rPr>
              <m:sty m:val="p"/>
            </m:rPr>
            <m:t>,</m:t>
          </m:r>
          <m:r>
            <m:t>z</m:t>
          </m:r>
          <m:r>
            <m:rPr>
              <m:sty m:val="p"/>
            </m:rPr>
            <m:t>)</m:t>
          </m:r>
          <m:r>
            <m:t>  </m:t>
          </m:r>
          <m:r>
            <m:rPr>
              <m:sty m:val="p"/>
            </m:rPr>
            <m:t>(</m:t>
          </m:r>
          <m:r>
            <m:t>6</m:t>
          </m:r>
          <m:r>
            <m:rPr>
              <m:sty m:val="p"/>
            </m:rPr>
            <m:t>)</m:t>
          </m:r>
        </m:oMath>
      </m:oMathPara>
      <w:bookmarkEnd w:id="161"/>
    </w:p>
    <w:p>
      <w:pPr>
        <w:pStyle w:val="FirstParagraph"/>
      </w:pPr>
      <w:r>
        <w:t xml:space="preserve">where the Wiener distribution gives the probability density of the first-passage time to boundary</w:t>
      </w:r>
      <w:r>
        <w:t xml:space="preserve"> </w:t>
      </w:r>
      <m:oMath>
        <m:r>
          <m:t>d</m:t>
        </m:r>
      </m:oMath>
      <w:r>
        <w:t xml:space="preserve"> </w:t>
      </w:r>
      <w:r>
        <w:t xml:space="preserve">given drift</w:t>
      </w:r>
      <w:r>
        <w:t xml:space="preserve"> </w:t>
      </w:r>
      <m:oMath>
        <m:r>
          <m:t>v</m:t>
        </m:r>
      </m:oMath>
      <w:r>
        <w:t xml:space="preserve">, boundary separation</w:t>
      </w:r>
      <w:r>
        <w:t xml:space="preserve"> </w:t>
      </w:r>
      <m:oMath>
        <m:r>
          <m:t>a</m:t>
        </m:r>
      </m:oMath>
      <w:r>
        <w:t xml:space="preserve">, and starting point</w:t>
      </w:r>
      <w:r>
        <w:t xml:space="preserve"> </w:t>
      </w:r>
      <m:oMath>
        <m:r>
          <m:t>z</m:t>
        </m:r>
        <m:r>
          <m:rPr>
            <m:sty m:val="p"/>
          </m:rPr>
          <m:t>⋅</m:t>
        </m:r>
        <m:r>
          <m:t>a</m:t>
        </m:r>
      </m:oMath>
      <w:r>
        <w:t xml:space="preserve">.</w:t>
      </w:r>
    </w:p>
    <w:p>
      <w:pPr>
        <w:pStyle w:val="BodyText"/>
      </w:pPr>
      <w:r>
        <w:t xml:space="preserve">Standard-only model formulas (one</w:t>
      </w:r>
      <w:r>
        <w:t xml:space="preserve"> </w:t>
      </w:r>
      <w:r>
        <w:rPr>
          <w:rStyle w:val="VerbatimChar"/>
        </w:rPr>
        <w:t xml:space="preserve">brms</w:t>
      </w:r>
      <w:r>
        <w:t xml:space="preserve"> </w:t>
      </w:r>
      <w:r>
        <w:rPr>
          <w:rStyle w:val="VerbatimChar"/>
        </w:rPr>
        <w:t xml:space="preserve">bf()</w:t>
      </w:r>
      <w:r>
        <w:t xml:space="preserve"> </w:t>
      </w:r>
      <w:r>
        <w:t xml:space="preserve">call): drift</w:t>
      </w:r>
      <w:r>
        <w:t xml:space="preserve"> </w:t>
      </w:r>
      <w:r>
        <w:rPr>
          <w:rStyle w:val="VerbatimChar"/>
        </w:rPr>
        <w:t xml:space="preserve">rt | dec(dec_upper) ~ 1 + (1|subject_id)</w:t>
      </w:r>
      <w:r>
        <w:t xml:space="preserve"> </w:t>
      </w:r>
      <w:r>
        <w:t xml:space="preserve">(prior N(0, 2)); boundary</w:t>
      </w:r>
      <w:r>
        <w:t xml:space="preserve"> </w:t>
      </w:r>
      <w:r>
        <w:rPr>
          <w:rStyle w:val="VerbatimChar"/>
        </w:rPr>
        <w:t xml:space="preserve">bs ~ 1 + (1|subject_id)</w:t>
      </w:r>
      <w:r>
        <w:t xml:space="preserve">; ndt</w:t>
      </w:r>
      <w:r>
        <w:t xml:space="preserve"> </w:t>
      </w:r>
      <w:r>
        <w:rPr>
          <w:rStyle w:val="VerbatimChar"/>
        </w:rPr>
        <w:t xml:space="preserve">ndt ~ 1</w:t>
      </w:r>
      <w:r>
        <w:t xml:space="preserve">; bias</w:t>
      </w:r>
      <w:r>
        <w:t xml:space="preserve"> </w:t>
      </w:r>
      <w:r>
        <w:rPr>
          <w:rStyle w:val="VerbatimChar"/>
        </w:rPr>
        <w:t xml:space="preserve">bias ~ task + effort_condition + (1|subject_id)</w:t>
      </w:r>
      <w:r>
        <w:t xml:space="preserve">.</w:t>
      </w:r>
    </w:p>
    <w:p>
      <w:pPr>
        <w:pStyle w:val="BodyText"/>
      </w:pPr>
      <w:hyperlink w:anchor="suppfig-ddm-dag-plate">
        <w:r>
          <w:rPr>
            <w:rStyle w:val="Hyperlink"/>
          </w:rPr>
          <w:t xml:space="preserve">Figure S17</w:t>
        </w:r>
      </w:hyperlink>
      <w:r>
        <w:t xml:space="preserve"> </w:t>
      </w:r>
      <w:r>
        <w:t xml:space="preserve">summarizes the response-signal design (Panel A) and hierarchical generative model (Panel B).</w:t>
      </w:r>
    </w:p>
    <w:tbl>
      <w:tblPr>
        <w:tblStyle w:val="Table"/>
        <w:tblW w:type="pct" w:w="5000"/>
        <w:tblLayout w:type="fixed"/>
        <w:tblLook w:firstRow="0" w:lastRow="0" w:firstColumn="0" w:lastColumn="0" w:noHBand="0" w:noVBand="0" w:val="0000"/>
      </w:tblPr>
      <w:tblGrid>
        <w:gridCol w:w="7920"/>
      </w:tblGrid>
      <w:tr>
        <w:tc>
          <w:tcPr/>
          <w:bookmarkStart w:id="165" w:name="suppfig-ddm-dag-plate"/>
          <w:p>
            <w:pPr>
              <w:jc w:val="center"/>
            </w:pPr>
            <w:r>
              <w:drawing>
                <wp:inline>
                  <wp:extent cx="4000500" cy="1791661"/>
                  <wp:effectExtent b="0" l="0" r="0" t="0"/>
                  <wp:docPr descr="" title="" id="163" name="Picture"/>
                  <a:graphic>
                    <a:graphicData uri="http://schemas.openxmlformats.org/drawingml/2006/picture">
                      <pic:pic>
                        <pic:nvPicPr>
                          <pic:cNvPr descr="../output/figures/fig-ddm-dag-plate-2.png" id="164" name="Picture"/>
                          <pic:cNvPicPr>
                            <a:picLocks noChangeArrowheads="1" noChangeAspect="1"/>
                          </pic:cNvPicPr>
                        </pic:nvPicPr>
                        <pic:blipFill>
                          <a:blip r:embed="rId162"/>
                          <a:stretch>
                            <a:fillRect/>
                          </a:stretch>
                        </pic:blipFill>
                        <pic:spPr bwMode="auto">
                          <a:xfrm>
                            <a:off x="0" y="0"/>
                            <a:ext cx="4000500" cy="1791661"/>
                          </a:xfrm>
                          <a:prstGeom prst="rect">
                            <a:avLst/>
                          </a:prstGeom>
                          <a:noFill/>
                          <a:ln w="9525">
                            <a:noFill/>
                            <a:headEnd/>
                            <a:tailEnd/>
                          </a:ln>
                        </pic:spPr>
                      </pic:pic>
                    </a:graphicData>
                  </a:graphic>
                </wp:inline>
              </w:drawing>
            </w:r>
          </w:p>
          <w:p>
            <w:pPr>
              <w:jc w:val="center"/>
            </w:pPr>
            <w:pPr>
              <w:jc w:val="left"/>
              <w:spacing w:before="200"/>
              <w:pStyle w:val="ImageCaption"/>
            </w:pPr>
            <w:r>
              <w:t xml:space="preserve">Figure S17: Causal assumptions and generative structure for the hierarchical DDM. Panel A shows a conceptual causal DAG in which Age and experimentally manipulated task factors (difficulty, modality, effort) influence latent DDM parameters under a gated-response design; the wait constraint alters the mapping from decision completion to observed RT, and trial selection S represents RT-based exclusions. Panel B shows the corresponding hierarchical generative structure: subject-level parameters</w:t>
            </w:r>
            <w:r>
              <w:t xml:space="preserve"> </w:t>
            </w:r>
            <m:oMath>
              <m:sSub>
                <m:e>
                  <m:r>
                    <m:t>v</m:t>
                  </m:r>
                </m:e>
                <m:sub>
                  <m:r>
                    <m:t>i</m:t>
                  </m:r>
                </m:sub>
              </m:sSub>
            </m:oMath>
            <w:r>
              <w:t xml:space="preserve">,</w:t>
            </w:r>
            <w:r>
              <w:t xml:space="preserve"> </w:t>
            </w:r>
            <m:oMath>
              <m:sSub>
                <m:e>
                  <m:r>
                    <m:t>a</m:t>
                  </m:r>
                </m:e>
                <m:sub>
                  <m:r>
                    <m:t>i</m:t>
                  </m:r>
                </m:sub>
              </m:sSub>
            </m:oMath>
            <w:r>
              <w:t xml:space="preserve">,</w:t>
            </w:r>
            <w:r>
              <w:t xml:space="preserve"> </w:t>
            </w:r>
            <m:oMath>
              <m:sSub>
                <m:e>
                  <m:r>
                    <m:t>T</m:t>
                  </m:r>
                </m:e>
                <m:sub>
                  <m:r>
                    <m:t>e</m:t>
                  </m:r>
                  <m:r>
                    <m:t>r</m:t>
                  </m:r>
                  <m:r>
                    <m:rPr>
                      <m:sty m:val="p"/>
                    </m:rPr>
                    <m:t>,</m:t>
                  </m:r>
                  <m:r>
                    <m:t>i</m:t>
                  </m:r>
                </m:sub>
              </m:sSub>
            </m:oMath>
            <w:r>
              <w:t xml:space="preserve"> </w:t>
            </w:r>
            <w:r>
              <w:t xml:space="preserve">are depicted as influenced by a generic subject-level covariate (e.g., Age_i), while in the present chapter age is not explicitly modeled because all participants are older adults; trial-level predictors</w:t>
            </w:r>
            <w:r>
              <w:t xml:space="preserve"> </w:t>
            </w:r>
            <m:oMath>
              <m:sSub>
                <m:e>
                  <m:r>
                    <m:t>X</m:t>
                  </m:r>
                </m:e>
                <m:sub>
                  <m:r>
                    <m:t>i</m:t>
                  </m:r>
                  <m:r>
                    <m:t>t</m:t>
                  </m:r>
                </m:sub>
              </m:sSub>
            </m:oMath>
            <w:r>
              <w:t xml:space="preserve"> </w:t>
            </w:r>
            <w:r>
              <w:t xml:space="preserve">(difficulty, modality, effort) modulate drift, and choices and RTs are generated from these parameters.</w:t>
            </w:r>
          </w:p>
          <w:bookmarkEnd w:id="165"/>
        </w:tc>
      </w:tr>
    </w:tbl>
    <w:p>
      <w:pPr>
        <w:pStyle w:val="BodyText"/>
      </w:pPr>
      <w:r>
        <w:t xml:space="preserve">The complete</w:t>
      </w:r>
      <w:r>
        <w:t xml:space="preserve"> </w:t>
      </w:r>
      <w:r>
        <w:rPr>
          <w:rStyle w:val="VerbatimChar"/>
        </w:rPr>
        <w:t xml:space="preserve">brms</w:t>
      </w:r>
      <w:r>
        <w:t xml:space="preserve"> </w:t>
      </w:r>
      <w:r>
        <w:t xml:space="preserve">formula syntax for the standard-only calibration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The complete</w:t>
      </w:r>
      <w:r>
        <w:t xml:space="preserve"> </w:t>
      </w:r>
      <w:r>
        <w:rPr>
          <w:rStyle w:val="VerbatimChar"/>
        </w:rPr>
        <w:t xml:space="preserve">brms</w:t>
      </w:r>
      <w:r>
        <w:t xml:space="preserve"> </w:t>
      </w:r>
      <w:r>
        <w:t xml:space="preserve">formula syntax for the primary additive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where</w:t>
      </w:r>
      <w:r>
        <w:t xml:space="preserve"> </w:t>
      </w:r>
      <w:r>
        <w:rPr>
          <w:rStyle w:val="VerbatimChar"/>
        </w:rPr>
        <w:t xml:space="preserve">dec(dec_upper)</w:t>
      </w:r>
      <w:r>
        <w:t xml:space="preserve"> </w:t>
      </w:r>
      <w:r>
        <w:t xml:space="preserve">encodes the response boundary (1 =</w:t>
      </w:r>
      <w:r>
        <w:t xml:space="preserve"> </w:t>
      </w:r>
      <w:r>
        <w:rPr>
          <w:i/>
          <w:iCs/>
        </w:rPr>
        <w:t xml:space="preserve">different</w:t>
      </w:r>
      <w:r>
        <w:t xml:space="preserve">, 0 =</w:t>
      </w:r>
      <w:r>
        <w:t xml:space="preserve"> </w:t>
      </w:r>
      <w:r>
        <w:rPr>
          <w:i/>
          <w:iCs/>
        </w:rPr>
        <w:t xml:space="preserve">same</w:t>
      </w:r>
      <w:r>
        <w:t xml:space="preserve">),</w:t>
      </w:r>
      <w:r>
        <w:t xml:space="preserve"> </w:t>
      </w:r>
      <w:r>
        <w:rPr>
          <w:rStyle w:val="VerbatimChar"/>
        </w:rPr>
        <w:t xml:space="preserve">bs</w:t>
      </w:r>
      <w:r>
        <w:t xml:space="preserve"> </w:t>
      </w:r>
      <w:r>
        <w:t xml:space="preserve">is the log-link parameter for boundary separation</w:t>
      </w:r>
      <w:r>
        <w:t xml:space="preserve"> </w:t>
      </w:r>
      <m:oMath>
        <m:r>
          <m:t>a</m:t>
        </m:r>
      </m:oMath>
      <w:r>
        <w:t xml:space="preserve">,</w:t>
      </w:r>
      <w:r>
        <w:t xml:space="preserve"> </w:t>
      </w:r>
      <w:r>
        <w:rPr>
          <w:rStyle w:val="VerbatimChar"/>
        </w:rPr>
        <w:t xml:space="preserve">ndt</w:t>
      </w:r>
      <w:r>
        <w:t xml:space="preserve"> </w:t>
      </w:r>
      <w:r>
        <w:t xml:space="preserve">is the log-link parameter for non-decision time</w:t>
      </w:r>
      <w:r>
        <w:t xml:space="preserve"> </w:t>
      </w:r>
      <m:oMath>
        <m:sSub>
          <m:e>
            <m:r>
              <m:t>t</m:t>
            </m:r>
          </m:e>
          <m:sub>
            <m:r>
              <m:t>0</m:t>
            </m:r>
          </m:sub>
        </m:sSub>
      </m:oMath>
      <w:r>
        <w:t xml:space="preserve">, and</w:t>
      </w:r>
      <w:r>
        <w:t xml:space="preserve"> </w:t>
      </w:r>
      <w:r>
        <w:rPr>
          <w:rStyle w:val="VerbatimChar"/>
        </w:rPr>
        <w:t xml:space="preserve">bias</w:t>
      </w:r>
      <w:r>
        <w:t xml:space="preserve"> </w:t>
      </w:r>
      <w:r>
        <w:t xml:space="preserve">is the logit-link parameter for starting-point</w:t>
      </w:r>
      <w:r>
        <w:t xml:space="preserve"> </w:t>
      </w:r>
      <m:oMath>
        <m:r>
          <m:t>z</m:t>
        </m:r>
      </m:oMath>
      <w:r>
        <w:t xml:space="preserve">.</w:t>
      </w:r>
    </w:p>
    <w:bookmarkEnd w:id="166"/>
    <w:bookmarkStart w:id="167" w:name="s6.4-prior-specification"/>
    <w:p>
      <w:pPr>
        <w:pStyle w:val="Heading3"/>
      </w:pPr>
      <w:r>
        <w:t xml:space="preserve">S6.4 Prior Specification</w:t>
      </w:r>
    </w:p>
    <w:p>
      <w:pPr>
        <w:pStyle w:val="FirstParagraph"/>
      </w:pPr>
      <w:r>
        <w:t xml:space="preserve">All priors were weakly informative and specified on the link scale. For intercepts, drift rate (</w:t>
      </w:r>
      <m:oMath>
        <m:r>
          <m:t>v</m:t>
        </m:r>
      </m:oMath>
      <w:r>
        <w:t xml:space="preserve">) used Normal(0, 1); boundary separation (</w:t>
      </w:r>
      <m:oMath>
        <m:r>
          <m:t>a</m:t>
        </m:r>
      </m:oMath>
      <w:r>
        <w:t xml:space="preserve">) used Normal(log(1.3), 0.25), corresponding to</w:t>
      </w:r>
      <w:r>
        <w:t xml:space="preserve"> </w:t>
      </w:r>
      <m:oMath>
        <m:r>
          <m:t>a</m:t>
        </m:r>
        <m:r>
          <m:rPr>
            <m:sty m:val="p"/>
          </m:rPr>
          <m:t>≈</m:t>
        </m:r>
        <m:r>
          <m:t>1.3</m:t>
        </m:r>
      </m:oMath>
      <w:r>
        <w:t xml:space="preserve"> </w:t>
      </w:r>
      <w:r>
        <w:t xml:space="preserve">on the natural scale; non-decision time (</w:t>
      </w:r>
      <m:oMath>
        <m:sSub>
          <m:e>
            <m:r>
              <m:t>t</m:t>
            </m:r>
          </m:e>
          <m:sub>
            <m:r>
              <m:t>0</m:t>
            </m:r>
          </m:sub>
        </m:sSub>
      </m:oMath>
      <w:r>
        <w:t xml:space="preserve">) used Normal(log(0.35), 0.15), corresponding to</w:t>
      </w:r>
      <w:r>
        <w:t xml:space="preserve"> </w:t>
      </w:r>
      <m:oMath>
        <m:sSub>
          <m:e>
            <m:r>
              <m:t>t</m:t>
            </m:r>
          </m:e>
          <m:sub>
            <m:r>
              <m:t>0</m:t>
            </m:r>
          </m:sub>
        </m:sSub>
        <m:r>
          <m:rPr>
            <m:sty m:val="p"/>
          </m:rPr>
          <m:t>≈</m:t>
        </m:r>
        <m:r>
          <m:t>0.35</m:t>
        </m:r>
      </m:oMath>
      <w:r>
        <w:t xml:space="preserve"> </w:t>
      </w:r>
      <w:r>
        <w:t xml:space="preserve">s on the natural scale (probe-onset-locked timing; the cue-locked variant used Normal(log(0.10), 0.15)); and starting-point bias (</w:t>
      </w:r>
      <m:oMath>
        <m:r>
          <m:t>z</m:t>
        </m:r>
      </m:oMath>
      <w:r>
        <w:t xml:space="preserve">) used Normal(0, 0.5), corresponding to</w:t>
      </w:r>
      <w:r>
        <w:t xml:space="preserve"> </w:t>
      </w:r>
      <m:oMath>
        <m:r>
          <m:t>z</m:t>
        </m:r>
        <m:r>
          <m:rPr>
            <m:sty m:val="p"/>
          </m:rPr>
          <m:t>≈</m:t>
        </m:r>
        <m:r>
          <m:t>0.5</m:t>
        </m:r>
      </m:oMath>
      <w:r>
        <w:t xml:space="preserve"> </w:t>
      </w:r>
      <w:r>
        <w:t xml:space="preserve">(no bias) on the probability scale. For slope parameters, drift rate slopes used Normal(0, 0.6–0.7), boundary separation slopes used Normal(0, 0.25–0.30), and bias slopes used Normal(0, 0.35). Random effects were assigned Student-t(3, 0, 0.30) priors for standard deviations and LKJ(2) priors for correlations. Prior vs. posterior for</w:t>
      </w:r>
      <w:r>
        <w:t xml:space="preserve"> </w:t>
      </w:r>
      <m:oMath>
        <m:sSub>
          <m:e>
            <m:r>
              <m:t>t</m:t>
            </m:r>
          </m:e>
          <m:sub>
            <m:r>
              <m:t>0</m:t>
            </m:r>
          </m:sub>
        </m:sSub>
      </m:oMath>
      <w:r>
        <w:t xml:space="preserve">:</w:t>
      </w:r>
      <w:r>
        <w:t xml:space="preserve"> </w:t>
      </w:r>
      <w:hyperlink w:anchor="suppfig-ndt-prior-posterior">
        <w:r>
          <w:rPr>
            <w:rStyle w:val="Hyperlink"/>
          </w:rPr>
          <w:t xml:space="preserve">Figure S1</w:t>
        </w:r>
      </w:hyperlink>
      <w:r>
        <w:t xml:space="preserve"> </w:t>
      </w:r>
      <w:r>
        <w:t xml:space="preserve">(S1).</w:t>
      </w:r>
    </w:p>
    <w:bookmarkEnd w:id="167"/>
    <w:bookmarkStart w:id="168" w:name="s6.5-computational-details"/>
    <w:p>
      <w:pPr>
        <w:pStyle w:val="Heading3"/>
      </w:pPr>
      <w:r>
        <w:t xml:space="preserve">S6.5 Computational Details</w:t>
      </w:r>
    </w:p>
    <w:p>
      <w:pPr>
        <w:pStyle w:val="FirstParagraph"/>
      </w:pPr>
      <w:r>
        <w:rPr>
          <w:b/>
          <w:bCs/>
        </w:rPr>
        <w:t xml:space="preserve">Software.</w:t>
      </w:r>
      <w:r>
        <w:t xml:space="preserve"> </w:t>
      </w:r>
      <w:r>
        <w:t xml:space="preserve">R</w:t>
      </w:r>
      <w:r>
        <w:t xml:space="preserve"> </w:t>
      </w:r>
      <w:r>
        <w:t xml:space="preserve">(R Core Team, 2025)</w:t>
      </w:r>
      <w:r>
        <w:t xml:space="preserve">,</w:t>
      </w:r>
      <w:r>
        <w:t xml:space="preserve"> </w:t>
      </w:r>
      <w:r>
        <w:rPr>
          <w:rStyle w:val="VerbatimChar"/>
        </w:rPr>
        <w:t xml:space="preserve">brms</w:t>
      </w:r>
      <w:r>
        <w:t xml:space="preserve"> </w:t>
      </w:r>
      <w:r>
        <w:t xml:space="preserve">(Bürkner, 2017, 2018)</w:t>
      </w:r>
      <w:r>
        <w:t xml:space="preserve">,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w:t>
      </w:r>
      <w:r>
        <w:t xml:space="preserve"> </w:t>
      </w:r>
      <w:r>
        <w:rPr>
          <w:rStyle w:val="VerbatimChar"/>
        </w:rPr>
        <w:t xml:space="preserve">loo</w:t>
      </w:r>
      <w:r>
        <w:t xml:space="preserve"> </w:t>
      </w:r>
      <w:r>
        <w:t xml:space="preserve">(Vehtari et al., 2017)</w:t>
      </w:r>
      <w:r>
        <w:t xml:space="preserve">, tidyverse</w:t>
      </w:r>
      <w:r>
        <w:t xml:space="preserve"> </w:t>
      </w:r>
      <w:r>
        <w:t xml:space="preserve">(Wickham, 2016; Wickham, François, et al., 2023; Wickham, Vaughan, et al., 2023; Wickham et al., 2024)</w:t>
      </w:r>
      <w:r>
        <w:t xml:space="preserve">,</w:t>
      </w:r>
      <w:r>
        <w:t xml:space="preserve"> </w:t>
      </w:r>
      <w:r>
        <w:rPr>
          <w:rStyle w:val="VerbatimChar"/>
        </w:rPr>
        <w:t xml:space="preserve">gt</w:t>
      </w:r>
      <w:r>
        <w:t xml:space="preserve"> </w:t>
      </w:r>
      <w:r>
        <w:t xml:space="preserve">(Iannone et al., 2024)</w:t>
      </w:r>
      <w:r>
        <w:t xml:space="preserve">,</w:t>
      </w:r>
      <w:r>
        <w:t xml:space="preserve"> </w:t>
      </w:r>
      <w:r>
        <w:rPr>
          <w:rStyle w:val="VerbatimChar"/>
        </w:rPr>
        <w:t xml:space="preserve">posterior</w:t>
      </w:r>
      <w:r>
        <w:t xml:space="preserve"> </w:t>
      </w:r>
      <w:r>
        <w:t xml:space="preserve">(Bürkner et al., 2022)</w:t>
      </w:r>
      <w:r>
        <w:t xml:space="preserve">,</w:t>
      </w:r>
      <w:r>
        <w:t xml:space="preserve"> </w:t>
      </w:r>
      <w:r>
        <w:rPr>
          <w:rStyle w:val="VerbatimChar"/>
        </w:rPr>
        <w:t xml:space="preserve">RWiener</w:t>
      </w:r>
      <w:r>
        <w:t xml:space="preserve"> </w:t>
      </w:r>
      <w:r>
        <w:t xml:space="preserve">(Wabersich &amp; Vandekerckhove, 2014)</w:t>
      </w:r>
      <w:r>
        <w:t xml:space="preserve">,</w:t>
      </w:r>
      <w:r>
        <w:t xml:space="preserve"> </w:t>
      </w:r>
      <w:r>
        <w:rPr>
          <w:rStyle w:val="VerbatimChar"/>
        </w:rPr>
        <w:t xml:space="preserve">bayesplot</w:t>
      </w:r>
      <w:r>
        <w:t xml:space="preserve"> </w:t>
      </w:r>
      <w:r>
        <w:t xml:space="preserve">(Gabry et al., 2019)</w:t>
      </w:r>
      <w:r>
        <w:t xml:space="preserve">, Quarto</w:t>
      </w:r>
      <w:r>
        <w:t xml:space="preserve"> </w:t>
      </w:r>
      <w:r>
        <w:t xml:space="preserve">(Allaire et al., 2022)</w:t>
      </w:r>
      <w:r>
        <w:t xml:space="preserve">. Models fit on GCP.</w:t>
      </w:r>
    </w:p>
    <w:p>
      <w:pPr>
        <w:pStyle w:val="BodyText"/>
      </w:pPr>
      <w:r>
        <w:rPr>
          <w:b/>
          <w:bCs/>
        </w:rPr>
        <w:t xml:space="preserve">MCMC.</w:t>
      </w:r>
      <w:r>
        <w:t xml:space="preserve"> </w:t>
      </w:r>
      <w:r>
        <w:t xml:space="preserve">NUTS</w:t>
      </w:r>
      <w:r>
        <w:t xml:space="preserve"> </w:t>
      </w:r>
      <w:r>
        <w:t xml:space="preserve">(Hoffman &amp; Gelman, 2014)</w:t>
      </w:r>
      <w:r>
        <w:t xml:space="preserve">, 8 chains × 2000 iterations (1000 warmup), adapt_delta = 0.95, max_treedepth = 12. Convergence:</w:t>
      </w:r>
      <w:r>
        <w:t xml:space="preserve"> </w:t>
      </w:r>
      <m:oMath>
        <m:acc>
          <m:accPr>
            <m:chr m:val="̂"/>
          </m:accPr>
          <m:e>
            <m:r>
              <m:t>R</m:t>
            </m:r>
          </m:e>
        </m:acc>
      </m:oMath>
      <w:r>
        <w:t xml:space="preserve"> </w:t>
      </w:r>
      <m:oMath>
        <m:r>
          <m:rPr>
            <m:sty m:val="p"/>
          </m:rPr>
          <m:t>≤</m:t>
        </m:r>
      </m:oMath>
      <w:r>
        <w:t xml:space="preserve"> </w:t>
      </w:r>
      <w:r>
        <w:t xml:space="preserve">1.01, bulk ESS</w:t>
      </w:r>
      <w:r>
        <w:t xml:space="preserve"> </w:t>
      </w:r>
      <m:oMath>
        <m:r>
          <m:rPr>
            <m:sty m:val="p"/>
          </m:rPr>
          <m:t>≥</m:t>
        </m:r>
      </m:oMath>
      <w:r>
        <w:t xml:space="preserve"> </w:t>
      </w:r>
      <w:r>
        <w:t xml:space="preserve">400, zero divergences. Primary additive model: max</w:t>
      </w:r>
      <w:r>
        <w:t xml:space="preserve"> </w:t>
      </w:r>
      <m:oMath>
        <m:acc>
          <m:accPr>
            <m:chr m:val="̂"/>
          </m:accPr>
          <m:e>
            <m:r>
              <m:t>R</m:t>
            </m:r>
          </m:e>
        </m:acc>
      </m:oMath>
      <w:r>
        <w:t xml:space="preserve"> </w:t>
      </w:r>
      <w:r>
        <w:t xml:space="preserve">&lt; 1.01, min bulk ESS = 745, zero divergences.</w:t>
      </w:r>
    </w:p>
    <w:p>
      <w:pPr>
        <w:pStyle w:val="BodyText"/>
      </w:pPr>
      <w:r>
        <w:rPr>
          <w:b/>
          <w:bCs/>
        </w:rPr>
        <w:t xml:space="preserve">PSIS.</w:t>
      </w:r>
      <w:r>
        <w:t xml:space="preserve"> </w:t>
      </w:r>
      <w:r>
        <w:t xml:space="preserve">Pareto-</w:t>
      </w:r>
      <m:oMath>
        <m:r>
          <m:t>k</m:t>
        </m:r>
        <m:r>
          <m:rPr>
            <m:sty m:val="p"/>
          </m:rPr>
          <m:t>&gt;</m:t>
        </m:r>
        <m:r>
          <m:t>0.7</m:t>
        </m:r>
      </m:oMath>
      <w:r>
        <w:t xml:space="preserve"> </w:t>
      </w:r>
      <w:r>
        <w:t xml:space="preserve">flagged per</w:t>
      </w:r>
      <w:r>
        <w:t xml:space="preserve"> </w:t>
      </w:r>
      <w:r>
        <w:t xml:space="preserve">(Vehtari et al., 2017)</w:t>
      </w:r>
      <w:r>
        <w:t xml:space="preserve">.</w:t>
      </w:r>
    </w:p>
    <w:p>
      <w:pPr>
        <w:pStyle w:val="BodyText"/>
      </w:pPr>
      <w:r>
        <w:t xml:space="preserve">Model comparison and PPC: Supplementary Sections S1 and S3.</w:t>
      </w:r>
    </w:p>
    <w:bookmarkEnd w:id="168"/>
    <w:bookmarkEnd w:id="169"/>
    <w:bookmarkStart w:id="184" w:name="sec-appendix-a7"/>
    <w:p>
      <w:pPr>
        <w:pStyle w:val="Heading2"/>
      </w:pPr>
      <w:r>
        <w:t xml:space="preserve">S7. Manipulation Checks: Behavioral Validation</w:t>
      </w:r>
    </w:p>
    <w:p>
      <w:pPr>
        <w:pStyle w:val="FirstParagraph"/>
      </w:pPr>
      <w:r>
        <w:t xml:space="preserve">Mixed-effects checks on accuracy and RT (Easy and Hard trials only). Reported for validation; DDM results do not depend on them.</w:t>
      </w:r>
    </w:p>
    <w:bookmarkStart w:id="170" w:name="s7.1-methods"/>
    <w:p>
      <w:pPr>
        <w:pStyle w:val="Heading3"/>
      </w:pPr>
      <w:r>
        <w:t xml:space="preserve">S7.1 Methods</w:t>
      </w:r>
    </w:p>
    <w:p>
      <w:pPr>
        <w:pStyle w:val="FirstParagraph"/>
      </w:pPr>
      <w:r>
        <w:t xml:space="preserve">GLMM (binomial) for accuracy; LMM for median cue-locked RT per subject-condition. Fixed effects: difficulty, effort, task (with interactions as needed); random intercepts by subject. Standard trials excluded. Fitted in</w:t>
      </w:r>
      <w:r>
        <w:t xml:space="preserve"> </w:t>
      </w:r>
      <w:r>
        <w:rPr>
          <w:rStyle w:val="VerbatimChar"/>
        </w:rPr>
        <w:t xml:space="preserve">lme4</w:t>
      </w:r>
      <w:r>
        <w:t xml:space="preserve"> </w:t>
      </w:r>
      <w:r>
        <w:t xml:space="preserve">(Bates et al., 2015)</w:t>
      </w:r>
      <w:r>
        <w:t xml:space="preserve">; tables from</w:t>
      </w:r>
      <w:r>
        <w:t xml:space="preserve"> </w:t>
      </w:r>
      <w:r>
        <w:rPr>
          <w:rStyle w:val="VerbatimChar"/>
        </w:rPr>
        <w:t xml:space="preserve">broom.mixed</w:t>
      </w:r>
      <w:r>
        <w:t xml:space="preserve"> </w:t>
      </w:r>
      <w:r>
        <w:t xml:space="preserve">(Anderson et al., 2024)</w:t>
      </w:r>
      <w:r>
        <w:t xml:space="preserve">.</w:t>
      </w:r>
    </w:p>
    <w:bookmarkEnd w:id="170"/>
    <w:bookmarkStart w:id="177" w:name="s7.2-accuracy-results"/>
    <w:p>
      <w:pPr>
        <w:pStyle w:val="Heading3"/>
      </w:pPr>
      <w:r>
        <w:t xml:space="preserve">S7.2 Accuracy Results</w:t>
      </w:r>
    </w:p>
    <w:p>
      <w:pPr>
        <w:pStyle w:val="FirstParagraph"/>
      </w:pPr>
      <w:r>
        <w:t xml:space="preserve">Easy and Hard trials only (N = 14,237).</w:t>
      </w:r>
    </w:p>
    <w:p>
      <w:pPr>
        <w:pStyle w:val="BodyText"/>
      </w:pPr>
      <w:r>
        <w:t xml:space="preserve">Hard trials were less accurate than Easy (</w:t>
      </w:r>
      <m:oMath>
        <m:r>
          <m:t>β</m:t>
        </m:r>
        <m:r>
          <m:rPr>
            <m:sty m:val="p"/>
          </m:rPr>
          <m:t>=</m:t>
        </m:r>
        <m:r>
          <m:rPr>
            <m:sty m:val="p"/>
          </m:rPr>
          <m:t>−</m:t>
        </m:r>
        <m:r>
          <m:t>2.98</m:t>
        </m:r>
      </m:oMath>
      <w:r>
        <w:t xml:space="preserve">, 95% CI [-3.07, -2.89],</w:t>
      </w:r>
      <w:r>
        <w:t xml:space="preserve"> </w:t>
      </w:r>
      <m:oMath>
        <m:r>
          <m:t>p</m:t>
        </m:r>
        <m:r>
          <m:rPr>
            <m:sty m:val="p"/>
          </m:rPr>
          <m:t>&lt;</m:t>
        </m:r>
        <m:r>
          <m:t>.001</m:t>
        </m:r>
      </m:oMath>
      <w:r>
        <w:t xml:space="preserve">; means 29.9% vs. 85.9%;</w:t>
      </w:r>
      <w:r>
        <w:t xml:space="preserve"> </w:t>
      </w:r>
      <w:hyperlink w:anchor="supptbl-accuracy-glmm">
        <w:r>
          <w:rPr>
            <w:rStyle w:val="Hyperlink"/>
          </w:rPr>
          <w:t xml:space="preserve">Table S19</w:t>
        </w:r>
      </w:hyperlink>
      <w:r>
        <w:t xml:space="preserve">,</w:t>
      </w:r>
      <w:r>
        <w:t xml:space="preserve"> </w:t>
      </w:r>
      <w:hyperlink w:anchor="suppfig-accuracy-distribution">
        <w:r>
          <w:rPr>
            <w:rStyle w:val="Hyperlink"/>
          </w:rPr>
          <w:t xml:space="preserve">Figure S18</w:t>
        </w:r>
      </w:hyperlink>
      <w:r>
        <w:t xml:space="preserve">). Lowest accuracy was in Hard+High cells (26.4%). High effort reduced accuracy relative to Low (</w:t>
      </w:r>
      <m:oMath>
        <m:r>
          <m:t>β</m:t>
        </m:r>
        <m:r>
          <m:rPr>
            <m:sty m:val="p"/>
          </m:rPr>
          <m:t>=</m:t>
        </m:r>
        <m:r>
          <m:rPr>
            <m:sty m:val="p"/>
          </m:rPr>
          <m:t>−</m:t>
        </m:r>
        <m:r>
          <m:t>0.16</m:t>
        </m:r>
      </m:oMath>
      <w:r>
        <w:t xml:space="preserve">, 95% CI [-0.24, -0.07],</w:t>
      </w:r>
      <w:r>
        <w:t xml:space="preserve"> </w:t>
      </w:r>
      <m:oMath>
        <m:r>
          <m:t>p</m:t>
        </m:r>
        <m:r>
          <m:rPr>
            <m:sty m:val="p"/>
          </m:rPr>
          <m:t>&lt;</m:t>
        </m:r>
        <m:r>
          <m:t>.001</m:t>
        </m:r>
      </m:oMath>
      <w:r>
        <w:t xml:space="preserve">; 56.5% vs. 59%).</w:t>
      </w:r>
    </w:p>
    <w:tbl>
      <w:tblPr>
        <w:tblStyle w:val="Table"/>
        <w:tblW w:type="pct" w:w="5000"/>
        <w:tblLayout w:type="fixed"/>
        <w:tblLook w:firstRow="0" w:lastRow="0" w:firstColumn="0" w:lastColumn="0" w:noHBand="0" w:noVBand="0" w:val="0000"/>
      </w:tblPr>
      <w:tblGrid>
        <w:gridCol w:w="7920"/>
      </w:tblGrid>
      <w:tr>
        <w:tc>
          <w:tcPr/>
          <w:bookmarkStart w:id="171" w:name="supptbl-accuracy-glmm"/>
          <w:p>
            <w:pPr>
              <w:jc w:val="center"/>
            </w:pPr>
            <w:pPr>
              <w:jc w:val="left"/>
              <w:spacing w:before="200"/>
              <w:pStyle w:val="ImageCaption"/>
            </w:pPr>
            <w:r>
              <w:t xml:space="preserve">Table S19: Accuracy GLMM Results</w:t>
            </w:r>
          </w:p>
          <w:tbl>
            <w:tblPr>
              <w:tblStyle w:val="Table"/>
              <w:tblW w:type="pct" w:w="5000"/>
              <w:tblLayout w:type="fixed"/>
              <w:tblLook w:firstRow="1" w:lastRow="0" w:firstColumn="0" w:lastColumn="0" w:noHBand="0" w:noVBand="0" w:val="0020"/>
            </w:tblPr>
            <w:tblGrid>
              <w:gridCol w:w="1955"/>
              <w:gridCol w:w="1271"/>
              <w:gridCol w:w="977"/>
              <w:gridCol w:w="1075"/>
              <w:gridCol w:w="1173"/>
              <w:gridCol w:w="1466"/>
            </w:tblGrid>
            <w:tr>
              <w:trPr>
                <w:tblHeader w:val="on"/>
              </w:trPr>
              <w:tc>
                <w:tcPr/>
                <w:p>
                  <w:pPr>
                    <w:pStyle w:val="Compact"/>
                    <w:jc w:val="left"/>
                    <w:jc w:val="center"/>
                  </w:pPr>
                  <w:r>
                    <w:t xml:space="preserve">term</w:t>
                  </w:r>
                </w:p>
              </w:tc>
              <w:tc>
                <w:tcPr/>
                <w:p>
                  <w:pPr>
                    <w:pStyle w:val="Compact"/>
                    <w:jc w:val="left"/>
                    <w:jc w:val="center"/>
                  </w:pPr>
                  <w:r>
                    <w:t xml:space="preserve">estimate_fmt</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left"/>
                    <w:jc w:val="center"/>
                  </w:pPr>
                  <w:r>
                    <w:t xml:space="preserve">p_value_fmt</w:t>
                  </w:r>
                </w:p>
              </w:tc>
              <w:tc>
                <w:tcPr/>
                <w:p>
                  <w:pPr>
                    <w:pStyle w:val="Compact"/>
                    <w:jc w:val="left"/>
                    <w:jc w:val="center"/>
                  </w:pPr>
                  <w:r>
                    <w:t xml:space="preserve">ci_fmt</w:t>
                  </w:r>
                </w:p>
              </w:tc>
            </w:tr>
            <w:tr>
              <w:tc>
                <w:tcPr/>
                <w:p>
                  <w:pPr>
                    <w:pStyle w:val="Compact"/>
                    <w:jc w:val="left"/>
                    <w:jc w:val="center"/>
                  </w:pPr>
                  <w:r>
                    <w:t xml:space="preserve">Intercept</w:t>
                  </w:r>
                </w:p>
              </w:tc>
              <w:tc>
                <w:tcPr/>
                <w:p>
                  <w:pPr>
                    <w:pStyle w:val="Compact"/>
                    <w:jc w:val="left"/>
                    <w:jc w:val="center"/>
                  </w:pPr>
                  <w:r>
                    <w:t xml:space="preserve">2.08</w:t>
                  </w:r>
                </w:p>
              </w:tc>
              <w:tc>
                <w:tcPr/>
                <w:p>
                  <w:pPr>
                    <w:pStyle w:val="Compact"/>
                    <w:jc w:val="right"/>
                    <w:jc w:val="center"/>
                  </w:pPr>
                  <w:r>
                    <w:t xml:space="preserve">0.1106543</w:t>
                  </w:r>
                </w:p>
              </w:tc>
              <w:tc>
                <w:tcPr/>
                <w:p>
                  <w:pPr>
                    <w:pStyle w:val="Compact"/>
                    <w:jc w:val="right"/>
                    <w:jc w:val="center"/>
                  </w:pPr>
                  <w:r>
                    <w:t xml:space="preserve">18.759250</w:t>
                  </w:r>
                </w:p>
              </w:tc>
              <w:tc>
                <w:tcPr/>
                <w:p>
                  <w:pPr>
                    <w:pStyle w:val="Compact"/>
                    <w:jc w:val="left"/>
                    <w:jc w:val="center"/>
                  </w:pPr>
                  <w:r>
                    <w:t xml:space="preserve">&lt;.001</w:t>
                  </w:r>
                </w:p>
              </w:tc>
              <w:tc>
                <w:tcPr/>
                <w:p>
                  <w:pPr>
                    <w:pStyle w:val="Compact"/>
                    <w:jc w:val="left"/>
                    <w:jc w:val="center"/>
                  </w:pPr>
                  <w:r>
                    <w:t xml:space="preserve">[1.86, 2.29]</w:t>
                  </w:r>
                </w:p>
              </w:tc>
            </w:tr>
            <w:tr>
              <w:tc>
                <w:tcPr/>
                <w:p>
                  <w:pPr>
                    <w:pStyle w:val="Compact"/>
                    <w:jc w:val="left"/>
                    <w:jc w:val="center"/>
                  </w:pPr>
                  <w:r>
                    <w:t xml:space="preserve">Difficulty: Hard</w:t>
                  </w:r>
                </w:p>
              </w:tc>
              <w:tc>
                <w:tcPr/>
                <w:p>
                  <w:pPr>
                    <w:pStyle w:val="Compact"/>
                    <w:jc w:val="left"/>
                    <w:jc w:val="center"/>
                  </w:pPr>
                  <w:r>
                    <w:t xml:space="preserve">-2.98</w:t>
                  </w:r>
                </w:p>
              </w:tc>
              <w:tc>
                <w:tcPr/>
                <w:p>
                  <w:pPr>
                    <w:pStyle w:val="Compact"/>
                    <w:jc w:val="right"/>
                    <w:jc w:val="center"/>
                  </w:pPr>
                  <w:r>
                    <w:t xml:space="preserve">0.0481256</w:t>
                  </w:r>
                </w:p>
              </w:tc>
              <w:tc>
                <w:tcPr/>
                <w:p>
                  <w:pPr>
                    <w:pStyle w:val="Compact"/>
                    <w:jc w:val="right"/>
                    <w:jc w:val="center"/>
                  </w:pPr>
                  <w:r>
                    <w:t xml:space="preserve">-61.915433</w:t>
                  </w:r>
                </w:p>
              </w:tc>
              <w:tc>
                <w:tcPr/>
                <w:p>
                  <w:pPr>
                    <w:pStyle w:val="Compact"/>
                    <w:jc w:val="left"/>
                    <w:jc w:val="center"/>
                  </w:pPr>
                  <w:r>
                    <w:t xml:space="preserve">&lt;.001</w:t>
                  </w:r>
                </w:p>
              </w:tc>
              <w:tc>
                <w:tcPr/>
                <w:p>
                  <w:pPr>
                    <w:pStyle w:val="Compact"/>
                    <w:jc w:val="left"/>
                    <w:jc w:val="center"/>
                  </w:pPr>
                  <w:r>
                    <w:t xml:space="preserve">[-3.07, -2.89]</w:t>
                  </w:r>
                </w:p>
              </w:tc>
            </w:tr>
            <w:tr>
              <w:tc>
                <w:tcPr/>
                <w:p>
                  <w:pPr>
                    <w:pStyle w:val="Compact"/>
                    <w:jc w:val="left"/>
                    <w:jc w:val="center"/>
                  </w:pPr>
                  <w:r>
                    <w:t xml:space="preserve">Effort: High_40_MVC</w:t>
                  </w:r>
                </w:p>
              </w:tc>
              <w:tc>
                <w:tcPr/>
                <w:p>
                  <w:pPr>
                    <w:pStyle w:val="Compact"/>
                    <w:jc w:val="left"/>
                    <w:jc w:val="center"/>
                  </w:pPr>
                  <w:r>
                    <w:t xml:space="preserve">-0.16</w:t>
                  </w:r>
                </w:p>
              </w:tc>
              <w:tc>
                <w:tcPr/>
                <w:p>
                  <w:pPr>
                    <w:pStyle w:val="Compact"/>
                    <w:jc w:val="right"/>
                    <w:jc w:val="center"/>
                  </w:pPr>
                  <w:r>
                    <w:t xml:space="preserve">0.0433083</w:t>
                  </w:r>
                </w:p>
              </w:tc>
              <w:tc>
                <w:tcPr/>
                <w:p>
                  <w:pPr>
                    <w:pStyle w:val="Compact"/>
                    <w:jc w:val="right"/>
                    <w:jc w:val="center"/>
                  </w:pPr>
                  <w:r>
                    <w:t xml:space="preserve">-3.619704</w:t>
                  </w:r>
                </w:p>
              </w:tc>
              <w:tc>
                <w:tcPr/>
                <w:p>
                  <w:pPr>
                    <w:pStyle w:val="Compact"/>
                    <w:jc w:val="left"/>
                    <w:jc w:val="center"/>
                  </w:pPr>
                  <w:r>
                    <w:t xml:space="preserve">&lt;.001</w:t>
                  </w:r>
                </w:p>
              </w:tc>
              <w:tc>
                <w:tcPr/>
                <w:p>
                  <w:pPr>
                    <w:pStyle w:val="Compact"/>
                    <w:jc w:val="left"/>
                    <w:jc w:val="center"/>
                  </w:pPr>
                  <w:r>
                    <w:t xml:space="preserve">[-0.24, -0.07]</w:t>
                  </w:r>
                </w:p>
              </w:tc>
            </w:tr>
          </w:tbl>
          <w:bookmarkEnd w:id="17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accuracy-distribution"/>
          <w:p>
            <w:pPr>
              <w:jc w:val="center"/>
            </w:pPr>
            <w:r>
              <w:drawing>
                <wp:inline>
                  <wp:extent cx="4533900" cy="3400425"/>
                  <wp:effectExtent b="0" l="0" r="0" t="0"/>
                  <wp:docPr descr="" title="" id="173" name="Picture"/>
                  <a:graphic>
                    <a:graphicData uri="http://schemas.openxmlformats.org/drawingml/2006/picture">
                      <pic:pic>
                        <pic:nvPicPr>
                          <pic:cNvPr descr="chap3_ddm_results_files/figure-docx/unnamed-chunk-45-1.png" id="174" name="Picture"/>
                          <pic:cNvPicPr>
                            <a:picLocks noChangeArrowheads="1" noChangeAspect="1"/>
                          </pic:cNvPicPr>
                        </pic:nvPicPr>
                        <pic:blipFill>
                          <a:blip r:embed="rId172"/>
                          <a:stretch>
                            <a:fillRect/>
                          </a:stretch>
                        </pic:blipFill>
                        <pic:spPr bwMode="auto">
                          <a:xfrm>
                            <a:off x="0" y="0"/>
                            <a:ext cx="4533900" cy="3400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S18: Accuracy distribution by condition. Individual subject trajectories (light gray) and group means by effort with approximate 95% CI (mean ± 1.96 SE). Faceted by task and difficulty. Each facet shows cell means (Low vs High effort) within that task × difficulty combination. Narrative text reports marginal mean accuracy across task × effort (Hard vs Easy only); this figure shows cell means for visual inspection. Error bars represent within-subject standard errors calculated using the Cousineau-Morey correction.</w:t>
            </w:r>
          </w:p>
          <w:bookmarkEnd w:id="175"/>
        </w:tc>
      </w:tr>
    </w:tbl>
    <w:p>
      <w:pPr>
        <w:pStyle w:val="BodyText"/>
      </w:pPr>
      <w:r>
        <w:t xml:space="preserve">Mean subject accuracy on Easy and Hard trials:</w:t>
      </w:r>
      <w:r>
        <w:t xml:space="preserve"> </w:t>
      </w:r>
      <w:r>
        <w:rPr>
          <w:i/>
          <w:iCs/>
        </w:rPr>
        <w:t xml:space="preserve">M</w:t>
      </w:r>
      <w:r>
        <w:t xml:space="preserve"> </w:t>
      </w:r>
      <w:r>
        <w:t xml:space="preserve">= 57.3%,</w:t>
      </w:r>
      <w:r>
        <w:t xml:space="preserve"> </w:t>
      </w:r>
      <w:r>
        <w:rPr>
          <w:i/>
          <w:iCs/>
        </w:rPr>
        <w:t xml:space="preserve">SD</w:t>
      </w:r>
      <w:r>
        <w:t xml:space="preserve"> </w:t>
      </w:r>
      <w:r>
        <w:t xml:space="preserve">= 12.9% (</w:t>
      </w:r>
      <w:hyperlink w:anchor="supptbl-overall-accuracy">
        <w:r>
          <w:rPr>
            <w:rStyle w:val="Hyperlink"/>
          </w:rPr>
          <w:t xml:space="preserve">Table S20</w:t>
        </w:r>
      </w:hyperlink>
      <w:r>
        <w:t xml:space="preserve">). With Standard trials included, overall accuracy was 63.5%. Range across subjects: 22.2–92.5%.</w:t>
      </w:r>
    </w:p>
    <w:tbl>
      <w:tblPr>
        <w:tblStyle w:val="Table"/>
        <w:tblW w:type="pct" w:w="5000"/>
        <w:tblLayout w:type="fixed"/>
        <w:tblLook w:firstRow="0" w:lastRow="0" w:firstColumn="0" w:lastColumn="0" w:noHBand="0" w:noVBand="0" w:val="0000"/>
      </w:tblPr>
      <w:tblGrid>
        <w:gridCol w:w="7920"/>
      </w:tblGrid>
      <w:tr>
        <w:tc>
          <w:tcPr/>
          <w:bookmarkStart w:id="176" w:name="supptbl-overall-accuracy"/>
          <w:p>
            <w:pPr>
              <w:jc w:val="center"/>
            </w:pPr>
            <w:pPr>
              <w:jc w:val="left"/>
              <w:spacing w:before="200"/>
              <w:pStyle w:val="ImageCaption"/>
            </w:pPr>
            <w:r>
              <w:t xml:space="preserve">Table S20: Overall Accuracy Summary for Easy and Hard Trials</w:t>
            </w:r>
          </w:p>
          <w:tbl>
            <w:tblPr>
              <w:tblStyle w:val="Table"/>
              <w:tblW w:type="pct" w:w="5000"/>
              <w:tblLayout w:type="fixed"/>
              <w:tblLook w:firstRow="1" w:lastRow="0" w:firstColumn="0" w:lastColumn="0" w:noHBand="0" w:noVBand="0" w:val="0020"/>
            </w:tblPr>
            <w:tblGrid>
              <w:gridCol w:w="1300"/>
              <w:gridCol w:w="1063"/>
              <w:gridCol w:w="827"/>
              <w:gridCol w:w="1300"/>
              <w:gridCol w:w="945"/>
              <w:gridCol w:w="945"/>
              <w:gridCol w:w="1536"/>
            </w:tblGrid>
            <w:tr>
              <w:trPr>
                <w:tblHeader w:val="on"/>
              </w:trPr>
              <w:tc>
                <w:tcPr/>
                <w:p>
                  <w:pPr>
                    <w:pStyle w:val="Compact"/>
                    <w:jc w:val="right"/>
                    <w:jc w:val="center"/>
                  </w:pPr>
                  <w:r>
                    <w:t xml:space="preserve">n_subjects</w:t>
                  </w:r>
                </w:p>
              </w:tc>
              <w:tc>
                <w:tcPr/>
                <w:p>
                  <w:pPr>
                    <w:pStyle w:val="Compact"/>
                    <w:jc w:val="right"/>
                    <w:jc w:val="center"/>
                  </w:pPr>
                  <w:r>
                    <w:t xml:space="preserve">mean_acc</w:t>
                  </w:r>
                </w:p>
              </w:tc>
              <w:tc>
                <w:tcPr/>
                <w:p>
                  <w:pPr>
                    <w:pStyle w:val="Compact"/>
                    <w:jc w:val="right"/>
                    <w:jc w:val="center"/>
                  </w:pPr>
                  <w:r>
                    <w:t xml:space="preserve">sd_acc</w:t>
                  </w:r>
                </w:p>
              </w:tc>
              <w:tc>
                <w:tcPr/>
                <w:p>
                  <w:pPr>
                    <w:pStyle w:val="Compact"/>
                    <w:jc w:val="right"/>
                    <w:jc w:val="center"/>
                  </w:pPr>
                  <w:r>
                    <w:t xml:space="preserve">median_acc</w:t>
                  </w:r>
                </w:p>
              </w:tc>
              <w:tc>
                <w:tcPr/>
                <w:p>
                  <w:pPr>
                    <w:pStyle w:val="Compact"/>
                    <w:jc w:val="right"/>
                    <w:jc w:val="center"/>
                  </w:pPr>
                  <w:r>
                    <w:t xml:space="preserve">min_acc</w:t>
                  </w:r>
                </w:p>
              </w:tc>
              <w:tc>
                <w:tcPr/>
                <w:p>
                  <w:pPr>
                    <w:pStyle w:val="Compact"/>
                    <w:jc w:val="right"/>
                    <w:jc w:val="center"/>
                  </w:pPr>
                  <w:r>
                    <w:t xml:space="preserve">max_acc</w:t>
                  </w:r>
                </w:p>
              </w:tc>
              <w:tc>
                <w:tcPr/>
                <w:p>
                  <w:pPr>
                    <w:pStyle w:val="Compact"/>
                    <w:jc w:val="right"/>
                    <w:jc w:val="center"/>
                  </w:pPr>
                  <w:r>
                    <w:t xml:space="preserve">total_trials</w:t>
                  </w:r>
                </w:p>
              </w:tc>
            </w:tr>
            <w:tr>
              <w:tc>
                <w:tcPr/>
                <w:p>
                  <w:pPr>
                    <w:pStyle w:val="Compact"/>
                    <w:jc w:val="right"/>
                    <w:jc w:val="center"/>
                  </w:pPr>
                  <w:r>
                    <w:t xml:space="preserve">67</w:t>
                  </w:r>
                </w:p>
              </w:tc>
              <w:tc>
                <w:tcPr/>
                <w:p>
                  <w:pPr>
                    <w:pStyle w:val="Compact"/>
                    <w:jc w:val="right"/>
                    <w:jc w:val="center"/>
                  </w:pPr>
                  <w:r>
                    <w:t xml:space="preserve">57.3</w:t>
                  </w:r>
                </w:p>
              </w:tc>
              <w:tc>
                <w:tcPr/>
                <w:p>
                  <w:pPr>
                    <w:pStyle w:val="Compact"/>
                    <w:jc w:val="right"/>
                    <w:jc w:val="center"/>
                  </w:pPr>
                  <w:r>
                    <w:t xml:space="preserve">12.9</w:t>
                  </w:r>
                </w:p>
              </w:tc>
              <w:tc>
                <w:tcPr/>
                <w:p>
                  <w:pPr>
                    <w:pStyle w:val="Compact"/>
                    <w:jc w:val="right"/>
                    <w:jc w:val="center"/>
                  </w:pPr>
                  <w:r>
                    <w:t xml:space="preserve">56.8</w:t>
                  </w:r>
                </w:p>
              </w:tc>
              <w:tc>
                <w:tcPr/>
                <w:p>
                  <w:pPr>
                    <w:pStyle w:val="Compact"/>
                    <w:jc w:val="right"/>
                    <w:jc w:val="center"/>
                  </w:pPr>
                  <w:r>
                    <w:t xml:space="preserve">22.2</w:t>
                  </w:r>
                </w:p>
              </w:tc>
              <w:tc>
                <w:tcPr/>
                <w:p>
                  <w:pPr>
                    <w:pStyle w:val="Compact"/>
                    <w:jc w:val="right"/>
                    <w:jc w:val="center"/>
                  </w:pPr>
                  <w:r>
                    <w:t xml:space="preserve">92.5</w:t>
                  </w:r>
                </w:p>
              </w:tc>
              <w:tc>
                <w:tcPr/>
                <w:p>
                  <w:pPr>
                    <w:pStyle w:val="Compact"/>
                    <w:jc w:val="right"/>
                    <w:jc w:val="center"/>
                  </w:pPr>
                  <w:r>
                    <w:t xml:space="preserve">14237</w:t>
                  </w:r>
                </w:p>
              </w:tc>
            </w:tr>
          </w:tbl>
          <w:bookmarkEnd w:id="176"/>
          <w:p/>
        </w:tc>
      </w:tr>
    </w:tbl>
    <w:bookmarkEnd w:id="177"/>
    <w:bookmarkStart w:id="183" w:name="s7.3-reaction-time-results"/>
    <w:p>
      <w:pPr>
        <w:pStyle w:val="Heading3"/>
      </w:pPr>
      <w:r>
        <w:t xml:space="preserve">S7.3 Reaction Time Results</w:t>
      </w:r>
    </w:p>
    <w:p>
      <w:pPr>
        <w:pStyle w:val="FirstParagraph"/>
      </w:pPr>
      <w:r>
        <w:t xml:space="preserve">Hard trials were slower than Easy (</w:t>
      </w:r>
      <m:oMath>
        <m:r>
          <m:t>β</m:t>
        </m:r>
        <m:r>
          <m:rPr>
            <m:sty m:val="p"/>
          </m:rPr>
          <m:t>=</m:t>
        </m:r>
        <m:r>
          <m:t>0.243</m:t>
        </m:r>
        <m:r>
          <m:t>s</m:t>
        </m:r>
      </m:oMath>
      <w:r>
        <w:t xml:space="preserve">, 95% CI [0.213, 0.274],</w:t>
      </w:r>
      <w:r>
        <w:t xml:space="preserve"> </w:t>
      </w:r>
      <m:oMath>
        <m:r>
          <m:t>p</m:t>
        </m:r>
        <m:r>
          <m:rPr>
            <m:sty m:val="p"/>
          </m:rPr>
          <m:t>&lt;</m:t>
        </m:r>
        <m:r>
          <m:t>.001</m:t>
        </m:r>
      </m:oMath>
      <w:r>
        <w:t xml:space="preserve">; medians 1.01 s vs. 0.75 s;</w:t>
      </w:r>
      <w:r>
        <w:t xml:space="preserve"> </w:t>
      </w:r>
      <w:hyperlink w:anchor="supptbl-rt-lmm">
        <w:r>
          <w:rPr>
            <w:rStyle w:val="Hyperlink"/>
          </w:rPr>
          <w:t xml:space="preserve">Table S21</w:t>
        </w:r>
      </w:hyperlink>
      <w:r>
        <w:t xml:space="preserve">,</w:t>
      </w:r>
      <w:r>
        <w:t xml:space="preserve"> </w:t>
      </w:r>
      <w:hyperlink w:anchor="suppfig-rt-distribution">
        <w:r>
          <w:rPr>
            <w:rStyle w:val="Hyperlink"/>
          </w:rPr>
          <w:t xml:space="preserve">Figure S19</w:t>
        </w:r>
      </w:hyperlink>
      <w:r>
        <w:t xml:space="preserve">). Effort did not affect RT credibly (</w:t>
      </w:r>
      <m:oMath>
        <m:r>
          <m:t>β</m:t>
        </m:r>
        <m:r>
          <m:rPr>
            <m:sty m:val="p"/>
          </m:rPr>
          <m:t>=</m:t>
        </m:r>
        <m:r>
          <m:t>0.011</m:t>
        </m:r>
        <m:r>
          <m:t>s</m:t>
        </m:r>
      </m:oMath>
      <w:r>
        <w:t xml:space="preserve">, 95% CI [-0.019, 0.041]).</w:t>
      </w:r>
    </w:p>
    <w:tbl>
      <w:tblPr>
        <w:tblStyle w:val="Table"/>
        <w:tblW w:type="pct" w:w="5000"/>
        <w:tblLayout w:type="fixed"/>
        <w:tblLook w:firstRow="0" w:lastRow="0" w:firstColumn="0" w:lastColumn="0" w:noHBand="0" w:noVBand="0" w:val="0000"/>
      </w:tblPr>
      <w:tblGrid>
        <w:gridCol w:w="7920"/>
      </w:tblGrid>
      <w:tr>
        <w:tc>
          <w:tcPr/>
          <w:bookmarkStart w:id="178" w:name="supptbl-rt-lmm"/>
          <w:p>
            <w:pPr>
              <w:jc w:val="center"/>
            </w:pPr>
            <w:pPr>
              <w:jc w:val="left"/>
              <w:spacing w:before="200"/>
              <w:pStyle w:val="ImageCaption"/>
            </w:pPr>
            <w:r>
              <w:t xml:space="preserve">Table S21: RT LMM Results</w:t>
            </w:r>
          </w:p>
          <w:tbl>
            <w:tblPr>
              <w:tblStyle w:val="Table"/>
              <w:tblW w:type="pct" w:w="5000"/>
              <w:tblLayout w:type="fixed"/>
              <w:tblLook w:firstRow="1" w:lastRow="0" w:firstColumn="0" w:lastColumn="0" w:noHBand="0" w:noVBand="0" w:val="0020"/>
            </w:tblPr>
            <w:tblGrid>
              <w:gridCol w:w="2295"/>
              <w:gridCol w:w="1492"/>
              <w:gridCol w:w="1147"/>
              <w:gridCol w:w="1147"/>
              <w:gridCol w:w="1836"/>
            </w:tblGrid>
            <w:tr>
              <w:trPr>
                <w:tblHeader w:val="on"/>
              </w:trPr>
              <w:tc>
                <w:tcPr/>
                <w:p>
                  <w:pPr>
                    <w:pStyle w:val="Compact"/>
                    <w:jc w:val="left"/>
                    <w:jc w:val="center"/>
                  </w:pPr>
                  <w:r>
                    <w:t xml:space="preserve">term</w:t>
                  </w:r>
                </w:p>
              </w:tc>
              <w:tc>
                <w:tcPr/>
                <w:p>
                  <w:pPr>
                    <w:pStyle w:val="Compact"/>
                    <w:jc w:val="left"/>
                    <w:jc w:val="center"/>
                  </w:pPr>
                  <w:r>
                    <w:t xml:space="preserve">estimate_fmt</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left"/>
                    <w:jc w:val="center"/>
                  </w:pPr>
                  <w:r>
                    <w:t xml:space="preserve">ci_fmt</w:t>
                  </w:r>
                </w:p>
              </w:tc>
            </w:tr>
            <w:tr>
              <w:tc>
                <w:tcPr/>
                <w:p>
                  <w:pPr>
                    <w:pStyle w:val="Compact"/>
                    <w:jc w:val="left"/>
                    <w:jc w:val="center"/>
                  </w:pPr>
                  <w:r>
                    <w:t xml:space="preserve">Intercept</w:t>
                  </w:r>
                </w:p>
              </w:tc>
              <w:tc>
                <w:tcPr/>
                <w:p>
                  <w:pPr>
                    <w:pStyle w:val="Compact"/>
                    <w:jc w:val="left"/>
                    <w:jc w:val="center"/>
                  </w:pPr>
                  <w:r>
                    <w:t xml:space="preserve">0.777</w:t>
                  </w:r>
                </w:p>
              </w:tc>
              <w:tc>
                <w:tcPr/>
                <w:p>
                  <w:pPr>
                    <w:pStyle w:val="Compact"/>
                    <w:jc w:val="right"/>
                    <w:jc w:val="center"/>
                  </w:pPr>
                  <w:r>
                    <w:t xml:space="preserve">0.0326046</w:t>
                  </w:r>
                </w:p>
              </w:tc>
              <w:tc>
                <w:tcPr/>
                <w:p>
                  <w:pPr>
                    <w:pStyle w:val="Compact"/>
                    <w:jc w:val="right"/>
                    <w:jc w:val="center"/>
                  </w:pPr>
                  <w:r>
                    <w:t xml:space="preserve">23.836465</w:t>
                  </w:r>
                </w:p>
              </w:tc>
              <w:tc>
                <w:tcPr/>
                <w:p>
                  <w:pPr>
                    <w:pStyle w:val="Compact"/>
                    <w:jc w:val="left"/>
                    <w:jc w:val="center"/>
                  </w:pPr>
                  <w:r>
                    <w:t xml:space="preserve">[0.713, 0.841]</w:t>
                  </w:r>
                </w:p>
              </w:tc>
            </w:tr>
            <w:tr>
              <w:tc>
                <w:tcPr/>
                <w:p>
                  <w:pPr>
                    <w:pStyle w:val="Compact"/>
                    <w:jc w:val="left"/>
                    <w:jc w:val="center"/>
                  </w:pPr>
                  <w:r>
                    <w:t xml:space="preserve">Difficulty: Hard</w:t>
                  </w:r>
                </w:p>
              </w:tc>
              <w:tc>
                <w:tcPr/>
                <w:p>
                  <w:pPr>
                    <w:pStyle w:val="Compact"/>
                    <w:jc w:val="left"/>
                    <w:jc w:val="center"/>
                  </w:pPr>
                  <w:r>
                    <w:t xml:space="preserve">0.243</w:t>
                  </w:r>
                </w:p>
              </w:tc>
              <w:tc>
                <w:tcPr/>
                <w:p>
                  <w:pPr>
                    <w:pStyle w:val="Compact"/>
                    <w:jc w:val="right"/>
                    <w:jc w:val="center"/>
                  </w:pPr>
                  <w:r>
                    <w:t xml:space="preserve">0.0154262</w:t>
                  </w:r>
                </w:p>
              </w:tc>
              <w:tc>
                <w:tcPr/>
                <w:p>
                  <w:pPr>
                    <w:pStyle w:val="Compact"/>
                    <w:jc w:val="right"/>
                    <w:jc w:val="center"/>
                  </w:pPr>
                  <w:r>
                    <w:t xml:space="preserve">15.774029</w:t>
                  </w:r>
                </w:p>
              </w:tc>
              <w:tc>
                <w:tcPr/>
                <w:p>
                  <w:pPr>
                    <w:pStyle w:val="Compact"/>
                    <w:jc w:val="left"/>
                    <w:jc w:val="center"/>
                  </w:pPr>
                  <w:r>
                    <w:t xml:space="preserve">[0.213, 0.274]</w:t>
                  </w:r>
                </w:p>
              </w:tc>
            </w:tr>
            <w:tr>
              <w:tc>
                <w:tcPr/>
                <w:p>
                  <w:pPr>
                    <w:pStyle w:val="Compact"/>
                    <w:jc w:val="left"/>
                    <w:jc w:val="center"/>
                  </w:pPr>
                  <w:r>
                    <w:t xml:space="preserve">Effort: High_40_MVC</w:t>
                  </w:r>
                </w:p>
              </w:tc>
              <w:tc>
                <w:tcPr/>
                <w:p>
                  <w:pPr>
                    <w:pStyle w:val="Compact"/>
                    <w:jc w:val="left"/>
                    <w:jc w:val="center"/>
                  </w:pPr>
                  <w:r>
                    <w:t xml:space="preserve">0.011</w:t>
                  </w:r>
                </w:p>
              </w:tc>
              <w:tc>
                <w:tcPr/>
                <w:p>
                  <w:pPr>
                    <w:pStyle w:val="Compact"/>
                    <w:jc w:val="right"/>
                    <w:jc w:val="center"/>
                  </w:pPr>
                  <w:r>
                    <w:t xml:space="preserve">0.0154262</w:t>
                  </w:r>
                </w:p>
              </w:tc>
              <w:tc>
                <w:tcPr/>
                <w:p>
                  <w:pPr>
                    <w:pStyle w:val="Compact"/>
                    <w:jc w:val="right"/>
                    <w:jc w:val="center"/>
                  </w:pPr>
                  <w:r>
                    <w:t xml:space="preserve">0.721441</w:t>
                  </w:r>
                </w:p>
              </w:tc>
              <w:tc>
                <w:tcPr/>
                <w:p>
                  <w:pPr>
                    <w:pStyle w:val="Compact"/>
                    <w:jc w:val="left"/>
                    <w:jc w:val="center"/>
                  </w:pPr>
                  <w:r>
                    <w:t xml:space="preserve">[-0.019, 0.041]</w:t>
                  </w:r>
                </w:p>
              </w:tc>
            </w:tr>
          </w:tbl>
          <w:bookmarkEnd w:id="1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suppfig-rt-distribution"/>
          <w:p>
            <w:pPr>
              <w:jc w:val="center"/>
            </w:pPr>
            <w:r>
              <w:drawing>
                <wp:inline>
                  <wp:extent cx="4533900" cy="4533900"/>
                  <wp:effectExtent b="0" l="0" r="0" t="0"/>
                  <wp:docPr descr="" title="" id="180" name="Picture"/>
                  <a:graphic>
                    <a:graphicData uri="http://schemas.openxmlformats.org/drawingml/2006/picture">
                      <pic:pic>
                        <pic:nvPicPr>
                          <pic:cNvPr descr="chap3_ddm_results_files/figure-docx/unnamed-chunk-48-1.png" id="181" name="Picture"/>
                          <pic:cNvPicPr>
                            <a:picLocks noChangeArrowheads="1" noChangeAspect="1"/>
                          </pic:cNvPicPr>
                        </pic:nvPicPr>
                        <pic:blipFill>
                          <a:blip r:embed="rId179"/>
                          <a:stretch>
                            <a:fillRect/>
                          </a:stretch>
                        </pic:blipFill>
                        <pic:spPr bwMode="auto">
                          <a:xfrm>
                            <a:off x="0" y="0"/>
                            <a:ext cx="45339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S19: RT Distribution by Condition. Density plots showing empirical RT distributions for each Task × Difficulty × Effort combination. The x-axis spans 0–3 s, matching the 3-s response window. RTs are strongly right-skewed, with most responses in the 0.5–1.5 s range. Easy conditions show faster RTs (peaks shifted left); Hard and Standard conditions show slower RTs (peaks shifted right). Effort effects are subtle compared to difficulty effects.</w:t>
            </w:r>
          </w:p>
          <w:bookmarkEnd w:id="182"/>
        </w:tc>
      </w:tr>
    </w:tbl>
    <w:p>
      <w:pPr>
        <w:pStyle w:val="BodyText"/>
      </w:pPr>
      <w:r>
        <w:t xml:space="preserve">Difficulty affected accuracy and RT; effort affected accuracy only. Both manipulations worked as intended.</w:t>
      </w:r>
    </w:p>
    <w:bookmarkEnd w:id="183"/>
    <w:bookmarkEnd w:id="184"/>
    <w:bookmarkStart w:id="194" w:name="sec-appendix-a8"/>
    <w:p>
      <w:pPr>
        <w:pStyle w:val="Heading2"/>
      </w:pPr>
      <w:r>
        <w:t xml:space="preserve">S8. Exploratory LC Structural Correlates</w:t>
      </w:r>
    </w:p>
    <w:p>
      <w:pPr>
        <w:pStyle w:val="FirstParagraph"/>
      </w:pPr>
      <w:r>
        <w:t xml:space="preserve">LC MRI in a subset of participants (</w:t>
      </w:r>
      <w:r>
        <w:t xml:space="preserve">(Bennett et al., 2024)</w:t>
      </w:r>
      <w:r>
        <w:t xml:space="preserve">; overlapping BAP cohort). Exploratory only — not used for hypothesis tests or model selection.</w:t>
      </w:r>
    </w:p>
    <w:p>
      <w:pPr>
        <w:pStyle w:val="BodyText"/>
      </w:pPr>
      <w:r>
        <w:rPr>
          <w:b/>
          <w:bCs/>
        </w:rPr>
        <w:t xml:space="preserve">Sample.</w:t>
      </w:r>
      <w:r>
        <w:t xml:space="preserve"> </w:t>
      </w:r>
      <w:r>
        <w:t xml:space="preserve">67 participants had LC metrics and DDM random effects; 57 had complete NODDI data. The LC subset did not differ from others on accuracy, RT, effort cost, or age (</w:t>
      </w:r>
      <w:r>
        <w:rPr>
          <w:i/>
          <w:iCs/>
        </w:rPr>
        <w:t xml:space="preserve">p</w:t>
      </w:r>
      <w:r>
        <w:t xml:space="preserve"> </w:t>
      </w:r>
      <w:r>
        <w:t xml:space="preserve">&gt; .19).</w:t>
      </w:r>
    </w:p>
    <w:p>
      <w:pPr>
        <w:pStyle w:val="BodyText"/>
      </w:pPr>
      <w:r>
        <w:rPr>
          <w:b/>
          <w:bCs/>
        </w:rPr>
        <w:t xml:space="preserve">Metrics.</w:t>
      </w:r>
      <w:r>
        <w:t xml:space="preserve"> </w:t>
      </w:r>
      <w:r>
        <w:t xml:space="preserve">LC CNR, NODDI fISO/fICVF, and composites (Composite</w:t>
      </w:r>
      <w:r>
        <w:rPr>
          <w:vertAlign w:val="subscript"/>
        </w:rPr>
        <w:t xml:space="preserve">v2</w:t>
      </w:r>
      <w:r>
        <w:t xml:space="preserve">, PC1</w:t>
      </w:r>
      <w:r>
        <w:rPr>
          <w:vertAlign w:val="subscript"/>
        </w:rPr>
        <w:t xml:space="preserve">v2</w:t>
      </w:r>
      <w:r>
        <w:t xml:space="preserve">). Outcomes:</w:t>
      </w:r>
      <w:r>
        <w:t xml:space="preserve"> </w:t>
      </w:r>
      <m:oMath>
        <m:sSup>
          <m:e>
            <m:r>
              <m:t>d</m:t>
            </m:r>
          </m:e>
          <m:sup>
            <m:r>
              <m:rPr>
                <m:sty m:val="p"/>
              </m:rPr>
              <m:t>′</m:t>
            </m:r>
          </m:sup>
        </m:sSup>
      </m:oMath>
      <w:r>
        <w:t xml:space="preserve"> </w:t>
      </w:r>
      <w:r>
        <w:t xml:space="preserve">variability and mean, |RT effort cost|, baseline DDM parameters (</w:t>
      </w:r>
      <w:r>
        <w:rPr>
          <w:i/>
          <w:iCs/>
        </w:rPr>
        <w:t xml:space="preserve">v</w:t>
      </w:r>
      <w:r>
        <w:t xml:space="preserve">,</w:t>
      </w:r>
      <w:r>
        <w:t xml:space="preserve"> </w:t>
      </w:r>
      <w:r>
        <w:rPr>
          <w:i/>
          <w:iCs/>
        </w:rPr>
        <w:t xml:space="preserve">a</w:t>
      </w:r>
      <w:r>
        <w:t xml:space="preserve">,</w:t>
      </w:r>
      <w:r>
        <w:t xml:space="preserve"> </w:t>
      </w:r>
      <w:r>
        <w:rPr>
          <w:i/>
          <w:iCs/>
        </w:rPr>
        <w:t xml:space="preserve">z</w:t>
      </w:r>
      <w:r>
        <w:t xml:space="preserve">), mean TEPR. Partial correlations controlled for age and sex.</w:t>
      </w:r>
    </w:p>
    <w:p>
      <w:pPr>
        <w:pStyle w:val="BodyText"/>
      </w:pPr>
      <w:r>
        <w:rPr>
          <w:b/>
          <w:bCs/>
        </w:rPr>
        <w:t xml:space="preserve">Results.</w:t>
      </w:r>
      <w:r>
        <w:t xml:space="preserve"> </w:t>
      </w:r>
      <w:r>
        <w:t xml:space="preserve">Higher LC fISO predicted greater</w:t>
      </w:r>
      <w:r>
        <w:t xml:space="preserve"> </w:t>
      </w:r>
      <m:oMath>
        <m:sSup>
          <m:e>
            <m:r>
              <m:t>d</m:t>
            </m:r>
          </m:e>
          <m:sup>
            <m:r>
              <m:rPr>
                <m:sty m:val="p"/>
              </m:rPr>
              <m:t>′</m:t>
            </m:r>
          </m:sup>
        </m:sSup>
      </m:oMath>
      <w:r>
        <w:t xml:space="preserve"> </w:t>
      </w:r>
      <w:r>
        <w:t xml:space="preserve">variability (partial</w:t>
      </w:r>
      <w:r>
        <w:t xml:space="preserve"> </w:t>
      </w:r>
      <w:r>
        <w:rPr>
          <w:i/>
          <w:iCs/>
        </w:rPr>
        <w:t xml:space="preserve">r</w:t>
      </w:r>
      <w:r>
        <w:t xml:space="preserve"> </w:t>
      </w:r>
      <w:r>
        <w:t xml:space="preserve">= 0.40,</w:t>
      </w:r>
      <w:r>
        <w:t xml:space="preserve"> </w:t>
      </w:r>
      <w:r>
        <w:rPr>
          <w:i/>
          <w:iCs/>
        </w:rPr>
        <w:t xml:space="preserve">p</w:t>
      </w:r>
      <w:r>
        <w:t xml:space="preserve"> </w:t>
      </w:r>
      <w:r>
        <w:t xml:space="preserve">= 0.002,</w:t>
      </w:r>
      <w:r>
        <w:t xml:space="preserve"> </w:t>
      </w:r>
      <w:r>
        <w:rPr>
          <w:i/>
          <w:iCs/>
        </w:rPr>
        <w:t xml:space="preserve">n</w:t>
      </w:r>
      <w:r>
        <w:t xml:space="preserve"> </w:t>
      </w:r>
      <w:r>
        <w:t xml:space="preserve">= 57) but not mean</w:t>
      </w:r>
      <w:r>
        <w:t xml:space="preserve"> </w:t>
      </w:r>
      <m:oMath>
        <m:sSup>
          <m:e>
            <m:r>
              <m:t>d</m:t>
            </m:r>
          </m:e>
          <m:sup>
            <m:r>
              <m:rPr>
                <m:sty m:val="p"/>
              </m:rPr>
              <m:t>′</m:t>
            </m:r>
          </m:sup>
        </m:sSup>
      </m:oMath>
      <w:r>
        <w:t xml:space="preserve"> </w:t>
      </w:r>
      <w:r>
        <w:t xml:space="preserve">(</w:t>
      </w:r>
      <w:r>
        <w:rPr>
          <w:i/>
          <w:iCs/>
        </w:rPr>
        <w:t xml:space="preserve">p</w:t>
      </w:r>
      <w:r>
        <w:t xml:space="preserve"> </w:t>
      </w:r>
      <w:r>
        <w:t xml:space="preserve">= 0.18). LC fISO correlated with lower baseline</w:t>
      </w:r>
      <w:r>
        <w:t xml:space="preserve"> </w:t>
      </w:r>
      <w:r>
        <w:rPr>
          <w:i/>
          <w:iCs/>
        </w:rPr>
        <w:t xml:space="preserve">a</w:t>
      </w:r>
      <w:r>
        <w:t xml:space="preserve"> </w:t>
      </w:r>
      <w:r>
        <w:t xml:space="preserve">(partial</w:t>
      </w:r>
      <w:r>
        <w:t xml:space="preserve"> </w:t>
      </w:r>
      <w:r>
        <w:rPr>
          <w:i/>
          <w:iCs/>
        </w:rPr>
        <w:t xml:space="preserve">r</w:t>
      </w:r>
      <w:r>
        <w:t xml:space="preserve"> </w:t>
      </w:r>
      <w:r>
        <w:t xml:space="preserve">= -0.39,</w:t>
      </w:r>
      <w:r>
        <w:t xml:space="preserve"> </w:t>
      </w:r>
      <w:r>
        <w:rPr>
          <w:i/>
          <w:iCs/>
        </w:rPr>
        <w:t xml:space="preserve">p</w:t>
      </w:r>
      <w:r>
        <w:t xml:space="preserve"> </w:t>
      </w:r>
      <w:r>
        <w:t xml:space="preserve">= 0.003); not with</w:t>
      </w:r>
      <w:r>
        <w:t xml:space="preserve"> </w:t>
      </w:r>
      <w:r>
        <w:rPr>
          <w:i/>
          <w:iCs/>
        </w:rPr>
        <w:t xml:space="preserve">v</w:t>
      </w:r>
      <w:r>
        <w:t xml:space="preserve"> </w:t>
      </w:r>
      <w:r>
        <w:t xml:space="preserve">(</w:t>
      </w:r>
      <w:r>
        <w:rPr>
          <w:i/>
          <w:iCs/>
        </w:rPr>
        <w:t xml:space="preserve">p</w:t>
      </w:r>
      <w:r>
        <w:t xml:space="preserve"> </w:t>
      </w:r>
      <w:r>
        <w:t xml:space="preserve">= 0.24),</w:t>
      </w:r>
      <w:r>
        <w:t xml:space="preserve"> </w:t>
      </w:r>
      <w:r>
        <w:rPr>
          <w:i/>
          <w:iCs/>
        </w:rPr>
        <w:t xml:space="preserve">z</w:t>
      </w:r>
      <w:r>
        <w:t xml:space="preserve"> </w:t>
      </w:r>
      <w:r>
        <w:t xml:space="preserve">(</w:t>
      </w:r>
      <w:r>
        <w:rPr>
          <w:i/>
          <w:iCs/>
        </w:rPr>
        <w:t xml:space="preserve">p</w:t>
      </w:r>
      <w:r>
        <w:t xml:space="preserve"> </w:t>
      </w:r>
      <w:r>
        <w:t xml:space="preserve">&gt; .80), or TEPR (</w:t>
      </w:r>
      <w:r>
        <w:rPr>
          <w:i/>
          <w:iCs/>
        </w:rPr>
        <w:t xml:space="preserve">p</w:t>
      </w:r>
      <w:r>
        <w:t xml:space="preserve"> </w:t>
      </w:r>
      <w:r>
        <w:t xml:space="preserve">= 0.10; CNR vs. TEPR:</w:t>
      </w:r>
      <w:r>
        <w:t xml:space="preserve"> </w:t>
      </w:r>
      <w:r>
        <w:rPr>
          <w:i/>
          <w:iCs/>
        </w:rPr>
        <w:t xml:space="preserve">p</w:t>
      </w:r>
      <w:r>
        <w:t xml:space="preserve"> </w:t>
      </w:r>
      <w:r>
        <w:t xml:space="preserve">= 0.19).</w:t>
      </w:r>
    </w:p>
    <w:p>
      <w:pPr>
        <w:pStyle w:val="BodyText"/>
      </w:pPr>
      <w:hyperlink w:anchor="supptbl-lc-exploratory-correlations">
        <w:r>
          <w:rPr>
            <w:rStyle w:val="Hyperlink"/>
          </w:rPr>
          <w:t xml:space="preserve">Table S22</w:t>
        </w:r>
      </w:hyperlink>
      <w:r>
        <w:t xml:space="preserve"> </w:t>
      </w:r>
      <w:r>
        <w:t xml:space="preserve">lists targeted associations.</w:t>
      </w:r>
      <w:r>
        <w:t xml:space="preserve"> </w:t>
      </w:r>
      <w:hyperlink w:anchor="suppfig-lc-fiso-dprime-variability">
        <w:r>
          <w:rPr>
            <w:rStyle w:val="Hyperlink"/>
          </w:rPr>
          <w:t xml:space="preserve">Figure S20</w:t>
        </w:r>
      </w:hyperlink>
      <w:r>
        <w:t xml:space="preserve"> </w:t>
      </w:r>
      <w:r>
        <w:t xml:space="preserve">and</w:t>
      </w:r>
      <w:r>
        <w:t xml:space="preserve"> </w:t>
      </w:r>
      <w:hyperlink w:anchor="suppfig-lc-fiso-four-panel">
        <w:r>
          <w:rPr>
            <w:rStyle w:val="Hyperlink"/>
          </w:rPr>
          <w:t xml:space="preserve">Figure S21</w:t>
        </w:r>
      </w:hyperlink>
      <w:r>
        <w:t xml:space="preserve"> </w:t>
      </w:r>
      <w:r>
        <w:t xml:space="preserve">show the main patterns.</w:t>
      </w:r>
    </w:p>
    <w:p>
      <w:pPr>
        <w:pStyle w:val="BodyText"/>
      </w:pPr>
      <w:r>
        <w:t xml:space="preserve">These results do not change the group-level finding that effort reduces drift. They suggest LC free-water diffusion may relate to between-person variability in sensitivity and baseline caution.</w:t>
      </w:r>
    </w:p>
    <w:tbl>
      <w:tblPr>
        <w:tblStyle w:val="Table"/>
        <w:tblW w:type="pct" w:w="5000"/>
        <w:tblLayout w:type="fixed"/>
        <w:tblLook w:firstRow="0" w:lastRow="0" w:firstColumn="0" w:lastColumn="0" w:noHBand="0" w:noVBand="0" w:val="0000"/>
      </w:tblPr>
      <w:tblGrid>
        <w:gridCol w:w="7920"/>
      </w:tblGrid>
      <w:tr>
        <w:tc>
          <w:tcPr/>
          <w:bookmarkStart w:id="185" w:name="supptbl-lc-exploratory-correlations"/>
          <w:p>
            <w:pPr>
              <w:jc w:val="center"/>
            </w:pPr>
            <w:pPr>
              <w:jc w:val="left"/>
              <w:spacing w:before="200"/>
              <w:pStyle w:val="ImageCaption"/>
            </w:pPr>
            <w:r>
              <w:t xml:space="preserve">Table S22: Exploratory partial correlations between LC metrics and behavioral/DDM outcomes (age and sex partialled).</w:t>
            </w:r>
          </w:p>
          <w:tbl>
            <w:tblPr>
              <w:tblStyle w:val="Table"/>
              <w:tblW w:type="pct" w:w="5000"/>
              <w:tblLayout w:type="fixed"/>
              <w:tblLook w:firstRow="1" w:lastRow="0" w:firstColumn="0" w:lastColumn="0" w:noHBand="0" w:noVBand="0" w:val="0020"/>
            </w:tblPr>
            <w:tblGrid>
              <w:gridCol w:w="2053"/>
              <w:gridCol w:w="3226"/>
              <w:gridCol w:w="977"/>
              <w:gridCol w:w="782"/>
              <w:gridCol w:w="586"/>
              <w:gridCol w:w="293"/>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LC CNR (max)</w:t>
                  </w:r>
                </w:p>
              </w:tc>
              <w:tc>
                <w:tcPr/>
                <w:p>
                  <w:pPr>
                    <w:pStyle w:val="Compact"/>
                    <w:jc w:val="left"/>
                    <w:jc w:val="center"/>
                  </w:pPr>
                  <m:oMath>
                    <m:sSup>
                      <m:e>
                        <m:r>
                          <m:t>d</m:t>
                        </m:r>
                      </m:e>
                      <m:sup>
                        <m:r>
                          <m:rPr>
                            <m:sty m:val="p"/>
                          </m:rPr>
                          <m:t>′</m:t>
                        </m:r>
                      </m:sup>
                    </m:sSup>
                  </m:oMath>
                  <w:r>
                    <w:t xml:space="preserve"> </w:t>
                  </w:r>
                  <w:r>
                    <w:t xml:space="preserve">variability</w:t>
                  </w:r>
                </w:p>
              </w:tc>
              <w:tc>
                <w:tcPr/>
                <w:p>
                  <w:pPr>
                    <w:pStyle w:val="Compact"/>
                    <w:jc w:val="right"/>
                    <w:jc w:val="center"/>
                  </w:pPr>
                  <w:r>
                    <w:t xml:space="preserve">0.199</w:t>
                  </w:r>
                </w:p>
              </w:tc>
              <w:tc>
                <w:tcPr/>
                <w:p>
                  <w:pPr>
                    <w:pStyle w:val="Compact"/>
                    <w:jc w:val="left"/>
                    <w:jc w:val="center"/>
                  </w:pPr>
                  <w:r>
                    <w:t xml:space="preserve">0.133</w:t>
                  </w:r>
                </w:p>
              </w:tc>
              <w:tc>
                <w:tcPr/>
                <w:p>
                  <w:pPr>
                    <w:pStyle w:val="Compact"/>
                    <w:jc w:val="left"/>
                    <w:jc w:val="center"/>
                  </w:pPr>
                  <w:r>
                    <w:t xml:space="preserve">0.303</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Mean TEPR</w:t>
                  </w:r>
                </w:p>
              </w:tc>
              <w:tc>
                <w:tcPr/>
                <w:p>
                  <w:pPr>
                    <w:pStyle w:val="Compact"/>
                    <w:jc w:val="right"/>
                    <w:jc w:val="center"/>
                  </w:pPr>
                  <w:r>
                    <w:t xml:space="preserve">0.175</w:t>
                  </w:r>
                </w:p>
              </w:tc>
              <w:tc>
                <w:tcPr/>
                <w:p>
                  <w:pPr>
                    <w:pStyle w:val="Compact"/>
                    <w:jc w:val="left"/>
                    <w:jc w:val="center"/>
                  </w:pPr>
                  <w:r>
                    <w:t xml:space="preserve">0.188</w:t>
                  </w:r>
                </w:p>
              </w:tc>
              <w:tc>
                <w:tcPr/>
                <w:p>
                  <w:pPr>
                    <w:pStyle w:val="Compact"/>
                    <w:jc w:val="left"/>
                    <w:jc w:val="center"/>
                  </w:pPr>
                  <w:r>
                    <w:t xml:space="preserve">0.389</w:t>
                  </w:r>
                </w:p>
              </w:tc>
              <w:tc>
                <w:tcPr/>
                <w:p>
                  <w:pPr>
                    <w:pStyle w:val="Compact"/>
                    <w:jc w:val="right"/>
                    <w:jc w:val="center"/>
                  </w:pPr>
                  <w:r>
                    <w:t xml:space="preserve">58</w:t>
                  </w:r>
                </w:p>
              </w:tc>
            </w:tr>
            <w:tr>
              <w:tc>
                <w:tcPr/>
                <w:p>
                  <w:pPr>
                    <w:pStyle w:val="Compact"/>
                    <w:jc w:val="left"/>
                    <w:jc w:val="center"/>
                  </w:pPr>
                  <w:r>
                    <w:t xml:space="preserve">LC CNR (max)</w:t>
                  </w:r>
                </w:p>
              </w:tc>
              <w:tc>
                <w:tcPr/>
                <w:p>
                  <w:pPr>
                    <w:pStyle w:val="Compact"/>
                    <w:jc w:val="left"/>
                    <w:jc w:val="center"/>
                  </w:pPr>
                  <w:r>
                    <w:t xml:space="preserve">Baseline drift (v)</w:t>
                  </w:r>
                </w:p>
              </w:tc>
              <w:tc>
                <w:tcPr/>
                <w:p>
                  <w:pPr>
                    <w:pStyle w:val="Compact"/>
                    <w:jc w:val="right"/>
                    <w:jc w:val="center"/>
                  </w:pPr>
                  <w:r>
                    <w:t xml:space="preserve">-0.006</w:t>
                  </w:r>
                </w:p>
              </w:tc>
              <w:tc>
                <w:tcPr/>
                <w:p>
                  <w:pPr>
                    <w:pStyle w:val="Compact"/>
                    <w:jc w:val="left"/>
                    <w:jc w:val="center"/>
                  </w:pPr>
                  <w:r>
                    <w:t xml:space="preserve">0.966</w:t>
                  </w:r>
                </w:p>
              </w:tc>
              <w:tc>
                <w:tcPr/>
                <w:p>
                  <w:pPr>
                    <w:pStyle w:val="Compact"/>
                    <w:jc w:val="left"/>
                    <w:jc w:val="center"/>
                  </w:pPr>
                  <w:r>
                    <w:t xml:space="preserve">0.98</w:t>
                  </w:r>
                </w:p>
              </w:tc>
              <w:tc>
                <w:tcPr/>
                <w:p>
                  <w:pPr>
                    <w:pStyle w:val="Compact"/>
                    <w:jc w:val="right"/>
                    <w:jc w:val="center"/>
                  </w:pPr>
                  <w:r>
                    <w:t xml:space="preserve">58</w:t>
                  </w:r>
                </w:p>
              </w:tc>
            </w:tr>
            <w:tr>
              <w:tc>
                <w:tcPr/>
                <w:p>
                  <w:pPr>
                    <w:pStyle w:val="Compact"/>
                    <w:jc w:val="left"/>
                    <w:jc w:val="center"/>
                  </w:pPr>
                  <w:r>
                    <w:t xml:space="preserve">LC fISO (free water)</w:t>
                  </w:r>
                </w:p>
              </w:tc>
              <w:tc>
                <w:tcPr/>
                <w:p>
                  <w:pPr>
                    <w:pStyle w:val="Compact"/>
                    <w:jc w:val="left"/>
                    <w:jc w:val="center"/>
                  </w:pPr>
                  <w:r>
                    <w:t xml:space="preserve">Baseline boundary (a)</w:t>
                  </w:r>
                </w:p>
              </w:tc>
              <w:tc>
                <w:tcPr/>
                <w:p>
                  <w:pPr>
                    <w:pStyle w:val="Compact"/>
                    <w:jc w:val="right"/>
                    <w:jc w:val="center"/>
                  </w:pPr>
                  <w:r>
                    <w:t xml:space="preserve">-0.389</w:t>
                  </w:r>
                </w:p>
              </w:tc>
              <w:tc>
                <w:tcPr/>
                <w:p>
                  <w:pPr>
                    <w:pStyle w:val="Compact"/>
                    <w:jc w:val="left"/>
                    <w:jc w:val="center"/>
                  </w:pPr>
                  <w:r>
                    <w:t xml:space="preserve">0.00276</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w:t>
                  </w:r>
                  <w:r>
                    <w:t xml:space="preserve"> </w:t>
                  </w:r>
                  <m:oMath>
                    <m:sSup>
                      <m:e>
                        <m:r>
                          <m:t>d</m:t>
                        </m:r>
                      </m:e>
                      <m:sup>
                        <m:r>
                          <m:rPr>
                            <m:sty m:val="p"/>
                          </m:rPr>
                          <m:t>′</m:t>
                        </m:r>
                      </m:sup>
                    </m:sSup>
                  </m:oMath>
                </w:p>
              </w:tc>
              <w:tc>
                <w:tcPr/>
                <w:p>
                  <w:pPr>
                    <w:pStyle w:val="Compact"/>
                    <w:jc w:val="right"/>
                    <w:jc w:val="center"/>
                  </w:pPr>
                  <w:r>
                    <w:t xml:space="preserve">-0.182</w:t>
                  </w:r>
                </w:p>
              </w:tc>
              <w:tc>
                <w:tcPr/>
                <w:p>
                  <w:pPr>
                    <w:pStyle w:val="Compact"/>
                    <w:jc w:val="left"/>
                    <w:jc w:val="center"/>
                  </w:pPr>
                  <w:r>
                    <w:t xml:space="preserve">0.177</w:t>
                  </w:r>
                </w:p>
              </w:tc>
              <w:tc>
                <w:tcPr/>
                <w:p>
                  <w:pPr>
                    <w:pStyle w:val="Compact"/>
                    <w:jc w:val="left"/>
                    <w:jc w:val="center"/>
                  </w:pPr>
                  <w:r>
                    <w:t xml:space="preserve">0.384</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m:oMath>
                    <m:sSup>
                      <m:e>
                        <m:r>
                          <m:t>d</m:t>
                        </m:r>
                      </m:e>
                      <m:sup>
                        <m:r>
                          <m:rPr>
                            <m:sty m:val="p"/>
                          </m:rPr>
                          <m:t>′</m:t>
                        </m:r>
                      </m:sup>
                    </m:sSup>
                  </m:oMath>
                  <w:r>
                    <w:t xml:space="preserve"> </w:t>
                  </w:r>
                  <w:r>
                    <w:t xml:space="preserve">variability</w:t>
                  </w:r>
                </w:p>
              </w:tc>
              <w:tc>
                <w:tcPr/>
                <w:p>
                  <w:pPr>
                    <w:pStyle w:val="Compact"/>
                    <w:jc w:val="right"/>
                    <w:jc w:val="center"/>
                  </w:pPr>
                  <w:r>
                    <w:t xml:space="preserve">0.397</w:t>
                  </w:r>
                </w:p>
              </w:tc>
              <w:tc>
                <w:tcPr/>
                <w:p>
                  <w:pPr>
                    <w:pStyle w:val="Compact"/>
                    <w:jc w:val="left"/>
                    <w:jc w:val="center"/>
                  </w:pPr>
                  <w:r>
                    <w:t xml:space="preserve">0.00222</w:t>
                  </w:r>
                </w:p>
              </w:tc>
              <w:tc>
                <w:tcPr/>
                <w:p>
                  <w:pPr>
                    <w:pStyle w:val="Compact"/>
                    <w:jc w:val="left"/>
                    <w:jc w:val="center"/>
                  </w:pPr>
                  <w:r>
                    <w:t xml:space="preserve">0.046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|RT cost| (High − Low)</w:t>
                  </w:r>
                </w:p>
              </w:tc>
              <w:tc>
                <w:tcPr/>
                <w:p>
                  <w:pPr>
                    <w:pStyle w:val="Compact"/>
                    <w:jc w:val="right"/>
                    <w:jc w:val="center"/>
                  </w:pPr>
                  <w:r>
                    <w:t xml:space="preserve">-0.311</w:t>
                  </w:r>
                </w:p>
              </w:tc>
              <w:tc>
                <w:tcPr/>
                <w:p>
                  <w:pPr>
                    <w:pStyle w:val="Compact"/>
                    <w:jc w:val="left"/>
                    <w:jc w:val="center"/>
                  </w:pPr>
                  <w:r>
                    <w:t xml:space="preserve">0.0186</w:t>
                  </w:r>
                </w:p>
              </w:tc>
              <w:tc>
                <w:tcPr/>
                <w:p>
                  <w:pPr>
                    <w:pStyle w:val="Compact"/>
                    <w:jc w:val="left"/>
                    <w:jc w:val="center"/>
                  </w:pPr>
                  <w:r>
                    <w:t xml:space="preserve">0.113</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Mean TEPR</w:t>
                  </w:r>
                </w:p>
              </w:tc>
              <w:tc>
                <w:tcPr/>
                <w:p>
                  <w:pPr>
                    <w:pStyle w:val="Compact"/>
                    <w:jc w:val="right"/>
                    <w:jc w:val="center"/>
                  </w:pPr>
                  <w:r>
                    <w:t xml:space="preserve">0.219</w:t>
                  </w:r>
                </w:p>
              </w:tc>
              <w:tc>
                <w:tcPr/>
                <w:p>
                  <w:pPr>
                    <w:pStyle w:val="Compact"/>
                    <w:jc w:val="left"/>
                    <w:jc w:val="center"/>
                  </w:pPr>
                  <w:r>
                    <w:t xml:space="preserve">0.101</w:t>
                  </w:r>
                </w:p>
              </w:tc>
              <w:tc>
                <w:tcPr/>
                <w:p>
                  <w:pPr>
                    <w:pStyle w:val="Compact"/>
                    <w:jc w:val="left"/>
                    <w:jc w:val="center"/>
                  </w:pPr>
                  <w:r>
                    <w:t xml:space="preserve">0.266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drift (v)</w:t>
                  </w:r>
                </w:p>
              </w:tc>
              <w:tc>
                <w:tcPr/>
                <w:p>
                  <w:pPr>
                    <w:pStyle w:val="Compact"/>
                    <w:jc w:val="right"/>
                    <w:jc w:val="center"/>
                  </w:pPr>
                  <w:r>
                    <w:t xml:space="preserve">-0.158</w:t>
                  </w:r>
                </w:p>
              </w:tc>
              <w:tc>
                <w:tcPr/>
                <w:p>
                  <w:pPr>
                    <w:pStyle w:val="Compact"/>
                    <w:jc w:val="left"/>
                    <w:jc w:val="center"/>
                  </w:pPr>
                  <w:r>
                    <w:t xml:space="preserve">0.239</w:t>
                  </w:r>
                </w:p>
              </w:tc>
              <w:tc>
                <w:tcPr/>
                <w:p>
                  <w:pPr>
                    <w:pStyle w:val="Compact"/>
                    <w:jc w:val="left"/>
                    <w:jc w:val="center"/>
                  </w:pPr>
                  <w:r>
                    <w:t xml:space="preserve">0.46</w:t>
                  </w:r>
                </w:p>
              </w:tc>
              <w:tc>
                <w:tcPr/>
                <w:p>
                  <w:pPr>
                    <w:pStyle w:val="Compact"/>
                    <w:jc w:val="right"/>
                    <w:jc w:val="center"/>
                  </w:pPr>
                  <w:r>
                    <w:t xml:space="preserve">57</w:t>
                  </w:r>
                </w:p>
              </w:tc>
            </w:tr>
            <w:tr>
              <w:tc>
                <w:tcPr/>
                <w:p>
                  <w:pPr>
                    <w:pStyle w:val="Compact"/>
                    <w:jc w:val="left"/>
                    <w:jc w:val="center"/>
                  </w:pPr>
                  <w:r>
                    <w:t xml:space="preserve">LC fISO (free water)</w:t>
                  </w:r>
                </w:p>
              </w:tc>
              <w:tc>
                <w:tcPr/>
                <w:p>
                  <w:pPr>
                    <w:pStyle w:val="Compact"/>
                    <w:jc w:val="left"/>
                    <w:jc w:val="center"/>
                  </w:pPr>
                  <w:r>
                    <w:t xml:space="preserve">Baseline bias (z)</w:t>
                  </w:r>
                </w:p>
              </w:tc>
              <w:tc>
                <w:tcPr/>
                <w:p>
                  <w:pPr>
                    <w:pStyle w:val="Compact"/>
                    <w:jc w:val="right"/>
                    <w:jc w:val="center"/>
                  </w:pPr>
                  <w:r>
                    <w:t xml:space="preserve">-0.033</w:t>
                  </w:r>
                </w:p>
              </w:tc>
              <w:tc>
                <w:tcPr/>
                <w:p>
                  <w:pPr>
                    <w:pStyle w:val="Compact"/>
                    <w:jc w:val="left"/>
                    <w:jc w:val="center"/>
                  </w:pPr>
                  <w:r>
                    <w:t xml:space="preserve">0.808</w:t>
                  </w:r>
                </w:p>
              </w:tc>
              <w:tc>
                <w:tcPr/>
                <w:p>
                  <w:pPr>
                    <w:pStyle w:val="Compact"/>
                    <w:jc w:val="left"/>
                    <w:jc w:val="center"/>
                  </w:pPr>
                  <w:r>
                    <w:t xml:space="preserve">0.878</w:t>
                  </w:r>
                </w:p>
              </w:tc>
              <w:tc>
                <w:tcPr/>
                <w:p>
                  <w:pPr>
                    <w:pStyle w:val="Compact"/>
                    <w:jc w:val="right"/>
                    <w:jc w:val="center"/>
                  </w:pPr>
                  <w:r>
                    <w:t xml:space="preserve">57</w:t>
                  </w:r>
                </w:p>
              </w:tc>
            </w:tr>
          </w:tbl>
          <w:bookmarkEnd w:id="1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9" w:name="suppfig-lc-fiso-dprime-variability"/>
          <w:p>
            <w:pPr>
              <w:jc w:val="center"/>
            </w:pPr>
            <w:r>
              <w:drawing>
                <wp:inline>
                  <wp:extent cx="3840480" cy="3142210"/>
                  <wp:effectExtent b="0" l="0" r="0" t="0"/>
                  <wp:docPr descr="" title="" id="187" name="Picture"/>
                  <a:graphic>
                    <a:graphicData uri="http://schemas.openxmlformats.org/drawingml/2006/picture">
                      <pic:pic>
                        <pic:nvPicPr>
                          <pic:cNvPr descr="../output/figures/fig_lc_fiso_dprime_variability.png" id="188" name="Picture"/>
                          <pic:cNvPicPr>
                            <a:picLocks noChangeArrowheads="1" noChangeAspect="1"/>
                          </pic:cNvPicPr>
                        </pic:nvPicPr>
                        <pic:blipFill>
                          <a:blip r:embed="rId186"/>
                          <a:stretch>
                            <a:fillRect/>
                          </a:stretch>
                        </pic:blipFill>
                        <pic:spPr bwMode="auto">
                          <a:xfrm>
                            <a:off x="0" y="0"/>
                            <a:ext cx="3840480" cy="314221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S20: Exploratory association between LC free-water fraction (fISO) and cross-intensity</w:t>
            </w:r>
            <w:r>
              <w:t xml:space="preserve"> </w:t>
            </w:r>
            <m:oMath>
              <m:sSup>
                <m:e>
                  <m:r>
                    <m:t>d</m:t>
                  </m:r>
                </m:e>
                <m:sup>
                  <m:r>
                    <m:rPr>
                      <m:sty m:val="p"/>
                    </m:rPr>
                    <m:t>′</m:t>
                  </m:r>
                </m:sup>
              </m:sSup>
            </m:oMath>
            <w:r>
              <w:t xml:space="preserve"> </w:t>
            </w:r>
            <w:r>
              <w:t xml:space="preserve">variability, controlling for age and sex. Higher fISO predicted greater sensitivity variability across stimulus levels but not mean</w:t>
            </w:r>
            <w:r>
              <w:t xml:space="preserve"> </w:t>
            </w:r>
            <m:oMath>
              <m:sSup>
                <m:e>
                  <m:r>
                    <m:t>d</m:t>
                  </m:r>
                </m:e>
                <m:sup>
                  <m:r>
                    <m:rPr>
                      <m:sty m:val="p"/>
                    </m:rPr>
                    <m:t>′</m:t>
                  </m:r>
                </m:sup>
              </m:sSup>
            </m:oMath>
            <w:r>
              <w:t xml:space="preserve"> </w:t>
            </w:r>
            <w:r>
              <w:t xml:space="preserve">(see Supplementary Section S8).</w:t>
            </w:r>
          </w:p>
          <w:bookmarkEnd w:id="1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3" w:name="suppfig-lc-fiso-four-panel"/>
          <w:p>
            <w:pPr>
              <w:jc w:val="center"/>
            </w:pPr>
            <w:r>
              <w:drawing>
                <wp:inline>
                  <wp:extent cx="4907280" cy="3816773"/>
                  <wp:effectExtent b="0" l="0" r="0" t="0"/>
                  <wp:docPr descr="" title="" id="191" name="Picture"/>
                  <a:graphic>
                    <a:graphicData uri="http://schemas.openxmlformats.org/drawingml/2006/picture">
                      <pic:pic>
                        <pic:nvPicPr>
                          <pic:cNvPr descr="../output/figures/fig_lc_fiso_four_panel.png" id="192" name="Picture"/>
                          <pic:cNvPicPr>
                            <a:picLocks noChangeArrowheads="1" noChangeAspect="1"/>
                          </pic:cNvPicPr>
                        </pic:nvPicPr>
                        <pic:blipFill>
                          <a:blip r:embed="rId190"/>
                          <a:stretch>
                            <a:fillRect/>
                          </a:stretch>
                        </pic:blipFill>
                        <pic:spPr bwMode="auto">
                          <a:xfrm>
                            <a:off x="0" y="0"/>
                            <a:ext cx="4907280" cy="381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S21: LC fISO in relation to behavioral variability, mean</w:t>
            </w:r>
            <w:r>
              <w:t xml:space="preserve"> </w:t>
            </w:r>
            <m:oMath>
              <m:sSup>
                <m:e>
                  <m:r>
                    <m:t>d</m:t>
                  </m:r>
                </m:e>
                <m:sup>
                  <m:r>
                    <m:rPr>
                      <m:sty m:val="p"/>
                    </m:rPr>
                    <m:t>′</m:t>
                  </m:r>
                </m:sup>
              </m:sSup>
            </m:oMath>
            <w:r>
              <w:t xml:space="preserve">, baseline DDM boundary separation (a), and mean TEPR. Partial correlations control for age and sex. Only variability and baseline a showed associations at p &lt; .05.</w:t>
            </w:r>
          </w:p>
          <w:bookmarkEnd w:id="193"/>
        </w:tc>
      </w:tr>
    </w:tbl>
    <w:bookmarkEnd w:id="194"/>
    <w:bookmarkStart w:id="198" w:name="sec-appendix-a9"/>
    <w:p>
      <w:pPr>
        <w:pStyle w:val="Heading2"/>
      </w:pPr>
      <w:r>
        <w:t xml:space="preserve">S9. Extended Baseline Characteristics and Neuropsychological Profile</w:t>
      </w:r>
    </w:p>
    <w:p>
      <w:pPr>
        <w:pStyle w:val="FirstParagraph"/>
      </w:pPr>
      <w:r>
        <w:t xml:space="preserve">Extended baseline descriptives for the DDM sample (</w:t>
      </w:r>
      <w:r>
        <w:rPr>
          <w:i/>
          <w:iCs/>
        </w:rPr>
        <w:t xml:space="preserve">N</w:t>
      </w:r>
      <w:r>
        <w:t xml:space="preserve"> </w:t>
      </w:r>
      <w:r>
        <w:t xml:space="preserve">= 67). Table 1 in the main text covers core demographics.</w:t>
      </w:r>
    </w:p>
    <w:p>
      <w:pPr>
        <w:pStyle w:val="BodyText"/>
      </w:pPr>
      <w:r>
        <w:rPr>
          <w:b/>
          <w:bCs/>
        </w:rPr>
        <w:t xml:space="preserve">Sample.</w:t>
      </w:r>
      <w:r>
        <w:t xml:space="preserve"> </w:t>
      </w:r>
      <w:r>
        <w:t xml:space="preserve">Older adults with intact cognition (Telephone MoCA</w:t>
      </w:r>
      <w:r>
        <w:t xml:space="preserve"> </w:t>
      </w:r>
      <w:r>
        <w:rPr>
          <w:i/>
          <w:iCs/>
        </w:rPr>
        <w:t xml:space="preserve">M</w:t>
      </w:r>
      <w:r>
        <w:t xml:space="preserve"> </w:t>
      </w:r>
      <w:r>
        <w:t xml:space="preserve">= 19.8 (1.5),</w:t>
      </w:r>
      <w:r>
        <w:t xml:space="preserve"> </w:t>
      </w:r>
      <w:r>
        <w:rPr>
          <w:i/>
          <w:iCs/>
        </w:rPr>
        <w:t xml:space="preserve">n</w:t>
      </w:r>
      <w:r>
        <w:t xml:space="preserve"> </w:t>
      </w:r>
      <w:r>
        <w:t xml:space="preserve">= 62). Right-handed; 34 (50.7%) female; 51 (76.1%) White (</w:t>
      </w:r>
      <w:hyperlink w:anchor="supptbl-extended-baseline-categorical">
        <w:r>
          <w:rPr>
            <w:rStyle w:val="Hyperlink"/>
          </w:rPr>
          <w:t xml:space="preserve">Table S23</w:t>
        </w:r>
      </w:hyperlink>
      <w:r>
        <w:t xml:space="preserve">; race coding matches Table 1).</w:t>
      </w:r>
    </w:p>
    <w:p>
      <w:pPr>
        <w:pStyle w:val="BodyText"/>
      </w:pPr>
      <w:r>
        <w:rPr>
          <w:b/>
          <w:bCs/>
        </w:rPr>
        <w:t xml:space="preserve">Battery.</w:t>
      </w:r>
      <w:r>
        <w:t xml:space="preserve"> </w:t>
      </w:r>
      <w:hyperlink w:anchor="supptbl-extended-baseline">
        <w:r>
          <w:rPr>
            <w:rStyle w:val="Hyperlink"/>
          </w:rPr>
          <w:t xml:space="preserve">Table S24</w:t>
        </w:r>
      </w:hyperlink>
      <w:r>
        <w:t xml:space="preserve"> </w:t>
      </w:r>
      <w:r>
        <w:t xml:space="preserve">lists executive, language, and self-report measures (TMT, Boston Naming, SILS, GDS, GAD-7, EMQ). Scores were typical for healthy older adults (e.g., Boston Naming</w:t>
      </w:r>
      <w:r>
        <w:t xml:space="preserve"> </w:t>
      </w:r>
      <w:r>
        <w:rPr>
          <w:i/>
          <w:iCs/>
        </w:rPr>
        <w:t xml:space="preserve">M</w:t>
      </w:r>
      <w:r>
        <w:t xml:space="preserve"> </w:t>
      </w:r>
      <w:r>
        <w:t xml:space="preserve">= 20.6/23; GDS</w:t>
      </w:r>
      <w:r>
        <w:t xml:space="preserve"> </w:t>
      </w:r>
      <w:r>
        <w:rPr>
          <w:i/>
          <w:iCs/>
        </w:rPr>
        <w:t xml:space="preserve">M</w:t>
      </w:r>
      <w:r>
        <w:t xml:space="preserve"> </w:t>
      </w:r>
      <w:r>
        <w:t xml:space="preserve">= 1.7/15).</w:t>
      </w:r>
    </w:p>
    <w:p>
      <w:pPr>
        <w:pStyle w:val="BodyText"/>
      </w:pPr>
      <w:r>
        <w:rPr>
          <w:b/>
          <w:bCs/>
        </w:rPr>
        <w:t xml:space="preserve">DDM associations (exploratory).</w:t>
      </w:r>
      <w:r>
        <w:t xml:space="preserve"> </w:t>
      </w:r>
      <w:r>
        <w:t xml:space="preserve">MoCA did not correlate with baseline drift (</w:t>
      </w:r>
      <w:r>
        <w:rPr>
          <w:i/>
          <w:iCs/>
        </w:rPr>
        <w:t xml:space="preserve">p</w:t>
      </w:r>
      <w:r>
        <w:t xml:space="preserve"> </w:t>
      </w:r>
      <w:r>
        <w:t xml:space="preserve">= 0.94) or RT effort cost (</w:t>
      </w:r>
      <w:r>
        <w:rPr>
          <w:i/>
          <w:iCs/>
        </w:rPr>
        <w:t xml:space="preserve">p</w:t>
      </w:r>
      <w:r>
        <w:t xml:space="preserve"> </w:t>
      </w:r>
      <w:r>
        <w:t xml:space="preserve">= 0.66) (</w:t>
      </w:r>
      <w:hyperlink w:anchor="supptbl-neuropsych-ddm-exploratory">
        <w:r>
          <w:rPr>
            <w:rStyle w:val="Hyperlink"/>
          </w:rPr>
          <w:t xml:space="preserve">Table S25</w:t>
        </w:r>
      </w:hyperlink>
      <w:r>
        <w:t xml:space="preserve">). Uncorrected</w:t>
      </w:r>
      <w:r>
        <w:t xml:space="preserve"> </w:t>
      </w:r>
      <w:r>
        <w:rPr>
          <w:i/>
          <w:iCs/>
        </w:rPr>
        <w:t xml:space="preserve">p</w:t>
      </w:r>
      <w:r>
        <w:t xml:space="preserve"> </w:t>
      </w:r>
      <w:r>
        <w:t xml:space="preserve">&lt; .05 links included SILS with accuracy/RT and GDS with</w:t>
      </w:r>
      <w:r>
        <w:t xml:space="preserve"> </w:t>
      </w:r>
      <m:oMath>
        <m:sSup>
          <m:e>
            <m:r>
              <m:t>d</m:t>
            </m:r>
          </m:e>
          <m:sup>
            <m:r>
              <m:rPr>
                <m:sty m:val="p"/>
              </m:rPr>
              <m:t>′</m:t>
            </m:r>
          </m:sup>
        </m:sSup>
      </m:oMath>
      <w:r>
        <w:t xml:space="preserve"> </w:t>
      </w:r>
      <w:r>
        <w:t xml:space="preserve">variability (partial</w:t>
      </w:r>
      <w:r>
        <w:t xml:space="preserve"> </w:t>
      </w:r>
      <w:r>
        <w:rPr>
          <w:i/>
          <w:iCs/>
        </w:rPr>
        <w:t xml:space="preserve">r</w:t>
      </w:r>
      <w:r>
        <w:t xml:space="preserve"> </w:t>
      </w:r>
      <w:r>
        <w:t xml:space="preserve">= -0.27,</w:t>
      </w:r>
      <w:r>
        <w:t xml:space="preserve"> </w:t>
      </w:r>
      <w:r>
        <w:rPr>
          <w:i/>
          <w:iCs/>
        </w:rPr>
        <w:t xml:space="preserve">p</w:t>
      </w:r>
      <w:r>
        <w:t xml:space="preserve"> </w:t>
      </w:r>
      <w:r>
        <w:t xml:space="preserve">= 0.034; none FDR</w:t>
      </w:r>
      <w:r>
        <w:t xml:space="preserve"> </w:t>
      </w:r>
      <w:r>
        <w:rPr>
          <w:i/>
          <w:iCs/>
        </w:rPr>
        <w:t xml:space="preserve">q</w:t>
      </w:r>
      <w:r>
        <w:t xml:space="preserve"> </w:t>
      </w:r>
      <w:r>
        <w:t xml:space="preserve">&lt; .05). Secondary context only.</w:t>
      </w:r>
    </w:p>
    <w:tbl>
      <w:tblPr>
        <w:tblStyle w:val="Table"/>
        <w:tblW w:type="pct" w:w="5000"/>
        <w:tblLayout w:type="fixed"/>
        <w:tblLook w:firstRow="0" w:lastRow="0" w:firstColumn="0" w:lastColumn="0" w:noHBand="0" w:noVBand="0" w:val="0000"/>
      </w:tblPr>
      <w:tblGrid>
        <w:gridCol w:w="7920"/>
      </w:tblGrid>
      <w:tr>
        <w:tc>
          <w:tcPr/>
          <w:bookmarkStart w:id="195" w:name="supptbl-extended-baseline-categorical"/>
          <w:p>
            <w:pPr>
              <w:jc w:val="center"/>
            </w:pPr>
            <w:pPr>
              <w:jc w:val="left"/>
              <w:spacing w:before="200"/>
              <w:pStyle w:val="ImageCaption"/>
            </w:pPr>
            <w:r>
              <w:t xml:space="preserve">Table S23: Extended baseline characteristics: categorical demographics (DDM analytic sample).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left"/>
                    <w:jc w:val="center"/>
                  </w:pPr>
                  <w:r>
                    <w:t xml:space="preserve">Value</w:t>
                  </w:r>
                </w:p>
              </w:tc>
            </w:tr>
            <w:tr>
              <w:tc>
                <w:tcPr/>
                <w:p>
                  <w:pPr>
                    <w:pStyle w:val="Compact"/>
                    <w:jc w:val="left"/>
                    <w:jc w:val="center"/>
                  </w:pPr>
                  <w:r>
                    <w:t xml:space="preserve">Female, n (%)</w:t>
                  </w:r>
                </w:p>
              </w:tc>
              <w:tc>
                <w:tcPr/>
                <w:p>
                  <w:pPr>
                    <w:pStyle w:val="Compact"/>
                    <w:jc w:val="left"/>
                    <w:jc w:val="center"/>
                  </w:pPr>
                  <w:r>
                    <w:t xml:space="preserve">34 (50.7%)</w:t>
                  </w:r>
                </w:p>
              </w:tc>
            </w:tr>
            <w:tr>
              <w:tc>
                <w:tcPr/>
                <w:p>
                  <w:pPr>
                    <w:pStyle w:val="Compact"/>
                    <w:jc w:val="left"/>
                    <w:jc w:val="center"/>
                  </w:pPr>
                  <w:r>
                    <w:t xml:space="preserve">Right-handed, n (%)</w:t>
                  </w:r>
                </w:p>
              </w:tc>
              <w:tc>
                <w:tcPr/>
                <w:p>
                  <w:pPr>
                    <w:pStyle w:val="Compact"/>
                    <w:jc w:val="left"/>
                    <w:jc w:val="center"/>
                  </w:pPr>
                  <w:r>
                    <w:t xml:space="preserve">67 (100.0%)</w:t>
                  </w:r>
                </w:p>
              </w:tc>
            </w:tr>
            <w:tr>
              <w:tc>
                <w:tcPr/>
                <w:p>
                  <w:pPr>
                    <w:pStyle w:val="Compact"/>
                    <w:jc w:val="left"/>
                    <w:jc w:val="center"/>
                  </w:pPr>
                  <w:r>
                    <w:t xml:space="preserve">White race, n (%)</w:t>
                  </w:r>
                </w:p>
              </w:tc>
              <w:tc>
                <w:tcPr/>
                <w:p>
                  <w:pPr>
                    <w:pStyle w:val="Compact"/>
                    <w:jc w:val="left"/>
                    <w:jc w:val="center"/>
                  </w:pPr>
                  <w:r>
                    <w:t xml:space="preserve">51 (76.1%)</w:t>
                  </w:r>
                </w:p>
              </w:tc>
            </w:tr>
            <w:tr>
              <w:tc>
                <w:tcPr/>
                <w:p>
                  <w:pPr>
                    <w:pStyle w:val="Compact"/>
                    <w:jc w:val="left"/>
                    <w:jc w:val="center"/>
                  </w:pPr>
                  <w:r>
                    <w:t xml:space="preserve">Hispanic/Latino ethnicity, n (%)</w:t>
                  </w:r>
                </w:p>
              </w:tc>
              <w:tc>
                <w:tcPr/>
                <w:p>
                  <w:pPr>
                    <w:pStyle w:val="Compact"/>
                    <w:jc w:val="left"/>
                    <w:jc w:val="center"/>
                  </w:pPr>
                  <w:r>
                    <w:t xml:space="preserve">10 (15.4%)</w:t>
                  </w:r>
                </w:p>
              </w:tc>
            </w:tr>
          </w:tbl>
          <w:bookmarkEnd w:id="19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6" w:name="supptbl-extended-baseline"/>
          <w:p>
            <w:pPr>
              <w:jc w:val="center"/>
            </w:pPr>
            <w:pPr>
              <w:jc w:val="left"/>
              <w:spacing w:before="200"/>
              <w:pStyle w:val="ImageCaption"/>
            </w:pPr>
            <w:r>
              <w:t xml:space="preserve">Table S24: Extended baseline characteristics: neuropsychological and demographic continuous measures (DDM analytic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Measure</w:t>
                  </w:r>
                </w:p>
              </w:tc>
              <w:tc>
                <w:tcPr/>
                <w:p>
                  <w:pPr>
                    <w:pStyle w:val="Compact"/>
                    <w:jc w:val="left"/>
                    <w:jc w:val="center"/>
                  </w:pPr>
                  <w:r>
                    <w:t xml:space="preserve">M (SD)</w:t>
                  </w:r>
                </w:p>
              </w:tc>
              <w:tc>
                <w:tcPr/>
                <w:p>
                  <w:pPr>
                    <w:pStyle w:val="Compact"/>
                    <w:jc w:val="left"/>
                    <w:jc w:val="center"/>
                  </w:pPr>
                  <w:r>
                    <w:t xml:space="preserve">Range</w:t>
                  </w:r>
                </w:p>
              </w:tc>
              <w:tc>
                <w:tcPr/>
                <w:p>
                  <w:pPr>
                    <w:pStyle w:val="Compact"/>
                    <w:jc w:val="right"/>
                    <w:jc w:val="center"/>
                  </w:pPr>
                  <w:r>
                    <w:t xml:space="preserve">n</w:t>
                  </w:r>
                </w:p>
              </w:tc>
            </w:tr>
            <w:tr>
              <w:tc>
                <w:tcPr/>
                <w:p>
                  <w:pPr>
                    <w:pStyle w:val="Compact"/>
                    <w:jc w:val="left"/>
                    <w:jc w:val="center"/>
                  </w:pPr>
                  <w:r>
                    <w:t xml:space="preserve">Age (years)</w:t>
                  </w:r>
                </w:p>
              </w:tc>
              <w:tc>
                <w:tcPr/>
                <w:p>
                  <w:pPr>
                    <w:pStyle w:val="Compact"/>
                    <w:jc w:val="left"/>
                    <w:jc w:val="center"/>
                  </w:pPr>
                  <w:r>
                    <w:t xml:space="preserve">69.5 (6.4)</w:t>
                  </w:r>
                </w:p>
              </w:tc>
              <w:tc>
                <w:tcPr/>
                <w:p>
                  <w:pPr>
                    <w:pStyle w:val="Compact"/>
                    <w:jc w:val="left"/>
                    <w:jc w:val="center"/>
                  </w:pPr>
                  <w:r>
                    <w:t xml:space="preserve">60.0–87.0</w:t>
                  </w:r>
                </w:p>
              </w:tc>
              <w:tc>
                <w:tcPr/>
                <w:p>
                  <w:pPr>
                    <w:pStyle w:val="Compact"/>
                    <w:jc w:val="right"/>
                    <w:jc w:val="center"/>
                  </w:pPr>
                  <w:r>
                    <w:t xml:space="preserve">67</w:t>
                  </w:r>
                </w:p>
              </w:tc>
            </w:tr>
            <w:tr>
              <w:tc>
                <w:tcPr/>
                <w:p>
                  <w:pPr>
                    <w:pStyle w:val="Compact"/>
                    <w:jc w:val="left"/>
                    <w:jc w:val="center"/>
                  </w:pPr>
                  <w:r>
                    <w:t xml:space="preserve">Education (years)</w:t>
                  </w:r>
                </w:p>
              </w:tc>
              <w:tc>
                <w:tcPr/>
                <w:p>
                  <w:pPr>
                    <w:pStyle w:val="Compact"/>
                    <w:jc w:val="left"/>
                    <w:jc w:val="center"/>
                  </w:pPr>
                  <w:r>
                    <w:t xml:space="preserve">15.8 (2.6)</w:t>
                  </w:r>
                </w:p>
              </w:tc>
              <w:tc>
                <w:tcPr/>
                <w:p>
                  <w:pPr>
                    <w:pStyle w:val="Compact"/>
                    <w:jc w:val="left"/>
                    <w:jc w:val="center"/>
                  </w:pPr>
                  <w:r>
                    <w:t xml:space="preserve">10.0–21.0</w:t>
                  </w:r>
                </w:p>
              </w:tc>
              <w:tc>
                <w:tcPr/>
                <w:p>
                  <w:pPr>
                    <w:pStyle w:val="Compact"/>
                    <w:jc w:val="right"/>
                    <w:jc w:val="center"/>
                  </w:pPr>
                  <w:r>
                    <w:t xml:space="preserve">64</w:t>
                  </w:r>
                </w:p>
              </w:tc>
            </w:tr>
            <w:tr>
              <w:tc>
                <w:tcPr/>
                <w:p>
                  <w:pPr>
                    <w:pStyle w:val="Compact"/>
                    <w:jc w:val="left"/>
                    <w:jc w:val="center"/>
                  </w:pPr>
                  <w:r>
                    <w:t xml:space="preserve">MoCA (telephone screen /22)</w:t>
                  </w:r>
                </w:p>
              </w:tc>
              <w:tc>
                <w:tcPr/>
                <w:p>
                  <w:pPr>
                    <w:pStyle w:val="Compact"/>
                    <w:jc w:val="left"/>
                    <w:jc w:val="center"/>
                  </w:pPr>
                  <w:r>
                    <w:t xml:space="preserve">19.8 (1.5)</w:t>
                  </w:r>
                </w:p>
              </w:tc>
              <w:tc>
                <w:tcPr/>
                <w:p>
                  <w:pPr>
                    <w:pStyle w:val="Compact"/>
                    <w:jc w:val="left"/>
                    <w:jc w:val="center"/>
                  </w:pPr>
                  <w:r>
                    <w:t xml:space="preserve">17.0–22.0</w:t>
                  </w:r>
                </w:p>
              </w:tc>
              <w:tc>
                <w:tcPr/>
                <w:p>
                  <w:pPr>
                    <w:pStyle w:val="Compact"/>
                    <w:jc w:val="right"/>
                    <w:jc w:val="center"/>
                  </w:pPr>
                  <w:r>
                    <w:t xml:space="preserve">62</w:t>
                  </w:r>
                </w:p>
              </w:tc>
            </w:tr>
            <w:tr>
              <w:tc>
                <w:tcPr/>
                <w:p>
                  <w:pPr>
                    <w:pStyle w:val="Compact"/>
                    <w:jc w:val="left"/>
                    <w:jc w:val="center"/>
                  </w:pPr>
                  <w:r>
                    <w:t xml:space="preserve">Trail Making A (seconds)</w:t>
                  </w:r>
                </w:p>
              </w:tc>
              <w:tc>
                <w:tcPr/>
                <w:p>
                  <w:pPr>
                    <w:pStyle w:val="Compact"/>
                    <w:jc w:val="left"/>
                    <w:jc w:val="center"/>
                  </w:pPr>
                  <w:r>
                    <w:t xml:space="preserve">32.3 (9.2)</w:t>
                  </w:r>
                </w:p>
              </w:tc>
              <w:tc>
                <w:tcPr/>
                <w:p>
                  <w:pPr>
                    <w:pStyle w:val="Compact"/>
                    <w:jc w:val="left"/>
                    <w:jc w:val="center"/>
                  </w:pPr>
                  <w:r>
                    <w:t xml:space="preserve">17.8–58.7</w:t>
                  </w:r>
                </w:p>
              </w:tc>
              <w:tc>
                <w:tcPr/>
                <w:p>
                  <w:pPr>
                    <w:pStyle w:val="Compact"/>
                    <w:jc w:val="right"/>
                    <w:jc w:val="center"/>
                  </w:pPr>
                  <w:r>
                    <w:t xml:space="preserve">63</w:t>
                  </w:r>
                </w:p>
              </w:tc>
            </w:tr>
            <w:tr>
              <w:tc>
                <w:tcPr/>
                <w:p>
                  <w:pPr>
                    <w:pStyle w:val="Compact"/>
                    <w:jc w:val="left"/>
                    <w:jc w:val="center"/>
                  </w:pPr>
                  <w:r>
                    <w:t xml:space="preserve">Trail Making B (seconds)</w:t>
                  </w:r>
                </w:p>
              </w:tc>
              <w:tc>
                <w:tcPr/>
                <w:p>
                  <w:pPr>
                    <w:pStyle w:val="Compact"/>
                    <w:jc w:val="left"/>
                    <w:jc w:val="center"/>
                  </w:pPr>
                  <w:r>
                    <w:t xml:space="preserve">52.5 (28.2)</w:t>
                  </w:r>
                </w:p>
              </w:tc>
              <w:tc>
                <w:tcPr/>
                <w:p>
                  <w:pPr>
                    <w:pStyle w:val="Compact"/>
                    <w:jc w:val="left"/>
                    <w:jc w:val="center"/>
                  </w:pPr>
                  <w:r>
                    <w:t xml:space="preserve">12.1–159.6</w:t>
                  </w:r>
                </w:p>
              </w:tc>
              <w:tc>
                <w:tcPr/>
                <w:p>
                  <w:pPr>
                    <w:pStyle w:val="Compact"/>
                    <w:jc w:val="right"/>
                    <w:jc w:val="center"/>
                  </w:pPr>
                  <w:r>
                    <w:t xml:space="preserve">63</w:t>
                  </w:r>
                </w:p>
              </w:tc>
            </w:tr>
            <w:tr>
              <w:tc>
                <w:tcPr/>
                <w:p>
                  <w:pPr>
                    <w:pStyle w:val="Compact"/>
                    <w:jc w:val="left"/>
                    <w:jc w:val="center"/>
                  </w:pPr>
                  <w:r>
                    <w:t xml:space="preserve">TMT B − A (seconds)</w:t>
                  </w:r>
                </w:p>
              </w:tc>
              <w:tc>
                <w:tcPr/>
                <w:p>
                  <w:pPr>
                    <w:pStyle w:val="Compact"/>
                    <w:jc w:val="left"/>
                    <w:jc w:val="center"/>
                  </w:pPr>
                  <w:r>
                    <w:t xml:space="preserve">20.2 (25.6)</w:t>
                  </w:r>
                </w:p>
              </w:tc>
              <w:tc>
                <w:tcPr/>
                <w:p>
                  <w:pPr>
                    <w:pStyle w:val="Compact"/>
                    <w:jc w:val="left"/>
                    <w:jc w:val="center"/>
                  </w:pPr>
                  <w:r>
                    <w:t xml:space="preserve">-33.7–126.1</w:t>
                  </w:r>
                </w:p>
              </w:tc>
              <w:tc>
                <w:tcPr/>
                <w:p>
                  <w:pPr>
                    <w:pStyle w:val="Compact"/>
                    <w:jc w:val="right"/>
                    <w:jc w:val="center"/>
                  </w:pPr>
                  <w:r>
                    <w:t xml:space="preserve">63</w:t>
                  </w:r>
                </w:p>
              </w:tc>
            </w:tr>
            <w:tr>
              <w:tc>
                <w:tcPr/>
                <w:p>
                  <w:pPr>
                    <w:pStyle w:val="Compact"/>
                    <w:jc w:val="left"/>
                    <w:jc w:val="center"/>
                  </w:pPr>
                  <w:r>
                    <w:t xml:space="preserve">Boston Naming (/23)</w:t>
                  </w:r>
                </w:p>
              </w:tc>
              <w:tc>
                <w:tcPr/>
                <w:p>
                  <w:pPr>
                    <w:pStyle w:val="Compact"/>
                    <w:jc w:val="left"/>
                    <w:jc w:val="center"/>
                  </w:pPr>
                  <w:r>
                    <w:t xml:space="preserve">20.6 (2.6)</w:t>
                  </w:r>
                </w:p>
              </w:tc>
              <w:tc>
                <w:tcPr/>
                <w:p>
                  <w:pPr>
                    <w:pStyle w:val="Compact"/>
                    <w:jc w:val="left"/>
                    <w:jc w:val="center"/>
                  </w:pPr>
                  <w:r>
                    <w:t xml:space="preserve">14.0–23.0</w:t>
                  </w:r>
                </w:p>
              </w:tc>
              <w:tc>
                <w:tcPr/>
                <w:p>
                  <w:pPr>
                    <w:pStyle w:val="Compact"/>
                    <w:jc w:val="right"/>
                    <w:jc w:val="center"/>
                  </w:pPr>
                  <w:r>
                    <w:t xml:space="preserve">62</w:t>
                  </w:r>
                </w:p>
              </w:tc>
            </w:tr>
            <w:tr>
              <w:tc>
                <w:tcPr/>
                <w:p>
                  <w:pPr>
                    <w:pStyle w:val="Compact"/>
                    <w:jc w:val="left"/>
                    <w:jc w:val="center"/>
                  </w:pPr>
                  <w:r>
                    <w:t xml:space="preserve">SILS (/40)</w:t>
                  </w:r>
                </w:p>
              </w:tc>
              <w:tc>
                <w:tcPr/>
                <w:p>
                  <w:pPr>
                    <w:pStyle w:val="Compact"/>
                    <w:jc w:val="left"/>
                    <w:jc w:val="center"/>
                  </w:pPr>
                  <w:r>
                    <w:t xml:space="preserve">33.0 (3.6)</w:t>
                  </w:r>
                </w:p>
              </w:tc>
              <w:tc>
                <w:tcPr/>
                <w:p>
                  <w:pPr>
                    <w:pStyle w:val="Compact"/>
                    <w:jc w:val="left"/>
                    <w:jc w:val="center"/>
                  </w:pPr>
                  <w:r>
                    <w:t xml:space="preserve">18.0–38.0</w:t>
                  </w:r>
                </w:p>
              </w:tc>
              <w:tc>
                <w:tcPr/>
                <w:p>
                  <w:pPr>
                    <w:pStyle w:val="Compact"/>
                    <w:jc w:val="right"/>
                    <w:jc w:val="center"/>
                  </w:pPr>
                  <w:r>
                    <w:t xml:space="preserve">63</w:t>
                  </w:r>
                </w:p>
              </w:tc>
            </w:tr>
            <w:tr>
              <w:tc>
                <w:tcPr/>
                <w:p>
                  <w:pPr>
                    <w:pStyle w:val="Compact"/>
                    <w:jc w:val="left"/>
                    <w:jc w:val="center"/>
                  </w:pPr>
                  <w:r>
                    <w:t xml:space="preserve">GDS (/15)</w:t>
                  </w:r>
                </w:p>
              </w:tc>
              <w:tc>
                <w:tcPr/>
                <w:p>
                  <w:pPr>
                    <w:pStyle w:val="Compact"/>
                    <w:jc w:val="left"/>
                    <w:jc w:val="center"/>
                  </w:pPr>
                  <w:r>
                    <w:t xml:space="preserve">1.7 (2.0)</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GAD-7 (/8)</w:t>
                  </w:r>
                </w:p>
              </w:tc>
              <w:tc>
                <w:tcPr/>
                <w:p>
                  <w:pPr>
                    <w:pStyle w:val="Compact"/>
                    <w:jc w:val="left"/>
                    <w:jc w:val="center"/>
                  </w:pPr>
                  <w:r>
                    <w:t xml:space="preserve">2.3 (2.3)</w:t>
                  </w:r>
                </w:p>
              </w:tc>
              <w:tc>
                <w:tcPr/>
                <w:p>
                  <w:pPr>
                    <w:pStyle w:val="Compact"/>
                    <w:jc w:val="left"/>
                    <w:jc w:val="center"/>
                  </w:pPr>
                  <w:r>
                    <w:t xml:space="preserve">0.0–10.0</w:t>
                  </w:r>
                </w:p>
              </w:tc>
              <w:tc>
                <w:tcPr/>
                <w:p>
                  <w:pPr>
                    <w:pStyle w:val="Compact"/>
                    <w:jc w:val="right"/>
                    <w:jc w:val="center"/>
                  </w:pPr>
                  <w:r>
                    <w:t xml:space="preserve">61</w:t>
                  </w:r>
                </w:p>
              </w:tc>
            </w:tr>
            <w:tr>
              <w:tc>
                <w:tcPr/>
                <w:p>
                  <w:pPr>
                    <w:pStyle w:val="Compact"/>
                    <w:jc w:val="left"/>
                    <w:jc w:val="center"/>
                  </w:pPr>
                  <w:r>
                    <w:t xml:space="preserve">EMQ-13</w:t>
                  </w:r>
                </w:p>
              </w:tc>
              <w:tc>
                <w:tcPr/>
                <w:p>
                  <w:pPr>
                    <w:pStyle w:val="Compact"/>
                    <w:jc w:val="left"/>
                    <w:jc w:val="center"/>
                  </w:pPr>
                  <w:r>
                    <w:t xml:space="preserve">6.7 (4.7)</w:t>
                  </w:r>
                </w:p>
              </w:tc>
              <w:tc>
                <w:tcPr/>
                <w:p>
                  <w:pPr>
                    <w:pStyle w:val="Compact"/>
                    <w:jc w:val="left"/>
                    <w:jc w:val="center"/>
                  </w:pPr>
                  <w:r>
                    <w:t xml:space="preserve">1.0–28.0</w:t>
                  </w:r>
                </w:p>
              </w:tc>
              <w:tc>
                <w:tcPr/>
                <w:p>
                  <w:pPr>
                    <w:pStyle w:val="Compact"/>
                    <w:jc w:val="right"/>
                    <w:jc w:val="center"/>
                  </w:pPr>
                  <w:r>
                    <w:t xml:space="preserve">62</w:t>
                  </w:r>
                </w:p>
              </w:tc>
            </w:tr>
          </w:tbl>
          <w:bookmarkEnd w:id="19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supptbl-neuropsych-ddm-exploratory"/>
          <w:p>
            <w:pPr>
              <w:jc w:val="center"/>
            </w:pPr>
            <w:pPr>
              <w:jc w:val="left"/>
              <w:spacing w:before="200"/>
              <w:pStyle w:val="ImageCaption"/>
            </w:pPr>
            <w:r>
              <w:t xml:space="preserve">Table S25: Exploratory partial correlations between neuropsychological measures and DDM/behavioral outcomes (age and sex partialled). MoCA null effects and selected p &lt; .05 associations shown; none survived FDR correction at q &lt; .05.</w:t>
            </w:r>
          </w:p>
          <w:tbl>
            <w:tblPr>
              <w:tblStyle w:val="Table"/>
              <w:tblW w:type="pct" w:w="5000"/>
              <w:tblLayout w:type="fixed"/>
              <w:tblLook w:firstRow="1" w:lastRow="0" w:firstColumn="0" w:lastColumn="0" w:noHBand="0" w:noVBand="0" w:val="0020"/>
            </w:tblPr>
            <w:tblGrid>
              <w:gridCol w:w="2007"/>
              <w:gridCol w:w="2900"/>
              <w:gridCol w:w="1115"/>
              <w:gridCol w:w="892"/>
              <w:gridCol w:w="669"/>
              <w:gridCol w:w="334"/>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Partial r</w:t>
                  </w:r>
                </w:p>
              </w:tc>
              <w:tc>
                <w:tcPr/>
                <w:p>
                  <w:pPr>
                    <w:pStyle w:val="Compact"/>
                    <w:jc w:val="left"/>
                    <w:jc w:val="center"/>
                  </w:pPr>
                  <w:r>
                    <w:t xml:space="preserve">p</w:t>
                  </w:r>
                </w:p>
              </w:tc>
              <w:tc>
                <w:tcPr/>
                <w:p>
                  <w:pPr>
                    <w:pStyle w:val="Compact"/>
                    <w:jc w:val="left"/>
                    <w:jc w:val="center"/>
                  </w:pPr>
                  <w:r>
                    <w:t xml:space="preserve">FDR q</w:t>
                  </w:r>
                </w:p>
              </w:tc>
              <w:tc>
                <w:tcPr/>
                <w:p>
                  <w:pPr>
                    <w:pStyle w:val="Compact"/>
                    <w:jc w:val="right"/>
                    <w:jc w:val="center"/>
                  </w:pPr>
                  <w:r>
                    <w:t xml:space="preserve">n</w:t>
                  </w:r>
                </w:p>
              </w:tc>
            </w:tr>
            <w:tr>
              <w:tc>
                <w:tcPr/>
                <w:p>
                  <w:pPr>
                    <w:pStyle w:val="Compact"/>
                    <w:jc w:val="left"/>
                    <w:jc w:val="center"/>
                  </w:pPr>
                  <w:r>
                    <w:t xml:space="preserve">Education (years)</w:t>
                  </w:r>
                </w:p>
              </w:tc>
              <w:tc>
                <w:tcPr/>
                <w:p>
                  <w:pPr>
                    <w:pStyle w:val="Compact"/>
                    <w:jc w:val="left"/>
                    <w:jc w:val="center"/>
                  </w:pPr>
                  <w:r>
                    <w:t xml:space="preserve">Mean accuracy</w:t>
                  </w:r>
                </w:p>
              </w:tc>
              <w:tc>
                <w:tcPr/>
                <w:p>
                  <w:pPr>
                    <w:pStyle w:val="Compact"/>
                    <w:jc w:val="right"/>
                    <w:jc w:val="center"/>
                  </w:pPr>
                  <w:r>
                    <w:t xml:space="preserve">0.304</w:t>
                  </w:r>
                </w:p>
              </w:tc>
              <w:tc>
                <w:tcPr/>
                <w:p>
                  <w:pPr>
                    <w:pStyle w:val="Compact"/>
                    <w:jc w:val="left"/>
                    <w:jc w:val="center"/>
                  </w:pPr>
                  <w:r>
                    <w:t xml:space="preserve">0.0146</w:t>
                  </w:r>
                </w:p>
              </w:tc>
              <w:tc>
                <w:tcPr/>
                <w:p>
                  <w:pPr>
                    <w:pStyle w:val="Compact"/>
                    <w:jc w:val="left"/>
                    <w:jc w:val="center"/>
                  </w:pPr>
                  <w:r>
                    <w:t xml:space="preserve">0.15</w:t>
                  </w:r>
                </w:p>
              </w:tc>
              <w:tc>
                <w:tcPr/>
                <w:p>
                  <w:pPr>
                    <w:pStyle w:val="Compact"/>
                    <w:jc w:val="right"/>
                    <w:jc w:val="center"/>
                  </w:pPr>
                  <w:r>
                    <w:t xml:space="preserve">64</w:t>
                  </w:r>
                </w:p>
              </w:tc>
            </w:tr>
            <w:tr>
              <w:tc>
                <w:tcPr/>
                <w:p>
                  <w:pPr>
                    <w:pStyle w:val="Compact"/>
                    <w:jc w:val="left"/>
                    <w:jc w:val="center"/>
                  </w:pPr>
                  <w:r>
                    <w:t xml:space="preserve">GDS</w:t>
                  </w:r>
                </w:p>
              </w:tc>
              <w:tc>
                <w:tcPr/>
                <w:p>
                  <w:pPr>
                    <w:pStyle w:val="Compact"/>
                    <w:jc w:val="left"/>
                    <w:jc w:val="center"/>
                  </w:pPr>
                  <w:r>
                    <w:t xml:space="preserve">d’ variability</w:t>
                  </w:r>
                </w:p>
              </w:tc>
              <w:tc>
                <w:tcPr/>
                <w:p>
                  <w:pPr>
                    <w:pStyle w:val="Compact"/>
                    <w:jc w:val="right"/>
                    <w:jc w:val="center"/>
                  </w:pPr>
                  <w:r>
                    <w:t xml:space="preserve">-0.272</w:t>
                  </w:r>
                </w:p>
              </w:tc>
              <w:tc>
                <w:tcPr/>
                <w:p>
                  <w:pPr>
                    <w:pStyle w:val="Compact"/>
                    <w:jc w:val="left"/>
                    <w:jc w:val="center"/>
                  </w:pPr>
                  <w:r>
                    <w:t xml:space="preserve">0.0337</w:t>
                  </w:r>
                </w:p>
              </w:tc>
              <w:tc>
                <w:tcPr/>
                <w:p>
                  <w:pPr>
                    <w:pStyle w:val="Compact"/>
                    <w:jc w:val="left"/>
                    <w:jc w:val="center"/>
                  </w:pPr>
                  <w:r>
                    <w:t xml:space="preserve">0.266</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left"/>
                    <w:jc w:val="center"/>
                  </w:pPr>
                  <w:r>
                    <w:t xml:space="preserve">Baseline bias (z)</w:t>
                  </w:r>
                </w:p>
              </w:tc>
              <w:tc>
                <w:tcPr/>
                <w:p>
                  <w:pPr>
                    <w:pStyle w:val="Compact"/>
                    <w:jc w:val="right"/>
                    <w:jc w:val="center"/>
                  </w:pPr>
                  <w:r>
                    <w:t xml:space="preserve">-0.253</w:t>
                  </w:r>
                </w:p>
              </w:tc>
              <w:tc>
                <w:tcPr/>
                <w:p>
                  <w:pPr>
                    <w:pStyle w:val="Compact"/>
                    <w:jc w:val="left"/>
                    <w:jc w:val="center"/>
                  </w:pPr>
                  <w:r>
                    <w:t xml:space="preserve">0.0492</w:t>
                  </w:r>
                </w:p>
              </w:tc>
              <w:tc>
                <w:tcPr/>
                <w:p>
                  <w:pPr>
                    <w:pStyle w:val="Compact"/>
                    <w:jc w:val="left"/>
                    <w:jc w:val="center"/>
                  </w:pPr>
                  <w:r>
                    <w:t xml:space="preserve">0.295</w:t>
                  </w:r>
                </w:p>
              </w:tc>
              <w:tc>
                <w:tcPr/>
                <w:p>
                  <w:pPr>
                    <w:pStyle w:val="Compact"/>
                    <w:jc w:val="right"/>
                    <w:jc w:val="center"/>
                  </w:pPr>
                  <w:r>
                    <w:t xml:space="preserve">61</w:t>
                  </w:r>
                </w:p>
              </w:tc>
            </w:tr>
            <w:tr>
              <w:tc>
                <w:tcPr/>
                <w:p>
                  <w:pPr>
                    <w:pStyle w:val="Compact"/>
                    <w:jc w:val="left"/>
                    <w:jc w:val="center"/>
                  </w:pPr>
                  <w:r>
                    <w:t xml:space="preserve">MoCA</w:t>
                  </w:r>
                </w:p>
              </w:tc>
              <w:tc>
                <w:tcPr/>
                <w:p>
                  <w:pPr>
                    <w:pStyle w:val="Compact"/>
                    <w:jc w:val="left"/>
                    <w:jc w:val="center"/>
                  </w:pPr>
                  <w:r>
                    <w:t xml:space="preserve">|Accuracy cost|</w:t>
                  </w:r>
                </w:p>
              </w:tc>
              <w:tc>
                <w:tcPr/>
                <w:p>
                  <w:pPr>
                    <w:pStyle w:val="Compact"/>
                    <w:jc w:val="right"/>
                    <w:jc w:val="center"/>
                  </w:pPr>
                  <w:r>
                    <w:t xml:space="preserve">0.179</w:t>
                  </w:r>
                </w:p>
              </w:tc>
              <w:tc>
                <w:tcPr/>
                <w:p>
                  <w:pPr>
                    <w:pStyle w:val="Compact"/>
                    <w:jc w:val="left"/>
                    <w:jc w:val="center"/>
                  </w:pPr>
                  <w:r>
                    <w:t xml:space="preserve">0.164</w:t>
                  </w:r>
                </w:p>
              </w:tc>
              <w:tc>
                <w:tcPr/>
                <w:p>
                  <w:pPr>
                    <w:pStyle w:val="Compact"/>
                    <w:jc w:val="left"/>
                    <w:jc w:val="center"/>
                  </w:pPr>
                  <w:r>
                    <w:t xml:space="preserve">0.483</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|RT cost|</w:t>
                  </w:r>
                </w:p>
              </w:tc>
              <w:tc>
                <w:tcPr/>
                <w:p>
                  <w:pPr>
                    <w:pStyle w:val="Compact"/>
                    <w:jc w:val="right"/>
                    <w:jc w:val="center"/>
                  </w:pPr>
                  <w:r>
                    <w:t xml:space="preserve">0.057</w:t>
                  </w:r>
                </w:p>
              </w:tc>
              <w:tc>
                <w:tcPr/>
                <w:p>
                  <w:pPr>
                    <w:pStyle w:val="Compact"/>
                    <w:jc w:val="left"/>
                    <w:jc w:val="center"/>
                  </w:pPr>
                  <w:r>
                    <w:t xml:space="preserve">0.658</w:t>
                  </w:r>
                </w:p>
              </w:tc>
              <w:tc>
                <w:tcPr/>
                <w:p>
                  <w:pPr>
                    <w:pStyle w:val="Compact"/>
                    <w:jc w:val="left"/>
                    <w:jc w:val="center"/>
                  </w:pPr>
                  <w:r>
                    <w:t xml:space="preserve">0.908</w:t>
                  </w:r>
                </w:p>
              </w:tc>
              <w:tc>
                <w:tcPr/>
                <w:p>
                  <w:pPr>
                    <w:pStyle w:val="Compact"/>
                    <w:jc w:val="right"/>
                    <w:jc w:val="center"/>
                  </w:pPr>
                  <w:r>
                    <w:t xml:space="preserve">62</w:t>
                  </w:r>
                </w:p>
              </w:tc>
            </w:tr>
            <w:tr>
              <w:tc>
                <w:tcPr/>
                <w:p>
                  <w:pPr>
                    <w:pStyle w:val="Compact"/>
                    <w:jc w:val="left"/>
                    <w:jc w:val="center"/>
                  </w:pPr>
                  <w:r>
                    <w:t xml:space="preserve">MoCA</w:t>
                  </w:r>
                </w:p>
              </w:tc>
              <w:tc>
                <w:tcPr/>
                <w:p>
                  <w:pPr>
                    <w:pStyle w:val="Compact"/>
                    <w:jc w:val="left"/>
                    <w:jc w:val="center"/>
                  </w:pPr>
                  <w:r>
                    <w:t xml:space="preserve">Baseline drift (v)</w:t>
                  </w:r>
                </w:p>
              </w:tc>
              <w:tc>
                <w:tcPr/>
                <w:p>
                  <w:pPr>
                    <w:pStyle w:val="Compact"/>
                    <w:jc w:val="right"/>
                    <w:jc w:val="center"/>
                  </w:pPr>
                  <w:r>
                    <w:t xml:space="preserve">-0.010</w:t>
                  </w:r>
                </w:p>
              </w:tc>
              <w:tc>
                <w:tcPr/>
                <w:p>
                  <w:pPr>
                    <w:pStyle w:val="Compact"/>
                    <w:jc w:val="left"/>
                    <w:jc w:val="center"/>
                  </w:pPr>
                  <w:r>
                    <w:t xml:space="preserve">0.937</w:t>
                  </w:r>
                </w:p>
              </w:tc>
              <w:tc>
                <w:tcPr/>
                <w:p>
                  <w:pPr>
                    <w:pStyle w:val="Compact"/>
                    <w:jc w:val="left"/>
                    <w:jc w:val="center"/>
                  </w:pPr>
                  <w:r>
                    <w:t xml:space="preserve">0.981</w:t>
                  </w:r>
                </w:p>
              </w:tc>
              <w:tc>
                <w:tcPr/>
                <w:p>
                  <w:pPr>
                    <w:pStyle w:val="Compact"/>
                    <w:jc w:val="right"/>
                    <w:jc w:val="center"/>
                  </w:pPr>
                  <w:r>
                    <w:t xml:space="preserve">62</w:t>
                  </w:r>
                </w:p>
              </w:tc>
            </w:tr>
            <w:tr>
              <w:tc>
                <w:tcPr/>
                <w:p>
                  <w:pPr>
                    <w:pStyle w:val="Compact"/>
                    <w:jc w:val="left"/>
                    <w:jc w:val="center"/>
                  </w:pPr>
                  <w:r>
                    <w:t xml:space="preserve">SILS</w:t>
                  </w:r>
                </w:p>
              </w:tc>
              <w:tc>
                <w:tcPr/>
                <w:p>
                  <w:pPr>
                    <w:pStyle w:val="Compact"/>
                    <w:jc w:val="left"/>
                    <w:jc w:val="center"/>
                  </w:pPr>
                  <w:r>
                    <w:t xml:space="preserve">Mean accuracy</w:t>
                  </w:r>
                </w:p>
              </w:tc>
              <w:tc>
                <w:tcPr/>
                <w:p>
                  <w:pPr>
                    <w:pStyle w:val="Compact"/>
                    <w:jc w:val="right"/>
                    <w:jc w:val="center"/>
                  </w:pPr>
                  <w:r>
                    <w:t xml:space="preserve">0.368</w:t>
                  </w:r>
                </w:p>
              </w:tc>
              <w:tc>
                <w:tcPr/>
                <w:p>
                  <w:pPr>
                    <w:pStyle w:val="Compact"/>
                    <w:jc w:val="left"/>
                    <w:jc w:val="center"/>
                  </w:pPr>
                  <w:r>
                    <w:t xml:space="preserve">0.00304</w:t>
                  </w:r>
                </w:p>
              </w:tc>
              <w:tc>
                <w:tcPr/>
                <w:p>
                  <w:pPr>
                    <w:pStyle w:val="Compact"/>
                    <w:jc w:val="left"/>
                    <w:jc w:val="center"/>
                  </w:pPr>
                  <w:r>
                    <w:t xml:space="preserve">0.13</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d’ variability</w:t>
                  </w:r>
                </w:p>
              </w:tc>
              <w:tc>
                <w:tcPr/>
                <w:p>
                  <w:pPr>
                    <w:pStyle w:val="Compact"/>
                    <w:jc w:val="right"/>
                    <w:jc w:val="center"/>
                  </w:pPr>
                  <w:r>
                    <w:t xml:space="preserve">0.263</w:t>
                  </w:r>
                </w:p>
              </w:tc>
              <w:tc>
                <w:tcPr/>
                <w:p>
                  <w:pPr>
                    <w:pStyle w:val="Compact"/>
                    <w:jc w:val="left"/>
                    <w:jc w:val="center"/>
                  </w:pPr>
                  <w:r>
                    <w:t xml:space="preserve">0.0377</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|RT cost|</w:t>
                  </w:r>
                </w:p>
              </w:tc>
              <w:tc>
                <w:tcPr/>
                <w:p>
                  <w:pPr>
                    <w:pStyle w:val="Compact"/>
                    <w:jc w:val="right"/>
                    <w:jc w:val="center"/>
                  </w:pPr>
                  <w:r>
                    <w:t xml:space="preserve">-0.259</w:t>
                  </w:r>
                </w:p>
              </w:tc>
              <w:tc>
                <w:tcPr/>
                <w:p>
                  <w:pPr>
                    <w:pStyle w:val="Compact"/>
                    <w:jc w:val="left"/>
                    <w:jc w:val="center"/>
                  </w:pPr>
                  <w:r>
                    <w:t xml:space="preserve">0.0406</w:t>
                  </w:r>
                </w:p>
              </w:tc>
              <w:tc>
                <w:tcPr/>
                <w:p>
                  <w:pPr>
                    <w:pStyle w:val="Compact"/>
                    <w:jc w:val="left"/>
                    <w:jc w:val="center"/>
                  </w:pPr>
                  <w:r>
                    <w:t xml:space="preserve">0.266</w:t>
                  </w:r>
                </w:p>
              </w:tc>
              <w:tc>
                <w:tcPr/>
                <w:p>
                  <w:pPr>
                    <w:pStyle w:val="Compact"/>
                    <w:jc w:val="right"/>
                    <w:jc w:val="center"/>
                  </w:pPr>
                  <w:r>
                    <w:t xml:space="preserve">63</w:t>
                  </w:r>
                </w:p>
              </w:tc>
            </w:tr>
            <w:tr>
              <w:tc>
                <w:tcPr/>
                <w:p>
                  <w:pPr>
                    <w:pStyle w:val="Compact"/>
                    <w:jc w:val="left"/>
                    <w:jc w:val="center"/>
                  </w:pPr>
                  <w:r>
                    <w:t xml:space="preserve">SILS</w:t>
                  </w:r>
                </w:p>
              </w:tc>
              <w:tc>
                <w:tcPr/>
                <w:p>
                  <w:pPr>
                    <w:pStyle w:val="Compact"/>
                    <w:jc w:val="left"/>
                    <w:jc w:val="center"/>
                  </w:pPr>
                  <w:r>
                    <w:t xml:space="preserve">Mean RT</w:t>
                  </w:r>
                </w:p>
              </w:tc>
              <w:tc>
                <w:tcPr/>
                <w:p>
                  <w:pPr>
                    <w:pStyle w:val="Compact"/>
                    <w:jc w:val="right"/>
                    <w:jc w:val="center"/>
                  </w:pPr>
                  <w:r>
                    <w:t xml:space="preserve">-0.356</w:t>
                  </w:r>
                </w:p>
              </w:tc>
              <w:tc>
                <w:tcPr/>
                <w:p>
                  <w:pPr>
                    <w:pStyle w:val="Compact"/>
                    <w:jc w:val="left"/>
                    <w:jc w:val="center"/>
                  </w:pPr>
                  <w:r>
                    <w:t xml:space="preserve">0.00422</w:t>
                  </w:r>
                </w:p>
              </w:tc>
              <w:tc>
                <w:tcPr/>
                <w:p>
                  <w:pPr>
                    <w:pStyle w:val="Compact"/>
                    <w:jc w:val="left"/>
                    <w:jc w:val="center"/>
                  </w:pPr>
                  <w:r>
                    <w:t xml:space="preserve">0.13</w:t>
                  </w:r>
                </w:p>
              </w:tc>
              <w:tc>
                <w:tcPr/>
                <w:p>
                  <w:pPr>
                    <w:pStyle w:val="Compact"/>
                    <w:jc w:val="right"/>
                    <w:jc w:val="center"/>
                  </w:pPr>
                  <w:r>
                    <w:t xml:space="preserve">63</w:t>
                  </w:r>
                </w:p>
              </w:tc>
            </w:tr>
          </w:tbl>
          <w:bookmarkEnd w:id="197"/>
          <w:p/>
        </w:tc>
      </w:tr>
    </w:tbl>
    <w:p>
      <w:r>
        <w:br w:type="page"/>
      </w:r>
    </w:p>
    <w:bookmarkEnd w:id="198"/>
    <w:bookmarkStart w:id="205" w:name="app-exploratory-temporal"/>
    <w:p>
      <w:pPr>
        <w:pStyle w:val="Heading2"/>
      </w:pPr>
      <w:r>
        <w:t xml:space="preserve">S10. Exploratory Temporal Dynamics</w:t>
      </w:r>
    </w:p>
    <w:p>
      <w:pPr>
        <w:pStyle w:val="FirstParagraph"/>
      </w:pPr>
      <w:r>
        <w:t xml:space="preserve">These models evaluate choice history and within-run fatigue. They are reported here because they support interpretation of the main effort effects but do not directly test H1-H4 or the pupil-linked analysis.</w:t>
      </w:r>
    </w:p>
    <w:bookmarkStart w:id="199" w:name="sec-choice-history"/>
    <w:p>
      <w:pPr>
        <w:pStyle w:val="Heading3"/>
      </w:pPr>
      <w:r>
        <w:t xml:space="preserve">S10.1 Choice-history models</w:t>
      </w:r>
    </w:p>
    <w:p>
      <w:pPr>
        <w:pStyle w:val="FirstParagraph"/>
      </w:pPr>
      <w:r>
        <w:t xml:space="preserve">We fit two hierarchical Wiener DDM variants to test whether high somatic load increased reliance on recent responses (N = 17,199 trials after block-boundary exclusions; see Supplementary Methods). Both models added the previous response (coded ±0.5 for</w:t>
      </w:r>
      <w:r>
        <w:t xml:space="preserve"> </w:t>
      </w:r>
      <w:r>
        <w:t xml:space="preserve">“Different”</w:t>
      </w:r>
      <w:r>
        <w:t xml:space="preserve">/</w:t>
      </w:r>
      <w:r>
        <w:t xml:space="preserve">“Same”</w:t>
      </w:r>
      <w:r>
        <w:t xml:space="preserve">) to the starting-point bias subformula. The history model tested perseveration and its modulation by effort. The win-stay/lose-shift (WSLS) model also included previous-trial accuracy, asking whether carry-over differed after correct versus incorrect responses. The history model met the pre-specified</w:t>
      </w:r>
      <w:r>
        <w:t xml:space="preserve"> </w:t>
      </w:r>
      <m:oMath>
        <m:acc>
          <m:accPr>
            <m:chr m:val="̂"/>
          </m:accPr>
          <m:e>
            <m:r>
              <m:t>R</m:t>
            </m:r>
          </m:e>
        </m:acc>
        <m:r>
          <m:rPr>
            <m:sty m:val="p"/>
          </m:rPr>
          <m:t>&lt;</m:t>
        </m:r>
        <m:r>
          <m:t>1.01</m:t>
        </m:r>
      </m:oMath>
      <w:r>
        <w:t xml:space="preserve"> </w:t>
      </w:r>
      <w:r>
        <w:t xml:space="preserve">criterion (max</w:t>
      </w:r>
      <w:r>
        <w:t xml:space="preserve"> </w:t>
      </w:r>
      <m:oMath>
        <m:acc>
          <m:accPr>
            <m:chr m:val="̂"/>
          </m:accPr>
          <m:e>
            <m:r>
              <m:t>R</m:t>
            </m:r>
          </m:e>
        </m:acc>
      </m:oMath>
      <w:r>
        <w:t xml:space="preserve"> </w:t>
      </w:r>
      <w:r>
        <w:t xml:space="preserve">= 1.003). The WSLS variant had a slightly elevated maximum</w:t>
      </w:r>
      <w:r>
        <w:t xml:space="preserve"> </w:t>
      </w:r>
      <m:oMath>
        <m:acc>
          <m:accPr>
            <m:chr m:val="̂"/>
          </m:accPr>
          <m:e>
            <m:r>
              <m:t>R</m:t>
            </m:r>
          </m:e>
        </m:acc>
      </m:oMath>
      <w:r>
        <w:t xml:space="preserve"> </w:t>
      </w:r>
      <w:r>
        <w:t xml:space="preserve">(1.014). Neither model had divergent transitions.</w:t>
      </w:r>
    </w:p>
    <w:p>
      <w:pPr>
        <w:pStyle w:val="BodyText"/>
      </w:pPr>
      <w:r>
        <w:rPr>
          <w:b/>
          <w:bCs/>
        </w:rPr>
        <w:t xml:space="preserve">Baseline perseveration.</w:t>
      </w:r>
      <w:r>
        <w:t xml:space="preserve"> </w:t>
      </w:r>
      <w:r>
        <w:t xml:space="preserve">Older adults showed a small but reliable tendency to repeat their previous response. In the history model, the previous-trial response coefficient on bias was positive with its 95% CrI excluding zero (</w:t>
      </w:r>
      <m:oMath>
        <m:acc>
          <m:accPr>
            <m:chr m:val="̂"/>
          </m:accPr>
          <m:e>
            <m:r>
              <m:t>β</m:t>
            </m:r>
          </m:e>
        </m:acc>
      </m:oMath>
      <w:r>
        <w:t xml:space="preserve"> </w:t>
      </w:r>
      <w:r>
        <w:t xml:space="preserve">= 0.065, 95% CrI [0.005, 0.125], P(</w:t>
      </w:r>
      <m:oMath>
        <m:r>
          <m:t>β</m:t>
        </m:r>
      </m:oMath>
      <w:r>
        <w:t xml:space="preserve"> </w:t>
      </w:r>
      <w:r>
        <w:t xml:space="preserve">&gt; 0) = 98.2%). On the logit scale, this corresponds to approximately a 1.5 percentage-point shift in the probability of choosing</w:t>
      </w:r>
      <w:r>
        <w:t xml:space="preserve"> </w:t>
      </w:r>
      <w:r>
        <w:t xml:space="preserve">“Different”</w:t>
      </w:r>
      <w:r>
        <w:t xml:space="preserve"> </w:t>
      </w:r>
      <w:r>
        <w:t xml:space="preserve">following a</w:t>
      </w:r>
      <w:r>
        <w:t xml:space="preserve"> </w:t>
      </w:r>
      <w:r>
        <w:t xml:space="preserve">“Different”</w:t>
      </w:r>
      <w:r>
        <w:t xml:space="preserve"> </w:t>
      </w:r>
      <w:r>
        <w:t xml:space="preserve">response. The same direction and magnitude emerged in the WSLS model (0.137 [0.017, 0.256]).</w:t>
      </w:r>
    </w:p>
    <w:p>
      <w:pPr>
        <w:pStyle w:val="BodyText"/>
      </w:pPr>
      <w:r>
        <w:rPr>
          <w:b/>
          <w:bCs/>
        </w:rPr>
        <w:t xml:space="preserve">Effort does not amplify heuristic reliance.</w:t>
      </w:r>
      <w:r>
        <w:t xml:space="preserve"> </w:t>
      </w:r>
      <w:r>
        <w:t xml:space="preserve">The previous-trial response × effort interaction was near zero in both models: history model</w:t>
      </w:r>
      <w:r>
        <w:t xml:space="preserve"> </w:t>
      </w:r>
      <m:oMath>
        <m:acc>
          <m:accPr>
            <m:chr m:val="̂"/>
          </m:accPr>
          <m:e>
            <m:r>
              <m:t>β</m:t>
            </m:r>
          </m:e>
        </m:acc>
      </m:oMath>
      <w:r>
        <w:t xml:space="preserve"> </w:t>
      </w:r>
      <w:r>
        <w:t xml:space="preserve">= −0.001 (95% CrI [−0.065, 0.064], P(</w:t>
      </w:r>
      <m:oMath>
        <m:r>
          <m:t>β</m:t>
        </m:r>
      </m:oMath>
      <w:r>
        <w:t xml:space="preserve"> </w:t>
      </w:r>
      <w:r>
        <w:t xml:space="preserve">&gt; 0) = 48.8%); WSLS model −0.001 ([−0.065, 0.064]). Perseveration did not differ between High effort (40% MVC) and Low effort (5% MVC).</w:t>
      </w:r>
    </w:p>
    <w:p>
      <w:pPr>
        <w:pStyle w:val="BodyText"/>
      </w:pPr>
      <w:r>
        <w:rPr>
          <w:b/>
          <w:bCs/>
        </w:rPr>
        <w:t xml:space="preserve">Win-stay/lose-shift dynamics.</w:t>
      </w:r>
      <w:r>
        <w:t xml:space="preserve"> </w:t>
      </w:r>
      <w:r>
        <w:t xml:space="preserve">In the WSLS model, the interaction between previous-trial response and previous-trial accuracy was</w:t>
      </w:r>
      <w:r>
        <w:t xml:space="preserve"> </w:t>
      </w:r>
      <m:oMath>
        <m:acc>
          <m:accPr>
            <m:chr m:val="̂"/>
          </m:accPr>
          <m:e>
            <m:r>
              <m:t>β</m:t>
            </m:r>
          </m:e>
        </m:acc>
      </m:oMath>
      <w:r>
        <w:t xml:space="preserve"> </w:t>
      </w:r>
      <w:r>
        <w:t xml:space="preserve">= −0.107 (95% CrI [−0.225, 0.009], P(</w:t>
      </w:r>
      <m:oMath>
        <m:r>
          <m:t>β</m:t>
        </m:r>
      </m:oMath>
      <w:r>
        <w:t xml:space="preserve"> </w:t>
      </w:r>
      <w:r>
        <w:t xml:space="preserve">&gt; 0) = 3.6%). The CrI just includes zero. The direction indicates that the perseveration effect was larger after incorrect trials than after correct ones. Neither the main effect of previous accuracy on bias (</w:t>
      </w:r>
      <m:oMath>
        <m:acc>
          <m:accPr>
            <m:chr m:val="̂"/>
          </m:accPr>
          <m:e>
            <m:r>
              <m:t>β</m:t>
            </m:r>
          </m:e>
        </m:acc>
      </m:oMath>
      <w:r>
        <w:t xml:space="preserve"> </w:t>
      </w:r>
      <w:r>
        <w:t xml:space="preserve">≈ 0, CrI [−0.060, 0.059]) nor the effort contrast differed from zero.</w:t>
      </w:r>
    </w:p>
    <w:p>
      <w:pPr>
        <w:pStyle w:val="BodyText"/>
      </w:pPr>
      <w:r>
        <w:rPr>
          <w:b/>
          <w:bCs/>
        </w:rPr>
        <w:t xml:space="preserve">History effect on drift rate.</w:t>
      </w:r>
      <w:r>
        <w:t xml:space="preserve"> </w:t>
      </w:r>
      <w:r>
        <w:t xml:space="preserve">Previous-trial response also predicted current-trial drift rate in both models (</w:t>
      </w:r>
      <m:oMath>
        <m:acc>
          <m:accPr>
            <m:chr m:val="̂"/>
          </m:accPr>
          <m:e>
            <m:r>
              <m:t>β</m:t>
            </m:r>
          </m:e>
        </m:acc>
      </m:oMath>
      <w:r>
        <w:t xml:space="preserve"> </w:t>
      </w:r>
      <w:r>
        <w:t xml:space="preserve">= 0.054 [0.008, 0.100], P(</w:t>
      </w:r>
      <m:oMath>
        <m:r>
          <m:t>β</m:t>
        </m:r>
      </m:oMath>
      <w:r>
        <w:t xml:space="preserve"> </w:t>
      </w:r>
      <w:r>
        <w:t xml:space="preserve">&gt; 0) = 99.1%). Drift was slightly higher when the current response direction matched the previous response.</w:t>
      </w:r>
    </w:p>
    <w:p>
      <w:pPr>
        <w:pStyle w:val="BodyText"/>
      </w:pPr>
      <w:r>
        <w:t xml:space="preserve">The main estimates from both models are shown in</w:t>
      </w:r>
      <w:r>
        <w:t xml:space="preserve"> </w:t>
      </w:r>
      <w:hyperlink w:anchor="suppfig-temporal-dynamics">
        <w:r>
          <w:rPr>
            <w:rStyle w:val="Hyperlink"/>
          </w:rPr>
          <w:t xml:space="preserve">Figure S22</w:t>
        </w:r>
      </w:hyperlink>
      <w:r>
        <w:t xml:space="preserve"> </w:t>
      </w:r>
      <w:r>
        <w:t xml:space="preserve">(Panel C).</w:t>
      </w:r>
    </w:p>
    <w:bookmarkEnd w:id="199"/>
    <w:bookmarkStart w:id="204" w:name="sec-fatigue-trajectory"/>
    <w:p>
      <w:pPr>
        <w:pStyle w:val="Heading3"/>
      </w:pPr>
      <w:r>
        <w:t xml:space="preserve">S10.2 Within-session fatigue trajectory</w:t>
      </w:r>
    </w:p>
    <w:p>
      <w:pPr>
        <w:pStyle w:val="FirstParagraph"/>
      </w:pPr>
      <w:r>
        <w:t xml:space="preserve">We also tested whether processing efficiency or caution changed within a run. A supplementary hierarchical Wiener DDM (N = 17,834 trials, 67 participants) included a within-run temporal factor. Each 30-trial run was split at the median trial position within each participant × task × run combination, producing first-half and second-half labels (maximum 1-trial imbalance across runs). The drift-rate subformula included effort, run half, continuous age (z-scored; 1 unit ≈ 6.4 years), and their three-way interaction. Boundary separation included effort, run half, and their interaction, with age as a main effect. The model converged satisfactorily (max</w:t>
      </w:r>
      <w:r>
        <w:t xml:space="preserve"> </w:t>
      </w:r>
      <m:oMath>
        <m:acc>
          <m:accPr>
            <m:chr m:val="̂"/>
          </m:accPr>
          <m:e>
            <m:r>
              <m:t>R</m:t>
            </m:r>
          </m:e>
        </m:acc>
      </m:oMath>
      <w:r>
        <w:t xml:space="preserve"> </w:t>
      </w:r>
      <w:r>
        <w:t xml:space="preserve">= 1.004; 0 divergent transitions).</w:t>
      </w:r>
    </w:p>
    <w:p>
      <w:pPr>
        <w:pStyle w:val="BodyText"/>
      </w:pPr>
      <w:r>
        <w:rPr>
          <w:b/>
          <w:bCs/>
        </w:rPr>
        <w:t xml:space="preserve">Within-run boundary relaxation.</w:t>
      </w:r>
      <w:r>
        <w:t xml:space="preserve"> </w:t>
      </w:r>
      <w:r>
        <w:t xml:space="preserve">The only parameter contrast with a 95% CrI excluding zero was the second-half change in boundary separation:</w:t>
      </w:r>
      <w:r>
        <w:t xml:space="preserve"> </w:t>
      </w:r>
      <m:oMath>
        <m:acc>
          <m:accPr>
            <m:chr m:val="̂"/>
          </m:accPr>
          <m:e>
            <m:r>
              <m:t>β</m:t>
            </m:r>
          </m:e>
        </m:acc>
      </m:oMath>
      <w:r>
        <w:t xml:space="preserve"> </w:t>
      </w:r>
      <w:r>
        <w:t xml:space="preserve">= −0.022 (95% CrI [−0.040, −0.004], P(</w:t>
      </w:r>
      <m:oMath>
        <m:r>
          <m:t>β</m:t>
        </m:r>
      </m:oMath>
      <w:r>
        <w:t xml:space="preserve"> </w:t>
      </w:r>
      <w:r>
        <w:t xml:space="preserve">&lt; 0) = 99.3%). On the exponentiated scale, this corresponds to a drop from about 2.04 to 1.99 across run halves under Low effort (5% MVC). The effort × run-half interaction was positive but non-credible (</w:t>
      </w:r>
      <m:oMath>
        <m:acc>
          <m:accPr>
            <m:chr m:val="̂"/>
          </m:accPr>
          <m:e>
            <m:r>
              <m:t>β</m:t>
            </m:r>
          </m:e>
        </m:acc>
      </m:oMath>
      <w:r>
        <w:t xml:space="preserve"> </w:t>
      </w:r>
      <w:r>
        <w:t xml:space="preserve">= +0.011, 95% CrI [−0.014, 0.037]). Under High effort (40% MVC), the expected boundary in the second half (≈ 2.03) was close to the first-half value. Boundary trajectories for all four condition cells are shown in</w:t>
      </w:r>
      <w:r>
        <w:t xml:space="preserve"> </w:t>
      </w:r>
      <w:hyperlink w:anchor="suppfig-temporal-dynamics">
        <w:r>
          <w:rPr>
            <w:rStyle w:val="Hyperlink"/>
          </w:rPr>
          <w:t xml:space="preserve">Figure S22</w:t>
        </w:r>
      </w:hyperlink>
      <w:r>
        <w:t xml:space="preserve"> </w:t>
      </w:r>
      <w:r>
        <w:t xml:space="preserve">(Panel A).</w:t>
      </w:r>
    </w:p>
    <w:p>
      <w:pPr>
        <w:pStyle w:val="BodyText"/>
      </w:pPr>
      <w:r>
        <w:rPr>
          <w:b/>
          <w:bCs/>
        </w:rPr>
        <w:t xml:space="preserve">No credible drift-rate decline.</w:t>
      </w:r>
      <w:r>
        <w:t xml:space="preserve"> </w:t>
      </w:r>
      <w:r>
        <w:t xml:space="preserve">The effort × run-half interaction on drift was negative but spanned zero:</w:t>
      </w:r>
      <w:r>
        <w:t xml:space="preserve"> </w:t>
      </w:r>
      <m:oMath>
        <m:acc>
          <m:accPr>
            <m:chr m:val="̂"/>
          </m:accPr>
          <m:e>
            <m:r>
              <m:t>β</m:t>
            </m:r>
          </m:e>
        </m:acc>
      </m:oMath>
      <w:r>
        <w:t xml:space="preserve"> </w:t>
      </w:r>
      <w:r>
        <w:t xml:space="preserve">= −0.035 (95% CrI [−0.100, 0.032], P(</w:t>
      </w:r>
      <m:oMath>
        <m:r>
          <m:t>β</m:t>
        </m:r>
      </m:oMath>
      <w:r>
        <w:t xml:space="preserve"> </w:t>
      </w:r>
      <w:r>
        <w:t xml:space="preserve">&lt; 0) = 85.3%). Drift did not credibly decay in the second half of a run under High effort. The effort main effect on drift was directionally consistent with the primary model (</w:t>
      </w:r>
      <m:oMath>
        <m:acc>
          <m:accPr>
            <m:chr m:val="̂"/>
          </m:accPr>
          <m:e>
            <m:r>
              <m:t>β</m:t>
            </m:r>
          </m:e>
        </m:acc>
      </m:oMath>
      <w:r>
        <w:t xml:space="preserve"> </w:t>
      </w:r>
      <w:r>
        <w:t xml:space="preserve">= −0.038, 95% CrI [−0.085, 0.008], P(</w:t>
      </w:r>
      <m:oMath>
        <m:r>
          <m:t>β</m:t>
        </m:r>
      </m:oMath>
      <w:r>
        <w:t xml:space="preserve"> </w:t>
      </w:r>
      <w:r>
        <w:t xml:space="preserve">&lt; 0) = 94.8%), but it was non-credible in this expanded model.</w:t>
      </w:r>
    </w:p>
    <w:p>
      <w:pPr>
        <w:pStyle w:val="BodyText"/>
      </w:pPr>
      <w:r>
        <w:rPr>
          <w:b/>
          <w:bCs/>
        </w:rPr>
        <w:t xml:space="preserve">Age does not moderate the trajectory.</w:t>
      </w:r>
      <w:r>
        <w:t xml:space="preserve"> </w:t>
      </w:r>
      <w:r>
        <w:t xml:space="preserve">The three-way interaction (effort × run half × age on drift) was</w:t>
      </w:r>
      <w:r>
        <w:t xml:space="preserve"> </w:t>
      </w:r>
      <m:oMath>
        <m:acc>
          <m:accPr>
            <m:chr m:val="̂"/>
          </m:accPr>
          <m:e>
            <m:r>
              <m:t>β</m:t>
            </m:r>
          </m:e>
        </m:acc>
      </m:oMath>
      <w:r>
        <w:t xml:space="preserve"> </w:t>
      </w:r>
      <w:r>
        <w:t xml:space="preserve">= −0.023 (95% CrI [−0.091, 0.044], P(</w:t>
      </w:r>
      <m:oMath>
        <m:r>
          <m:t>β</m:t>
        </m:r>
      </m:oMath>
      <w:r>
        <w:t xml:space="preserve"> </w:t>
      </w:r>
      <w:r>
        <w:t xml:space="preserve">&lt; 0) = 74.0%). The CrI spans zero, so there is no clear age gradient in within-run drift dynamics.</w:t>
      </w:r>
    </w:p>
    <w:p>
      <w:pPr>
        <w:pStyle w:val="BodyText"/>
      </w:pPr>
      <w:r>
        <w:rPr>
          <w:b/>
          <w:bCs/>
        </w:rPr>
        <w:t xml:space="preserve">Secondary pattern.</w:t>
      </w:r>
      <w:r>
        <w:t xml:space="preserve"> </w:t>
      </w:r>
      <w:r>
        <w:t xml:space="preserve">The run-half × age interaction on drift was positive and 95.8% probable (</w:t>
      </w:r>
      <m:oMath>
        <m:acc>
          <m:accPr>
            <m:chr m:val="̂"/>
          </m:accPr>
          <m:e>
            <m:r>
              <m:t>β</m:t>
            </m:r>
          </m:e>
        </m:acc>
      </m:oMath>
      <w:r>
        <w:t xml:space="preserve"> </w:t>
      </w:r>
      <w:r>
        <w:t xml:space="preserve">= +0.048, 95% CrI [−0.006, 0.102]), with the CrI just including zero. Older-within-cohort participants tended to show slightly higher drift in the second half under Low effort. This pattern is exploratory.</w:t>
      </w:r>
    </w:p>
    <w:p>
      <w:pPr>
        <w:pStyle w:val="BodyText"/>
      </w:pPr>
      <w:r>
        <w:t xml:space="preserve">The fatigue coefficients are plotted in</w:t>
      </w:r>
      <w:r>
        <w:t xml:space="preserve"> </w:t>
      </w:r>
      <w:hyperlink w:anchor="suppfig-temporal-dynamics">
        <w:r>
          <w:rPr>
            <w:rStyle w:val="Hyperlink"/>
          </w:rPr>
          <w:t xml:space="preserve">Figure S22</w:t>
        </w:r>
      </w:hyperlink>
      <w:r>
        <w:t xml:space="preserve"> </w:t>
      </w:r>
      <w:r>
        <w:t xml:space="preserve">(Panel B).</w:t>
      </w:r>
    </w:p>
    <w:tbl>
      <w:tblPr>
        <w:tblStyle w:val="Table"/>
        <w:tblW w:type="pct" w:w="5000"/>
        <w:tblLayout w:type="fixed"/>
        <w:tblLook w:firstRow="0" w:lastRow="0" w:firstColumn="0" w:lastColumn="0" w:noHBand="0" w:noVBand="0" w:val="0000"/>
      </w:tblPr>
      <w:tblGrid>
        <w:gridCol w:w="7920"/>
      </w:tblGrid>
      <w:tr>
        <w:tc>
          <w:tcPr/>
          <w:bookmarkStart w:id="203" w:name="suppfig-temporal-dynamics"/>
          <w:p>
            <w:pPr>
              <w:jc w:val="center"/>
            </w:pPr>
            <w:r>
              <w:drawing>
                <wp:inline>
                  <wp:extent cx="5334000" cy="2964448"/>
                  <wp:effectExtent b="0" l="0" r="0" t="0"/>
                  <wp:docPr descr="" title="" id="201" name="Picture"/>
                  <a:graphic>
                    <a:graphicData uri="http://schemas.openxmlformats.org/drawingml/2006/picture">
                      <pic:pic>
                        <pic:nvPicPr>
                          <pic:cNvPr descr="../output/figures/manuscript/fig4_temporal_dynamics.png" id="202" name="Picture"/>
                          <pic:cNvPicPr>
                            <a:picLocks noChangeArrowheads="1" noChangeAspect="1"/>
                          </pic:cNvPicPr>
                        </pic:nvPicPr>
                        <pic:blipFill>
                          <a:blip r:embed="rId200"/>
                          <a:stretch>
                            <a:fillRect/>
                          </a:stretch>
                        </pic:blipFill>
                        <pic:spPr bwMode="auto">
                          <a:xfrm>
                            <a:off x="0" y="0"/>
                            <a:ext cx="5334000" cy="2964448"/>
                          </a:xfrm>
                          <a:prstGeom prst="rect">
                            <a:avLst/>
                          </a:prstGeom>
                          <a:noFill/>
                          <a:ln w="9525">
                            <a:noFill/>
                            <a:headEnd/>
                            <a:tailEnd/>
                          </a:ln>
                        </pic:spPr>
                      </pic:pic>
                    </a:graphicData>
                  </a:graphic>
                </wp:inline>
              </w:drawing>
            </w:r>
          </w:p>
          <w:p>
            <w:pPr>
              <w:jc w:val="center"/>
            </w:pPr>
            <w:pPr>
              <w:jc w:val="left"/>
              <w:spacing w:before="200"/>
              <w:pStyle w:val="ImageCaption"/>
            </w:pPr>
            <w:r>
              <w:t xml:space="preserve">Figure S22:</w:t>
            </w:r>
            <w:r>
              <w:t xml:space="preserve"> </w:t>
            </w:r>
            <w:r>
              <w:rPr>
                <w:b/>
                <w:bCs/>
              </w:rPr>
              <w:t xml:space="preserve">Effort degraded evidence quality upstream but did not amplify heuristic responding or produce within-run accumulation-stage exhaustion; the only credible temporal effect was a modest boundary relaxation across run halves.</w:t>
            </w:r>
            <w:r>
              <w:t xml:space="preserve"> </w:t>
            </w:r>
            <w:r>
              <w:rPr>
                <w:b/>
                <w:bCs/>
              </w:rPr>
              <w:t xml:space="preserve">(A)</w:t>
            </w:r>
            <w:r>
              <w:t xml:space="preserve"> </w:t>
            </w:r>
            <w:r>
              <w:t xml:space="preserve">Population-average boundary separation (</w:t>
            </w:r>
            <m:oMath>
              <m:r>
                <m:t>a</m:t>
              </m:r>
            </m:oMath>
            <w:r>
              <w:t xml:space="preserve">, exponentiated scale) across the first and second halves of each 30-trial run, by effort condition (95% CrI).</w:t>
            </w:r>
            <w:r>
              <w:t xml:space="preserve"> </w:t>
            </w:r>
            <w:r>
              <w:rPr>
                <w:b/>
                <w:bCs/>
              </w:rPr>
              <w:t xml:space="preserve">(B)</w:t>
            </w:r>
            <w:r>
              <w:t xml:space="preserve"> </w:t>
            </w:r>
            <w:r>
              <w:t xml:space="preserve">Focal coefficients from the within-run fatigue model; only the 2nd-vs-1st-half boundary decline (marked *) has a 95% CrI excluding zero; the effort</w:t>
            </w:r>
            <w:r>
              <w:t xml:space="preserve"> </w:t>
            </w:r>
            <m:oMath>
              <m:r>
                <m:rPr>
                  <m:sty m:val="p"/>
                </m:rPr>
                <m:t>×</m:t>
              </m:r>
            </m:oMath>
            <w:r>
              <w:t xml:space="preserve"> </w:t>
            </w:r>
            <w:r>
              <w:t xml:space="preserve">run-half interaction on</w:t>
            </w:r>
            <w:r>
              <w:t xml:space="preserve"> </w:t>
            </w:r>
            <m:oMath>
              <m:r>
                <m:t>a</m:t>
              </m:r>
            </m:oMath>
            <w:r>
              <w:t xml:space="preserve"> </w:t>
            </w:r>
            <w:r>
              <w:t xml:space="preserve">and the effort</w:t>
            </w:r>
            <w:r>
              <w:t xml:space="preserve"> </w:t>
            </w:r>
            <m:oMath>
              <m:r>
                <m:rPr>
                  <m:sty m:val="p"/>
                </m:rPr>
                <m:t>×</m:t>
              </m:r>
            </m:oMath>
            <w:r>
              <w:t xml:space="preserve"> </w:t>
            </w:r>
            <w:r>
              <w:t xml:space="preserve">run-half interaction on</w:t>
            </w:r>
            <w:r>
              <w:t xml:space="preserve"> </w:t>
            </w:r>
            <m:oMath>
              <m:r>
                <m:t>v</m:t>
              </m:r>
            </m:oMath>
            <w:r>
              <w:t xml:space="preserve"> </w:t>
            </w:r>
            <w:r>
              <w:t xml:space="preserve">both span zero.</w:t>
            </w:r>
            <w:r>
              <w:t xml:space="preserve"> </w:t>
            </w:r>
            <w:r>
              <w:rPr>
                <w:b/>
                <w:bCs/>
              </w:rPr>
              <w:t xml:space="preserve">(C)</w:t>
            </w:r>
            <w:r>
              <w:t xml:space="preserve"> </w:t>
            </w:r>
            <w:r>
              <w:t xml:space="preserve">Posterior distributions of the perseveration-on-bias coefficient and the effort</w:t>
            </w:r>
            <w:r>
              <w:t xml:space="preserve"> </w:t>
            </w:r>
            <m:oMath>
              <m:r>
                <m:rPr>
                  <m:sty m:val="p"/>
                </m:rPr>
                <m:t>×</m:t>
              </m:r>
            </m:oMath>
            <w:r>
              <w:t xml:space="preserve"> </w:t>
            </w:r>
            <w:r>
              <w:t xml:space="preserve">previous-response interaction on bias, from the history model (teal) and WSLS model (gold), plotted on the logit scale. Statistical note: Boundary decline, 2nd vs. 1st half:</w:t>
            </w:r>
            <w:r>
              <w:t xml:space="preserve"> </w:t>
            </w:r>
            <m:oMath>
              <m:acc>
                <m:accPr>
                  <m:chr m:val="̂"/>
                </m:accPr>
                <m:e>
                  <m:r>
                    <m:t>β</m:t>
                  </m:r>
                </m:e>
              </m:acc>
              <m:r>
                <m:rPr>
                  <m:sty m:val="p"/>
                </m:rPr>
                <m:t>=</m:t>
              </m:r>
              <m:r>
                <m:rPr>
                  <m:sty m:val="p"/>
                </m:rPr>
                <m:t>−</m:t>
              </m:r>
              <m:r>
                <m:t>0.022</m:t>
              </m:r>
            </m:oMath>
            <w:r>
              <w:t xml:space="preserve">, 95% CrI [</w:t>
            </w:r>
            <m:oMath>
              <m:r>
                <m:rPr>
                  <m:sty m:val="p"/>
                </m:rPr>
                <m:t>−</m:t>
              </m:r>
              <m:r>
                <m:t>0.040</m:t>
              </m:r>
            </m:oMath>
            <w:r>
              <w:t xml:space="preserve">,</w:t>
            </w:r>
            <w:r>
              <w:t xml:space="preserve"> </w:t>
            </w:r>
            <m:oMath>
              <m:r>
                <m:rPr>
                  <m:sty m:val="p"/>
                </m:rPr>
                <m:t>−</m:t>
              </m:r>
              <m:r>
                <m:t>0.004</m:t>
              </m:r>
            </m:oMath>
            <w:r>
              <w:t xml:space="preserve">],</w:t>
            </w:r>
            <w:r>
              <w:t xml:space="preserve"> </w:t>
            </w:r>
            <m:oMath>
              <m:r>
                <m:t>P</m:t>
              </m:r>
              <m:r>
                <m:rPr>
                  <m:sty m:val="p"/>
                </m:rPr>
                <m:t>(</m:t>
              </m:r>
              <m:r>
                <m:t>β</m:t>
              </m:r>
              <m:r>
                <m:rPr>
                  <m:sty m:val="p"/>
                </m:rPr>
                <m:t>&lt;</m:t>
              </m:r>
              <m:r>
                <m:t>0</m:t>
              </m:r>
              <m:r>
                <m:rPr>
                  <m:sty m:val="p"/>
                </m:rPr>
                <m:t>)</m:t>
              </m:r>
              <m:r>
                <m:rPr>
                  <m:sty m:val="p"/>
                </m:rPr>
                <m:t>=</m:t>
              </m:r>
              <m:r>
                <m:t>99.3</m:t>
              </m:r>
            </m:oMath>
            <w:r>
              <w:t xml:space="preserve">%. Effort</w:t>
            </w:r>
            <w:r>
              <w:t xml:space="preserve"> </w:t>
            </w:r>
            <m:oMath>
              <m:r>
                <m:rPr>
                  <m:sty m:val="p"/>
                </m:rPr>
                <m:t>×</m:t>
              </m:r>
            </m:oMath>
            <w:r>
              <w:t xml:space="preserve"> </w:t>
            </w:r>
            <w:r>
              <w:t xml:space="preserve">run-half on boundary:</w:t>
            </w:r>
            <w:r>
              <w:t xml:space="preserve"> </w:t>
            </w:r>
            <m:oMath>
              <m:acc>
                <m:accPr>
                  <m:chr m:val="̂"/>
                </m:accPr>
                <m:e>
                  <m:r>
                    <m:t>β</m:t>
                  </m:r>
                </m:e>
              </m:acc>
              <m:r>
                <m:rPr>
                  <m:sty m:val="p"/>
                </m:rPr>
                <m:t>=</m:t>
              </m:r>
              <m:r>
                <m:rPr>
                  <m:sty m:val="p"/>
                </m:rPr>
                <m:t>+</m:t>
              </m:r>
              <m:r>
                <m:t>0.011</m:t>
              </m:r>
            </m:oMath>
            <w:r>
              <w:t xml:space="preserve"> </w:t>
            </w:r>
            <w:r>
              <w:t xml:space="preserve">[</w:t>
            </w:r>
            <m:oMath>
              <m:r>
                <m:rPr>
                  <m:sty m:val="p"/>
                </m:rPr>
                <m:t>−</m:t>
              </m:r>
              <m:r>
                <m:t>0.014</m:t>
              </m:r>
            </m:oMath>
            <w:r>
              <w:t xml:space="preserve">,</w:t>
            </w:r>
            <w:r>
              <w:t xml:space="preserve"> </w:t>
            </w:r>
            <m:oMath>
              <m:r>
                <m:t>0.037</m:t>
              </m:r>
            </m:oMath>
            <w:r>
              <w:t xml:space="preserve">]. Effort</w:t>
            </w:r>
            <w:r>
              <w:t xml:space="preserve"> </w:t>
            </w:r>
            <m:oMath>
              <m:r>
                <m:rPr>
                  <m:sty m:val="p"/>
                </m:rPr>
                <m:t>×</m:t>
              </m:r>
            </m:oMath>
            <w:r>
              <w:t xml:space="preserve"> </w:t>
            </w:r>
            <w:r>
              <w:t xml:space="preserve">previous-response on bias:</w:t>
            </w:r>
            <w:r>
              <w:t xml:space="preserve"> </w:t>
            </w:r>
            <m:oMath>
              <m:acc>
                <m:accPr>
                  <m:chr m:val="̂"/>
                </m:accPr>
                <m:e>
                  <m:r>
                    <m:t>β</m:t>
                  </m:r>
                </m:e>
              </m:acc>
              <m:r>
                <m:rPr>
                  <m:sty m:val="p"/>
                </m:rPr>
                <m:t>=</m:t>
              </m:r>
              <m:r>
                <m:rPr>
                  <m:sty m:val="p"/>
                </m:rPr>
                <m:t>−</m:t>
              </m:r>
              <m:r>
                <m:t>0.001</m:t>
              </m:r>
            </m:oMath>
            <w:r>
              <w:t xml:space="preserve"> </w:t>
            </w:r>
            <w:r>
              <w:t xml:space="preserve">[</w:t>
            </w:r>
            <m:oMath>
              <m:r>
                <m:rPr>
                  <m:sty m:val="p"/>
                </m:rPr>
                <m:t>−</m:t>
              </m:r>
              <m:r>
                <m:t>0.065</m:t>
              </m:r>
            </m:oMath>
            <w:r>
              <w:t xml:space="preserve">,</w:t>
            </w:r>
            <w:r>
              <w:t xml:space="preserve"> </w:t>
            </w:r>
            <m:oMath>
              <m:r>
                <m:t>0.064</m:t>
              </m:r>
            </m:oMath>
            <w:r>
              <w:t xml:space="preserve">]. Perseveration on bias:</w:t>
            </w:r>
            <w:r>
              <w:t xml:space="preserve"> </w:t>
            </w:r>
            <m:oMath>
              <m:acc>
                <m:accPr>
                  <m:chr m:val="̂"/>
                </m:accPr>
                <m:e>
                  <m:r>
                    <m:t>β</m:t>
                  </m:r>
                </m:e>
              </m:acc>
              <m:r>
                <m:rPr>
                  <m:sty m:val="p"/>
                </m:rPr>
                <m:t>=</m:t>
              </m:r>
              <m:r>
                <m:t>0.065</m:t>
              </m:r>
            </m:oMath>
            <w:r>
              <w:t xml:space="preserve"> </w:t>
            </w:r>
            <w:r>
              <w:t xml:space="preserve">[</w:t>
            </w:r>
            <m:oMath>
              <m:r>
                <m:t>0.005</m:t>
              </m:r>
            </m:oMath>
            <w:r>
              <w:t xml:space="preserve">,</w:t>
            </w:r>
            <w:r>
              <w:t xml:space="preserve"> </w:t>
            </w:r>
            <m:oMath>
              <m:r>
                <m:t>0.125</m:t>
              </m:r>
            </m:oMath>
            <w:r>
              <w:t xml:space="preserve">],</w:t>
            </w:r>
            <w:r>
              <w:t xml:space="preserve"> </w:t>
            </w:r>
            <m:oMath>
              <m:r>
                <m:t>P</m:t>
              </m:r>
              <m:r>
                <m:rPr>
                  <m:sty m:val="p"/>
                </m:rPr>
                <m:t>(</m:t>
              </m:r>
              <m:r>
                <m:t>β</m:t>
              </m:r>
              <m:r>
                <m:rPr>
                  <m:sty m:val="p"/>
                </m:rPr>
                <m:t>&gt;</m:t>
              </m:r>
              <m:r>
                <m:t>0</m:t>
              </m:r>
              <m:r>
                <m:rPr>
                  <m:sty m:val="p"/>
                </m:rPr>
                <m:t>)</m:t>
              </m:r>
              <m:r>
                <m:rPr>
                  <m:sty m:val="p"/>
                </m:rPr>
                <m:t>=</m:t>
              </m:r>
              <m:r>
                <m:t>98.2</m:t>
              </m:r>
            </m:oMath>
            <w:r>
              <w:t xml:space="preserve">%.</w:t>
            </w:r>
          </w:p>
          <w:bookmarkEnd w:id="203"/>
        </w:tc>
      </w:tr>
    </w:tbl>
    <w:bookmarkEnd w:id="204"/>
    <w:bookmarkEnd w:id="205"/>
    <w:bookmarkEnd w:id="206"/>
    <w:bookmarkStart w:id="324" w:name="references"/>
    <w:p>
      <w:pPr>
        <w:pStyle w:val="Heading1"/>
      </w:pPr>
      <w:r>
        <w:t xml:space="preserve">References</w:t>
      </w:r>
    </w:p>
    <w:bookmarkStart w:id="323" w:name="refs"/>
    <w:bookmarkStart w:id="208" w:name="ref-quarto"/>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r:id="rId207">
        <w:r>
          <w:rPr>
            <w:rStyle w:val="Hyperlink"/>
          </w:rPr>
          <w:t xml:space="preserve">https://quarto.org</w:t>
        </w:r>
      </w:hyperlink>
    </w:p>
    <w:bookmarkEnd w:id="208"/>
    <w:bookmarkStart w:id="210" w:name="ref-broommixed"/>
    <w:p>
      <w:pPr>
        <w:pStyle w:val="Bibliography"/>
      </w:pPr>
      <w:r>
        <w:t xml:space="preserve">Anderson, Z., Robbins, A., Gabry, J., Couch, S., Seidel, D., &amp; Wickham, H. (2024).</w:t>
      </w:r>
      <w:r>
        <w:t xml:space="preserve"> </w:t>
      </w:r>
      <w:r>
        <w:rPr>
          <w:i/>
          <w:iCs/>
        </w:rPr>
        <w:t xml:space="preserve">Broom.mixed: Tidying methods for mixed models</w:t>
      </w:r>
      <w:r>
        <w:t xml:space="preserve">.</w:t>
      </w:r>
      <w:r>
        <w:t xml:space="preserve"> </w:t>
      </w:r>
      <w:hyperlink r:id="rId209">
        <w:r>
          <w:rPr>
            <w:rStyle w:val="Hyperlink"/>
          </w:rPr>
          <w:t xml:space="preserve">https://CRAN.R-project.org/package=broom.mixed</w:t>
        </w:r>
      </w:hyperlink>
    </w:p>
    <w:bookmarkEnd w:id="210"/>
    <w:bookmarkStart w:id="212"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211">
        <w:r>
          <w:rPr>
            <w:rStyle w:val="Hyperlink"/>
          </w:rPr>
          <w:t xml:space="preserve">https://doi.org/10.1146/annurev.neuro.28.061604.135709</w:t>
        </w:r>
      </w:hyperlink>
    </w:p>
    <w:bookmarkEnd w:id="212"/>
    <w:bookmarkStart w:id="214"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213">
        <w:r>
          <w:rPr>
            <w:rStyle w:val="Hyperlink"/>
          </w:rPr>
          <w:t xml:space="preserve">https://doi.org/10.1037/pag0000730</w:t>
        </w:r>
      </w:hyperlink>
    </w:p>
    <w:bookmarkEnd w:id="214"/>
    <w:bookmarkStart w:id="216"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15">
        <w:r>
          <w:rPr>
            <w:rStyle w:val="Hyperlink"/>
          </w:rPr>
          <w:t xml:space="preserve">https://doi.org/10.18637/jss.v067.i01</w:t>
        </w:r>
      </w:hyperlink>
    </w:p>
    <w:bookmarkEnd w:id="216"/>
    <w:bookmarkStart w:id="218"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217">
        <w:r>
          <w:rPr>
            <w:rStyle w:val="Hyperlink"/>
          </w:rPr>
          <w:t xml:space="preserve">https://doi.org/10.1037/0033-2909.91.2.276</w:t>
        </w:r>
      </w:hyperlink>
    </w:p>
    <w:bookmarkEnd w:id="218"/>
    <w:bookmarkStart w:id="220" w:name="ref-bennett2024lc"/>
    <w:p>
      <w:pPr>
        <w:pStyle w:val="Bibliography"/>
      </w:pPr>
      <w:r>
        <w:t xml:space="preserve">Bennett, I. J., Langley, J., Sun, A., Solis, K., Seitz, A. R., &amp; Hu, X. P. (2024). Locus coeruleus contrast and diffusivity metrics differentially relate to age and memory performance.</w:t>
      </w:r>
      <w:r>
        <w:t xml:space="preserve"> </w:t>
      </w:r>
      <w:r>
        <w:rPr>
          <w:i/>
          <w:iCs/>
        </w:rPr>
        <w:t xml:space="preserve">Scientific Reports</w:t>
      </w:r>
      <w:r>
        <w:t xml:space="preserve">,</w:t>
      </w:r>
      <w:r>
        <w:t xml:space="preserve"> </w:t>
      </w:r>
      <w:r>
        <w:rPr>
          <w:i/>
          <w:iCs/>
        </w:rPr>
        <w:t xml:space="preserve">14</w:t>
      </w:r>
      <w:r>
        <w:t xml:space="preserve">, 15372.</w:t>
      </w:r>
      <w:r>
        <w:t xml:space="preserve"> </w:t>
      </w:r>
      <w:hyperlink r:id="rId219">
        <w:r>
          <w:rPr>
            <w:rStyle w:val="Hyperlink"/>
          </w:rPr>
          <w:t xml:space="preserve">https://doi.org/10.1038/s41598-024-66238-z</w:t>
        </w:r>
      </w:hyperlink>
    </w:p>
    <w:bookmarkEnd w:id="220"/>
    <w:bookmarkStart w:id="221" w:name="ref-birren1965age"/>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bookmarkEnd w:id="221"/>
    <w:bookmarkStart w:id="222" w:name="ref-brainard1997psychophysics"/>
    <w:p>
      <w:pPr>
        <w:pStyle w:val="Bibliography"/>
      </w:pPr>
      <w:r>
        <w:t xml:space="preserve">Brainard, D. H., &amp; Vision, S.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222"/>
    <w:bookmarkStart w:id="224"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23">
        <w:r>
          <w:rPr>
            <w:rStyle w:val="Hyperlink"/>
          </w:rPr>
          <w:t xml:space="preserve">https://doi.org/10.18637/jss.v080.i01</w:t>
        </w:r>
      </w:hyperlink>
    </w:p>
    <w:bookmarkEnd w:id="224"/>
    <w:bookmarkStart w:id="226" w:name="ref-burkner2018brms"/>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225">
        <w:r>
          <w:rPr>
            <w:rStyle w:val="Hyperlink"/>
          </w:rPr>
          <w:t xml:space="preserve">https://doi.org/10.32614/RJ-2018-017</w:t>
        </w:r>
      </w:hyperlink>
    </w:p>
    <w:bookmarkEnd w:id="226"/>
    <w:bookmarkStart w:id="228" w:name="ref-burkner2022posterior"/>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r:id="rId227">
        <w:r>
          <w:rPr>
            <w:rStyle w:val="Hyperlink"/>
          </w:rPr>
          <w:t xml:space="preserve">https://doi.org/10.18637/jss.v102.i10</w:t>
        </w:r>
      </w:hyperlink>
    </w:p>
    <w:bookmarkEnd w:id="228"/>
    <w:bookmarkStart w:id="230"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229">
        <w:r>
          <w:rPr>
            <w:rStyle w:val="Hyperlink"/>
          </w:rPr>
          <w:t xml:space="preserve">https://doi.org/10.1037/a0035813</w:t>
        </w:r>
      </w:hyperlink>
    </w:p>
    <w:bookmarkEnd w:id="230"/>
    <w:bookmarkStart w:id="231" w:name="ref-de2017dynamic"/>
    <w:p>
      <w:pPr>
        <w:pStyle w:val="Bibliography"/>
      </w:pPr>
      <w:r>
        <w:t xml:space="preserve">de Gee, J. W., Colizoli, O., Kloosterman, N. A., Knapen, T., Nieuwenhuis, S., &amp; Donner, T. H.</w:t>
      </w:r>
      <w:r>
        <w:t xml:space="preserve"> (2017). Dynamic modulation of decision biases by brainstem arousal systems.</w:t>
      </w:r>
      <w:r>
        <w:t xml:space="preserve"> </w:t>
      </w:r>
      <w:r>
        <w:rPr>
          <w:i/>
          <w:iCs/>
        </w:rPr>
        <w:t xml:space="preserve">Elife</w:t>
      </w:r>
      <w:r>
        <w:t xml:space="preserve">,</w:t>
      </w:r>
      <w:r>
        <w:t xml:space="preserve"> </w:t>
      </w:r>
      <w:r>
        <w:rPr>
          <w:i/>
          <w:iCs/>
        </w:rPr>
        <w:t xml:space="preserve">6</w:t>
      </w:r>
      <w:r>
        <w:t xml:space="preserve">, e23232.</w:t>
      </w:r>
    </w:p>
    <w:bookmarkEnd w:id="231"/>
    <w:bookmarkStart w:id="233"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232">
        <w:r>
          <w:rPr>
            <w:rStyle w:val="Hyperlink"/>
          </w:rPr>
          <w:t xml:space="preserve">https://doi.org/10.7554/eLife.54014</w:t>
        </w:r>
      </w:hyperlink>
    </w:p>
    <w:bookmarkEnd w:id="233"/>
    <w:bookmarkStart w:id="235" w:name="ref-drugowitsch2012"/>
    <w:p>
      <w:pPr>
        <w:pStyle w:val="Bibliography"/>
      </w:pPr>
      <w:r>
        <w:t xml:space="preserve">Drugowitsch, J., Moreno-Bote, R., Churchland, A. K., Shadlen, M. N., &amp; Pouget, A. (2012). The cost of accumulating evidence in perceptual decision making.</w:t>
      </w:r>
      <w:r>
        <w:t xml:space="preserve"> </w:t>
      </w:r>
      <w:r>
        <w:rPr>
          <w:i/>
          <w:iCs/>
        </w:rPr>
        <w:t xml:space="preserve">Journal of Neuroscience</w:t>
      </w:r>
      <w:r>
        <w:t xml:space="preserve">,</w:t>
      </w:r>
      <w:r>
        <w:t xml:space="preserve"> </w:t>
      </w:r>
      <w:r>
        <w:rPr>
          <w:i/>
          <w:iCs/>
        </w:rPr>
        <w:t xml:space="preserve">32</w:t>
      </w:r>
      <w:r>
        <w:t xml:space="preserve">(11), 3612–3628.</w:t>
      </w:r>
      <w:r>
        <w:t xml:space="preserve"> </w:t>
      </w:r>
      <w:hyperlink r:id="rId234">
        <w:r>
          <w:rPr>
            <w:rStyle w:val="Hyperlink"/>
          </w:rPr>
          <w:t xml:space="preserve">https://doi.org/10.1523/JNEUROSCI.4010-11.2012</w:t>
        </w:r>
      </w:hyperlink>
    </w:p>
    <w:bookmarkEnd w:id="235"/>
    <w:bookmarkStart w:id="237" w:name="ref-farell1985"/>
    <w:p>
      <w:pPr>
        <w:pStyle w:val="Bibliography"/>
      </w:pPr>
      <w:r>
        <w:t xml:space="preserve">Farell, B. (1985). "Same"–"different" judgments: A review of current controversies in perceptual comparisons.</w:t>
      </w:r>
      <w:r>
        <w:t xml:space="preserve"> </w:t>
      </w:r>
      <w:r>
        <w:rPr>
          <w:i/>
          <w:iCs/>
        </w:rPr>
        <w:t xml:space="preserve">Psychological Bulletin</w:t>
      </w:r>
      <w:r>
        <w:t xml:space="preserve">,</w:t>
      </w:r>
      <w:r>
        <w:t xml:space="preserve"> </w:t>
      </w:r>
      <w:r>
        <w:rPr>
          <w:i/>
          <w:iCs/>
        </w:rPr>
        <w:t xml:space="preserve">98</w:t>
      </w:r>
      <w:r>
        <w:t xml:space="preserve">(3), 419–456.</w:t>
      </w:r>
      <w:r>
        <w:t xml:space="preserve"> </w:t>
      </w:r>
      <w:hyperlink r:id="rId236">
        <w:r>
          <w:rPr>
            <w:rStyle w:val="Hyperlink"/>
          </w:rPr>
          <w:t xml:space="preserve">https://doi.org/10.1037/0033-2909.98.3.419</w:t>
        </w:r>
      </w:hyperlink>
    </w:p>
    <w:bookmarkEnd w:id="237"/>
    <w:bookmarkStart w:id="238" w:name="ref-faul2007g"/>
    <w:p>
      <w:pPr>
        <w:pStyle w:val="Bibliography"/>
      </w:pPr>
      <w:r>
        <w:t xml:space="preserve">Faul, F., Erdfelder, E., Lang, A.-G., &amp; Buchner, A. (2007). G* 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p>
    <w:bookmarkEnd w:id="238"/>
    <w:bookmarkStart w:id="239" w:name="ref-feller1968introduction"/>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bookmarkEnd w:id="239"/>
    <w:bookmarkStart w:id="241" w:name="ref-fischer2014serial"/>
    <w:p>
      <w:pPr>
        <w:pStyle w:val="Bibliography"/>
      </w:pPr>
      <w:r>
        <w:t xml:space="preserve">Fischer, J., &amp; Whitney, D. (2014). Serial dependence in visual perception.</w:t>
      </w:r>
      <w:r>
        <w:t xml:space="preserve"> </w:t>
      </w:r>
      <w:r>
        <w:rPr>
          <w:i/>
          <w:iCs/>
        </w:rPr>
        <w:t xml:space="preserve">Nature Neuroscience</w:t>
      </w:r>
      <w:r>
        <w:t xml:space="preserve">,</w:t>
      </w:r>
      <w:r>
        <w:t xml:space="preserve"> </w:t>
      </w:r>
      <w:r>
        <w:rPr>
          <w:i/>
          <w:iCs/>
        </w:rPr>
        <w:t xml:space="preserve">17</w:t>
      </w:r>
      <w:r>
        <w:t xml:space="preserve">(5), 738–743.</w:t>
      </w:r>
      <w:r>
        <w:t xml:space="preserve"> </w:t>
      </w:r>
      <w:hyperlink r:id="rId240">
        <w:r>
          <w:rPr>
            <w:rStyle w:val="Hyperlink"/>
          </w:rPr>
          <w:t xml:space="preserve">https://doi.org/10.1038/nn.3689</w:t>
        </w:r>
      </w:hyperlink>
    </w:p>
    <w:bookmarkEnd w:id="241"/>
    <w:bookmarkStart w:id="243" w:name="ref-cmdstanr"/>
    <w:p>
      <w:pPr>
        <w:pStyle w:val="Bibliography"/>
      </w:pPr>
      <w:r>
        <w:t xml:space="preserve">Gabry, J., &amp; Češnovar, R. (2021).</w:t>
      </w:r>
      <w:r>
        <w:t xml:space="preserve"> </w:t>
      </w:r>
      <w:r>
        <w:rPr>
          <w:i/>
          <w:iCs/>
        </w:rPr>
        <w:t xml:space="preserve">Cmdstanr: R interface to ’CmdStan’</w:t>
      </w:r>
      <w:r>
        <w:t xml:space="preserve">.</w:t>
      </w:r>
      <w:r>
        <w:t xml:space="preserve"> </w:t>
      </w:r>
      <w:hyperlink r:id="rId242">
        <w:r>
          <w:rPr>
            <w:rStyle w:val="Hyperlink"/>
          </w:rPr>
          <w:t xml:space="preserve">https://doi.org/10.32614/RJ-2021-123</w:t>
        </w:r>
      </w:hyperlink>
    </w:p>
    <w:bookmarkEnd w:id="243"/>
    <w:bookmarkStart w:id="245" w:name="ref-gabry2019bayesplot"/>
    <w:p>
      <w:pPr>
        <w:pStyle w:val="Bibliography"/>
      </w:pPr>
      <w:r>
        <w:t xml:space="preserve">Gabry, J., Simpson, D., Vehtari, A., Betancourt, M., &amp; Gelman, A. (2019). Visualization in</w:t>
      </w:r>
      <w:r>
        <w:t xml:space="preserve"> </w:t>
      </w:r>
      <w:r>
        <w:t xml:space="preserve">Bayesian</w:t>
      </w:r>
      <w:r>
        <w:t xml:space="preserve"> </w:t>
      </w:r>
      <w:r>
        <w:t xml:space="preserve">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244">
        <w:r>
          <w:rPr>
            <w:rStyle w:val="Hyperlink"/>
          </w:rPr>
          <w:t xml:space="preserve">https://doi.org/10.1111/rssa.12377</w:t>
        </w:r>
      </w:hyperlink>
    </w:p>
    <w:bookmarkEnd w:id="245"/>
    <w:bookmarkStart w:id="247"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246">
        <w:r>
          <w:rPr>
            <w:rStyle w:val="Hyperlink"/>
          </w:rPr>
          <w:t xml:space="preserve">https://doi.org/10.3758/CABN.10.2.252</w:t>
        </w:r>
      </w:hyperlink>
    </w:p>
    <w:bookmarkEnd w:id="247"/>
    <w:bookmarkStart w:id="249"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248">
        <w:r>
          <w:rPr>
            <w:rStyle w:val="Hyperlink"/>
          </w:rPr>
          <w:t xml:space="preserve">https://doi.org/10.1093/geronb/gbr129</w:t>
        </w:r>
      </w:hyperlink>
    </w:p>
    <w:bookmarkEnd w:id="249"/>
    <w:bookmarkStart w:id="250" w:name="ref-hoffman2014nuts"/>
    <w:p>
      <w:pPr>
        <w:pStyle w:val="Bibliography"/>
      </w:pPr>
      <w:r>
        <w:t xml:space="preserve">Hoffman, M. D., &amp; Gelman, A. (2014). The no-u-turn sampler: Adaptively setting path lengths in hamiltonian monte carlo.</w:t>
      </w:r>
      <w:r>
        <w:t xml:space="preserve"> </w:t>
      </w:r>
      <w:r>
        <w:rPr>
          <w:i/>
          <w:iCs/>
        </w:rPr>
        <w:t xml:space="preserve">Journal of Machine Learning Research</w:t>
      </w:r>
      <w:r>
        <w:t xml:space="preserve">,</w:t>
      </w:r>
      <w:r>
        <w:t xml:space="preserve"> </w:t>
      </w:r>
      <w:r>
        <w:rPr>
          <w:i/>
          <w:iCs/>
        </w:rPr>
        <w:t xml:space="preserve">15</w:t>
      </w:r>
      <w:r>
        <w:t xml:space="preserve">, 1593–1623.</w:t>
      </w:r>
    </w:p>
    <w:bookmarkEnd w:id="250"/>
    <w:bookmarkStart w:id="251"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251"/>
    <w:bookmarkStart w:id="253" w:name="ref-gt"/>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r:id="rId252">
        <w:r>
          <w:rPr>
            <w:rStyle w:val="Hyperlink"/>
          </w:rPr>
          <w:t xml:space="preserve">https://CRAN.R-project.org/package=gt</w:t>
        </w:r>
      </w:hyperlink>
    </w:p>
    <w:bookmarkEnd w:id="253"/>
    <w:bookmarkStart w:id="255"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254">
        <w:r>
          <w:rPr>
            <w:rStyle w:val="Hyperlink"/>
          </w:rPr>
          <w:t xml:space="preserve">https://doi.org/10.1016/j.neuron.2015.11.028</w:t>
        </w:r>
      </w:hyperlink>
    </w:p>
    <w:bookmarkEnd w:id="255"/>
    <w:bookmarkStart w:id="257"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256">
        <w:r>
          <w:rPr>
            <w:rStyle w:val="Hyperlink"/>
          </w:rPr>
          <w:t xml:space="preserve">https://doi.org/10.1126/science.154.3756.1583</w:t>
        </w:r>
      </w:hyperlink>
    </w:p>
    <w:bookmarkEnd w:id="257"/>
    <w:bookmarkStart w:id="258" w:name="ref-kleiner2007s"/>
    <w:p>
      <w:pPr>
        <w:pStyle w:val="Bibliography"/>
      </w:pPr>
      <w:r>
        <w:t xml:space="preserve">Kleiner, M., Brainard, D., &amp; Pelli, D. (2007).</w:t>
      </w:r>
      <w:r>
        <w:t xml:space="preserve"> </w:t>
      </w:r>
      <w:r>
        <w:rPr>
          <w:i/>
          <w:iCs/>
        </w:rPr>
        <w:t xml:space="preserve">What’s new in psychtoolbox-3?</w:t>
      </w:r>
    </w:p>
    <w:bookmarkEnd w:id="258"/>
    <w:bookmarkStart w:id="259"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259"/>
    <w:bookmarkStart w:id="260" w:name="ref-loewenfeld1999"/>
    <w:p>
      <w:pPr>
        <w:pStyle w:val="Bibliography"/>
      </w:pPr>
      <w:r>
        <w:t xml:space="preserve">Loewenfeld, I. E., &amp; Lowenstein, O. (1999). The pupil: Anatomy, physiology, and clinical applications.</w:t>
      </w:r>
      <w:r>
        <w:t xml:space="preserve"> </w:t>
      </w:r>
      <w:r>
        <w:rPr>
          <w:i/>
          <w:iCs/>
        </w:rPr>
        <w:t xml:space="preserve">(No Title)</w:t>
      </w:r>
      <w:r>
        <w:t xml:space="preserve">.</w:t>
      </w:r>
    </w:p>
    <w:bookmarkEnd w:id="260"/>
    <w:bookmarkStart w:id="262" w:name="ref-madden1991"/>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r:id="rId261">
        <w:r>
          <w:rPr>
            <w:rStyle w:val="Hyperlink"/>
          </w:rPr>
          <w:t xml:space="preserve">https://doi.org/10.1093/geronj/46.3.P124</w:t>
        </w:r>
      </w:hyperlink>
    </w:p>
    <w:bookmarkEnd w:id="262"/>
    <w:bookmarkStart w:id="264"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263">
        <w:r>
          <w:rPr>
            <w:rStyle w:val="Hyperlink"/>
          </w:rPr>
          <w:t xml:space="preserve">https://doi.org/10.1016/j.tics.2016.01.001</w:t>
        </w:r>
      </w:hyperlink>
    </w:p>
    <w:bookmarkEnd w:id="264"/>
    <w:bookmarkStart w:id="266"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265">
        <w:r>
          <w:rPr>
            <w:rStyle w:val="Hyperlink"/>
          </w:rPr>
          <w:t xml:space="preserve">https://doi.org/10.5334/joc.18</w:t>
        </w:r>
      </w:hyperlink>
    </w:p>
    <w:bookmarkEnd w:id="266"/>
    <w:bookmarkStart w:id="268"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267">
        <w:r>
          <w:rPr>
            <w:rStyle w:val="Hyperlink"/>
          </w:rPr>
          <w:t xml:space="preserve">https://doi.org/10.1016/j.neubiorev.2021.12.010</w:t>
        </w:r>
      </w:hyperlink>
    </w:p>
    <w:bookmarkEnd w:id="268"/>
    <w:bookmarkStart w:id="270" w:name="ref-nosofsky1997palmeri"/>
    <w:p>
      <w:pPr>
        <w:pStyle w:val="Bibliography"/>
      </w:pPr>
      <w:r>
        <w:t xml:space="preserve">Nosofsky, R. M., &amp; Palmeri, T. J. (1997). An exemplar-based random walk model of speeded classification.</w:t>
      </w:r>
      <w:r>
        <w:t xml:space="preserve"> </w:t>
      </w:r>
      <w:r>
        <w:rPr>
          <w:i/>
          <w:iCs/>
        </w:rPr>
        <w:t xml:space="preserve">Psychological Review</w:t>
      </w:r>
      <w:r>
        <w:t xml:space="preserve">,</w:t>
      </w:r>
      <w:r>
        <w:t xml:space="preserve"> </w:t>
      </w:r>
      <w:r>
        <w:rPr>
          <w:i/>
          <w:iCs/>
        </w:rPr>
        <w:t xml:space="preserve">104</w:t>
      </w:r>
      <w:r>
        <w:t xml:space="preserve">(2), 266–300.</w:t>
      </w:r>
      <w:r>
        <w:t xml:space="preserve"> </w:t>
      </w:r>
      <w:hyperlink r:id="rId269">
        <w:r>
          <w:rPr>
            <w:rStyle w:val="Hyperlink"/>
          </w:rPr>
          <w:t xml:space="preserve">https://doi.org/10.1037/0033-295X.104.2.266</w:t>
        </w:r>
      </w:hyperlink>
    </w:p>
    <w:bookmarkEnd w:id="270"/>
    <w:bookmarkStart w:id="272"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71">
        <w:r>
          <w:rPr>
            <w:rStyle w:val="Hyperlink"/>
          </w:rPr>
          <w:t xml:space="preserve">https://www.R-project.org/</w:t>
        </w:r>
      </w:hyperlink>
    </w:p>
    <w:bookmarkEnd w:id="272"/>
    <w:bookmarkStart w:id="273" w:name="ref-rabbitt1979old"/>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bookmarkEnd w:id="273"/>
    <w:bookmarkStart w:id="275" w:name="ref-ratcliff1978theory"/>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r:id="rId274">
        <w:r>
          <w:rPr>
            <w:rStyle w:val="Hyperlink"/>
          </w:rPr>
          <w:t xml:space="preserve">https://doi.org/10.1037/0033-295X.85.2.59</w:t>
        </w:r>
      </w:hyperlink>
    </w:p>
    <w:bookmarkEnd w:id="275"/>
    <w:bookmarkStart w:id="277" w:name="ref-ratcliff1985"/>
    <w:p>
      <w:pPr>
        <w:pStyle w:val="Bibliography"/>
      </w:pPr>
      <w:r>
        <w:t xml:space="preserve">Ratcliff, R. (1985). Theoretical interpretations of the speed and accuracy of positive and negative responses.</w:t>
      </w:r>
      <w:r>
        <w:t xml:space="preserve"> </w:t>
      </w:r>
      <w:r>
        <w:rPr>
          <w:i/>
          <w:iCs/>
        </w:rPr>
        <w:t xml:space="preserve">Psychological Review</w:t>
      </w:r>
      <w:r>
        <w:t xml:space="preserve">,</w:t>
      </w:r>
      <w:r>
        <w:t xml:space="preserve"> </w:t>
      </w:r>
      <w:r>
        <w:rPr>
          <w:i/>
          <w:iCs/>
        </w:rPr>
        <w:t xml:space="preserve">92</w:t>
      </w:r>
      <w:r>
        <w:t xml:space="preserve">(2), 212–225.</w:t>
      </w:r>
      <w:r>
        <w:t xml:space="preserve"> </w:t>
      </w:r>
      <w:hyperlink r:id="rId276">
        <w:r>
          <w:rPr>
            <w:rStyle w:val="Hyperlink"/>
          </w:rPr>
          <w:t xml:space="preserve">https://doi.org/10.1037/0033-295X.92.2.212</w:t>
        </w:r>
      </w:hyperlink>
    </w:p>
    <w:bookmarkEnd w:id="277"/>
    <w:bookmarkStart w:id="279"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278">
        <w:r>
          <w:rPr>
            <w:rStyle w:val="Hyperlink"/>
          </w:rPr>
          <w:t xml:space="preserve">https://doi.org/10.1162/neco.2008.12-06-420</w:t>
        </w:r>
      </w:hyperlink>
    </w:p>
    <w:bookmarkEnd w:id="279"/>
    <w:bookmarkStart w:id="281"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80">
        <w:r>
          <w:rPr>
            <w:rStyle w:val="Hyperlink"/>
          </w:rPr>
          <w:t xml:space="preserve">https://doi.org/10.1037/0882-7974.16.2.323</w:t>
        </w:r>
      </w:hyperlink>
    </w:p>
    <w:bookmarkEnd w:id="281"/>
    <w:bookmarkStart w:id="283" w:name="ref-ratcliff2004aging"/>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r:id="rId282">
        <w:r>
          <w:rPr>
            <w:rStyle w:val="Hyperlink"/>
          </w:rPr>
          <w:t xml:space="preserve">https://doi.org/10.1037/0882-7974.19.2.278</w:t>
        </w:r>
      </w:hyperlink>
    </w:p>
    <w:bookmarkEnd w:id="283"/>
    <w:bookmarkStart w:id="284" w:name="ref-ratcliff2007application"/>
    <w:p>
      <w:pPr>
        <w:pStyle w:val="Bibliography"/>
      </w:pPr>
      <w:r>
        <w:t xml:space="preserve">Ratcliff, R., Thapar, A., &amp; McKoon, G. (2007). Application of the diffusion model to two-choice tasks for adults 75-90 years old.</w:t>
      </w:r>
      <w:r>
        <w:t xml:space="preserve"> </w:t>
      </w:r>
      <w:r>
        <w:rPr>
          <w:i/>
          <w:iCs/>
        </w:rPr>
        <w:t xml:space="preserve">Psychology and Aging</w:t>
      </w:r>
      <w:r>
        <w:t xml:space="preserve">,</w:t>
      </w:r>
      <w:r>
        <w:t xml:space="preserve"> </w:t>
      </w:r>
      <w:r>
        <w:rPr>
          <w:i/>
          <w:iCs/>
        </w:rPr>
        <w:t xml:space="preserve">22</w:t>
      </w:r>
      <w:r>
        <w:t xml:space="preserve">(1), 56.</w:t>
      </w:r>
    </w:p>
    <w:bookmarkEnd w:id="284"/>
    <w:bookmarkStart w:id="286"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285">
        <w:r>
          <w:rPr>
            <w:rStyle w:val="Hyperlink"/>
          </w:rPr>
          <w:t xml:space="preserve">https://doi.org/10.3758/BF03196302</w:t>
        </w:r>
      </w:hyperlink>
    </w:p>
    <w:bookmarkEnd w:id="286"/>
    <w:bookmarkStart w:id="287" w:name="ref-salthouse1985speed"/>
    <w:p>
      <w:pPr>
        <w:pStyle w:val="Bibliography"/>
      </w:pPr>
      <w:r>
        <w:t xml:space="preserve">Salthouse, T. A. (1985).</w:t>
      </w:r>
      <w:r>
        <w:t xml:space="preserve"> </w:t>
      </w:r>
      <w:r>
        <w:rPr>
          <w:i/>
          <w:iCs/>
        </w:rPr>
        <w:t xml:space="preserve">Speed of behavior and its implications for cognition.</w:t>
      </w:r>
    </w:p>
    <w:bookmarkEnd w:id="287"/>
    <w:bookmarkStart w:id="289"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288">
        <w:r>
          <w:rPr>
            <w:rStyle w:val="Hyperlink"/>
          </w:rPr>
          <w:t xml:space="preserve">https://doi.org/10.1037/0033-295X.103.3.403</w:t>
        </w:r>
      </w:hyperlink>
    </w:p>
    <w:bookmarkEnd w:id="289"/>
    <w:bookmarkStart w:id="291" w:name="ref-spaniol2006"/>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r:id="rId290">
        <w:r>
          <w:rPr>
            <w:rStyle w:val="Hyperlink"/>
          </w:rPr>
          <w:t xml:space="preserve">https://doi.org/10.1037/0278-7393.32.1.101</w:t>
        </w:r>
      </w:hyperlink>
    </w:p>
    <w:bookmarkEnd w:id="291"/>
    <w:bookmarkStart w:id="293"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292">
        <w:r>
          <w:rPr>
            <w:rStyle w:val="Hyperlink"/>
          </w:rPr>
          <w:t xml:space="preserve">https://mc-stan.org/docs/cmdstan-guide/</w:t>
        </w:r>
      </w:hyperlink>
    </w:p>
    <w:bookmarkEnd w:id="293"/>
    <w:bookmarkStart w:id="295" w:name="ref-starns2010"/>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294">
        <w:r>
          <w:rPr>
            <w:rStyle w:val="Hyperlink"/>
          </w:rPr>
          <w:t xml:space="preserve">https://doi.org/10.1037/a0018022</w:t>
        </w:r>
      </w:hyperlink>
    </w:p>
    <w:bookmarkEnd w:id="295"/>
    <w:bookmarkStart w:id="297" w:name="ref-tajima2016"/>
    <w:p>
      <w:pPr>
        <w:pStyle w:val="Bibliography"/>
      </w:pPr>
      <w:r>
        <w:t xml:space="preserve">Tajima, S., Drugowitsch, J., &amp; Pouget, A. (2016). Optimal policy for value-based decision-making.</w:t>
      </w:r>
      <w:r>
        <w:t xml:space="preserve"> </w:t>
      </w:r>
      <w:r>
        <w:rPr>
          <w:i/>
          <w:iCs/>
        </w:rPr>
        <w:t xml:space="preserve">Nature Communications</w:t>
      </w:r>
      <w:r>
        <w:t xml:space="preserve">,</w:t>
      </w:r>
      <w:r>
        <w:t xml:space="preserve"> </w:t>
      </w:r>
      <w:r>
        <w:rPr>
          <w:i/>
          <w:iCs/>
        </w:rPr>
        <w:t xml:space="preserve">7</w:t>
      </w:r>
      <w:r>
        <w:t xml:space="preserve">, 12400.</w:t>
      </w:r>
      <w:r>
        <w:t xml:space="preserve"> </w:t>
      </w:r>
      <w:hyperlink r:id="rId296">
        <w:r>
          <w:rPr>
            <w:rStyle w:val="Hyperlink"/>
          </w:rPr>
          <w:t xml:space="preserve">https://doi.org/10.1038/ncomms12400</w:t>
        </w:r>
      </w:hyperlink>
    </w:p>
    <w:bookmarkEnd w:id="297"/>
    <w:bookmarkStart w:id="299" w:name="ref-vangerven2004"/>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r:id="rId298">
        <w:r>
          <w:rPr>
            <w:rStyle w:val="Hyperlink"/>
          </w:rPr>
          <w:t xml:space="preserve">https://doi.org/10.1111/j.1469-8986.2003.00148.x</w:t>
        </w:r>
      </w:hyperlink>
    </w:p>
    <w:bookmarkEnd w:id="299"/>
    <w:bookmarkStart w:id="301" w:name="ref-vehtari2017loo"/>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300">
        <w:r>
          <w:rPr>
            <w:rStyle w:val="Hyperlink"/>
          </w:rPr>
          <w:t xml:space="preserve">https://doi.org/10.1007/s11222-016-9696-4</w:t>
        </w:r>
      </w:hyperlink>
    </w:p>
    <w:bookmarkEnd w:id="301"/>
    <w:bookmarkStart w:id="303"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302">
        <w:r>
          <w:rPr>
            <w:rStyle w:val="Hyperlink"/>
          </w:rPr>
          <w:t xml:space="preserve">https://doi.org/10.1037/0882-7974.18.3.443</w:t>
        </w:r>
      </w:hyperlink>
    </w:p>
    <w:bookmarkEnd w:id="303"/>
    <w:bookmarkStart w:id="304" w:name="ref-voss2004interpreting"/>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bookmarkEnd w:id="304"/>
    <w:bookmarkStart w:id="306" w:name="ref-wabersich2014rwiener"/>
    <w:p>
      <w:pPr>
        <w:pStyle w:val="Bibliography"/>
      </w:pPr>
      <w:r>
        <w:t xml:space="preserve">Wabersich, D., &amp; Vandekerckhove, J. (2014). The</w:t>
      </w:r>
      <w:r>
        <w:t xml:space="preserve"> </w:t>
      </w:r>
      <w:r>
        <w:t xml:space="preserve">RWiener</w:t>
      </w:r>
      <w:r>
        <w:t xml:space="preserve"> </w:t>
      </w:r>
      <w:r>
        <w:t xml:space="preserve">package: An</w:t>
      </w:r>
      <w:r>
        <w:t xml:space="preserve"> </w:t>
      </w:r>
      <w:r>
        <w:t xml:space="preserve">R</w:t>
      </w:r>
      <w:r>
        <w:t xml:space="preserve"> </w:t>
      </w:r>
      <w:r>
        <w:t xml:space="preserve">package providing distribution functions for the wiener diffusion model.</w:t>
      </w:r>
      <w:r>
        <w:t xml:space="preserve"> </w:t>
      </w:r>
      <w:r>
        <w:rPr>
          <w:i/>
          <w:iCs/>
        </w:rPr>
        <w:t xml:space="preserve">The R Journal</w:t>
      </w:r>
      <w:r>
        <w:t xml:space="preserve">,</w:t>
      </w:r>
      <w:r>
        <w:t xml:space="preserve"> </w:t>
      </w:r>
      <w:r>
        <w:rPr>
          <w:i/>
          <w:iCs/>
        </w:rPr>
        <w:t xml:space="preserve">6</w:t>
      </w:r>
      <w:r>
        <w:t xml:space="preserve">(1), 49–56.</w:t>
      </w:r>
      <w:r>
        <w:t xml:space="preserve"> </w:t>
      </w:r>
      <w:hyperlink r:id="rId305">
        <w:r>
          <w:rPr>
            <w:rStyle w:val="Hyperlink"/>
          </w:rPr>
          <w:t xml:space="preserve">https://doi.org/10.32614/RJ-2014-005</w:t>
        </w:r>
      </w:hyperlink>
    </w:p>
    <w:bookmarkEnd w:id="306"/>
    <w:bookmarkStart w:id="308"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307">
        <w:r>
          <w:rPr>
            <w:rStyle w:val="Hyperlink"/>
          </w:rPr>
          <w:t xml:space="preserve">https://doi.org/10.1518/001872008X288394</w:t>
        </w:r>
      </w:hyperlink>
    </w:p>
    <w:bookmarkEnd w:id="308"/>
    <w:bookmarkStart w:id="310" w:name="ref-wickham2016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309">
        <w:r>
          <w:rPr>
            <w:rStyle w:val="Hyperlink"/>
          </w:rPr>
          <w:t xml:space="preserve">https://ggplot2.tidyverse.org</w:t>
        </w:r>
      </w:hyperlink>
    </w:p>
    <w:bookmarkEnd w:id="310"/>
    <w:bookmarkStart w:id="312" w:name="ref-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311">
        <w:r>
          <w:rPr>
            <w:rStyle w:val="Hyperlink"/>
          </w:rPr>
          <w:t xml:space="preserve">https://CRAN.R-project.org/package=dplyr</w:t>
        </w:r>
      </w:hyperlink>
    </w:p>
    <w:bookmarkEnd w:id="312"/>
    <w:bookmarkStart w:id="314" w:name="ref-readr"/>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r:id="rId313">
        <w:r>
          <w:rPr>
            <w:rStyle w:val="Hyperlink"/>
          </w:rPr>
          <w:t xml:space="preserve">https://CRAN.R-project.org/package=readr</w:t>
        </w:r>
      </w:hyperlink>
    </w:p>
    <w:bookmarkEnd w:id="314"/>
    <w:bookmarkStart w:id="316" w:name="ref-tidyr"/>
    <w:p>
      <w:pPr>
        <w:pStyle w:val="Bibliography"/>
      </w:pPr>
      <w:r>
        <w:t xml:space="preserve">Wickham, H., Vaughan, D., &amp; Girlich, M. (2023).</w:t>
      </w:r>
      <w:r>
        <w:t xml:space="preserve"> </w:t>
      </w:r>
      <w:r>
        <w:rPr>
          <w:i/>
          <w:iCs/>
        </w:rPr>
        <w:t xml:space="preserve">Tidyr: Tidy messy data</w:t>
      </w:r>
      <w:r>
        <w:t xml:space="preserve">.</w:t>
      </w:r>
      <w:r>
        <w:t xml:space="preserve"> </w:t>
      </w:r>
      <w:hyperlink r:id="rId315">
        <w:r>
          <w:rPr>
            <w:rStyle w:val="Hyperlink"/>
          </w:rPr>
          <w:t xml:space="preserve">https://CRAN.R-project.org/package=tidyr</w:t>
        </w:r>
      </w:hyperlink>
    </w:p>
    <w:bookmarkEnd w:id="316"/>
    <w:bookmarkStart w:id="318" w:name="ref-wiecki2013hddm"/>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r:id="rId317">
        <w:r>
          <w:rPr>
            <w:rStyle w:val="Hyperlink"/>
          </w:rPr>
          <w:t xml:space="preserve">https://doi.org/10.3389/fninf.2013.00014</w:t>
        </w:r>
      </w:hyperlink>
    </w:p>
    <w:bookmarkEnd w:id="318"/>
    <w:bookmarkStart w:id="320"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319">
        <w:r>
          <w:rPr>
            <w:rStyle w:val="Hyperlink"/>
          </w:rPr>
          <w:t xml:space="preserve">https://doi.org/10.1016/S0966-6362(01)00156-4</w:t>
        </w:r>
      </w:hyperlink>
    </w:p>
    <w:bookmarkEnd w:id="320"/>
    <w:bookmarkStart w:id="322"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321">
        <w:r>
          <w:rPr>
            <w:rStyle w:val="Hyperlink"/>
          </w:rPr>
          <w:t xml:space="preserve">https://doi.org/10.1002/cne.920180503</w:t>
        </w:r>
      </w:hyperlink>
    </w:p>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62" Target="media/rId162.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00" Target="media/rId200.png" /><Relationship Type="http://schemas.openxmlformats.org/officeDocument/2006/relationships/image" Id="rId41" Target="media/rId41.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96" Target="media/rId96.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51" Target="media/rId151.png" /><Relationship Type="http://schemas.openxmlformats.org/officeDocument/2006/relationships/image" Id="rId172" Target="media/rId172.png" /><Relationship Type="http://schemas.openxmlformats.org/officeDocument/2006/relationships/image" Id="rId179" Target="media/rId17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209" Target="https://CRAN.R-project.org/package=broom.mixed" TargetMode="External" /><Relationship Type="http://schemas.openxmlformats.org/officeDocument/2006/relationships/hyperlink" Id="rId311" Target="https://CRAN.R-project.org/package=dplyr" TargetMode="External" /><Relationship Type="http://schemas.openxmlformats.org/officeDocument/2006/relationships/hyperlink" Id="rId252" Target="https://CRAN.R-project.org/package=gt" TargetMode="External" /><Relationship Type="http://schemas.openxmlformats.org/officeDocument/2006/relationships/hyperlink" Id="rId313" Target="https://CRAN.R-project.org/package=readr" TargetMode="External" /><Relationship Type="http://schemas.openxmlformats.org/officeDocument/2006/relationships/hyperlink" Id="rId315" Target="https://CRAN.R-project.org/package=tidyr" TargetMode="External" /><Relationship Type="http://schemas.openxmlformats.org/officeDocument/2006/relationships/hyperlink" Id="rId321" Target="https://doi.org/10.1002/cne.920180503" TargetMode="External" /><Relationship Type="http://schemas.openxmlformats.org/officeDocument/2006/relationships/hyperlink" Id="rId300" Target="https://doi.org/10.1007/s11222-016-9696-4" TargetMode="External" /><Relationship Type="http://schemas.openxmlformats.org/officeDocument/2006/relationships/hyperlink" Id="rId319" Target="https://doi.org/10.1016/S0966-6362(01)00156-4" TargetMode="External" /><Relationship Type="http://schemas.openxmlformats.org/officeDocument/2006/relationships/hyperlink" Id="rId267" Target="https://doi.org/10.1016/j.neubiorev.2021.12.010" TargetMode="External" /><Relationship Type="http://schemas.openxmlformats.org/officeDocument/2006/relationships/hyperlink" Id="rId254" Target="https://doi.org/10.1016/j.neuron.2015.11.028" TargetMode="External" /><Relationship Type="http://schemas.openxmlformats.org/officeDocument/2006/relationships/hyperlink" Id="rId263" Target="https://doi.org/10.1016/j.tics.2016.01.001" TargetMode="External" /><Relationship Type="http://schemas.openxmlformats.org/officeDocument/2006/relationships/hyperlink" Id="rId217" Target="https://doi.org/10.1037/0033-2909.91.2.276" TargetMode="External" /><Relationship Type="http://schemas.openxmlformats.org/officeDocument/2006/relationships/hyperlink" Id="rId236" Target="https://doi.org/10.1037/0033-2909.98.3.419" TargetMode="External" /><Relationship Type="http://schemas.openxmlformats.org/officeDocument/2006/relationships/hyperlink" Id="rId288" Target="https://doi.org/10.1037/0033-295X.103.3.403" TargetMode="External" /><Relationship Type="http://schemas.openxmlformats.org/officeDocument/2006/relationships/hyperlink" Id="rId269" Target="https://doi.org/10.1037/0033-295X.104.2.266" TargetMode="External" /><Relationship Type="http://schemas.openxmlformats.org/officeDocument/2006/relationships/hyperlink" Id="rId274" Target="https://doi.org/10.1037/0033-295X.85.2.59" TargetMode="External" /><Relationship Type="http://schemas.openxmlformats.org/officeDocument/2006/relationships/hyperlink" Id="rId276" Target="https://doi.org/10.1037/0033-295X.92.2.212" TargetMode="External" /><Relationship Type="http://schemas.openxmlformats.org/officeDocument/2006/relationships/hyperlink" Id="rId290" Target="https://doi.org/10.1037/0278-7393.32.1.101" TargetMode="External" /><Relationship Type="http://schemas.openxmlformats.org/officeDocument/2006/relationships/hyperlink" Id="rId280" Target="https://doi.org/10.1037/0882-7974.16.2.323" TargetMode="External" /><Relationship Type="http://schemas.openxmlformats.org/officeDocument/2006/relationships/hyperlink" Id="rId302" Target="https://doi.org/10.1037/0882-7974.18.3.443" TargetMode="External" /><Relationship Type="http://schemas.openxmlformats.org/officeDocument/2006/relationships/hyperlink" Id="rId282" Target="https://doi.org/10.1037/0882-7974.19.2.278" TargetMode="External" /><Relationship Type="http://schemas.openxmlformats.org/officeDocument/2006/relationships/hyperlink" Id="rId294" Target="https://doi.org/10.1037/a0018022" TargetMode="External" /><Relationship Type="http://schemas.openxmlformats.org/officeDocument/2006/relationships/hyperlink" Id="rId229" Target="https://doi.org/10.1037/a0035813" TargetMode="External" /><Relationship Type="http://schemas.openxmlformats.org/officeDocument/2006/relationships/hyperlink" Id="rId213" Target="https://doi.org/10.1037/pag0000730" TargetMode="External" /><Relationship Type="http://schemas.openxmlformats.org/officeDocument/2006/relationships/hyperlink" Id="rId296" Target="https://doi.org/10.1038/ncomms12400" TargetMode="External" /><Relationship Type="http://schemas.openxmlformats.org/officeDocument/2006/relationships/hyperlink" Id="rId240" Target="https://doi.org/10.1038/nn.3689" TargetMode="External" /><Relationship Type="http://schemas.openxmlformats.org/officeDocument/2006/relationships/hyperlink" Id="rId219" Target="https://doi.org/10.1038/s41598-024-66238-z" TargetMode="External" /><Relationship Type="http://schemas.openxmlformats.org/officeDocument/2006/relationships/hyperlink" Id="rId248" Target="https://doi.org/10.1093/geronb/gbr129" TargetMode="External" /><Relationship Type="http://schemas.openxmlformats.org/officeDocument/2006/relationships/hyperlink" Id="rId261" Target="https://doi.org/10.1093/geronj/46.3.P124" TargetMode="External" /><Relationship Type="http://schemas.openxmlformats.org/officeDocument/2006/relationships/hyperlink" Id="rId298" Target="https://doi.org/10.1111/j.1469-8986.2003.00148.x" TargetMode="External" /><Relationship Type="http://schemas.openxmlformats.org/officeDocument/2006/relationships/hyperlink" Id="rId244" Target="https://doi.org/10.1111/rssa.12377" TargetMode="External" /><Relationship Type="http://schemas.openxmlformats.org/officeDocument/2006/relationships/hyperlink" Id="rId256" Target="https://doi.org/10.1126/science.154.3756.1583" TargetMode="External" /><Relationship Type="http://schemas.openxmlformats.org/officeDocument/2006/relationships/hyperlink" Id="rId211" Target="https://doi.org/10.1146/annurev.neuro.28.061604.135709" TargetMode="External" /><Relationship Type="http://schemas.openxmlformats.org/officeDocument/2006/relationships/hyperlink" Id="rId278" Target="https://doi.org/10.1162/neco.2008.12-06-420" TargetMode="External" /><Relationship Type="http://schemas.openxmlformats.org/officeDocument/2006/relationships/hyperlink" Id="rId307" Target="https://doi.org/10.1518/001872008X288394" TargetMode="External" /><Relationship Type="http://schemas.openxmlformats.org/officeDocument/2006/relationships/hyperlink" Id="rId234" Target="https://doi.org/10.1523/JNEUROSCI.4010-11.2012" TargetMode="External" /><Relationship Type="http://schemas.openxmlformats.org/officeDocument/2006/relationships/hyperlink" Id="rId215" Target="https://doi.org/10.18637/jss.v067.i01" TargetMode="External" /><Relationship Type="http://schemas.openxmlformats.org/officeDocument/2006/relationships/hyperlink" Id="rId223" Target="https://doi.org/10.18637/jss.v080.i01" TargetMode="External" /><Relationship Type="http://schemas.openxmlformats.org/officeDocument/2006/relationships/hyperlink" Id="rId227" Target="https://doi.org/10.18637/jss.v102.i10" TargetMode="External" /><Relationship Type="http://schemas.openxmlformats.org/officeDocument/2006/relationships/hyperlink" Id="rId305" Target="https://doi.org/10.32614/RJ-2014-005" TargetMode="External" /><Relationship Type="http://schemas.openxmlformats.org/officeDocument/2006/relationships/hyperlink" Id="rId225" Target="https://doi.org/10.32614/RJ-2018-017" TargetMode="External" /><Relationship Type="http://schemas.openxmlformats.org/officeDocument/2006/relationships/hyperlink" Id="rId242" Target="https://doi.org/10.32614/RJ-2021-123" TargetMode="External" /><Relationship Type="http://schemas.openxmlformats.org/officeDocument/2006/relationships/hyperlink" Id="rId317" Target="https://doi.org/10.3389/fninf.2013.00014" TargetMode="External" /><Relationship Type="http://schemas.openxmlformats.org/officeDocument/2006/relationships/hyperlink" Id="rId285" Target="https://doi.org/10.3758/BF03196302" TargetMode="External" /><Relationship Type="http://schemas.openxmlformats.org/officeDocument/2006/relationships/hyperlink" Id="rId246" Target="https://doi.org/10.3758/CABN.10.2.252" TargetMode="External" /><Relationship Type="http://schemas.openxmlformats.org/officeDocument/2006/relationships/hyperlink" Id="rId52" Target="https://doi.org/10.5281/zenodo.18205123" TargetMode="External" /><Relationship Type="http://schemas.openxmlformats.org/officeDocument/2006/relationships/hyperlink" Id="rId265" Target="https://doi.org/10.5334/joc.18" TargetMode="External" /><Relationship Type="http://schemas.openxmlformats.org/officeDocument/2006/relationships/hyperlink" Id="rId232" Target="https://doi.org/10.7554/eLife.54014" TargetMode="External" /><Relationship Type="http://schemas.openxmlformats.org/officeDocument/2006/relationships/hyperlink" Id="rId309" Target="https://ggplot2.tidyverse.org" TargetMode="External" /><Relationship Type="http://schemas.openxmlformats.org/officeDocument/2006/relationships/hyperlink" Id="rId51" Target="https://github.com/mohdasti/modeling-pupil-DDM" TargetMode="External" /><Relationship Type="http://schemas.openxmlformats.org/officeDocument/2006/relationships/hyperlink" Id="rId292" Target="https://mc-stan.org/docs/cmdstan-guide/" TargetMode="External" /><Relationship Type="http://schemas.openxmlformats.org/officeDocument/2006/relationships/hyperlink" Id="rId207" Target="https://quarto.org" TargetMode="External" /><Relationship Type="http://schemas.openxmlformats.org/officeDocument/2006/relationships/hyperlink" Id="rId2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9" Target="https://CRAN.R-project.org/package=broom.mixed" TargetMode="External" /><Relationship Type="http://schemas.openxmlformats.org/officeDocument/2006/relationships/hyperlink" Id="rId311" Target="https://CRAN.R-project.org/package=dplyr" TargetMode="External" /><Relationship Type="http://schemas.openxmlformats.org/officeDocument/2006/relationships/hyperlink" Id="rId252" Target="https://CRAN.R-project.org/package=gt" TargetMode="External" /><Relationship Type="http://schemas.openxmlformats.org/officeDocument/2006/relationships/hyperlink" Id="rId313" Target="https://CRAN.R-project.org/package=readr" TargetMode="External" /><Relationship Type="http://schemas.openxmlformats.org/officeDocument/2006/relationships/hyperlink" Id="rId315" Target="https://CRAN.R-project.org/package=tidyr" TargetMode="External" /><Relationship Type="http://schemas.openxmlformats.org/officeDocument/2006/relationships/hyperlink" Id="rId321" Target="https://doi.org/10.1002/cne.920180503" TargetMode="External" /><Relationship Type="http://schemas.openxmlformats.org/officeDocument/2006/relationships/hyperlink" Id="rId300" Target="https://doi.org/10.1007/s11222-016-9696-4" TargetMode="External" /><Relationship Type="http://schemas.openxmlformats.org/officeDocument/2006/relationships/hyperlink" Id="rId319" Target="https://doi.org/10.1016/S0966-6362(01)00156-4" TargetMode="External" /><Relationship Type="http://schemas.openxmlformats.org/officeDocument/2006/relationships/hyperlink" Id="rId267" Target="https://doi.org/10.1016/j.neubiorev.2021.12.010" TargetMode="External" /><Relationship Type="http://schemas.openxmlformats.org/officeDocument/2006/relationships/hyperlink" Id="rId254" Target="https://doi.org/10.1016/j.neuron.2015.11.028" TargetMode="External" /><Relationship Type="http://schemas.openxmlformats.org/officeDocument/2006/relationships/hyperlink" Id="rId263" Target="https://doi.org/10.1016/j.tics.2016.01.001" TargetMode="External" /><Relationship Type="http://schemas.openxmlformats.org/officeDocument/2006/relationships/hyperlink" Id="rId217" Target="https://doi.org/10.1037/0033-2909.91.2.276" TargetMode="External" /><Relationship Type="http://schemas.openxmlformats.org/officeDocument/2006/relationships/hyperlink" Id="rId236" Target="https://doi.org/10.1037/0033-2909.98.3.419" TargetMode="External" /><Relationship Type="http://schemas.openxmlformats.org/officeDocument/2006/relationships/hyperlink" Id="rId288" Target="https://doi.org/10.1037/0033-295X.103.3.403" TargetMode="External" /><Relationship Type="http://schemas.openxmlformats.org/officeDocument/2006/relationships/hyperlink" Id="rId269" Target="https://doi.org/10.1037/0033-295X.104.2.266" TargetMode="External" /><Relationship Type="http://schemas.openxmlformats.org/officeDocument/2006/relationships/hyperlink" Id="rId274" Target="https://doi.org/10.1037/0033-295X.85.2.59" TargetMode="External" /><Relationship Type="http://schemas.openxmlformats.org/officeDocument/2006/relationships/hyperlink" Id="rId276" Target="https://doi.org/10.1037/0033-295X.92.2.212" TargetMode="External" /><Relationship Type="http://schemas.openxmlformats.org/officeDocument/2006/relationships/hyperlink" Id="rId290" Target="https://doi.org/10.1037/0278-7393.32.1.101" TargetMode="External" /><Relationship Type="http://schemas.openxmlformats.org/officeDocument/2006/relationships/hyperlink" Id="rId280" Target="https://doi.org/10.1037/0882-7974.16.2.323" TargetMode="External" /><Relationship Type="http://schemas.openxmlformats.org/officeDocument/2006/relationships/hyperlink" Id="rId302" Target="https://doi.org/10.1037/0882-7974.18.3.443" TargetMode="External" /><Relationship Type="http://schemas.openxmlformats.org/officeDocument/2006/relationships/hyperlink" Id="rId282" Target="https://doi.org/10.1037/0882-7974.19.2.278" TargetMode="External" /><Relationship Type="http://schemas.openxmlformats.org/officeDocument/2006/relationships/hyperlink" Id="rId294" Target="https://doi.org/10.1037/a0018022" TargetMode="External" /><Relationship Type="http://schemas.openxmlformats.org/officeDocument/2006/relationships/hyperlink" Id="rId229" Target="https://doi.org/10.1037/a0035813" TargetMode="External" /><Relationship Type="http://schemas.openxmlformats.org/officeDocument/2006/relationships/hyperlink" Id="rId213" Target="https://doi.org/10.1037/pag0000730" TargetMode="External" /><Relationship Type="http://schemas.openxmlformats.org/officeDocument/2006/relationships/hyperlink" Id="rId296" Target="https://doi.org/10.1038/ncomms12400" TargetMode="External" /><Relationship Type="http://schemas.openxmlformats.org/officeDocument/2006/relationships/hyperlink" Id="rId240" Target="https://doi.org/10.1038/nn.3689" TargetMode="External" /><Relationship Type="http://schemas.openxmlformats.org/officeDocument/2006/relationships/hyperlink" Id="rId219" Target="https://doi.org/10.1038/s41598-024-66238-z" TargetMode="External" /><Relationship Type="http://schemas.openxmlformats.org/officeDocument/2006/relationships/hyperlink" Id="rId248" Target="https://doi.org/10.1093/geronb/gbr129" TargetMode="External" /><Relationship Type="http://schemas.openxmlformats.org/officeDocument/2006/relationships/hyperlink" Id="rId261" Target="https://doi.org/10.1093/geronj/46.3.P124" TargetMode="External" /><Relationship Type="http://schemas.openxmlformats.org/officeDocument/2006/relationships/hyperlink" Id="rId298" Target="https://doi.org/10.1111/j.1469-8986.2003.00148.x" TargetMode="External" /><Relationship Type="http://schemas.openxmlformats.org/officeDocument/2006/relationships/hyperlink" Id="rId244" Target="https://doi.org/10.1111/rssa.12377" TargetMode="External" /><Relationship Type="http://schemas.openxmlformats.org/officeDocument/2006/relationships/hyperlink" Id="rId256" Target="https://doi.org/10.1126/science.154.3756.1583" TargetMode="External" /><Relationship Type="http://schemas.openxmlformats.org/officeDocument/2006/relationships/hyperlink" Id="rId211" Target="https://doi.org/10.1146/annurev.neuro.28.061604.135709" TargetMode="External" /><Relationship Type="http://schemas.openxmlformats.org/officeDocument/2006/relationships/hyperlink" Id="rId278" Target="https://doi.org/10.1162/neco.2008.12-06-420" TargetMode="External" /><Relationship Type="http://schemas.openxmlformats.org/officeDocument/2006/relationships/hyperlink" Id="rId307" Target="https://doi.org/10.1518/001872008X288394" TargetMode="External" /><Relationship Type="http://schemas.openxmlformats.org/officeDocument/2006/relationships/hyperlink" Id="rId234" Target="https://doi.org/10.1523/JNEUROSCI.4010-11.2012" TargetMode="External" /><Relationship Type="http://schemas.openxmlformats.org/officeDocument/2006/relationships/hyperlink" Id="rId215" Target="https://doi.org/10.18637/jss.v067.i01" TargetMode="External" /><Relationship Type="http://schemas.openxmlformats.org/officeDocument/2006/relationships/hyperlink" Id="rId223" Target="https://doi.org/10.18637/jss.v080.i01" TargetMode="External" /><Relationship Type="http://schemas.openxmlformats.org/officeDocument/2006/relationships/hyperlink" Id="rId227" Target="https://doi.org/10.18637/jss.v102.i10" TargetMode="External" /><Relationship Type="http://schemas.openxmlformats.org/officeDocument/2006/relationships/hyperlink" Id="rId305" Target="https://doi.org/10.32614/RJ-2014-005" TargetMode="External" /><Relationship Type="http://schemas.openxmlformats.org/officeDocument/2006/relationships/hyperlink" Id="rId225" Target="https://doi.org/10.32614/RJ-2018-017" TargetMode="External" /><Relationship Type="http://schemas.openxmlformats.org/officeDocument/2006/relationships/hyperlink" Id="rId242" Target="https://doi.org/10.32614/RJ-2021-123" TargetMode="External" /><Relationship Type="http://schemas.openxmlformats.org/officeDocument/2006/relationships/hyperlink" Id="rId317" Target="https://doi.org/10.3389/fninf.2013.00014" TargetMode="External" /><Relationship Type="http://schemas.openxmlformats.org/officeDocument/2006/relationships/hyperlink" Id="rId285" Target="https://doi.org/10.3758/BF03196302" TargetMode="External" /><Relationship Type="http://schemas.openxmlformats.org/officeDocument/2006/relationships/hyperlink" Id="rId246" Target="https://doi.org/10.3758/CABN.10.2.252" TargetMode="External" /><Relationship Type="http://schemas.openxmlformats.org/officeDocument/2006/relationships/hyperlink" Id="rId52" Target="https://doi.org/10.5281/zenodo.18205123" TargetMode="External" /><Relationship Type="http://schemas.openxmlformats.org/officeDocument/2006/relationships/hyperlink" Id="rId265" Target="https://doi.org/10.5334/joc.18" TargetMode="External" /><Relationship Type="http://schemas.openxmlformats.org/officeDocument/2006/relationships/hyperlink" Id="rId232" Target="https://doi.org/10.7554/eLife.54014" TargetMode="External" /><Relationship Type="http://schemas.openxmlformats.org/officeDocument/2006/relationships/hyperlink" Id="rId309" Target="https://ggplot2.tidyverse.org" TargetMode="External" /><Relationship Type="http://schemas.openxmlformats.org/officeDocument/2006/relationships/hyperlink" Id="rId51" Target="https://github.com/mohdasti/modeling-pupil-DDM" TargetMode="External" /><Relationship Type="http://schemas.openxmlformats.org/officeDocument/2006/relationships/hyperlink" Id="rId292" Target="https://mc-stan.org/docs/cmdstan-guide/" TargetMode="External" /><Relationship Type="http://schemas.openxmlformats.org/officeDocument/2006/relationships/hyperlink" Id="rId207" Target="https://quarto.org" TargetMode="External" /><Relationship Type="http://schemas.openxmlformats.org/officeDocument/2006/relationships/hyperlink" Id="rId2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Reduces Evidence Accumulation Quality in Older Adults: A Hierarchical Diffusion Decision Model Analysis</dc:title>
  <dc:creator>Mohammad Dastgheib</dc:creator>
  <cp:keywords/>
  <dcterms:created xsi:type="dcterms:W3CDTF">2026-07-01T18:37:18Z</dcterms:created>
  <dcterms:modified xsi:type="dcterms:W3CDTF">2026-07-01T18:37:18Z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rams">
    <vt:lpwstr/>
  </property>
  <property fmtid="{D5CDD505-2E9C-101B-9397-08002B2CF9AE}" pid="16" name="toc-title">
    <vt:lpwstr>Table of contents</vt:lpwstr>
  </property>
</Properties>
</file>