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40.png" ContentType="image/png"/>
  <Override PartName="/word/media/rId149.png" ContentType="image/png"/>
  <Override PartName="/word/media/rId119.png" ContentType="image/png"/>
  <Override PartName="/word/media/rId130.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 to be supplied]</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DRAFT — numbers from run r10_20261017_081458 for pupil results; behavioral results final.</w:t>
      </w:r>
    </w:p>
    <w:bookmarkStart w:id="9" w:name="abstract"/>
    <w:p>
      <w:pPr>
        <w:pStyle w:val="Heading1"/>
      </w:pPr>
      <w:r>
        <w:t xml:space="preserve">Abstract</w:t>
      </w:r>
    </w:p>
    <w:p>
      <w:pPr>
        <w:pStyle w:val="FirstParagraph"/>
      </w:pPr>
      <w:r>
        <w:t xml:space="preserve">Older adults often make decisions while exerting physical effort, but it is unclear whether effort lowers the quality of the evidence they use, changes how much evidence they require, or neither. In total, 67 older adults judged whether two tones (auditory task) or two Gabor patches (visual task) were the same or different while holding a handgrip at 5% or 40% of their maximum force. Pupil size was recorded throughout. A hierarchical drift-diffusion model was fit to choices and response times. High effort shifted drift toward</w:t>
      </w:r>
      <w:r>
        <w:t xml:space="preserve"> </w:t>
      </w:r>
      <w:r>
        <w:t xml:space="preserve">“same”</w:t>
      </w:r>
      <w:r>
        <w:t xml:space="preserve"> </w:t>
      </w:r>
      <w:r>
        <w:t xml:space="preserve">on all trials (β = −0.053, 95% CrI [−0.103, −0.003], P(β &lt; 0) = .981). It did not credibly change the separation between drift on identical and different trials, the model’s index of evidence quality (β = −0.013, 95% CrI [−0.052, 0.028], P(β &lt; 0) = .730). In observed accuracy, high effort lowered accuracy on the hardest discriminations by 4.5 percentage points (p &lt; .001). Boundary separation increased by +2.0% [0.6, 3.4], a change within the region of practical equivalence. The starting point did not change. High effort dilated the pupil during the grip. In 43 participants with usable pupil data, a larger task-evoked pupil response predicted wider boundaries on the same trial (+7.9% [6.5, 9.2] per SD). That association tracked decision duration: pupil size just before the response did not predict boundary separation. Physical effort therefore changed how older adults mapped evidence onto responses, not the quality of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present grip manipulation. High effort lowered visual discrimination performance and increased pupil size in every task, but effort and task difficulty did not interact, suggesting that the two drew on separate resources at these effort levels. The present chapter asks how the same manipulation changes decision-making in older adults, using a model that separates the processes that accuracy and response time (RT) combine.</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The model has four parameters:</w:t>
      </w:r>
    </w:p>
    <w:p>
      <w:pPr>
        <w:pStyle w:val="Compact"/>
        <w:numPr>
          <w:ilvl w:val="0"/>
          <w:numId w:val="1001"/>
        </w:numPr>
      </w:pPr>
      <w:r>
        <w:rPr>
          <w:b/>
          <w:bCs/>
        </w:rPr>
        <w:t xml:space="preserve">Drift rate (</w:t>
      </w:r>
      <w:r>
        <w:rPr>
          <w:b/>
          <w:bCs/>
          <w:i/>
          <w:iCs/>
        </w:rPr>
        <w:t xml:space="preserve">v</w:t>
      </w:r>
      <w:r>
        <w:rPr>
          <w:b/>
          <w:bCs/>
        </w:rPr>
        <w:t xml:space="preserve">):</w:t>
      </w:r>
      <w:r>
        <w:t xml:space="preserve"> </w:t>
      </w:r>
      <w:r>
        <w:t xml:space="preserve">the average direction and speed of accumulation.</w:t>
      </w:r>
    </w:p>
    <w:p>
      <w:pPr>
        <w:pStyle w:val="Compact"/>
        <w:numPr>
          <w:ilvl w:val="0"/>
          <w:numId w:val="1001"/>
        </w:numPr>
      </w:pPr>
      <w:r>
        <w:rPr>
          <w:b/>
          <w:bCs/>
        </w:rPr>
        <w:t xml:space="preserve">Boundary separation (</w:t>
      </w:r>
      <w:r>
        <w:rPr>
          <w:b/>
          <w:bCs/>
          <w:i/>
          <w:iCs/>
        </w:rPr>
        <w:t xml:space="preserve">a</w:t>
      </w:r>
      <w:r>
        <w:rPr>
          <w:b/>
          <w:bCs/>
        </w:rPr>
        <w:t xml:space="preserve">):</w:t>
      </w:r>
      <w:r>
        <w:t xml:space="preserve"> </w:t>
      </w:r>
      <w:r>
        <w:t xml:space="preserve">how much evidence is required before responding.</w:t>
      </w:r>
    </w:p>
    <w:p>
      <w:pPr>
        <w:pStyle w:val="Compact"/>
        <w:numPr>
          <w:ilvl w:val="0"/>
          <w:numId w:val="1001"/>
        </w:numPr>
      </w:pPr>
      <w:r>
        <w:rPr>
          <w:b/>
          <w:bCs/>
        </w:rPr>
        <w:t xml:space="preserve">Starting point (</w:t>
      </w:r>
      <w:r>
        <w:rPr>
          <w:b/>
          <w:bCs/>
          <w:i/>
          <w:iCs/>
        </w:rPr>
        <w:t xml:space="preserve">z</w:t>
      </w:r>
      <w:r>
        <w:rPr>
          <w:b/>
          <w:bCs/>
        </w:rPr>
        <w:t xml:space="preserve">):</w:t>
      </w:r>
      <w:r>
        <w:t xml:space="preserve"> </w:t>
      </w:r>
      <w:r>
        <w:t xml:space="preserve">a bias toward one response before the stimulus appears.</w:t>
      </w:r>
    </w:p>
    <w:p>
      <w:pPr>
        <w:pStyle w:val="Compact"/>
        <w:numPr>
          <w:ilvl w:val="0"/>
          <w:numId w:val="1001"/>
        </w:numPr>
      </w:pPr>
      <w:r>
        <w:rPr>
          <w:b/>
          <w:bCs/>
        </w:rPr>
        <w:t xml:space="preserve">Non-decision time (</w:t>
      </w:r>
      <w:r>
        <w:rPr>
          <w:b/>
          <w:bCs/>
          <w:i/>
          <w:iCs/>
        </w:rPr>
        <w:t xml:space="preserve">t</w:t>
      </w:r>
      <w:r>
        <w:rPr>
          <w:b/>
          <w:bCs/>
          <w:vertAlign w:val="subscript"/>
        </w:rPr>
        <w:t xml:space="preserve">0</w:t>
      </w:r>
      <w:r>
        <w:rPr>
          <w:b/>
          <w:bCs/>
        </w:rPr>
        <w:t xml:space="preserve">):</w:t>
      </w:r>
      <w:r>
        <w:t xml:space="preserve"> </w:t>
      </w:r>
      <w:r>
        <w:t xml:space="preserve">encoding and response execution.</w:t>
      </w:r>
    </w:p>
    <w:p>
      <w:pPr>
        <w:pStyle w:val="FirstParagraph"/>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 Theisen et al.,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caution.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w:t>
      </w:r>
    </w:p>
    <w:p>
      <w:pPr>
        <w:pStyle w:val="BodyText"/>
      </w:pPr>
      <w:r>
        <w:t xml:space="preserve">The second account treats effort as a change in physiological state. Isometric handgrip engages the noradrenergic arousal system</w:t>
      </w:r>
      <w:r>
        <w:t xml:space="preserve"> </w:t>
      </w:r>
      <w:r>
        <w:t xml:space="preserve">(Mather et al., 2020)</w:t>
      </w:r>
      <w:r>
        <w:t xml:space="preserve">. Older adults also show larger physiological responses to cognitive demand than younger adults</w:t>
      </w:r>
      <w:r>
        <w:t xml:space="preserve"> </w:t>
      </w:r>
      <w:r>
        <w:t xml:space="preserve">(Hess &amp; Ennis, 2012)</w:t>
      </w:r>
      <w:r>
        <w:t xml:space="preserve">. Arousal could change caution in either direction. If participants respond to the added demand by requiring more evidence, boundaries should widen under high effort. If they shorten trials to end the effort sooner, boundaries should narrow. The direction of the effort effect on boundary separation therefore distinguishes the two possibilities. A third possibility concerns the starting point: transient, pupil-linked arousal has been associated with smaller choice biases</w:t>
      </w:r>
      <w:r>
        <w:t xml:space="preserve"> </w:t>
      </w:r>
      <w:r>
        <w:t xml:space="preserve">(</w:t>
      </w:r>
      <w:r>
        <w:t xml:space="preserve">de Gee et al.</w:t>
      </w:r>
      <w:r>
        <w:t xml:space="preserve">, 2020)</w:t>
      </w:r>
      <w:r>
        <w:t xml:space="preserve">, which predicts a starting point closer to neutral under high effort.</w:t>
      </w:r>
    </w:p>
    <w:p>
      <w:pPr>
        <w:pStyle w:val="BodyText"/>
      </w:pPr>
      <w:r>
        <w:t xml:space="preserve">Pupil size provides a trial-by-trial index of this state. Pupil diameter tracks activity in the locus coeruleus and related brainstem nuclei</w:t>
      </w:r>
      <w:r>
        <w:t xml:space="preserve"> </w:t>
      </w:r>
      <w:r>
        <w:t xml:space="preserve">(Joshi et al., 2016)</w:t>
      </w:r>
      <w:r>
        <w:t xml:space="preserve">, and the task-evoked pupil response (TEPR) increases with processing demand</w:t>
      </w:r>
      <w:r>
        <w:t xml:space="preserve"> </w:t>
      </w:r>
      <w:r>
        <w:t xml:space="preserve">(Beatty, 1982)</w:t>
      </w:r>
      <w:r>
        <w:t xml:space="preserve">. Physical and cognitive effort both affect pupil size</w:t>
      </w:r>
      <w:r>
        <w:t xml:space="preserve"> </w:t>
      </w:r>
      <w:r>
        <w:t xml:space="preserve">(Azer &amp; Zhang, 2022)</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Across several decision tasks, larger phasic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arousal set the boundary.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which parameter tracked the TEPR, and whether pupil measures taken before the decision predicted boundary separation, as they would if arousal set caution.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placed on a time axis starting at squeeze onset. We validated the axis against the light reflex that follows the display change at gauge offset: across 61 participant × task recordings, the median latency of that constriction was 3.12 s.</w:t>
      </w:r>
    </w:p>
    <w:p>
      <w:pPr>
        <w:pStyle w:val="BodyText"/>
      </w:pPr>
      <w:r>
        <w:t xml:space="preserve">The task-evoked pupil response (TEPR) was the area under the curve from 0.3–3.3 s after probe onset (4.65–7.65 s after squeeze onset). It was computed relative to the mean pupil size in the 0.5 s before the probe (the interstimulus interval, 3.85–4.35 s).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Gaps longer than 250 ms were not bridged in the area computation.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4,935 trials from 43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The predictors in the primary model (M4) were:</w:t>
      </w:r>
    </w:p>
    <w:p>
      <w:pPr>
        <w:pStyle w:val="Compact"/>
        <w:numPr>
          <w:ilvl w:val="0"/>
          <w:numId w:val="1002"/>
        </w:numPr>
      </w:pPr>
      <w:r>
        <w:rPr>
          <w:b/>
          <w:bCs/>
        </w:rPr>
        <w:t xml:space="preserve">Drift:</w:t>
      </w:r>
      <w:r>
        <w:t xml:space="preserve"> </w:t>
      </w:r>
      <w:r>
        <w:t xml:space="preserve">stimulus type (Standard, Hard, Easy), task, their interaction, effort and an effort × stimulus term.</w:t>
      </w:r>
    </w:p>
    <w:p>
      <w:pPr>
        <w:pStyle w:val="Compact"/>
        <w:numPr>
          <w:ilvl w:val="0"/>
          <w:numId w:val="1002"/>
        </w:numPr>
      </w:pPr>
      <w:r>
        <w:rPr>
          <w:b/>
          <w:bCs/>
        </w:rPr>
        <w:t xml:space="preserve">Boundary separation:</w:t>
      </w:r>
      <w:r>
        <w:t xml:space="preserve"> </w:t>
      </w:r>
      <w:r>
        <w:t xml:space="preserve">stimulus type, task and effort.</w:t>
      </w:r>
    </w:p>
    <w:p>
      <w:pPr>
        <w:pStyle w:val="Compact"/>
        <w:numPr>
          <w:ilvl w:val="0"/>
          <w:numId w:val="1002"/>
        </w:numPr>
      </w:pPr>
      <w:r>
        <w:rPr>
          <w:b/>
          <w:bCs/>
        </w:rPr>
        <w:t xml:space="preserve">Starting point:</w:t>
      </w:r>
      <w:r>
        <w:t xml:space="preserve"> </w:t>
      </w:r>
      <w:r>
        <w:t xml:space="preserve">task and effort.</w:t>
      </w:r>
    </w:p>
    <w:p>
      <w:pPr>
        <w:pStyle w:val="Compact"/>
        <w:numPr>
          <w:ilvl w:val="0"/>
          <w:numId w:val="1002"/>
        </w:numPr>
      </w:pPr>
      <w:r>
        <w:rPr>
          <w:b/>
          <w:bCs/>
        </w:rPr>
        <w:t xml:space="preserve">Non-decision time:</w:t>
      </w:r>
      <w:r>
        <w:t xml:space="preserve"> </w:t>
      </w:r>
      <w:r>
        <w:t xml:space="preserve">an intercept only.</w:t>
      </w:r>
    </w:p>
    <w:p>
      <w:pPr>
        <w:pStyle w:val="FirstParagraph"/>
      </w:pPr>
      <w:r>
        <w:t xml:space="preserve">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selected from a set of nested models that differed in how effort, stimulus type and task entered drift and boundary separation (Table S2;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S13</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S3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pupil-linked state:</w:t>
      </w:r>
    </w:p>
    <w:p>
      <w:pPr>
        <w:pStyle w:val="Compact"/>
        <w:numPr>
          <w:ilvl w:val="0"/>
          <w:numId w:val="1003"/>
        </w:numPr>
      </w:pPr>
      <w:r>
        <w:t xml:space="preserve">P3 refit after removing the slowest 20% of trials in each participant × task cell (P3_rt);</w:t>
      </w:r>
    </w:p>
    <w:p>
      <w:pPr>
        <w:pStyle w:val="Compact"/>
        <w:numPr>
          <w:ilvl w:val="0"/>
          <w:numId w:val="1003"/>
        </w:numPr>
      </w:pPr>
      <w:r>
        <w:t xml:space="preserve">boundary separation predicted from the pupil size in the 0.5 s before the response (P7);</w:t>
      </w:r>
    </w:p>
    <w:p>
      <w:pPr>
        <w:pStyle w:val="Compact"/>
        <w:numPr>
          <w:ilvl w:val="0"/>
          <w:numId w:val="1003"/>
        </w:numPr>
      </w:pPr>
      <w:r>
        <w:t xml:space="preserve">boundary separation predicted from measures that precede the decision: the previous trial’s TEPR within a block (P6) and the grip-period pupil size (P8).</w:t>
      </w:r>
    </w:p>
    <w:p>
      <w:pPr>
        <w:pStyle w:val="FirstParagraph"/>
      </w:pPr>
      <w:r>
        <w:t xml:space="preserve">Effort effects on pupil size were tested with paired</w:t>
      </w:r>
      <w:r>
        <w:t xml:space="preserve"> </w:t>
      </w:r>
      <w:r>
        <w:rPr>
          <w:i/>
          <w:iCs/>
        </w:rPr>
        <w:t xml:space="preserve">t</w:t>
      </w:r>
      <w:r>
        <w:t xml:space="preserve"> </w:t>
      </w:r>
      <w:r>
        <w:t xml:space="preserve">tests on participant means within each task.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w:t>
      </w:r>
    </w:p>
    <w:p>
      <w:pPr>
        <w:pStyle w:val="Compact"/>
        <w:numPr>
          <w:ilvl w:val="0"/>
          <w:numId w:val="1004"/>
        </w:numPr>
      </w:pPr>
      <w:r>
        <w:rPr>
          <w:b/>
          <w:bCs/>
        </w:rPr>
        <w:t xml:space="preserve">Log boundary separation and logit starting point: ±0.05.</w:t>
      </w:r>
      <w:r>
        <w:t xml:space="preserve"> </w:t>
      </w:r>
      <w:r>
        <w:t xml:space="preserve">This is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w:t>
      </w:r>
    </w:p>
    <w:p>
      <w:pPr>
        <w:pStyle w:val="Compact"/>
        <w:numPr>
          <w:ilvl w:val="0"/>
          <w:numId w:val="1004"/>
        </w:numPr>
      </w:pPr>
      <w:r>
        <w:rPr>
          <w:b/>
          <w:bCs/>
        </w:rPr>
        <w:t xml:space="preserve">Drift: ±0.02.</w:t>
      </w:r>
      <w:r>
        <w:t xml:space="preserve"> </w:t>
      </w:r>
      <w:r>
        <w:t xml:space="preserve">This is about 1% of the drift difference between Standard and Easy trials.</w:t>
      </w:r>
    </w:p>
    <w:p>
      <w:pPr>
        <w:pStyle w:val="FirstParagraph"/>
      </w:pPr>
      <w:r>
        <w:t xml:space="preserve">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Afterwards, no observation in any compared model exceeded 0.7.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Models with random effort slopes were singular, so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7"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Allowing the effort effects to differ between tasks did not (M4b vs. M4: ΔELPD = −1.6 ± 1.5;</w:t>
      </w:r>
      <w:r>
        <w:t xml:space="preserve"> </w:t>
      </w:r>
      <w:hyperlink w:anchor="supptbl-model-comparison">
        <w:r>
          <w:rPr>
            <w:rStyle w:val="Hyperlink"/>
          </w:rPr>
          <w:t xml:space="preserve">Table S2</w:t>
        </w:r>
      </w:hyperlink>
      <w:r>
        <w:t xml:space="preserve">). M4 is therefore reported below.</w:t>
      </w:r>
    </w:p>
    <w:p>
      <w:pPr>
        <w:pStyle w:val="BodyText"/>
      </w:pPr>
      <w:r>
        <w:rPr>
          <w:b/>
          <w:bCs/>
        </w:rPr>
        <w:t xml:space="preserve">Stimulus and task effects.</w:t>
      </w:r>
      <w:r>
        <w:t xml:space="preserve"> </w:t>
      </w:r>
      <w:r>
        <w:t xml:space="preserve">The upper boundary corresponds to a</w:t>
      </w:r>
      <w:r>
        <w:t xml:space="preserve"> </w:t>
      </w:r>
      <w:r>
        <w:t xml:space="preserve">“different”</w:t>
      </w:r>
      <w:r>
        <w:t xml:space="preserve"> </w:t>
      </w:r>
      <w:r>
        <w:t xml:space="preserve">response. Drift was therefore negative on Standard trials, where</w:t>
      </w:r>
      <w:r>
        <w:t xml:space="preserve"> </w:t>
      </w:r>
      <w:r>
        <w:t xml:space="preserve">“same”</w:t>
      </w:r>
      <w:r>
        <w:t xml:space="preserve"> </w:t>
      </w:r>
      <w:r>
        <w:t xml:space="preserve">is correct, and positive on Easy trials (</w:t>
      </w:r>
      <w:hyperlink w:anchor="fig-condition-params">
        <w:r>
          <w:rPr>
            <w:rStyle w:val="Hyperlink"/>
          </w:rPr>
          <w:t xml:space="preserve">Figure 2</w:t>
        </w:r>
      </w:hyperlink>
      <w:r>
        <w:t xml:space="preserve">). Drift was also negative on Hard trials (low effort; ADT: v = −0.575, 95% CrI [−0.675, −0.476]; VDT: v = −0.525, 95% CrI [−0.627, −0.425]). These stimuli differed from the standard, but evidence still accumulated toward</w:t>
      </w:r>
      <w:r>
        <w:t xml:space="preserve"> </w:t>
      </w:r>
      <w:r>
        <w:t xml:space="preserve">“same”</w:t>
      </w:r>
      <w:r>
        <w:t xml:space="preserve">, so most Hard trials ended in an incorrect response. Relative to Standard trials, drift was higher on Hard (β = 0.468, 95% CrI [0.396, 0.543], P(β &gt; 0) &gt; .999) and Easy trials (β = 1.828, 95% CrI [1.750, 1.906], P(β &gt; 0) &gt; .999).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Standard, Hard and Easy trials were randomly intermixed, so these boundary differences cannot reflect a setting chosen before the trial</w:t>
      </w:r>
      <w:r>
        <w:t xml:space="preserve"> </w:t>
      </w:r>
      <w:r>
        <w:t xml:space="preserve">(Ratcliff &amp; McKoon, 2008)</w:t>
      </w:r>
      <w:r>
        <w:t xml:space="preserve">. We treat them as descriptive (Section 4.4). Boundary separation did not differ between tasks (β = −0.003, 95% CrI [−0.018, 0.011], P(β &lt; 0) = .680, 100% in ROPE). In both tasks the starting point lay closer to the</w:t>
      </w:r>
      <w:r>
        <w:t xml:space="preserve"> </w:t>
      </w:r>
      <w:r>
        <w:t xml:space="preserve">“different”</w:t>
      </w:r>
      <w:r>
        <w:t xml:space="preserve"> </w:t>
      </w:r>
      <w:r>
        <w:t xml:space="preserve">boundary (ADT:</w:t>
      </w:r>
      <w:r>
        <w:t xml:space="preserve"> </w:t>
      </w:r>
      <w:r>
        <w:rPr>
          <w:i/>
          <w:iCs/>
        </w:rPr>
        <w:t xml:space="preserve">z</w:t>
      </w:r>
      <w:r>
        <w:t xml:space="preserve"> </w:t>
      </w:r>
      <w:r>
        <w:t xml:space="preserve">= 0.552 [0.536, 0.568]; VDT:</w:t>
      </w:r>
      <w:r>
        <w:t xml:space="preserve"> </w:t>
      </w:r>
      <w:r>
        <w:rPr>
          <w:i/>
          <w:iCs/>
        </w:rPr>
        <w:t xml:space="preserve">z</w:t>
      </w:r>
      <w:r>
        <w:t xml:space="preserve"> </w:t>
      </w:r>
      <w:r>
        <w:t xml:space="preserve">= 0.538 [0.522, 0.555]), slightly less so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Effort effects were estimated in the same model and are reported in the same way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High effort shifted drift toward</w:t>
      </w:r>
      <w:r>
        <w:t xml:space="preserve"> </w:t>
      </w:r>
      <w:r>
        <w:t xml:space="preserve">“same”</w:t>
      </w:r>
      <w:r>
        <w:t xml:space="preserve"> </w:t>
      </w:r>
      <w:r>
        <w:t xml:space="preserve">on all trials (drift criterion: β = −0.053, 95% CrI [−0.103, −0.003], P(β &lt; 0) = .981). There was no evidence that it changed how strongly drift separated identical from different stimuli (evidence quality: β = −0.013, 95% CrI [−0.052, 0.028], P(β &lt; 0) = .730), although the interval does not rule out a small decline. Drift decreased on trials with a different comparison stimulus (β = −0.065, 95% CrI [−0.111, −0.021], P(β &lt; 0) = .998); on Standard trials the change was smaller and its interval included zero (β = −0.041, 95% CrI [−0.119, 0.038], P(β &lt; 0) = .845). High effort widened the boundary by +2.0% [0.6, 3.4]. This change lay entirely within the region of practical equivalence (100% in ROPE). The starting point was unchanged (β = −0.005, 95% CrI [−0.048, 0.037], P(β &lt; 0) = .590, 98% in ROPE).</w:t>
      </w:r>
    </w:p>
    <w:p>
      <w:pPr>
        <w:pStyle w:val="BodyText"/>
      </w:pPr>
      <w:r>
        <w:t xml:space="preserve">In observed accuracy, high effort was associated with lower accuracy on Hard trials (High − Low: −4.5 percentage points, 95% CI [−6.6, −2.4], OR = 0.80, p &lt; .001). On Standard trials accuracy was slightly higher, a difference that was not significant (+1.7 percentage points, 95% CI [−0.1, 3.5], OR = 1.23, p = .068). Accuracy on Easy trials did not change (−0.9 percentage points, 95% CI [−2.4, 0.6], OR = 0.92, p = .226;</w:t>
      </w:r>
      <w:r>
        <w:t xml:space="preserve"> </w:t>
      </w:r>
      <w:hyperlink w:anchor="supptbl-acc-contrasts">
        <w:r>
          <w:rPr>
            <w:rStyle w:val="Hyperlink"/>
          </w:rPr>
          <w:t xml:space="preserve">Table S10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214"/>
              <w:gridCol w:w="766"/>
              <w:gridCol w:w="1447"/>
              <w:gridCol w:w="1362"/>
              <w:gridCol w:w="681"/>
              <w:gridCol w:w="1447"/>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Evidence quality was null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S7</w:t>
        </w:r>
      </w:hyperlink>
      <w:r>
        <w:t xml:space="preserve">).</w:t>
      </w:r>
    </w:p>
    <w:bookmarkEnd w:id="39"/>
    <w:bookmarkStart w:id="45" w:name="pupil-linked-decision-dynamics"/>
    <w:p>
      <w:pPr>
        <w:pStyle w:val="Heading2"/>
      </w:pPr>
      <w:r>
        <w:t xml:space="preserve">3.3 Pupil-linked decision dynamics</w:t>
      </w:r>
    </w:p>
    <w:p>
      <w:pPr>
        <w:pStyle w:val="FirstParagraph"/>
      </w:pPr>
      <w:r>
        <w:rPr>
          <w:b/>
          <w:bCs/>
        </w:rPr>
        <w:t xml:space="preserve">Effort and pupil size.</w:t>
      </w:r>
      <w:r>
        <w:t xml:space="preserve"> </w:t>
      </w:r>
      <w:r>
        <w:t xml:space="preserve">High effort dilated the pupil during the grip period in both tasks (ADT:</w:t>
      </w:r>
      <w:r>
        <w:t xml:space="preserve"> </w:t>
      </w:r>
      <w:r>
        <w:rPr>
          <w:i/>
          <w:iCs/>
        </w:rPr>
        <w:t xml:space="preserve">M</w:t>
      </w:r>
      <w:r>
        <w:rPr>
          <w:vertAlign w:val="subscript"/>
        </w:rPr>
        <w:t xml:space="preserve">diff</w:t>
      </w:r>
      <w:r>
        <w:t xml:space="preserve"> </w:t>
      </w:r>
      <w:r>
        <w:t xml:space="preserve">= 0.59, t(27) = 3.37, p = .002; VDT:</w:t>
      </w:r>
      <w:r>
        <w:t xml:space="preserve"> </w:t>
      </w:r>
      <w:r>
        <w:rPr>
          <w:i/>
          <w:iCs/>
        </w:rPr>
        <w:t xml:space="preserve">M</w:t>
      </w:r>
      <w:r>
        <w:rPr>
          <w:vertAlign w:val="subscript"/>
        </w:rPr>
        <w:t xml:space="preserve">diff</w:t>
      </w:r>
      <w:r>
        <w:t xml:space="preserve"> </w:t>
      </w:r>
      <w:r>
        <w:t xml:space="preserve">= 0.21, t(28) = 2.08, p = .047). In the post-probe window, the direction of the effort effect depended on the baseline. Relative to the pre-probe baseline used for the TEPR, the response was smaller under high effort (ADT:</w:t>
      </w:r>
      <w:r>
        <w:t xml:space="preserve"> </w:t>
      </w:r>
      <w:r>
        <w:rPr>
          <w:i/>
          <w:iCs/>
        </w:rPr>
        <w:t xml:space="preserve">M</w:t>
      </w:r>
      <w:r>
        <w:rPr>
          <w:vertAlign w:val="subscript"/>
        </w:rPr>
        <w:t xml:space="preserve">diff</w:t>
      </w:r>
      <w:r>
        <w:t xml:space="preserve"> </w:t>
      </w:r>
      <w:r>
        <w:t xml:space="preserve">= −0.72, t(30) = −2.35, p = .026; VDT:</w:t>
      </w:r>
      <w:r>
        <w:t xml:space="preserve"> </w:t>
      </w:r>
      <w:r>
        <w:rPr>
          <w:i/>
          <w:iCs/>
        </w:rPr>
        <w:t xml:space="preserve">M</w:t>
      </w:r>
      <w:r>
        <w:rPr>
          <w:vertAlign w:val="subscript"/>
        </w:rPr>
        <w:t xml:space="preserve">diff</w:t>
      </w:r>
      <w:r>
        <w:t xml:space="preserve"> </w:t>
      </w:r>
      <w:r>
        <w:t xml:space="preserve">= −0.43, t(29) = −2.40, p = .023). Relative to the pre-squeeze baseline, it was larger in the ADT (</w:t>
      </w:r>
      <w:r>
        <w:rPr>
          <w:i/>
          <w:iCs/>
        </w:rPr>
        <w:t xml:space="preserve">M</w:t>
      </w:r>
      <w:r>
        <w:rPr>
          <w:vertAlign w:val="subscript"/>
        </w:rPr>
        <w:t xml:space="preserve">diff</w:t>
      </w:r>
      <w:r>
        <w:t xml:space="preserve"> </w:t>
      </w:r>
      <w:r>
        <w:t xml:space="preserve">= 1.00, t(30) = 2.45, p = .020) and unchanged in the VDT (</w:t>
      </w:r>
      <w:r>
        <w:rPr>
          <w:i/>
          <w:iCs/>
        </w:rPr>
        <w:t xml:space="preserve">M</w:t>
      </w:r>
      <w:r>
        <w:rPr>
          <w:vertAlign w:val="subscript"/>
        </w:rPr>
        <w:t xml:space="preserve">diff</w:t>
      </w:r>
      <w:r>
        <w:t xml:space="preserve"> </w:t>
      </w:r>
      <w:r>
        <w:t xml:space="preserve">= 0.03, t(29) = 0.10, p = .919;</w:t>
      </w:r>
      <w:r>
        <w:t xml:space="preserve"> </w:t>
      </w:r>
      <w:hyperlink w:anchor="supptbl-pupil-descriptives">
        <w:r>
          <w:rPr>
            <w:rStyle w:val="Hyperlink"/>
          </w:rPr>
          <w:t xml:space="preserve">Table S12</w:t>
        </w:r>
      </w:hyperlink>
      <w:r>
        <w:t xml:space="preserve">;</w:t>
      </w:r>
      <w:r>
        <w:t xml:space="preserve"> </w:t>
      </w:r>
      <w:hyperlink w:anchor="suppfig-tepr">
        <w:r>
          <w:rPr>
            <w:rStyle w:val="Hyperlink"/>
          </w:rPr>
          <w:t xml:space="preserve">Figure S3</w:t>
        </w:r>
      </w:hyperlink>
      <w:r>
        <w:t xml:space="preserve">). In the pupil subsample, high effort widened the boundary (β = 0.030, 95% CrI [0.003, 0.056], P(β &gt; 0) = .984; +3.0% [0.3, 5.8]). The drift criterion shift had the same sign as in the full sample, with a wider interval (β = −0.048, 95% CrI [−0.142, 0.045], P(β &lt; 0) = .840).</w:t>
      </w:r>
    </w:p>
    <w:p>
      <w:pPr>
        <w:pStyle w:val="BodyText"/>
      </w:pPr>
      <w:r>
        <w:rPr>
          <w:b/>
          <w:bCs/>
        </w:rPr>
        <w:t xml:space="preserve">Which parameter tracked the TEPR.</w:t>
      </w:r>
      <w:r>
        <w:t xml:space="preserve"> </w:t>
      </w:r>
      <w:r>
        <w:t xml:space="preserve">Trial-wise TEPR predicted boundary separation. Each within-person SD increase in TEPR widened the boundary by +7.9% [6.5, 9.2] and improved out-of-sample prediction (P3: ΔELPD = 67.9 ± 9.1;</w:t>
      </w:r>
      <w:r>
        <w:t xml:space="preserve"> </w:t>
      </w:r>
      <w:hyperlink w:anchor="fig-pupil-boundary">
        <w:r>
          <w:rPr>
            <w:rStyle w:val="Hyperlink"/>
          </w:rPr>
          <w:t xml:space="preserve">Figure 4</w:t>
        </w:r>
      </w:hyperlink>
      <w:r>
        <w:t xml:space="preserve">;</w:t>
      </w:r>
      <w:r>
        <w:t xml:space="preserve"> </w:t>
      </w:r>
      <w:hyperlink w:anchor="tbl-pupil-ordering">
        <w:r>
          <w:rPr>
            <w:rStyle w:val="Hyperlink"/>
          </w:rPr>
          <w:t xml:space="preserve">Table 3</w:t>
        </w:r>
      </w:hyperlink>
      <w:r>
        <w:t xml:space="preserve">). TEPR did not predict the starting point (P1: β = 0.008, 95% CrI [−0.023, 0.041], P(β &gt; 0) = .695, ΔELPD = −0.2 ± 0.5). In the drift model, higher TEPR was associated with weaker separation between identical and different stimuli (TEPR × stimulus: β = −0.089, 95% CrI [−0.128, −0.050], P(β &lt; 0) &gt; .999), with a smaller and less certain predictive gain (ΔELPD = 8.8 ± 5.1;</w:t>
      </w:r>
      <w:r>
        <w:t xml:space="preserve"> </w:t>
      </w:r>
      <w:hyperlink w:anchor="supptbl-pupil-models">
        <w:r>
          <w:rPr>
            <w:rStyle w:val="Hyperlink"/>
          </w:rPr>
          <w:t xml:space="preserve">Table S11</w:t>
        </w:r>
      </w:hyperlink>
      <w:r>
        <w:t xml:space="preserve">).</w:t>
      </w:r>
    </w:p>
    <w:p>
      <w:pPr>
        <w:pStyle w:val="BodyText"/>
      </w:pPr>
      <w:r>
        <w:rPr>
          <w:b/>
          <w:bCs/>
        </w:rPr>
        <w:t xml:space="preserve">Timing of the TEPR–boundary association.</w:t>
      </w:r>
      <w:r>
        <w:t xml:space="preserve"> </w:t>
      </w:r>
      <w:r>
        <w:t xml:space="preserve">The TEPR window overlapped the response on most trials, and TEPR correlated with RT within participants (r = .30 [.23, .36]). The association with boundary separation remained after the slowest 20% of trials in each participant and task were removed (P3_rt: +5.0% [3.3, 6.7], ΔELPD = 17.6 ± 4.7). Pupil size in the 0.5 s before the response did not predict boundary separation (P7: +1.2% [−0.2, 2.7], ΔELPD = 0.2 ± 1.7). Measures taken before the decision showed small associations in the same direction: previous-trial TEPR (P6: +2.8% [1.3, 4.4], ΔELPD = 6.8 ± 2.7) and pre-squeeze baseline pupil (P5: +1.5% [0.2, 2.9], ΔELPD = 1.7 ± 1.8). Grip-period pupil showed a small association in the opposite direction (P8: −1.7% [−3.1, −0.4], ΔELPD = 2.3 ± 2.0). Of the measures preceding the decision, only the previous-trial TEPR improved prediction by more than two standard errors.</w:t>
      </w:r>
    </w:p>
    <w:tbl>
      <w:tblPr>
        <w:tblStyle w:val="Table"/>
        <w:tblW w:type="pct" w:w="5000"/>
        <w:tblLayout w:type="fixed"/>
        <w:tblLook w:firstRow="0" w:lastRow="0" w:firstColumn="0" w:lastColumn="0" w:noHBand="0" w:noVBand="0" w:val="0000"/>
      </w:tblPr>
      <w:tblGrid>
        <w:gridCol w:w="7920"/>
      </w:tblGrid>
      <w:tr>
        <w:tc>
          <w:tcPr/>
          <w:bookmarkStart w:id="43" w:name="fig-pupil-boundary"/>
          <w:p>
            <w:pPr>
              <w:pStyle w:val="Compact"/>
              <w:jc w:val="center"/>
            </w:pPr>
            <w:r>
              <w:drawing>
                <wp:inline>
                  <wp:extent cx="5334000" cy="2769576"/>
                  <wp:effectExtent b="0" l="0" r="0" t="0"/>
                  <wp:docPr descr="" title="" id="41" name="Picture"/>
                  <a:graphic>
                    <a:graphicData uri="http://schemas.openxmlformats.org/drawingml/2006/picture">
                      <pic:pic>
                        <pic:nvPicPr>
                          <pic:cNvPr descr="../output/ddm_refits/runs/final_20261016/figures/final/F5_pupil_boundary.png" id="42" name="Picture"/>
                          <pic:cNvPicPr>
                            <a:picLocks noChangeArrowheads="1" noChangeAspect="1"/>
                          </pic:cNvPicPr>
                        </pic:nvPicPr>
                        <pic:blipFill>
                          <a:blip r:embed="rId40"/>
                          <a:stretch>
                            <a:fillRect/>
                          </a:stretch>
                        </pic:blipFill>
                        <pic:spPr bwMode="auto">
                          <a:xfrm>
                            <a:off x="0" y="0"/>
                            <a:ext cx="5334000" cy="2769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Pupil measures and boundary separation. Each row is a separate model. Points are posterior median percentage changes in boundary separation per within-person SD of the pupil predictor, and bars are 95% credible intervals. ΔELPD ± SE compares each model with a baseline model fit to the same trials. Upper rows: measures from the current trial; lower rows: measures preceding the current decision.</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upil-ordering"/>
          <w:p>
            <w:pPr>
              <w:jc w:val="center"/>
            </w:pPr>
            <w:pPr>
              <w:jc w:val="left"/>
              <w:spacing w:before="200"/>
              <w:pStyle w:val="ImageCaption"/>
            </w:pPr>
            <w:r>
              <w:t xml:space="preserve">Table 3: Pupil predictors of boundary separation</w:t>
            </w:r>
          </w:p>
          <w:tbl>
            <w:tblPr>
              <w:tblStyle w:val="Table"/>
              <w:tblW w:type="pct" w:w="5000"/>
              <w:tblLayout w:type="fixed"/>
              <w:tblLook w:firstRow="1" w:lastRow="0" w:firstColumn="0" w:lastColumn="0" w:noHBand="0" w:noVBand="0" w:val="0020"/>
            </w:tblPr>
            <w:tblGrid>
              <w:gridCol w:w="409"/>
              <w:gridCol w:w="2731"/>
              <w:gridCol w:w="1638"/>
              <w:gridCol w:w="1297"/>
              <w:gridCol w:w="751"/>
              <w:gridCol w:w="477"/>
              <w:gridCol w:w="614"/>
            </w:tblGrid>
            <w:tr>
              <w:trPr>
                <w:tblHeader w:val="on"/>
              </w:trPr>
              <w:tc>
                <w:tcPr/>
                <w:p>
                  <w:pPr>
                    <w:pStyle w:val="Compact"/>
                    <w:jc w:val="left"/>
                    <w:jc w:val="center"/>
                  </w:pPr>
                  <w:r>
                    <w:t xml:space="preserve">Model</w:t>
                  </w:r>
                </w:p>
              </w:tc>
              <w:tc>
                <w:tcPr/>
                <w:p>
                  <w:pPr>
                    <w:pStyle w:val="Compact"/>
                    <w:jc w:val="right"/>
                    <w:jc w:val="center"/>
                  </w:pPr>
                  <w:r>
                    <w:t xml:space="preserve">Predictor</w:t>
                  </w:r>
                </w:p>
              </w:tc>
              <w:tc>
                <w:tcPr/>
                <w:p>
                  <w:pPr>
                    <w:pStyle w:val="Compact"/>
                    <w:jc w:val="right"/>
                    <w:jc w:val="center"/>
                  </w:pPr>
                  <w:r>
                    <w:t xml:space="preserve">Estimate [95% CrI]</w:t>
                  </w:r>
                </w:p>
              </w:tc>
              <w:tc>
                <w:tcPr/>
                <w:p>
                  <w:pPr>
                    <w:pStyle w:val="Compact"/>
                    <w:jc w:val="right"/>
                    <w:jc w:val="center"/>
                  </w:pPr>
                  <w:r>
                    <w:t xml:space="preserve">Change in a</w:t>
                  </w:r>
                </w:p>
              </w:tc>
              <w:tc>
                <w:tcPr/>
                <w:p>
                  <w:pPr>
                    <w:pStyle w:val="Compact"/>
                    <w:jc w:val="right"/>
                    <w:jc w:val="center"/>
                  </w:pPr>
                  <w:r>
                    <w:t xml:space="preserve">ΔELPD ± SE</w:t>
                  </w:r>
                </w:p>
              </w:tc>
              <w:tc>
                <w:tcPr/>
                <w:p>
                  <w:pPr>
                    <w:pStyle w:val="Compact"/>
                    <w:jc w:val="right"/>
                    <w:jc w:val="center"/>
                  </w:pPr>
                  <w:r>
                    <w:t xml:space="preserve">Trials</w:t>
                  </w:r>
                </w:p>
              </w:tc>
              <w:tc>
                <w:tcPr/>
                <w:p>
                  <w:pPr>
                    <w:pStyle w:val="Compact"/>
                    <w:jc w:val="right"/>
                    <w:jc w:val="center"/>
                  </w:pPr>
                  <w:r>
                    <w:t xml:space="preserve">Subjects</w:t>
                  </w:r>
                </w:p>
              </w:tc>
            </w:tr>
            <w:tr>
              <w:tc>
                <w:tcPr/>
                <w:p>
                  <w:pPr>
                    <w:pStyle w:val="Compact"/>
                    <w:jc w:val="left"/>
                    <w:jc w:val="center"/>
                  </w:pPr>
                  <w:r>
                    <w:t xml:space="preserve">P3</w:t>
                  </w:r>
                </w:p>
              </w:tc>
              <w:tc>
                <w:tcPr/>
                <w:p>
                  <w:pPr>
                    <w:pStyle w:val="Compact"/>
                    <w:jc w:val="right"/>
                    <w:jc w:val="center"/>
                  </w:pPr>
                  <w:r>
                    <w:t xml:space="preserve">Post-probe TEPR (0.3–3.3 s after probe)</w:t>
                  </w:r>
                </w:p>
              </w:tc>
              <w:tc>
                <w:tcPr/>
                <w:p>
                  <w:pPr>
                    <w:pStyle w:val="Compact"/>
                    <w:jc w:val="right"/>
                    <w:jc w:val="center"/>
                  </w:pPr>
                  <w:r>
                    <w:t xml:space="preserve">0.076 [0.063, 0.088]</w:t>
                  </w:r>
                </w:p>
              </w:tc>
              <w:tc>
                <w:tcPr/>
                <w:p>
                  <w:pPr>
                    <w:pStyle w:val="Compact"/>
                    <w:jc w:val="right"/>
                    <w:jc w:val="center"/>
                  </w:pPr>
                  <w:r>
                    <w:t xml:space="preserve">+7.9% [6.5, 9.2]</w:t>
                  </w:r>
                </w:p>
              </w:tc>
              <w:tc>
                <w:tcPr/>
                <w:p>
                  <w:pPr>
                    <w:pStyle w:val="Compact"/>
                    <w:jc w:val="right"/>
                    <w:jc w:val="center"/>
                  </w:pPr>
                  <w:r>
                    <w:t xml:space="preserve">67.9 ± 9.1</w:t>
                  </w:r>
                </w:p>
              </w:tc>
              <w:tc>
                <w:tcPr/>
                <w:p>
                  <w:pPr>
                    <w:pStyle w:val="Compact"/>
                    <w:jc w:val="right"/>
                    <w:jc w:val="center"/>
                  </w:pPr>
                  <w:r>
                    <w:t xml:space="preserve">4,935</w:t>
                  </w:r>
                </w:p>
              </w:tc>
              <w:tc>
                <w:tcPr/>
                <w:p>
                  <w:pPr>
                    <w:pStyle w:val="Compact"/>
                    <w:jc w:val="right"/>
                    <w:jc w:val="center"/>
                  </w:pPr>
                  <w:r>
                    <w:t xml:space="preserve">43</w:t>
                  </w:r>
                </w:p>
              </w:tc>
            </w:tr>
            <w:tr>
              <w:tc>
                <w:tcPr/>
                <w:p>
                  <w:pPr>
                    <w:pStyle w:val="Compact"/>
                    <w:jc w:val="left"/>
                    <w:jc w:val="center"/>
                  </w:pPr>
                  <w:r>
                    <w:t xml:space="preserve">P3_rt</w:t>
                  </w:r>
                </w:p>
              </w:tc>
              <w:tc>
                <w:tcPr/>
                <w:p>
                  <w:pPr>
                    <w:pStyle w:val="Compact"/>
                    <w:jc w:val="right"/>
                    <w:jc w:val="center"/>
                  </w:pPr>
                  <w:r>
                    <w:t xml:space="preserve">Post-probe TEPR, slowest 20% removed</w:t>
                  </w:r>
                </w:p>
              </w:tc>
              <w:tc>
                <w:tcPr/>
                <w:p>
                  <w:pPr>
                    <w:pStyle w:val="Compact"/>
                    <w:jc w:val="right"/>
                    <w:jc w:val="center"/>
                  </w:pPr>
                  <w:r>
                    <w:t xml:space="preserve">0.049 [0.033, 0.064]</w:t>
                  </w:r>
                </w:p>
              </w:tc>
              <w:tc>
                <w:tcPr/>
                <w:p>
                  <w:pPr>
                    <w:pStyle w:val="Compact"/>
                    <w:jc w:val="right"/>
                    <w:jc w:val="center"/>
                  </w:pPr>
                  <w:r>
                    <w:t xml:space="preserve">+5.0% [3.3, 6.7]</w:t>
                  </w:r>
                </w:p>
              </w:tc>
              <w:tc>
                <w:tcPr/>
                <w:p>
                  <w:pPr>
                    <w:pStyle w:val="Compact"/>
                    <w:jc w:val="right"/>
                    <w:jc w:val="center"/>
                  </w:pPr>
                  <w:r>
                    <w:t xml:space="preserve">17.6 ± 4.7</w:t>
                  </w:r>
                </w:p>
              </w:tc>
              <w:tc>
                <w:tcPr/>
                <w:p>
                  <w:pPr>
                    <w:pStyle w:val="Compact"/>
                    <w:jc w:val="right"/>
                    <w:jc w:val="center"/>
                  </w:pPr>
                  <w:r>
                    <w:t xml:space="preserve">3,973</w:t>
                  </w:r>
                </w:p>
              </w:tc>
              <w:tc>
                <w:tcPr/>
                <w:p>
                  <w:pPr>
                    <w:pStyle w:val="Compact"/>
                    <w:jc w:val="right"/>
                    <w:jc w:val="center"/>
                  </w:pPr>
                  <w:r>
                    <w:t xml:space="preserve">43</w:t>
                  </w:r>
                </w:p>
              </w:tc>
            </w:tr>
            <w:tr>
              <w:tc>
                <w:tcPr/>
                <w:p>
                  <w:pPr>
                    <w:pStyle w:val="Compact"/>
                    <w:jc w:val="left"/>
                    <w:jc w:val="center"/>
                  </w:pPr>
                  <w:r>
                    <w:t xml:space="preserve">P7</w:t>
                  </w:r>
                </w:p>
              </w:tc>
              <w:tc>
                <w:tcPr/>
                <w:p>
                  <w:pPr>
                    <w:pStyle w:val="Compact"/>
                    <w:jc w:val="right"/>
                    <w:jc w:val="center"/>
                  </w:pPr>
                  <w:r>
                    <w:t xml:space="preserve">Pre-response window (0.5 s)</w:t>
                  </w:r>
                </w:p>
              </w:tc>
              <w:tc>
                <w:tcPr/>
                <w:p>
                  <w:pPr>
                    <w:pStyle w:val="Compact"/>
                    <w:jc w:val="right"/>
                    <w:jc w:val="center"/>
                  </w:pPr>
                  <w:r>
                    <w:t xml:space="preserve">0.012 [−0.002, 0.027]</w:t>
                  </w:r>
                </w:p>
              </w:tc>
              <w:tc>
                <w:tcPr/>
                <w:p>
                  <w:pPr>
                    <w:pStyle w:val="Compact"/>
                    <w:jc w:val="right"/>
                    <w:jc w:val="center"/>
                  </w:pPr>
                  <w:r>
                    <w:t xml:space="preserve">+1.2% [−0.2, 2.7]</w:t>
                  </w:r>
                </w:p>
              </w:tc>
              <w:tc>
                <w:tcPr/>
                <w:p>
                  <w:pPr>
                    <w:pStyle w:val="Compact"/>
                    <w:jc w:val="right"/>
                    <w:jc w:val="center"/>
                  </w:pPr>
                  <w:r>
                    <w:t xml:space="preserve">0.2 ± 1.7</w:t>
                  </w:r>
                </w:p>
              </w:tc>
              <w:tc>
                <w:tcPr/>
                <w:p>
                  <w:pPr>
                    <w:pStyle w:val="Compact"/>
                    <w:jc w:val="right"/>
                    <w:jc w:val="center"/>
                  </w:pPr>
                  <w:r>
                    <w:t xml:space="preserve">3,799</w:t>
                  </w:r>
                </w:p>
              </w:tc>
              <w:tc>
                <w:tcPr/>
                <w:p>
                  <w:pPr>
                    <w:pStyle w:val="Compact"/>
                    <w:jc w:val="right"/>
                    <w:jc w:val="center"/>
                  </w:pPr>
                  <w:r>
                    <w:t xml:space="preserve">43</w:t>
                  </w:r>
                </w:p>
              </w:tc>
            </w:tr>
            <w:tr>
              <w:tc>
                <w:tcPr/>
                <w:p>
                  <w:pPr>
                    <w:pStyle w:val="Compact"/>
                    <w:jc w:val="left"/>
                    <w:jc w:val="center"/>
                  </w:pPr>
                  <w:r>
                    <w:t xml:space="preserve">P6</w:t>
                  </w:r>
                </w:p>
              </w:tc>
              <w:tc>
                <w:tcPr/>
                <w:p>
                  <w:pPr>
                    <w:pStyle w:val="Compact"/>
                    <w:jc w:val="right"/>
                    <w:jc w:val="center"/>
                  </w:pPr>
                  <w:r>
                    <w:t xml:space="preserve">Previous-trial TEPR</w:t>
                  </w:r>
                </w:p>
              </w:tc>
              <w:tc>
                <w:tcPr/>
                <w:p>
                  <w:pPr>
                    <w:pStyle w:val="Compact"/>
                    <w:jc w:val="right"/>
                    <w:jc w:val="center"/>
                  </w:pPr>
                  <w:r>
                    <w:t xml:space="preserve">0.028 [0.013, 0.043]</w:t>
                  </w:r>
                </w:p>
              </w:tc>
              <w:tc>
                <w:tcPr/>
                <w:p>
                  <w:pPr>
                    <w:pStyle w:val="Compact"/>
                    <w:jc w:val="right"/>
                    <w:jc w:val="center"/>
                  </w:pPr>
                  <w:r>
                    <w:t xml:space="preserve">+2.8% [1.3, 4.4]</w:t>
                  </w:r>
                </w:p>
              </w:tc>
              <w:tc>
                <w:tcPr/>
                <w:p>
                  <w:pPr>
                    <w:pStyle w:val="Compact"/>
                    <w:jc w:val="right"/>
                    <w:jc w:val="center"/>
                  </w:pPr>
                  <w:r>
                    <w:t xml:space="preserve">6.8 ± 2.7</w:t>
                  </w:r>
                </w:p>
              </w:tc>
              <w:tc>
                <w:tcPr/>
                <w:p>
                  <w:pPr>
                    <w:pStyle w:val="Compact"/>
                    <w:jc w:val="right"/>
                    <w:jc w:val="center"/>
                  </w:pPr>
                  <w:r>
                    <w:t xml:space="preserve">3,842</w:t>
                  </w:r>
                </w:p>
              </w:tc>
              <w:tc>
                <w:tcPr/>
                <w:p>
                  <w:pPr>
                    <w:pStyle w:val="Compact"/>
                    <w:jc w:val="right"/>
                    <w:jc w:val="center"/>
                  </w:pPr>
                  <w:r>
                    <w:t xml:space="preserve">43</w:t>
                  </w:r>
                </w:p>
              </w:tc>
            </w:tr>
            <w:tr>
              <w:tc>
                <w:tcPr/>
                <w:p>
                  <w:pPr>
                    <w:pStyle w:val="Compact"/>
                    <w:jc w:val="left"/>
                    <w:jc w:val="center"/>
                  </w:pPr>
                  <w:r>
                    <w:t xml:space="preserve">P5</w:t>
                  </w:r>
                </w:p>
              </w:tc>
              <w:tc>
                <w:tcPr/>
                <w:p>
                  <w:pPr>
                    <w:pStyle w:val="Compact"/>
                    <w:jc w:val="right"/>
                    <w:jc w:val="center"/>
                  </w:pPr>
                  <w:r>
                    <w:t xml:space="preserve">Pre-trial baseline pupil</w:t>
                  </w:r>
                </w:p>
              </w:tc>
              <w:tc>
                <w:tcPr/>
                <w:p>
                  <w:pPr>
                    <w:pStyle w:val="Compact"/>
                    <w:jc w:val="right"/>
                    <w:jc w:val="center"/>
                  </w:pPr>
                  <w:r>
                    <w:t xml:space="preserve">0.015 [0.002, 0.029]</w:t>
                  </w:r>
                </w:p>
              </w:tc>
              <w:tc>
                <w:tcPr/>
                <w:p>
                  <w:pPr>
                    <w:pStyle w:val="Compact"/>
                    <w:jc w:val="right"/>
                    <w:jc w:val="center"/>
                  </w:pPr>
                  <w:r>
                    <w:t xml:space="preserve">+1.5% [0.2, 2.9]</w:t>
                  </w:r>
                </w:p>
              </w:tc>
              <w:tc>
                <w:tcPr/>
                <w:p>
                  <w:pPr>
                    <w:pStyle w:val="Compact"/>
                    <w:jc w:val="right"/>
                    <w:jc w:val="center"/>
                  </w:pPr>
                  <w:r>
                    <w:t xml:space="preserve">1.7 ± 1.8</w:t>
                  </w:r>
                </w:p>
              </w:tc>
              <w:tc>
                <w:tcPr/>
                <w:p>
                  <w:pPr>
                    <w:pStyle w:val="Compact"/>
                    <w:jc w:val="right"/>
                    <w:jc w:val="center"/>
                  </w:pPr>
                  <w:r>
                    <w:t xml:space="preserve">4,488</w:t>
                  </w:r>
                </w:p>
              </w:tc>
              <w:tc>
                <w:tcPr/>
                <w:p>
                  <w:pPr>
                    <w:pStyle w:val="Compact"/>
                    <w:jc w:val="right"/>
                    <w:jc w:val="center"/>
                  </w:pPr>
                  <w:r>
                    <w:t xml:space="preserve">43</w:t>
                  </w:r>
                </w:p>
              </w:tc>
            </w:tr>
            <w:tr>
              <w:tc>
                <w:tcPr/>
                <w:p>
                  <w:pPr>
                    <w:pStyle w:val="Compact"/>
                    <w:jc w:val="left"/>
                    <w:jc w:val="center"/>
                  </w:pPr>
                  <w:r>
                    <w:t xml:space="preserve">P8</w:t>
                  </w:r>
                </w:p>
              </w:tc>
              <w:tc>
                <w:tcPr/>
                <w:p>
                  <w:pPr>
                    <w:pStyle w:val="Compact"/>
                    <w:jc w:val="right"/>
                    <w:jc w:val="center"/>
                  </w:pPr>
                  <w:r>
                    <w:t xml:space="preserve">Grip-period pupil</w:t>
                  </w:r>
                </w:p>
              </w:tc>
              <w:tc>
                <w:tcPr/>
                <w:p>
                  <w:pPr>
                    <w:pStyle w:val="Compact"/>
                    <w:jc w:val="right"/>
                    <w:jc w:val="center"/>
                  </w:pPr>
                  <w:r>
                    <w:t xml:space="preserve">−0.017 [−0.031, −0.004]</w:t>
                  </w:r>
                </w:p>
              </w:tc>
              <w:tc>
                <w:tcPr/>
                <w:p>
                  <w:pPr>
                    <w:pStyle w:val="Compact"/>
                    <w:jc w:val="right"/>
                    <w:jc w:val="center"/>
                  </w:pPr>
                  <w:r>
                    <w:t xml:space="preserve">−1.7% [−3.1, −0.4]</w:t>
                  </w:r>
                </w:p>
              </w:tc>
              <w:tc>
                <w:tcPr/>
                <w:p>
                  <w:pPr>
                    <w:pStyle w:val="Compact"/>
                    <w:jc w:val="right"/>
                    <w:jc w:val="center"/>
                  </w:pPr>
                  <w:r>
                    <w:t xml:space="preserve">2.3 ± 2.0</w:t>
                  </w:r>
                </w:p>
              </w:tc>
              <w:tc>
                <w:tcPr/>
                <w:p>
                  <w:pPr>
                    <w:pStyle w:val="Compact"/>
                    <w:jc w:val="right"/>
                    <w:jc w:val="center"/>
                  </w:pPr>
                  <w:r>
                    <w:t xml:space="preserve">4,209</w:t>
                  </w:r>
                </w:p>
              </w:tc>
              <w:tc>
                <w:tcPr/>
                <w:p>
                  <w:pPr>
                    <w:pStyle w:val="Compact"/>
                    <w:jc w:val="right"/>
                    <w:jc w:val="center"/>
                  </w:pPr>
                  <w:r>
                    <w:t xml:space="preserve">42</w:t>
                  </w:r>
                </w:p>
              </w:tc>
            </w:tr>
          </w:tbl>
          <w:p>
            <w:pPr>
              <w:jc w:val="center"/>
            </w:pPr>
            <w:r>
              <w:rPr>
                <w:i/>
                <w:iCs/>
              </w:rPr>
              <w:t xml:space="preserve">Note.</w:t>
            </w:r>
            <w:r>
              <w:t xml:space="preserve"> </w:t>
            </w:r>
            <w:r>
              <w:t xml:space="preserve">Each row is a separate model. Estimates are slopes on log boundary separation per within-person SD of the predictor, with the percentage change in a. ΔELPD ± SE is relative to a baseline model without the pupil predictor, fit to the same trials. Trial counts differ because each predictor requires its own valid window.</w:t>
            </w:r>
          </w:p>
          <w:bookmarkEnd w:id="44"/>
        </w:tc>
      </w:tr>
    </w:tbl>
    <w:bookmarkEnd w:id="45"/>
    <w:bookmarkStart w:id="46"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S6</w:t>
        </w:r>
      </w:hyperlink>
      <w:r>
        <w:t xml:space="preserve">). It fit the RT distributions less well. 27.5% of observed RT quantiles fell inside the 95% predictive intervals, and observed median RTs were on average 175 ms slower than predicted (</w:t>
      </w:r>
      <w:hyperlink w:anchor="suppfig-ppc">
        <w:r>
          <w:rPr>
            <w:rStyle w:val="Hyperlink"/>
          </w:rPr>
          <w:t xml:space="preserve">Figure S2</w:t>
        </w:r>
      </w:hyperlink>
      <w:r>
        <w:t xml:space="preserve">). The misfit was concentrated in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Non-decision time tracked the RT cutoff: 0.483 s, 0.527 s and 0.572 s at cutoffs of 0.15 s, 0.20 s and 0.25 s.</w:t>
      </w:r>
    </w:p>
    <w:bookmarkEnd w:id="46"/>
    <w:bookmarkEnd w:id="47"/>
    <w:bookmarkStart w:id="53"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High effort did not credibly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 Within the pupil subsample, trials with a larger task-evoked pupil response had wider boundaries. The timing of that association, however, does not show that pupil-linked arousal preceded the adjustment.</w:t>
      </w:r>
    </w:p>
    <w:bookmarkStart w:id="48" w:name="X0024cfef18c622aa4bd1438fdfef7b9ed17390c"/>
    <w:p>
      <w:pPr>
        <w:pStyle w:val="Heading2"/>
      </w:pPr>
      <w:r>
        <w:t xml:space="preserve">4.1 Effort shifted the drift criterion, not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Its interval allowed a small decline but not a large one. The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the criterion shift lowers drift on trials with a different probe, so those trials more often end in</w:t>
      </w:r>
      <w:r>
        <w:t xml:space="preserve"> </w:t>
      </w:r>
      <w:r>
        <w:t xml:space="preserve">“same”</w:t>
      </w:r>
      <w:r>
        <w:t xml:space="preserve">. On Standard trials the same shift moves drift further toward the correct response. The accuracy pattern follows from this. The Hard-trial cost is the change that a capacity account would predict, but here it arises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which suggested that the two draw on separate resources at these effort levels.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8"/>
    <w:bookmarkStart w:id="49" w:name="effort-and-pupil-linked-arousal"/>
    <w:p>
      <w:pPr>
        <w:pStyle w:val="Heading2"/>
      </w:pPr>
      <w:r>
        <w:t xml:space="preserve">4.2 Effort and pupil-linked arousal</w:t>
      </w:r>
    </w:p>
    <w:p>
      <w:pPr>
        <w:pStyle w:val="FirstParagraph"/>
      </w:pPr>
      <w:r>
        <w:t xml:space="preserve">High effort increased pupil size during the grip in both tasks, consistent with evidence that isometric handgrip engages the noradrenergic arousal system</w:t>
      </w:r>
      <w:r>
        <w:t xml:space="preserve"> </w:t>
      </w:r>
      <w:r>
        <w:t xml:space="preserve">(Mather et al., 2020)</w:t>
      </w:r>
      <w:r>
        <w:t xml:space="preserve">. The effect on the post-probe response depended on the baseline. Relative to the pupil size just before the probe, the response was smaller under high effort. Relative to the pupil size before the squeeze, it was larger in the auditory task. Together these indicate that high effort raised the pupil level that carried into the decision, and that the response to the probe added less on top of that level. Larger baseline pupil size has been associated with smaller task-evoked responses</w:t>
      </w:r>
      <w:r>
        <w:t xml:space="preserve"> </w:t>
      </w:r>
      <w:r>
        <w:t xml:space="preserve">(Gilzenrat et al., 2010)</w:t>
      </w:r>
      <w:r>
        <w:t xml:space="preserve">, in line with adaptive gain theory’s distinction between tonic and phasic arousal</w:t>
      </w:r>
      <w:r>
        <w:t xml:space="preserve"> </w:t>
      </w:r>
      <w:r>
        <w:t xml:space="preserve">(Aston-Jones &amp; Cohen, 2005)</w:t>
      </w:r>
      <w:r>
        <w:t xml:space="preserve">. Our design cannot separate a change in phasic responding from a ceiling on dilation. The smaller post-probe response therefore should not be read as lower arousal.</w:t>
      </w:r>
    </w:p>
    <w:bookmarkEnd w:id="49"/>
    <w:bookmarkStart w:id="50" w:name="the-teprboundary-association"/>
    <w:p>
      <w:pPr>
        <w:pStyle w:val="Heading2"/>
      </w:pPr>
      <w:r>
        <w:t xml:space="preserve">4.3 The TEPR–boundary association</w:t>
      </w:r>
    </w:p>
    <w:p>
      <w:pPr>
        <w:pStyle w:val="FirstParagraph"/>
      </w:pPr>
      <w:r>
        <w:t xml:space="preserve">Trial-wise TEPR predicted boundary separation better than any other pupil measure. This parallels work in which larger pupil dilation on high-conflict choices in a reinforcement-learning task predicted higher decision thresholds</w:t>
      </w:r>
      <w:r>
        <w:t xml:space="preserve"> </w:t>
      </w:r>
      <w:r>
        <w:t xml:space="preserve">(Cavanagh et al., 2014)</w:t>
      </w:r>
      <w:r>
        <w:t xml:space="preserve">. Three results argue against reading the association as arousal causing caution:</w:t>
      </w:r>
    </w:p>
    <w:p>
      <w:pPr>
        <w:pStyle w:val="Compact"/>
        <w:numPr>
          <w:ilvl w:val="0"/>
          <w:numId w:val="1005"/>
        </w:numPr>
      </w:pPr>
      <w:r>
        <w:rPr>
          <w:b/>
          <w:bCs/>
        </w:rPr>
        <w:t xml:space="preserve">Overlap with decision time.</w:t>
      </w:r>
      <w:r>
        <w:t xml:space="preserve"> </w:t>
      </w:r>
      <w:r>
        <w:t xml:space="preserve">The TEPR window overlapped the response, and TEPR correlated with RT within participants. A wider boundary lengthens the decision, and a longer decision lets more of the pupil response accumulate in the window. The association weakened when the slowest trials were removed, although it did not disappear.</w:t>
      </w:r>
    </w:p>
    <w:p>
      <w:pPr>
        <w:pStyle w:val="Compact"/>
        <w:numPr>
          <w:ilvl w:val="0"/>
          <w:numId w:val="1005"/>
        </w:numPr>
      </w:pPr>
      <w:r>
        <w:rPr>
          <w:b/>
          <w:bCs/>
        </w:rPr>
        <w:t xml:space="preserve">No signal just before the response.</w:t>
      </w:r>
      <w:r>
        <w:t xml:space="preserve"> </w:t>
      </w:r>
      <w:r>
        <w:t xml:space="preserve">Pupil size in the 0.5 s before the response did not predict boundary separation.</w:t>
      </w:r>
    </w:p>
    <w:p>
      <w:pPr>
        <w:pStyle w:val="Compact"/>
        <w:numPr>
          <w:ilvl w:val="0"/>
          <w:numId w:val="1005"/>
        </w:numPr>
      </w:pPr>
      <w:r>
        <w:rPr>
          <w:b/>
          <w:bCs/>
        </w:rPr>
        <w:t xml:space="preserve">Weak predictive gain from earlier measures.</w:t>
      </w:r>
      <w:r>
        <w:t xml:space="preserve"> </w:t>
      </w:r>
      <w:r>
        <w:t xml:space="preserve">Measures taken before the decision showed associations in the same direction. Only the previous-trial TEPR improved prediction reliably, and it may reflect the carry-over of slow decisions from one trial to the next rather than arousal.</w:t>
      </w:r>
    </w:p>
    <w:p>
      <w:pPr>
        <w:pStyle w:val="FirstParagraph"/>
      </w:pPr>
      <w:r>
        <w:t xml:space="preserve">The TEPR was also associated with weaker separation of identical and different stimuli in the drift model. This fits evidence that post-decision pupil responses scale with decision uncertainty</w:t>
      </w:r>
      <w:r>
        <w:t xml:space="preserve"> </w:t>
      </w:r>
      <w:r>
        <w:t xml:space="preserve">(Urai et al., 2017)</w:t>
      </w:r>
      <w:r>
        <w:t xml:space="preserve">. Taken together, the TEPR tracked how long and how uncertain a decision was. Whether arousal before the decision sets the boundary remains open.</w:t>
      </w:r>
    </w:p>
    <w:bookmarkEnd w:id="50"/>
    <w:bookmarkStart w:id="51"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43 of the 67 participants, selected on recording quality, and they are correlational at the level of trials. The effort effects in that subsample matched the full sample in direction. The TEPR window included post-decision processing, and the grip-period measure combined arousal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arousal.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bookmarkEnd w:id="51"/>
    <w:bookmarkStart w:id="52"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It did not reduce the quality of the evidence accumulated or change response caution in a meaningful way. Larger task-evoked pupil responses accompanied wider decision boundaries from trial to trial, but this association mainly tracked decision duration and uncertainty. It does not show that arousal set the boundary.</w:t>
      </w:r>
    </w:p>
    <w:bookmarkEnd w:id="52"/>
    <w:bookmarkEnd w:id="53"/>
    <w:bookmarkStart w:id="118" w:name="references"/>
    <w:p>
      <w:pPr>
        <w:pStyle w:val="Heading1"/>
      </w:pPr>
      <w:r>
        <w:t xml:space="preserve">References</w:t>
      </w:r>
    </w:p>
    <w:bookmarkStart w:id="117" w:name="refs"/>
    <w:bookmarkStart w:id="5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4">
        <w:r>
          <w:rPr>
            <w:rStyle w:val="Hyperlink"/>
          </w:rPr>
          <w:t xml:space="preserve">https://doi.org/10.1146/annurev.neuro.28.061604.135709</w:t>
        </w:r>
      </w:hyperlink>
    </w:p>
    <w:bookmarkEnd w:id="55"/>
    <w:bookmarkStart w:id="57"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6">
        <w:r>
          <w:rPr>
            <w:rStyle w:val="Hyperlink"/>
          </w:rPr>
          <w:t xml:space="preserve">https://doi.org/10.31234/osf.io/et9a2</w:t>
        </w:r>
      </w:hyperlink>
    </w:p>
    <w:bookmarkEnd w:id="57"/>
    <w:bookmarkStart w:id="5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8">
        <w:r>
          <w:rPr>
            <w:rStyle w:val="Hyperlink"/>
          </w:rPr>
          <w:t xml:space="preserve">https://doi.org/10.1037/pag0000730</w:t>
        </w:r>
      </w:hyperlink>
    </w:p>
    <w:bookmarkEnd w:id="59"/>
    <w:bookmarkStart w:id="61" w:name="ref-azer2022joint"/>
    <w:p>
      <w:pPr>
        <w:pStyle w:val="Bibliography"/>
      </w:pPr>
      <w:r>
        <w:t xml:space="preserve">Azer, L., &amp; Zhang, W. (2022). Joint effects of physical effort and cognitive effort on pupil size.</w:t>
      </w:r>
      <w:r>
        <w:t xml:space="preserve"> </w:t>
      </w:r>
      <w:r>
        <w:rPr>
          <w:i/>
          <w:iCs/>
        </w:rPr>
        <w:t xml:space="preserve">Journal of Vision</w:t>
      </w:r>
      <w:r>
        <w:t xml:space="preserve">,</w:t>
      </w:r>
      <w:r>
        <w:t xml:space="preserve"> </w:t>
      </w:r>
      <w:r>
        <w:rPr>
          <w:i/>
          <w:iCs/>
        </w:rPr>
        <w:t xml:space="preserve">22</w:t>
      </w:r>
      <w:r>
        <w:t xml:space="preserve">(14), 3645–3645.</w:t>
      </w:r>
      <w:r>
        <w:t xml:space="preserve"> </w:t>
      </w:r>
      <w:hyperlink r:id="rId60">
        <w:r>
          <w:rPr>
            <w:rStyle w:val="Hyperlink"/>
          </w:rPr>
          <w:t xml:space="preserve">https://doi.org/10.1167/jov.22.14.3645</w:t>
        </w:r>
      </w:hyperlink>
    </w:p>
    <w:bookmarkEnd w:id="61"/>
    <w:bookmarkStart w:id="63"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62">
        <w:r>
          <w:rPr>
            <w:rStyle w:val="Hyperlink"/>
          </w:rPr>
          <w:t xml:space="preserve">https://doi.org/10.1016/j.jml.2012.11.001</w:t>
        </w:r>
      </w:hyperlink>
    </w:p>
    <w:bookmarkEnd w:id="63"/>
    <w:bookmarkStart w:id="65"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64">
        <w:r>
          <w:rPr>
            <w:rStyle w:val="Hyperlink"/>
          </w:rPr>
          <w:t xml:space="preserve">https://doi.org/10.48550/arXiv.1506.04967</w:t>
        </w:r>
      </w:hyperlink>
    </w:p>
    <w:bookmarkEnd w:id="65"/>
    <w:bookmarkStart w:id="67"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6">
        <w:r>
          <w:rPr>
            <w:rStyle w:val="Hyperlink"/>
          </w:rPr>
          <w:t xml:space="preserve">https://doi.org/10.18637/jss.v067.i01</w:t>
        </w:r>
      </w:hyperlink>
    </w:p>
    <w:bookmarkEnd w:id="67"/>
    <w:bookmarkStart w:id="69"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8">
        <w:r>
          <w:rPr>
            <w:rStyle w:val="Hyperlink"/>
          </w:rPr>
          <w:t xml:space="preserve">https://doi.org/10.1037/0033-2909.91.2.276</w:t>
        </w:r>
      </w:hyperlink>
    </w:p>
    <w:bookmarkEnd w:id="69"/>
    <w:bookmarkStart w:id="70" w:name="ref-brainard1997psychophysics"/>
    <w:p>
      <w:pPr>
        <w:pStyle w:val="Bibliography"/>
      </w:pPr>
      <w:r>
        <w:t xml:space="preserve">Brainard, D. H.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70"/>
    <w:bookmarkStart w:id="72"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71">
        <w:r>
          <w:rPr>
            <w:rStyle w:val="Hyperlink"/>
          </w:rPr>
          <w:t xml:space="preserve">https://doi.org/10.1037/met0000159</w:t>
        </w:r>
      </w:hyperlink>
    </w:p>
    <w:bookmarkEnd w:id="72"/>
    <w:bookmarkStart w:id="74"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3">
        <w:r>
          <w:rPr>
            <w:rStyle w:val="Hyperlink"/>
          </w:rPr>
          <w:t xml:space="preserve">https://doi.org/10.18637/jss.v080.i01</w:t>
        </w:r>
      </w:hyperlink>
    </w:p>
    <w:bookmarkEnd w:id="74"/>
    <w:bookmarkStart w:id="76"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75">
        <w:r>
          <w:rPr>
            <w:rStyle w:val="Hyperlink"/>
          </w:rPr>
          <w:t xml:space="preserve">https://doi.org/10.1037/a0035813</w:t>
        </w:r>
      </w:hyperlink>
    </w:p>
    <w:bookmarkEnd w:id="76"/>
    <w:bookmarkStart w:id="78"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7">
        <w:r>
          <w:rPr>
            <w:rStyle w:val="Hyperlink"/>
          </w:rPr>
          <w:t xml:space="preserve">https://doi.org/10.3758/s13415-020-00843-z</w:t>
        </w:r>
      </w:hyperlink>
    </w:p>
    <w:bookmarkEnd w:id="78"/>
    <w:bookmarkStart w:id="80"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9">
        <w:r>
          <w:rPr>
            <w:rStyle w:val="Hyperlink"/>
          </w:rPr>
          <w:t xml:space="preserve">https://doi.org/10.7554/eLife.54014</w:t>
        </w:r>
      </w:hyperlink>
    </w:p>
    <w:bookmarkEnd w:id="80"/>
    <w:bookmarkStart w:id="82"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81">
        <w:r>
          <w:rPr>
            <w:rStyle w:val="Hyperlink"/>
          </w:rPr>
          <w:t xml:space="preserve">https://doi.org/10.3758/CABN.10.2.252</w:t>
        </w:r>
      </w:hyperlink>
    </w:p>
    <w:bookmarkEnd w:id="82"/>
    <w:bookmarkStart w:id="84"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83">
        <w:r>
          <w:rPr>
            <w:rStyle w:val="Hyperlink"/>
          </w:rPr>
          <w:t xml:space="preserve">https://doi.org/10.1093/geronb/gbr129</w:t>
        </w:r>
      </w:hyperlink>
    </w:p>
    <w:bookmarkEnd w:id="84"/>
    <w:bookmarkStart w:id="86"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85">
        <w:r>
          <w:rPr>
            <w:rStyle w:val="Hyperlink"/>
          </w:rPr>
          <w:t xml:space="preserve">https://doi.org/10.1016/j.neuron.2015.11.028</w:t>
        </w:r>
      </w:hyperlink>
    </w:p>
    <w:bookmarkEnd w:id="86"/>
    <w:bookmarkStart w:id="87" w:name="ref-kahneman1973attention"/>
    <w:p>
      <w:pPr>
        <w:pStyle w:val="Bibliography"/>
      </w:pPr>
      <w:r>
        <w:t xml:space="preserve">Kahneman, D. (1973).</w:t>
      </w:r>
      <w:r>
        <w:t xml:space="preserve"> </w:t>
      </w:r>
      <w:r>
        <w:rPr>
          <w:i/>
          <w:iCs/>
        </w:rPr>
        <w:t xml:space="preserve">Attention and effort</w:t>
      </w:r>
      <w:r>
        <w:t xml:space="preserve"> </w:t>
      </w:r>
      <w:r>
        <w:t xml:space="preserve">(Vol. 1063). Citeseer.</w:t>
      </w:r>
    </w:p>
    <w:bookmarkEnd w:id="87"/>
    <w:bookmarkStart w:id="88" w:name="ref-kleiner2007s"/>
    <w:p>
      <w:pPr>
        <w:pStyle w:val="Bibliography"/>
      </w:pPr>
      <w:r>
        <w:t xml:space="preserve">Kleiner, M., Brainard, D., &amp; Pelli, D. (2007).</w:t>
      </w:r>
      <w:r>
        <w:t xml:space="preserve"> </w:t>
      </w:r>
      <w:r>
        <w:rPr>
          <w:i/>
          <w:iCs/>
        </w:rPr>
        <w:t xml:space="preserve">What’s new in psychtoolbox-3?</w:t>
      </w:r>
    </w:p>
    <w:bookmarkEnd w:id="88"/>
    <w:bookmarkStart w:id="90"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89">
        <w:r>
          <w:rPr>
            <w:rStyle w:val="Hyperlink"/>
          </w:rPr>
          <w:t xml:space="preserve">https://doi.org/10.1177/2515245918771304</w:t>
        </w:r>
      </w:hyperlink>
    </w:p>
    <w:bookmarkEnd w:id="90"/>
    <w:bookmarkStart w:id="92" w:name="ref-lenth2024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91">
        <w:r>
          <w:rPr>
            <w:rStyle w:val="Hyperlink"/>
          </w:rPr>
          <w:t xml:space="preserve">https://doi.org/10.32614/CRAN.package.emmeans</w:t>
        </w:r>
      </w:hyperlink>
    </w:p>
    <w:bookmarkEnd w:id="92"/>
    <w:bookmarkStart w:id="94"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93">
        <w:r>
          <w:rPr>
            <w:rStyle w:val="Hyperlink"/>
          </w:rPr>
          <w:t xml:space="preserve">https://doi.org/10.1016/j.neuroimage.2020.116560</w:t>
        </w:r>
      </w:hyperlink>
    </w:p>
    <w:bookmarkEnd w:id="94"/>
    <w:bookmarkStart w:id="96"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95">
        <w:r>
          <w:rPr>
            <w:rStyle w:val="Hyperlink"/>
          </w:rPr>
          <w:t xml:space="preserve">https://doi.org/10.5334/joc.18</w:t>
        </w:r>
      </w:hyperlink>
    </w:p>
    <w:bookmarkEnd w:id="96"/>
    <w:bookmarkStart w:id="9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7">
        <w:r>
          <w:rPr>
            <w:rStyle w:val="Hyperlink"/>
          </w:rPr>
          <w:t xml:space="preserve">https://doi.org/10.1162/neco.2008.12-06-420</w:t>
        </w:r>
      </w:hyperlink>
    </w:p>
    <w:bookmarkEnd w:id="98"/>
    <w:bookmarkStart w:id="10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9">
        <w:r>
          <w:rPr>
            <w:rStyle w:val="Hyperlink"/>
          </w:rPr>
          <w:t xml:space="preserve">https://doi.org/10.1037/0882-7974.16.2.323</w:t>
        </w:r>
      </w:hyperlink>
    </w:p>
    <w:bookmarkEnd w:id="100"/>
    <w:bookmarkStart w:id="102"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101">
        <w:r>
          <w:rPr>
            <w:rStyle w:val="Hyperlink"/>
          </w:rPr>
          <w:t xml:space="preserve">https://doi.org/10.3758/BF03196302</w:t>
        </w:r>
      </w:hyperlink>
    </w:p>
    <w:bookmarkEnd w:id="102"/>
    <w:bookmarkStart w:id="104"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103">
        <w:r>
          <w:rPr>
            <w:rStyle w:val="Hyperlink"/>
          </w:rPr>
          <w:t xml:space="preserve">https://mc-stan.org/docs/cmdstan-guide/</w:t>
        </w:r>
      </w:hyperlink>
    </w:p>
    <w:bookmarkEnd w:id="104"/>
    <w:bookmarkStart w:id="105"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w:t>
      </w:r>
    </w:p>
    <w:bookmarkEnd w:id="105"/>
    <w:bookmarkStart w:id="107" w:name="ref-theisen2021age"/>
    <w:p>
      <w:pPr>
        <w:pStyle w:val="Bibliography"/>
      </w:pPr>
      <w:r>
        <w:t xml:space="preserve">Theisen, M., Lerche, V., Krause, M. von, &amp; Voss, A.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6">
        <w:r>
          <w:rPr>
            <w:rStyle w:val="Hyperlink"/>
          </w:rPr>
          <w:t xml:space="preserve">https://doi.org/10.1007/s00426-020-01371-8</w:t>
        </w:r>
      </w:hyperlink>
    </w:p>
    <w:bookmarkEnd w:id="107"/>
    <w:bookmarkStart w:id="109"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8">
        <w:r>
          <w:rPr>
            <w:rStyle w:val="Hyperlink"/>
          </w:rPr>
          <w:t xml:space="preserve">https://doi.org/10.1038/ncomms14637</w:t>
        </w:r>
      </w:hyperlink>
    </w:p>
    <w:bookmarkEnd w:id="109"/>
    <w:bookmarkStart w:id="110" w:name="ref-vehtari2017practical"/>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p>
    <w:bookmarkEnd w:id="110"/>
    <w:bookmarkStart w:id="112"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11">
        <w:r>
          <w:rPr>
            <w:rStyle w:val="Hyperlink"/>
          </w:rPr>
          <w:t xml:space="preserve">https://doi.org/10.1214/20-BA1221</w:t>
        </w:r>
      </w:hyperlink>
    </w:p>
    <w:bookmarkEnd w:id="112"/>
    <w:bookmarkStart w:id="114"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13">
        <w:r>
          <w:rPr>
            <w:rStyle w:val="Hyperlink"/>
          </w:rPr>
          <w:t xml:space="preserve">https://doi.org/10.1037/0882-7974.18.3.443</w:t>
        </w:r>
      </w:hyperlink>
    </w:p>
    <w:bookmarkEnd w:id="114"/>
    <w:bookmarkStart w:id="116"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5">
        <w:r>
          <w:rPr>
            <w:rStyle w:val="Hyperlink"/>
          </w:rPr>
          <w:t xml:space="preserve">https://doi.org/10.1518/001872008X288394</w:t>
        </w:r>
      </w:hyperlink>
    </w:p>
    <w:bookmarkEnd w:id="116"/>
    <w:bookmarkEnd w:id="117"/>
    <w:bookmarkEnd w:id="118"/>
    <w:bookmarkStart w:id="154" w:name="supplementary-materials"/>
    <w:p>
      <w:pPr>
        <w:pStyle w:val="Heading1"/>
      </w:pPr>
      <w:r>
        <w:t xml:space="preserve">Supplementary Materials</w:t>
      </w:r>
    </w:p>
    <w:bookmarkStart w:id="124" w:name="s1-participant-and-trial-flow"/>
    <w:p>
      <w:pPr>
        <w:pStyle w:val="Heading2"/>
      </w:pPr>
      <w:r>
        <w:t xml:space="preserve">S1 Participant and trial flow</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22" w:name="suppfig-flow"/>
          <w:p>
            <w:pPr>
              <w:jc w:val="center"/>
            </w:pPr>
            <w:r>
              <w:drawing>
                <wp:inline>
                  <wp:extent cx="5334000" cy="6574465"/>
                  <wp:effectExtent b="0" l="0" r="0" t="0"/>
                  <wp:docPr descr="" title="" id="120" name="Picture"/>
                  <a:graphic>
                    <a:graphicData uri="http://schemas.openxmlformats.org/drawingml/2006/picture">
                      <pic:pic>
                        <pic:nvPicPr>
                          <pic:cNvPr descr="../output/ddm_refits/runs/final_20261016/figures/final/S_participant_flow.png" id="121" name="Picture"/>
                          <pic:cNvPicPr>
                            <a:picLocks noChangeArrowheads="1" noChangeAspect="1"/>
                          </pic:cNvPicPr>
                        </pic:nvPicPr>
                        <pic:blipFill>
                          <a:blip r:embed="rId119"/>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supptbl-trial-counts"/>
          <w:p>
            <w:pPr>
              <w:jc w:val="center"/>
            </w:pPr>
            <w:pPr>
              <w:jc w:val="left"/>
              <w:spacing w:before="200"/>
              <w:pStyle w:val="ImageCaption"/>
            </w:pPr>
            <w:r>
              <w:t xml:space="preserve">Table S1: Trials in the primary analysis by task, stimulus type and effort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Trials per subject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23"/>
          <w:p/>
        </w:tc>
      </w:tr>
    </w:tbl>
    <w:bookmarkEnd w:id="124"/>
    <w:bookmarkStart w:id="129" w:name="s2-model-comparison-and-convergence"/>
    <w:p>
      <w:pPr>
        <w:pStyle w:val="Heading2"/>
      </w:pPr>
      <w:r>
        <w:t xml:space="preserve">S2 Model comparison and convergence</w:t>
      </w:r>
    </w:p>
    <w:p>
      <w:pPr>
        <w:pStyle w:val="FirstParagraph"/>
      </w:pPr>
      <w:r>
        <w:t xml:space="preserve">Table S2 compares the nested behavioral models, and Table S3 lists convergence diagnostics for every model reported in the chapter. Tables S4 and S5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25" w:name="supptbl-model-comparison"/>
          <w:p>
            <w:pPr>
              <w:jc w:val="center"/>
            </w:pPr>
            <w:pPr>
              <w:jc w:val="left"/>
              <w:spacing w:before="200"/>
              <w:pStyle w:val="ImageCaption"/>
            </w:pPr>
            <w:r>
              <w:t xml:space="preserve">Table S2: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52"/>
              <w:gridCol w:w="828"/>
              <w:gridCol w:w="552"/>
              <w:gridCol w:w="1565"/>
              <w:gridCol w:w="1105"/>
              <w:gridCol w:w="736"/>
              <w:gridCol w:w="920"/>
              <w:gridCol w:w="1197"/>
              <w:gridCol w:w="460"/>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Delta ELPD vs M4</w:t>
                  </w:r>
                </w:p>
              </w:tc>
              <w:tc>
                <w:tcPr/>
                <w:p>
                  <w:pPr>
                    <w:pStyle w:val="Compact"/>
                    <w:jc w:val="right"/>
                    <w:jc w:val="center"/>
                  </w:pPr>
                  <w:r>
                    <w:t xml:space="preserve">SE of delta</w:t>
                  </w:r>
                </w:p>
              </w:tc>
              <w:tc>
                <w:tcPr/>
                <w:p>
                  <w:pPr>
                    <w:pStyle w:val="Compact"/>
                    <w:jc w:val="right"/>
                    <w:jc w:val="center"/>
                  </w:pPr>
                  <w:r>
                    <w:t xml:space="preserve">k &gt; 0.7</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p>
            <w:pPr>
              <w:jc w:val="center"/>
            </w:pPr>
            <w:r>
              <w:rPr>
                <w:i/>
                <w:iCs/>
              </w:rPr>
              <w:t xml:space="preserve">Note.</w:t>
            </w:r>
            <w:r>
              <w:t xml:space="preserve"> </w:t>
            </w:r>
            <w:r>
              <w:t xml:space="preserve">M0 NA M1 NA M2 NA M3 NA M4 NA M4b NA</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convergence"/>
          <w:p>
            <w:pPr>
              <w:jc w:val="center"/>
            </w:pPr>
            <w:pPr>
              <w:jc w:val="left"/>
              <w:spacing w:before="200"/>
              <w:pStyle w:val="ImageCaption"/>
            </w:pPr>
            <w:r>
              <w:t xml:space="preserve">Table S3: Convergence diagnostics for all reported models</w:t>
            </w:r>
          </w:p>
          <w:tbl>
            <w:tblPr>
              <w:tblStyle w:val="Table"/>
              <w:tblW w:type="pct" w:w="5000"/>
              <w:tblLayout w:type="fixed"/>
              <w:tblLook w:firstRow="1" w:lastRow="0" w:firstColumn="0" w:lastColumn="0" w:noHBand="0" w:noVBand="0" w:val="0020"/>
            </w:tblPr>
            <w:tblGrid>
              <w:gridCol w:w="1029"/>
              <w:gridCol w:w="2692"/>
              <w:gridCol w:w="792"/>
              <w:gridCol w:w="1029"/>
              <w:gridCol w:w="1029"/>
              <w:gridCol w:w="950"/>
              <w:gridCol w:w="396"/>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w:t>
                  </w:r>
                </w:p>
              </w:tc>
              <w:tc>
                <w:tcPr/>
                <w:p>
                  <w:pPr>
                    <w:pStyle w:val="Compact"/>
                    <w:jc w:val="right"/>
                    <w:jc w:val="center"/>
                  </w:pPr>
                  <w:r>
                    <w:t xml:space="preserve">pupil (baseline)</w:t>
                  </w:r>
                </w:p>
              </w:tc>
              <w:tc>
                <w:tcPr/>
                <w:p>
                  <w:pPr>
                    <w:pStyle w:val="Compact"/>
                    <w:jc w:val="right"/>
                    <w:jc w:val="center"/>
                  </w:pPr>
                  <w:r>
                    <w:t xml:space="preserve">1.006</w:t>
                  </w:r>
                </w:p>
              </w:tc>
              <w:tc>
                <w:tcPr/>
                <w:p>
                  <w:pPr>
                    <w:pStyle w:val="Compact"/>
                    <w:jc w:val="right"/>
                    <w:jc w:val="center"/>
                  </w:pPr>
                  <w:r>
                    <w:t xml:space="preserve">1,394</w:t>
                  </w:r>
                </w:p>
              </w:tc>
              <w:tc>
                <w:tcPr/>
                <w:p>
                  <w:pPr>
                    <w:pStyle w:val="Compact"/>
                    <w:jc w:val="right"/>
                    <w:jc w:val="center"/>
                  </w:pPr>
                  <w:r>
                    <w:t xml:space="preserve">2,610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P0_base</w:t>
                  </w:r>
                </w:p>
              </w:tc>
              <w:tc>
                <w:tcPr/>
                <w:p>
                  <w:pPr>
                    <w:pStyle w:val="Compact"/>
                    <w:jc w:val="right"/>
                    <w:jc w:val="center"/>
                  </w:pPr>
                  <w:r>
                    <w:t xml:space="preserve">pupil-ordering baseline</w:t>
                  </w:r>
                </w:p>
              </w:tc>
              <w:tc>
                <w:tcPr/>
                <w:p>
                  <w:pPr>
                    <w:pStyle w:val="Compact"/>
                    <w:jc w:val="right"/>
                    <w:jc w:val="center"/>
                  </w:pPr>
                  <w:r>
                    <w:t xml:space="preserve">1.009</w:t>
                  </w:r>
                </w:p>
              </w:tc>
              <w:tc>
                <w:tcPr/>
                <w:p>
                  <w:pPr>
                    <w:pStyle w:val="Compact"/>
                    <w:jc w:val="right"/>
                    <w:jc w:val="center"/>
                  </w:pPr>
                  <w:r>
                    <w:t xml:space="preserve">1,550</w:t>
                  </w:r>
                </w:p>
              </w:tc>
              <w:tc>
                <w:tcPr/>
                <w:p>
                  <w:pPr>
                    <w:pStyle w:val="Compact"/>
                    <w:jc w:val="right"/>
                    <w:jc w:val="center"/>
                  </w:pPr>
                  <w:r>
                    <w:t xml:space="preserve">2,831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P0_rt</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1,776</w:t>
                  </w:r>
                </w:p>
              </w:tc>
              <w:tc>
                <w:tcPr/>
                <w:p>
                  <w:pPr>
                    <w:pStyle w:val="Compact"/>
                    <w:jc w:val="right"/>
                    <w:jc w:val="center"/>
                  </w:pPr>
                  <w:r>
                    <w:t xml:space="preserve">3,652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P0_lag</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1,216</w:t>
                  </w:r>
                </w:p>
              </w:tc>
              <w:tc>
                <w:tcPr/>
                <w:p>
                  <w:pPr>
                    <w:pStyle w:val="Compact"/>
                    <w:jc w:val="right"/>
                    <w:jc w:val="center"/>
                  </w:pPr>
                  <w:r>
                    <w:t xml:space="preserve">2,231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P0_pre</w:t>
                  </w:r>
                </w:p>
              </w:tc>
              <w:tc>
                <w:tcPr/>
                <w:p>
                  <w:pPr>
                    <w:pStyle w:val="Compact"/>
                    <w:jc w:val="right"/>
                    <w:jc w:val="center"/>
                  </w:pPr>
                  <w:r>
                    <w:t xml:space="preserve">pupil-ordering baseline</w:t>
                  </w:r>
                </w:p>
              </w:tc>
              <w:tc>
                <w:tcPr/>
                <w:p>
                  <w:pPr>
                    <w:pStyle w:val="Compact"/>
                    <w:jc w:val="right"/>
                    <w:jc w:val="center"/>
                  </w:pPr>
                  <w:r>
                    <w:t xml:space="preserve">1.006</w:t>
                  </w:r>
                </w:p>
              </w:tc>
              <w:tc>
                <w:tcPr/>
                <w:p>
                  <w:pPr>
                    <w:pStyle w:val="Compact"/>
                    <w:jc w:val="right"/>
                    <w:jc w:val="center"/>
                  </w:pPr>
                  <w:r>
                    <w:t xml:space="preserve">1,537</w:t>
                  </w:r>
                </w:p>
              </w:tc>
              <w:tc>
                <w:tcPr/>
                <w:p>
                  <w:pPr>
                    <w:pStyle w:val="Compact"/>
                    <w:jc w:val="right"/>
                    <w:jc w:val="center"/>
                  </w:pPr>
                  <w:r>
                    <w:t xml:space="preserve">3,115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P0_grip</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1,683</w:t>
                  </w:r>
                </w:p>
              </w:tc>
              <w:tc>
                <w:tcPr/>
                <w:p>
                  <w:pPr>
                    <w:pStyle w:val="Compact"/>
                    <w:jc w:val="right"/>
                    <w:jc w:val="center"/>
                  </w:pPr>
                  <w:r>
                    <w:t xml:space="preserve">3,105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P1</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1,414</w:t>
                  </w:r>
                </w:p>
              </w:tc>
              <w:tc>
                <w:tcPr/>
                <w:p>
                  <w:pPr>
                    <w:pStyle w:val="Compact"/>
                    <w:jc w:val="right"/>
                    <w:jc w:val="center"/>
                  </w:pPr>
                  <w:r>
                    <w:t xml:space="preserve">2,405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P2</w:t>
                  </w:r>
                </w:p>
              </w:tc>
              <w:tc>
                <w:tcPr/>
                <w:p>
                  <w:pPr>
                    <w:pStyle w:val="Compact"/>
                    <w:jc w:val="right"/>
                    <w:jc w:val="center"/>
                  </w:pPr>
                  <w:r>
                    <w:t xml:space="preserve">pupil</w:t>
                  </w:r>
                </w:p>
              </w:tc>
              <w:tc>
                <w:tcPr/>
                <w:p>
                  <w:pPr>
                    <w:pStyle w:val="Compact"/>
                    <w:jc w:val="right"/>
                    <w:jc w:val="center"/>
                  </w:pPr>
                  <w:r>
                    <w:t xml:space="preserve">1.007</w:t>
                  </w:r>
                </w:p>
              </w:tc>
              <w:tc>
                <w:tcPr/>
                <w:p>
                  <w:pPr>
                    <w:pStyle w:val="Compact"/>
                    <w:jc w:val="right"/>
                    <w:jc w:val="center"/>
                  </w:pPr>
                  <w:r>
                    <w:t xml:space="preserve">1,248</w:t>
                  </w:r>
                </w:p>
              </w:tc>
              <w:tc>
                <w:tcPr/>
                <w:p>
                  <w:pPr>
                    <w:pStyle w:val="Compact"/>
                    <w:jc w:val="right"/>
                    <w:jc w:val="center"/>
                  </w:pPr>
                  <w:r>
                    <w:t xml:space="preserve">2,264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w:t>
                  </w:r>
                </w:p>
              </w:tc>
              <w:tc>
                <w:tcPr/>
                <w:p>
                  <w:pPr>
                    <w:pStyle w:val="Compact"/>
                    <w:jc w:val="right"/>
                    <w:jc w:val="center"/>
                  </w:pPr>
                  <w:r>
                    <w:t xml:space="preserve">pupil (main pupil result)</w:t>
                  </w:r>
                </w:p>
              </w:tc>
              <w:tc>
                <w:tcPr/>
                <w:p>
                  <w:pPr>
                    <w:pStyle w:val="Compact"/>
                    <w:jc w:val="right"/>
                    <w:jc w:val="center"/>
                  </w:pPr>
                  <w:r>
                    <w:t xml:space="preserve">1.006</w:t>
                  </w:r>
                </w:p>
              </w:tc>
              <w:tc>
                <w:tcPr/>
                <w:p>
                  <w:pPr>
                    <w:pStyle w:val="Compact"/>
                    <w:jc w:val="right"/>
                    <w:jc w:val="center"/>
                  </w:pPr>
                  <w:r>
                    <w:t xml:space="preserve">1,177</w:t>
                  </w:r>
                </w:p>
              </w:tc>
              <w:tc>
                <w:tcPr/>
                <w:p>
                  <w:pPr>
                    <w:pStyle w:val="Compact"/>
                    <w:jc w:val="right"/>
                    <w:jc w:val="center"/>
                  </w:pPr>
                  <w:r>
                    <w:t xml:space="preserve">2,476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P3_rt</w:t>
                  </w:r>
                </w:p>
              </w:tc>
              <w:tc>
                <w:tcPr/>
                <w:p>
                  <w:pPr>
                    <w:pStyle w:val="Compact"/>
                    <w:jc w:val="right"/>
                    <w:jc w:val="center"/>
                  </w:pPr>
                  <w:r>
                    <w:t xml:space="preserve">pupil-ordering</w:t>
                  </w:r>
                </w:p>
              </w:tc>
              <w:tc>
                <w:tcPr/>
                <w:p>
                  <w:pPr>
                    <w:pStyle w:val="Compact"/>
                    <w:jc w:val="right"/>
                    <w:jc w:val="center"/>
                  </w:pPr>
                  <w:r>
                    <w:t xml:space="preserve">1.006</w:t>
                  </w:r>
                </w:p>
              </w:tc>
              <w:tc>
                <w:tcPr/>
                <w:p>
                  <w:pPr>
                    <w:pStyle w:val="Compact"/>
                    <w:jc w:val="right"/>
                    <w:jc w:val="center"/>
                  </w:pPr>
                  <w:r>
                    <w:t xml:space="preserve">1,799</w:t>
                  </w:r>
                </w:p>
              </w:tc>
              <w:tc>
                <w:tcPr/>
                <w:p>
                  <w:pPr>
                    <w:pStyle w:val="Compact"/>
                    <w:jc w:val="right"/>
                    <w:jc w:val="center"/>
                  </w:pPr>
                  <w:r>
                    <w:t xml:space="preserve">3,223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P4</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1,602</w:t>
                  </w:r>
                </w:p>
              </w:tc>
              <w:tc>
                <w:tcPr/>
                <w:p>
                  <w:pPr>
                    <w:pStyle w:val="Compact"/>
                    <w:jc w:val="right"/>
                    <w:jc w:val="center"/>
                  </w:pPr>
                  <w:r>
                    <w:t xml:space="preserve">2,943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P5</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1,561</w:t>
                  </w:r>
                </w:p>
              </w:tc>
              <w:tc>
                <w:tcPr/>
                <w:p>
                  <w:pPr>
                    <w:pStyle w:val="Compact"/>
                    <w:jc w:val="right"/>
                    <w:jc w:val="center"/>
                  </w:pPr>
                  <w:r>
                    <w:t xml:space="preserve">3,064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P6</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1,341</w:t>
                  </w:r>
                </w:p>
              </w:tc>
              <w:tc>
                <w:tcPr/>
                <w:p>
                  <w:pPr>
                    <w:pStyle w:val="Compact"/>
                    <w:jc w:val="right"/>
                    <w:jc w:val="center"/>
                  </w:pPr>
                  <w:r>
                    <w:t xml:space="preserve">2,780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P7</w:t>
                  </w:r>
                </w:p>
              </w:tc>
              <w:tc>
                <w:tcPr/>
                <w:p>
                  <w:pPr>
                    <w:pStyle w:val="Compact"/>
                    <w:jc w:val="right"/>
                    <w:jc w:val="center"/>
                  </w:pPr>
                  <w:r>
                    <w:t xml:space="preserve">pupil-ordering</w:t>
                  </w:r>
                </w:p>
              </w:tc>
              <w:tc>
                <w:tcPr/>
                <w:p>
                  <w:pPr>
                    <w:pStyle w:val="Compact"/>
                    <w:jc w:val="right"/>
                    <w:jc w:val="center"/>
                  </w:pPr>
                  <w:r>
                    <w:t xml:space="preserve">1.006</w:t>
                  </w:r>
                </w:p>
              </w:tc>
              <w:tc>
                <w:tcPr/>
                <w:p>
                  <w:pPr>
                    <w:pStyle w:val="Compact"/>
                    <w:jc w:val="right"/>
                    <w:jc w:val="center"/>
                  </w:pPr>
                  <w:r>
                    <w:t xml:space="preserve">1,355</w:t>
                  </w:r>
                </w:p>
              </w:tc>
              <w:tc>
                <w:tcPr/>
                <w:p>
                  <w:pPr>
                    <w:pStyle w:val="Compact"/>
                    <w:jc w:val="right"/>
                    <w:jc w:val="center"/>
                  </w:pPr>
                  <w:r>
                    <w:t xml:space="preserve">2,750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P8</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1,639</w:t>
                  </w:r>
                </w:p>
              </w:tc>
              <w:tc>
                <w:tcPr/>
                <w:p>
                  <w:pPr>
                    <w:pStyle w:val="Compact"/>
                    <w:jc w:val="right"/>
                    <w:jc w:val="center"/>
                  </w:pPr>
                  <w:r>
                    <w:t xml:space="preserve">3,276</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fixef-m4"/>
          <w:p>
            <w:pPr>
              <w:jc w:val="center"/>
            </w:pPr>
            <w:pPr>
              <w:jc w:val="left"/>
              <w:spacing w:before="200"/>
              <w:pStyle w:val="ImageCaption"/>
            </w:pPr>
            <w:r>
              <w:t xml:space="preserve">Table S4: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ondition-cells"/>
          <w:p>
            <w:pPr>
              <w:jc w:val="center"/>
            </w:pPr>
            <w:pPr>
              <w:jc w:val="left"/>
              <w:spacing w:before="200"/>
              <w:pStyle w:val="ImageCaption"/>
            </w:pPr>
            <w:r>
              <w:t xml:space="preserve">Table S5: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28"/>
        </w:tc>
      </w:tr>
    </w:tbl>
    <w:bookmarkEnd w:id="129"/>
    <w:bookmarkStart w:id="135" w:name="s3-posterior-predictive-checks"/>
    <w:p>
      <w:pPr>
        <w:pStyle w:val="Heading2"/>
      </w:pPr>
      <w:r>
        <w:t xml:space="preserve">S3 Posterior predictive checks</w:t>
      </w:r>
    </w:p>
    <w:p>
      <w:pPr>
        <w:pStyle w:val="FirstParagraph"/>
      </w:pPr>
      <w:r>
        <w:t xml:space="preserve">M4 reproduced choice proportions closely (Table S6;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33" w:name="suppfig-ppc"/>
          <w:p>
            <w:pPr>
              <w:jc w:val="center"/>
            </w:pPr>
            <w:r>
              <w:drawing>
                <wp:inline>
                  <wp:extent cx="5334000" cy="4461163"/>
                  <wp:effectExtent b="0" l="0" r="0" t="0"/>
                  <wp:docPr descr="" title="" id="131" name="Picture"/>
                  <a:graphic>
                    <a:graphicData uri="http://schemas.openxmlformats.org/drawingml/2006/picture">
                      <pic:pic>
                        <pic:nvPicPr>
                          <pic:cNvPr descr="../output/ddm_refits/runs/final_20261016/figures/final/S_ppc_M4.png" id="132" name="Picture"/>
                          <pic:cNvPicPr>
                            <a:picLocks noChangeArrowheads="1" noChangeAspect="1"/>
                          </pic:cNvPicPr>
                        </pic:nvPicPr>
                        <pic:blipFill>
                          <a:blip r:embed="rId130"/>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ppc-choice"/>
          <w:p>
            <w:pPr>
              <w:jc w:val="center"/>
            </w:pPr>
            <w:pPr>
              <w:jc w:val="left"/>
              <w:spacing w:before="200"/>
              <w:pStyle w:val="ImageCaption"/>
            </w:pPr>
            <w:r>
              <w:t xml:space="preserve">Table S6: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0.303</w:t>
                  </w:r>
                </w:p>
              </w:tc>
              <w:tc>
                <w:tcPr/>
                <w:p>
                  <w:pPr>
                    <w:pStyle w:val="Compact"/>
                    <w:jc w:val="right"/>
                    <w:jc w:val="center"/>
                  </w:pPr>
                  <w:r>
                    <w:t xml:space="preserve">0.291</w:t>
                  </w:r>
                </w:p>
              </w:tc>
              <w:tc>
                <w:tcPr/>
                <w:p>
                  <w:pPr>
                    <w:pStyle w:val="Compact"/>
                    <w:jc w:val="right"/>
                    <w:jc w:val="center"/>
                  </w:pPr>
                  <w:r>
                    <w:t xml:space="preserve">[0.269, 0.317]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0.812</w:t>
                  </w:r>
                </w:p>
              </w:tc>
              <w:tc>
                <w:tcPr/>
                <w:p>
                  <w:pPr>
                    <w:pStyle w:val="Compact"/>
                    <w:jc w:val="right"/>
                    <w:jc w:val="center"/>
                  </w:pPr>
                  <w:r>
                    <w:t xml:space="preserve">0.827</w:t>
                  </w:r>
                </w:p>
              </w:tc>
              <w:tc>
                <w:tcPr/>
                <w:p>
                  <w:pPr>
                    <w:pStyle w:val="Compact"/>
                    <w:jc w:val="right"/>
                    <w:jc w:val="center"/>
                  </w:pPr>
                  <w:r>
                    <w:t xml:space="preserve">[0.808, 0.851]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0.121</w:t>
                  </w:r>
                </w:p>
              </w:tc>
              <w:tc>
                <w:tcPr/>
                <w:p>
                  <w:pPr>
                    <w:pStyle w:val="Compact"/>
                    <w:jc w:val="right"/>
                    <w:jc w:val="center"/>
                  </w:pPr>
                  <w:r>
                    <w:t xml:space="preserve">0.113</w:t>
                  </w:r>
                </w:p>
              </w:tc>
              <w:tc>
                <w:tcPr/>
                <w:p>
                  <w:pPr>
                    <w:pStyle w:val="Compact"/>
                    <w:jc w:val="right"/>
                    <w:jc w:val="center"/>
                  </w:pPr>
                  <w:r>
                    <w:t xml:space="preserve">[0.088, 0.138]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0.831</w:t>
                  </w:r>
                </w:p>
              </w:tc>
              <w:tc>
                <w:tcPr/>
                <w:p>
                  <w:pPr>
                    <w:pStyle w:val="Compact"/>
                    <w:jc w:val="right"/>
                    <w:jc w:val="center"/>
                  </w:pPr>
                  <w:r>
                    <w:t xml:space="preserve">0.844</w:t>
                  </w:r>
                </w:p>
              </w:tc>
              <w:tc>
                <w:tcPr/>
                <w:p>
                  <w:pPr>
                    <w:pStyle w:val="Compact"/>
                    <w:jc w:val="right"/>
                    <w:jc w:val="center"/>
                  </w:pPr>
                  <w:r>
                    <w:t xml:space="preserve">[0.825, 0.864]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0.261</w:t>
                  </w:r>
                </w:p>
              </w:tc>
              <w:tc>
                <w:tcPr/>
                <w:p>
                  <w:pPr>
                    <w:pStyle w:val="Compact"/>
                    <w:jc w:val="right"/>
                    <w:jc w:val="center"/>
                  </w:pPr>
                  <w:r>
                    <w:t xml:space="preserve">0.261</w:t>
                  </w:r>
                </w:p>
              </w:tc>
              <w:tc>
                <w:tcPr/>
                <w:p>
                  <w:pPr>
                    <w:pStyle w:val="Compact"/>
                    <w:jc w:val="right"/>
                    <w:jc w:val="center"/>
                  </w:pPr>
                  <w:r>
                    <w:t xml:space="preserve">[0.235, 0.288]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0.153</w:t>
                  </w:r>
                </w:p>
              </w:tc>
              <w:tc>
                <w:tcPr/>
                <w:p>
                  <w:pPr>
                    <w:pStyle w:val="Compact"/>
                    <w:jc w:val="right"/>
                    <w:jc w:val="center"/>
                  </w:pPr>
                  <w:r>
                    <w:t xml:space="preserve">0.128</w:t>
                  </w:r>
                </w:p>
              </w:tc>
              <w:tc>
                <w:tcPr/>
                <w:p>
                  <w:pPr>
                    <w:pStyle w:val="Compact"/>
                    <w:jc w:val="right"/>
                    <w:jc w:val="center"/>
                  </w:pPr>
                  <w:r>
                    <w:t xml:space="preserve">[0.101, 0.154]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0.289</w:t>
                  </w:r>
                </w:p>
              </w:tc>
              <w:tc>
                <w:tcPr/>
                <w:p>
                  <w:pPr>
                    <w:pStyle w:val="Compact"/>
                    <w:jc w:val="right"/>
                    <w:jc w:val="center"/>
                  </w:pPr>
                  <w:r>
                    <w:t xml:space="preserve">0.275</w:t>
                  </w:r>
                </w:p>
              </w:tc>
              <w:tc>
                <w:tcPr/>
                <w:p>
                  <w:pPr>
                    <w:pStyle w:val="Compact"/>
                    <w:jc w:val="right"/>
                    <w:jc w:val="center"/>
                  </w:pPr>
                  <w:r>
                    <w:t xml:space="preserve">[0.249, 0.302]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0.337</w:t>
                  </w:r>
                </w:p>
              </w:tc>
              <w:tc>
                <w:tcPr/>
                <w:p>
                  <w:pPr>
                    <w:pStyle w:val="Compact"/>
                    <w:jc w:val="right"/>
                    <w:jc w:val="center"/>
                  </w:pPr>
                  <w:r>
                    <w:t xml:space="preserve">0.308</w:t>
                  </w:r>
                </w:p>
              </w:tc>
              <w:tc>
                <w:tcPr/>
                <w:p>
                  <w:pPr>
                    <w:pStyle w:val="Compact"/>
                    <w:jc w:val="right"/>
                    <w:jc w:val="center"/>
                  </w:pPr>
                  <w:r>
                    <w:t xml:space="preserve">[0.281, 0.332]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0.909</w:t>
                  </w:r>
                </w:p>
              </w:tc>
              <w:tc>
                <w:tcPr/>
                <w:p>
                  <w:pPr>
                    <w:pStyle w:val="Compact"/>
                    <w:jc w:val="right"/>
                    <w:jc w:val="center"/>
                  </w:pPr>
                  <w:r>
                    <w:t xml:space="preserve">0.920</w:t>
                  </w:r>
                </w:p>
              </w:tc>
              <w:tc>
                <w:tcPr/>
                <w:p>
                  <w:pPr>
                    <w:pStyle w:val="Compact"/>
                    <w:jc w:val="right"/>
                    <w:jc w:val="center"/>
                  </w:pPr>
                  <w:r>
                    <w:t xml:space="preserve">[0.907, 0.935]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0.075</w:t>
                  </w:r>
                </w:p>
              </w:tc>
              <w:tc>
                <w:tcPr/>
                <w:p>
                  <w:pPr>
                    <w:pStyle w:val="Compact"/>
                    <w:jc w:val="right"/>
                    <w:jc w:val="center"/>
                  </w:pPr>
                  <w:r>
                    <w:t xml:space="preserve">0.067</w:t>
                  </w:r>
                </w:p>
              </w:tc>
              <w:tc>
                <w:tcPr/>
                <w:p>
                  <w:pPr>
                    <w:pStyle w:val="Compact"/>
                    <w:jc w:val="right"/>
                    <w:jc w:val="center"/>
                  </w:pPr>
                  <w:r>
                    <w:t xml:space="preserve">[0.047, 0.084]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0.912</w:t>
                  </w:r>
                </w:p>
              </w:tc>
              <w:tc>
                <w:tcPr/>
                <w:p>
                  <w:pPr>
                    <w:pStyle w:val="Compact"/>
                    <w:jc w:val="right"/>
                    <w:jc w:val="center"/>
                  </w:pPr>
                  <w:r>
                    <w:t xml:space="preserve">0.927</w:t>
                  </w:r>
                </w:p>
              </w:tc>
              <w:tc>
                <w:tcPr/>
                <w:p>
                  <w:pPr>
                    <w:pStyle w:val="Compact"/>
                    <w:jc w:val="right"/>
                    <w:jc w:val="center"/>
                  </w:pPr>
                  <w:r>
                    <w:t xml:space="preserve">[0.914, 0.941]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0.078</w:t>
                  </w:r>
                </w:p>
              </w:tc>
              <w:tc>
                <w:tcPr/>
                <w:p>
                  <w:pPr>
                    <w:pStyle w:val="Compact"/>
                    <w:jc w:val="right"/>
                    <w:jc w:val="center"/>
                  </w:pPr>
                  <w:r>
                    <w:t xml:space="preserve">0.076</w:t>
                  </w:r>
                </w:p>
              </w:tc>
              <w:tc>
                <w:tcPr/>
                <w:p>
                  <w:pPr>
                    <w:pStyle w:val="Compact"/>
                    <w:jc w:val="right"/>
                    <w:jc w:val="center"/>
                  </w:pPr>
                  <w:r>
                    <w:t xml:space="preserve">[0.056, 0.099]</w:t>
                  </w:r>
                </w:p>
              </w:tc>
              <w:tc>
                <w:tcPr/>
                <w:p>
                  <w:pPr>
                    <w:pStyle w:val="Compact"/>
                    <w:jc w:val="right"/>
                    <w:jc w:val="center"/>
                  </w:pPr>
                  <w:r>
                    <w:t xml:space="preserve">Yes</w:t>
                  </w:r>
                </w:p>
              </w:tc>
            </w:tr>
          </w:tbl>
          <w:bookmarkEnd w:id="134"/>
          <w:p/>
        </w:tc>
      </w:tr>
    </w:tbl>
    <w:bookmarkEnd w:id="135"/>
    <w:bookmarkStart w:id="140" w:name="Xb079f58f752d9008b389a56f5eaa2c20e631138"/>
    <w:p>
      <w:pPr>
        <w:pStyle w:val="Heading2"/>
      </w:pPr>
      <w:r>
        <w:t xml:space="preserve">S4 Robustness analyses and observed accuracy</w:t>
      </w:r>
    </w:p>
    <w:p>
      <w:pPr>
        <w:pStyle w:val="FirstParagraph"/>
      </w:pPr>
      <w:r>
        <w:t xml:space="preserve">Table S7 reports the effort effects in each model variant, Table S8 the between-participant variability of the effort effects, and Table S9 the task-specific effort effects. Table S10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36" w:name="supptbl-robustness"/>
          <w:p>
            <w:pPr>
              <w:jc w:val="center"/>
            </w:pPr>
            <w:pPr>
              <w:jc w:val="left"/>
              <w:spacing w:before="200"/>
              <w:pStyle w:val="ImageCaption"/>
            </w:pPr>
            <w:r>
              <w:t xml:space="preserve">Table S7: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095"/>
              <w:gridCol w:w="2190"/>
              <w:gridCol w:w="758"/>
              <w:gridCol w:w="1432"/>
              <w:gridCol w:w="674"/>
              <w:gridCol w:w="589"/>
              <w:gridCol w:w="758"/>
              <w:gridCol w:w="421"/>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different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on same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on same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on different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on same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supptbl-random-slopes"/>
          <w:p>
            <w:pPr>
              <w:jc w:val="center"/>
            </w:pPr>
            <w:pPr>
              <w:jc w:val="left"/>
              <w:spacing w:before="200"/>
              <w:pStyle w:val="ImageCaption"/>
            </w:pPr>
            <w:r>
              <w:t xml:space="preserve">Table S8: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supptbl-m4b"/>
          <w:p>
            <w:pPr>
              <w:jc w:val="center"/>
            </w:pPr>
            <w:pPr>
              <w:jc w:val="left"/>
              <w:spacing w:before="200"/>
              <w:pStyle w:val="ImageCaption"/>
            </w:pPr>
            <w:r>
              <w:t xml:space="preserve">Table S9: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supptbl-acc-contrasts"/>
          <w:p>
            <w:pPr>
              <w:jc w:val="center"/>
            </w:pPr>
            <w:pPr>
              <w:jc w:val="left"/>
              <w:spacing w:before="200"/>
              <w:pStyle w:val="ImageCaption"/>
            </w:pPr>
            <w:r>
              <w:t xml:space="preserve">Table S10: Observed accuracy, high minus low effort, at each stimulus type. Estimates are from a binomial GLMM with a random intercept for participant (see S7 in the dissertation version); percentage points are averaged over task.</w:t>
            </w:r>
          </w:p>
          <w:tbl>
            <w:tblPr>
              <w:tblStyle w:val="Table"/>
              <w:tblW w:type="pct" w:w="5000"/>
              <w:tblLayout w:type="fixed"/>
              <w:tblLook w:firstRow="1" w:lastRow="0" w:firstColumn="0" w:lastColumn="0" w:noHBand="0" w:noVBand="0" w:val="0020"/>
            </w:tblPr>
            <w:tblGrid>
              <w:gridCol w:w="1075"/>
              <w:gridCol w:w="1564"/>
              <w:gridCol w:w="1466"/>
              <w:gridCol w:w="1075"/>
              <w:gridCol w:w="1271"/>
              <w:gridCol w:w="586"/>
              <w:gridCol w:w="880"/>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p = .068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p &lt;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p = .226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39"/>
        </w:tc>
      </w:tr>
    </w:tbl>
    <w:bookmarkEnd w:id="140"/>
    <w:bookmarkStart w:id="147" w:name="s5-pupil-linked-models"/>
    <w:p>
      <w:pPr>
        <w:pStyle w:val="Heading2"/>
      </w:pPr>
      <w:r>
        <w:t xml:space="preserve">S5 Pupil-linked models</w:t>
      </w:r>
    </w:p>
    <w:p>
      <w:pPr>
        <w:pStyle w:val="FirstParagraph"/>
      </w:pPr>
      <w:r>
        <w:t xml:space="preserve">Table S11 reports all pupil-linked models, Table S12 the effort effects on pupil measures, and Figure S3 the pupil time course.</w:t>
      </w:r>
    </w:p>
    <w:tbl>
      <w:tblPr>
        <w:tblStyle w:val="Table"/>
        <w:tblW w:type="pct" w:w="5000"/>
        <w:tblLayout w:type="fixed"/>
        <w:tblLook w:firstRow="0" w:lastRow="0" w:firstColumn="0" w:lastColumn="0" w:noHBand="0" w:noVBand="0" w:val="0000"/>
      </w:tblPr>
      <w:tblGrid>
        <w:gridCol w:w="7920"/>
      </w:tblGrid>
      <w:tr>
        <w:tc>
          <w:tcPr/>
          <w:bookmarkStart w:id="141" w:name="supptbl-pupil-models"/>
          <w:p>
            <w:pPr>
              <w:jc w:val="center"/>
            </w:pPr>
            <w:pPr>
              <w:jc w:val="left"/>
              <w:spacing w:before="200"/>
              <w:pStyle w:val="ImageCaption"/>
            </w:pPr>
            <w:r>
              <w:t xml:space="preserve">Table S11: Pupil-linked models: pupil slopes with ΔELPD relative to the matched baseline, and effort effects in the pupil sample (P0)</w:t>
            </w:r>
          </w:p>
          <w:tbl>
            <w:tblPr>
              <w:tblStyle w:val="Table"/>
              <w:tblW w:type="pct" w:w="5000"/>
              <w:tblLayout w:type="fixed"/>
              <w:tblLook w:firstRow="1" w:lastRow="0" w:firstColumn="0" w:lastColumn="0" w:noHBand="0" w:noVBand="0" w:val="0020"/>
            </w:tblPr>
            <w:tblGrid>
              <w:gridCol w:w="2240"/>
              <w:gridCol w:w="312"/>
              <w:gridCol w:w="2188"/>
              <w:gridCol w:w="468"/>
              <w:gridCol w:w="885"/>
              <w:gridCol w:w="885"/>
              <w:gridCol w:w="573"/>
              <w:gridCol w:w="364"/>
            </w:tblGrid>
            <w:tr>
              <w:trPr>
                <w:tblHeader w:val="on"/>
              </w:trPr>
              <w:tc>
                <w:tcPr/>
                <w:p>
                  <w:pPr>
                    <w:pStyle w:val="Compact"/>
                    <w:jc w:val="left"/>
                    <w:jc w:val="center"/>
                  </w:pPr>
                  <w:r>
                    <w:t xml:space="preserve">Block</w:t>
                  </w:r>
                </w:p>
              </w:tc>
              <w:tc>
                <w:tcPr/>
                <w:p>
                  <w:pPr>
                    <w:pStyle w:val="Compact"/>
                    <w:jc w:val="righ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Change in a</w:t>
                  </w:r>
                </w:p>
              </w:tc>
              <w:tc>
                <w:tcPr/>
                <w:p>
                  <w:pPr>
                    <w:pStyle w:val="Compact"/>
                    <w:jc w:val="right"/>
                    <w:jc w:val="center"/>
                  </w:pPr>
                  <w:r>
                    <w:t xml:space="preserve">Delta ELPD</w:t>
                  </w:r>
                </w:p>
              </w:tc>
              <w:tc>
                <w:tcPr/>
                <w:p>
                  <w:pPr>
                    <w:pStyle w:val="Compact"/>
                    <w:jc w:val="right"/>
                    <w:jc w:val="center"/>
                  </w:pPr>
                  <w:r>
                    <w:t xml:space="preserve">Trials</w:t>
                  </w:r>
                </w:p>
              </w:tc>
            </w:tr>
            <w:tr>
              <w:tc>
                <w:tcPr/>
                <w:p>
                  <w:pPr>
                    <w:pStyle w:val="Compact"/>
                    <w:jc w:val="left"/>
                    <w:jc w:val="center"/>
                  </w:pPr>
                  <w:r>
                    <w:t xml:space="preserve">Pupil slope</w:t>
                  </w:r>
                </w:p>
              </w:tc>
              <w:tc>
                <w:tcPr/>
                <w:p>
                  <w:pPr>
                    <w:pStyle w:val="Compact"/>
                    <w:jc w:val="right"/>
                    <w:jc w:val="center"/>
                  </w:pPr>
                  <w:r>
                    <w:t xml:space="preserve">P0</w:t>
                  </w:r>
                </w:p>
              </w:tc>
              <w:tc>
                <w:tcPr/>
                <w:p>
                  <w:pPr>
                    <w:pStyle w:val="Compact"/>
                    <w:jc w:val="right"/>
                    <w:jc w:val="center"/>
                  </w:pPr>
                  <w:r>
                    <w:t xml:space="preserve">Baseline (no pupil slope)</w:t>
                  </w:r>
                </w:p>
              </w:tc>
              <w:tc>
                <w:tcPr/>
                <w:p>
                  <w:pPr>
                    <w:pStyle w:val="Compact"/>
                  </w:pPr>
                </w:p>
              </w:tc>
              <w:tc>
                <w:tcPr/>
                <w:p>
                  <w:pPr>
                    <w:pStyle w:val="Compact"/>
                  </w:pPr>
                </w:p>
              </w:tc>
              <w:tc>
                <w:tcPr/>
                <w:p>
                  <w:pPr>
                    <w:pStyle w:val="Compact"/>
                  </w:pPr>
                </w:p>
              </w:tc>
              <w:tc>
                <w:tcPr/>
                <w:p>
                  <w:pPr>
                    <w:pStyle w:val="Compact"/>
                    <w:jc w:val="right"/>
                    <w:jc w:val="center"/>
                  </w:pPr>
                  <w:r>
                    <w:t xml:space="preserve">0.0 ± 0.0</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P1</w:t>
                  </w:r>
                </w:p>
              </w:tc>
              <w:tc>
                <w:tcPr/>
                <w:p>
                  <w:pPr>
                    <w:pStyle w:val="Compact"/>
                    <w:jc w:val="right"/>
                    <w:jc w:val="center"/>
                  </w:pPr>
                  <w:r>
                    <w:t xml:space="preserve">Current-trial TEPR on starting point</w:t>
                  </w:r>
                </w:p>
              </w:tc>
              <w:tc>
                <w:tcPr/>
                <w:p>
                  <w:pPr>
                    <w:pStyle w:val="Compact"/>
                    <w:jc w:val="right"/>
                    <w:jc w:val="center"/>
                  </w:pPr>
                  <w:r>
                    <w:t xml:space="preserve">0.008</w:t>
                  </w:r>
                </w:p>
              </w:tc>
              <w:tc>
                <w:tcPr/>
                <w:p>
                  <w:pPr>
                    <w:pStyle w:val="Compact"/>
                    <w:jc w:val="right"/>
                    <w:jc w:val="center"/>
                  </w:pPr>
                  <w:r>
                    <w:t xml:space="preserve">[−0.023, 0.041]</w:t>
                  </w:r>
                </w:p>
              </w:tc>
              <w:tc>
                <w:tcPr/>
                <w:p>
                  <w:pPr>
                    <w:pStyle w:val="Compact"/>
                  </w:pPr>
                </w:p>
              </w:tc>
              <w:tc>
                <w:tcPr/>
                <w:p>
                  <w:pPr>
                    <w:pStyle w:val="Compact"/>
                    <w:jc w:val="right"/>
                    <w:jc w:val="center"/>
                  </w:pPr>
                  <w:r>
                    <w:t xml:space="preserve">−0.2 ± 0.5</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on drift</w:t>
                  </w:r>
                </w:p>
              </w:tc>
              <w:tc>
                <w:tcPr/>
                <w:p>
                  <w:pPr>
                    <w:pStyle w:val="Compact"/>
                    <w:jc w:val="right"/>
                    <w:jc w:val="center"/>
                  </w:pPr>
                  <w:r>
                    <w:t xml:space="preserve">0.049</w:t>
                  </w:r>
                </w:p>
              </w:tc>
              <w:tc>
                <w:tcPr/>
                <w:p>
                  <w:pPr>
                    <w:pStyle w:val="Compact"/>
                    <w:jc w:val="right"/>
                    <w:jc w:val="center"/>
                  </w:pPr>
                  <w:r>
                    <w:t xml:space="preserve">[0.010, 0.088]</w:t>
                  </w:r>
                </w:p>
              </w:tc>
              <w:tc>
                <w:tcPr/>
                <w:p>
                  <w:pPr>
                    <w:pStyle w:val="Compact"/>
                  </w:pPr>
                </w:p>
              </w:tc>
              <w:tc>
                <w:tcPr/>
                <w:p>
                  <w:pPr>
                    <w:pStyle w:val="Compact"/>
                    <w:jc w:val="right"/>
                    <w:jc w:val="center"/>
                  </w:pPr>
                  <w:r>
                    <w:t xml:space="preserve">8.8 ± 5.1</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 stimulus</w:t>
                  </w:r>
                </w:p>
              </w:tc>
              <w:tc>
                <w:tcPr/>
                <w:p>
                  <w:pPr>
                    <w:pStyle w:val="Compact"/>
                    <w:jc w:val="right"/>
                    <w:jc w:val="center"/>
                  </w:pPr>
                  <w:r>
                    <w:t xml:space="preserve">−0.089</w:t>
                  </w:r>
                </w:p>
              </w:tc>
              <w:tc>
                <w:tcPr/>
                <w:p>
                  <w:pPr>
                    <w:pStyle w:val="Compact"/>
                    <w:jc w:val="right"/>
                    <w:jc w:val="center"/>
                  </w:pPr>
                  <w:r>
                    <w:t xml:space="preserve">[−0.128, −0.050]</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P3</w:t>
                  </w:r>
                </w:p>
              </w:tc>
              <w:tc>
                <w:tcPr/>
                <w:p>
                  <w:pPr>
                    <w:pStyle w:val="Compact"/>
                    <w:jc w:val="right"/>
                    <w:jc w:val="center"/>
                  </w:pPr>
                  <w:r>
                    <w:t xml:space="preserve">Current-trial TEPR on boundary separation</w:t>
                  </w:r>
                </w:p>
              </w:tc>
              <w:tc>
                <w:tcPr/>
                <w:p>
                  <w:pPr>
                    <w:pStyle w:val="Compact"/>
                    <w:jc w:val="right"/>
                    <w:jc w:val="center"/>
                  </w:pPr>
                  <w:r>
                    <w:t xml:space="preserve">0.076</w:t>
                  </w:r>
                </w:p>
              </w:tc>
              <w:tc>
                <w:tcPr/>
                <w:p>
                  <w:pPr>
                    <w:pStyle w:val="Compact"/>
                    <w:jc w:val="right"/>
                    <w:jc w:val="center"/>
                  </w:pPr>
                  <w:r>
                    <w:t xml:space="preserve">[0.063, 0.088]</w:t>
                  </w:r>
                </w:p>
              </w:tc>
              <w:tc>
                <w:tcPr/>
                <w:p>
                  <w:pPr>
                    <w:pStyle w:val="Compact"/>
                    <w:jc w:val="right"/>
                    <w:jc w:val="center"/>
                  </w:pPr>
                  <w:r>
                    <w:t xml:space="preserve">+7.9% [6.5, 9.2]</w:t>
                  </w:r>
                </w:p>
              </w:tc>
              <w:tc>
                <w:tcPr/>
                <w:p>
                  <w:pPr>
                    <w:pStyle w:val="Compact"/>
                    <w:jc w:val="right"/>
                    <w:jc w:val="center"/>
                  </w:pPr>
                  <w:r>
                    <w:t xml:space="preserve">67.9 ± 9.1</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P4</w:t>
                  </w:r>
                </w:p>
              </w:tc>
              <w:tc>
                <w:tcPr/>
                <w:p>
                  <w:pPr>
                    <w:pStyle w:val="Compact"/>
                    <w:jc w:val="right"/>
                    <w:jc w:val="center"/>
                  </w:pPr>
                  <w:r>
                    <w:t xml:space="preserve">Pre-squeeze baseline on starting point</w:t>
                  </w:r>
                </w:p>
              </w:tc>
              <w:tc>
                <w:tcPr/>
                <w:p>
                  <w:pPr>
                    <w:pStyle w:val="Compact"/>
                    <w:jc w:val="right"/>
                    <w:jc w:val="center"/>
                  </w:pPr>
                  <w:r>
                    <w:t xml:space="preserve">−0.010</w:t>
                  </w:r>
                </w:p>
              </w:tc>
              <w:tc>
                <w:tcPr/>
                <w:p>
                  <w:pPr>
                    <w:pStyle w:val="Compact"/>
                    <w:jc w:val="right"/>
                    <w:jc w:val="center"/>
                  </w:pPr>
                  <w:r>
                    <w:t xml:space="preserve">[−0.043, 0.023]</w:t>
                  </w:r>
                </w:p>
              </w:tc>
              <w:tc>
                <w:tcPr/>
                <w:p>
                  <w:pPr>
                    <w:pStyle w:val="Compact"/>
                  </w:pPr>
                </w:p>
              </w:tc>
              <w:tc>
                <w:tcPr/>
                <w:p>
                  <w:pPr>
                    <w:pStyle w:val="Compact"/>
                    <w:jc w:val="right"/>
                    <w:jc w:val="center"/>
                  </w:pPr>
                  <w:r>
                    <w:t xml:space="preserve">−0.6 ± 0.5</w:t>
                  </w:r>
                </w:p>
              </w:tc>
              <w:tc>
                <w:tcPr/>
                <w:p>
                  <w:pPr>
                    <w:pStyle w:val="Compact"/>
                    <w:jc w:val="right"/>
                    <w:jc w:val="center"/>
                  </w:pPr>
                  <w:r>
                    <w:t xml:space="preserve">4,488</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Drift criterion</w:t>
                  </w:r>
                </w:p>
              </w:tc>
              <w:tc>
                <w:tcPr/>
                <w:p>
                  <w:pPr>
                    <w:pStyle w:val="Compact"/>
                    <w:jc w:val="right"/>
                    <w:jc w:val="center"/>
                  </w:pPr>
                  <w:r>
                    <w:t xml:space="preserve">−0.048</w:t>
                  </w:r>
                </w:p>
              </w:tc>
              <w:tc>
                <w:tcPr/>
                <w:p>
                  <w:pPr>
                    <w:pStyle w:val="Compact"/>
                    <w:jc w:val="right"/>
                    <w:jc w:val="center"/>
                  </w:pPr>
                  <w:r>
                    <w:t xml:space="preserve">[−0.142, 0.045]</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Evidence quality</w:t>
                  </w:r>
                </w:p>
              </w:tc>
              <w:tc>
                <w:tcPr/>
                <w:p>
                  <w:pPr>
                    <w:pStyle w:val="Compact"/>
                    <w:jc w:val="right"/>
                    <w:jc w:val="center"/>
                  </w:pPr>
                  <w:r>
                    <w:t xml:space="preserve">0.025</w:t>
                  </w:r>
                </w:p>
              </w:tc>
              <w:tc>
                <w:tcPr/>
                <w:p>
                  <w:pPr>
                    <w:pStyle w:val="Compact"/>
                    <w:jc w:val="right"/>
                    <w:jc w:val="center"/>
                  </w:pPr>
                  <w:r>
                    <w:t xml:space="preserve">[−0.050, 0.101]</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Boundary separation</w:t>
                  </w:r>
                </w:p>
              </w:tc>
              <w:tc>
                <w:tcPr/>
                <w:p>
                  <w:pPr>
                    <w:pStyle w:val="Compact"/>
                    <w:jc w:val="right"/>
                    <w:jc w:val="center"/>
                  </w:pPr>
                  <w:r>
                    <w:t xml:space="preserve">0.030</w:t>
                  </w:r>
                </w:p>
              </w:tc>
              <w:tc>
                <w:tcPr/>
                <w:p>
                  <w:pPr>
                    <w:pStyle w:val="Compact"/>
                    <w:jc w:val="right"/>
                    <w:jc w:val="center"/>
                  </w:pPr>
                  <w:r>
                    <w:t xml:space="preserve">[0.003, 0.056]</w:t>
                  </w:r>
                </w:p>
              </w:tc>
              <w:tc>
                <w:tcPr/>
                <w:p>
                  <w:pPr>
                    <w:pStyle w:val="Compact"/>
                    <w:jc w:val="right"/>
                    <w:jc w:val="center"/>
                  </w:pPr>
                  <w:r>
                    <w:t xml:space="preserve">+3.0% [0.3, 5.8]</w:t>
                  </w: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Starting point</w:t>
                  </w:r>
                </w:p>
              </w:tc>
              <w:tc>
                <w:tcPr/>
                <w:p>
                  <w:pPr>
                    <w:pStyle w:val="Compact"/>
                    <w:jc w:val="right"/>
                    <w:jc w:val="center"/>
                  </w:pPr>
                  <w:r>
                    <w:t xml:space="preserve">−0.019</w:t>
                  </w:r>
                </w:p>
              </w:tc>
              <w:tc>
                <w:tcPr/>
                <w:p>
                  <w:pPr>
                    <w:pStyle w:val="Compact"/>
                    <w:jc w:val="right"/>
                    <w:jc w:val="center"/>
                  </w:pPr>
                  <w:r>
                    <w:t xml:space="preserve">[−0.101, 0.064]</w:t>
                  </w:r>
                </w:p>
              </w:tc>
              <w:tc>
                <w:tcPr/>
                <w:p>
                  <w:pPr>
                    <w:pStyle w:val="Compact"/>
                  </w:pPr>
                </w:p>
              </w:tc>
              <w:tc>
                <w:tcPr/>
                <w:p>
                  <w:pPr>
                    <w:pStyle w:val="Compact"/>
                  </w:pPr>
                </w:p>
              </w:tc>
              <w:tc>
                <w:tcPr/>
                <w:p>
                  <w:pPr>
                    <w:pStyle w:val="Compact"/>
                    <w:jc w:val="right"/>
                    <w:jc w:val="center"/>
                  </w:pPr>
                  <w:r>
                    <w:t xml:space="preserve">4,935</w:t>
                  </w:r>
                </w:p>
              </w:tc>
            </w:tr>
          </w:tbl>
          <w:p>
            <w:pPr>
              <w:jc w:val="center"/>
            </w:pPr>
            <w:r>
              <w:rPr>
                <w:i/>
                <w:iCs/>
              </w:rPr>
              <w:t xml:space="preserve">Note.</w:t>
            </w:r>
            <w:r>
              <w:t xml:space="preserve"> </w:t>
            </w:r>
            <w:r>
              <w:t xml:space="preserve">P1, P2, and P3 are compared with P0. P4 and P5 are compared with P0_base. P3_rt is compared with P0_rt. P6 is compared with P0_lag, P7 with P0_pre, and P8 with P0_grip. P5, P3_rt, P6, P7, and P8 are in the ordering table rather than this slope table.</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pupil-descriptives"/>
          <w:p>
            <w:pPr>
              <w:jc w:val="center"/>
            </w:pPr>
            <w:pPr>
              <w:jc w:val="left"/>
              <w:spacing w:before="200"/>
              <w:pStyle w:val="ImageCaption"/>
            </w:pPr>
            <w:r>
              <w:t xml:space="preserve">Table S12: Effort effects on pupil measures (high minus low effort, participant means)</w:t>
            </w:r>
          </w:p>
          <w:tbl>
            <w:tblPr>
              <w:tblStyle w:val="Table"/>
              <w:tblW w:type="pct" w:w="5000"/>
              <w:tblLayout w:type="fixed"/>
              <w:tblLook w:firstRow="1" w:lastRow="0" w:firstColumn="0" w:lastColumn="0" w:noHBand="0" w:noVBand="0" w:val="0020"/>
            </w:tblPr>
            <w:tblGrid>
              <w:gridCol w:w="1653"/>
              <w:gridCol w:w="435"/>
              <w:gridCol w:w="261"/>
              <w:gridCol w:w="1305"/>
              <w:gridCol w:w="1305"/>
              <w:gridCol w:w="957"/>
              <w:gridCol w:w="1218"/>
              <w:gridCol w:w="783"/>
            </w:tblGrid>
            <w:tr>
              <w:trPr>
                <w:tblHeader w:val="on"/>
              </w:trPr>
              <w:tc>
                <w:tcPr/>
                <w:p>
                  <w:pPr>
                    <w:pStyle w:val="Compact"/>
                    <w:jc w:val="left"/>
                    <w:jc w:val="center"/>
                  </w:pPr>
                  <w:r>
                    <w:t xml:space="preserve">Measure</w:t>
                  </w:r>
                </w:p>
              </w:tc>
              <w:tc>
                <w:tcPr/>
                <w:p>
                  <w:pPr>
                    <w:pStyle w:val="Compact"/>
                    <w:jc w:val="right"/>
                    <w:jc w:val="center"/>
                  </w:pPr>
                  <w:r>
                    <w:t xml:space="preserve">Task</w:t>
                  </w:r>
                </w:p>
              </w:tc>
              <w:tc>
                <w:tcPr/>
                <w:p>
                  <w:pPr>
                    <w:pStyle w:val="Compact"/>
                    <w:jc w:val="right"/>
                    <w:jc w:val="center"/>
                  </w:pPr>
                  <w:r>
                    <w:t xml:space="preserve">n</w:t>
                  </w:r>
                </w:p>
              </w:tc>
              <w:tc>
                <w:tcPr/>
                <w:p>
                  <w:pPr>
                    <w:pStyle w:val="Compact"/>
                    <w:jc w:val="right"/>
                    <w:jc w:val="center"/>
                  </w:pPr>
                  <w:r>
                    <w:t xml:space="preserve">High M (SD)</w:t>
                  </w:r>
                </w:p>
              </w:tc>
              <w:tc>
                <w:tcPr/>
                <w:p>
                  <w:pPr>
                    <w:pStyle w:val="Compact"/>
                    <w:jc w:val="right"/>
                    <w:jc w:val="center"/>
                  </w:pPr>
                  <w:r>
                    <w:t xml:space="preserve">Low M (SD)</w:t>
                  </w:r>
                </w:p>
              </w:tc>
              <w:tc>
                <w:tcPr/>
                <w:p>
                  <w:pPr>
                    <w:pStyle w:val="Compact"/>
                    <w:jc w:val="right"/>
                    <w:jc w:val="center"/>
                  </w:pPr>
                  <w:r>
                    <w:t xml:space="preserve">High − Low</w:t>
                  </w:r>
                </w:p>
              </w:tc>
              <w:tc>
                <w:tcPr/>
                <w:p>
                  <w:pPr>
                    <w:pStyle w:val="Compact"/>
                    <w:jc w:val="right"/>
                    <w:jc w:val="center"/>
                  </w:pPr>
                  <w:r>
                    <w:t xml:space="preserve">t (df)</w:t>
                  </w:r>
                </w:p>
              </w:tc>
              <w:tc>
                <w:tcPr/>
                <w:p>
                  <w:pPr>
                    <w:pStyle w:val="Compact"/>
                    <w:jc w:val="right"/>
                    <w:jc w:val="center"/>
                  </w:pPr>
                  <w:r>
                    <w:t xml:space="preserve">p</w:t>
                  </w:r>
                </w:p>
              </w:tc>
            </w:tr>
            <w:tr>
              <w:tc>
                <w:tcPr/>
                <w:p>
                  <w:pPr>
                    <w:pStyle w:val="Compact"/>
                    <w:jc w:val="left"/>
                    <w:jc w:val="center"/>
                  </w:pPr>
                  <w:r>
                    <w:t xml:space="preserve">TEPR (B1 baseline)</w:t>
                  </w:r>
                </w:p>
              </w:tc>
              <w:tc>
                <w:tcPr/>
                <w:p>
                  <w:pPr>
                    <w:pStyle w:val="Compact"/>
                    <w:jc w:val="right"/>
                    <w:jc w:val="center"/>
                  </w:pPr>
                  <w:r>
                    <w:t xml:space="preserve">ADT</w:t>
                  </w:r>
                </w:p>
              </w:tc>
              <w:tc>
                <w:tcPr/>
                <w:p>
                  <w:pPr>
                    <w:pStyle w:val="Compact"/>
                    <w:jc w:val="right"/>
                    <w:jc w:val="center"/>
                  </w:pPr>
                  <w:r>
                    <w:t xml:space="preserve">31</w:t>
                  </w:r>
                </w:p>
              </w:tc>
              <w:tc>
                <w:tcPr/>
                <w:p>
                  <w:pPr>
                    <w:pStyle w:val="Compact"/>
                    <w:jc w:val="right"/>
                    <w:jc w:val="center"/>
                  </w:pPr>
                  <w:r>
                    <w:t xml:space="preserve">−0.207 (1.724)</w:t>
                  </w:r>
                </w:p>
              </w:tc>
              <w:tc>
                <w:tcPr/>
                <w:p>
                  <w:pPr>
                    <w:pStyle w:val="Compact"/>
                    <w:jc w:val="right"/>
                    <w:jc w:val="center"/>
                  </w:pPr>
                  <w:r>
                    <w:t xml:space="preserve">0.516 (1.804)</w:t>
                  </w:r>
                </w:p>
              </w:tc>
              <w:tc>
                <w:tcPr/>
                <w:p>
                  <w:pPr>
                    <w:pStyle w:val="Compact"/>
                    <w:jc w:val="right"/>
                    <w:jc w:val="center"/>
                  </w:pPr>
                  <w:r>
                    <w:t xml:space="preserve">−0.723</w:t>
                  </w:r>
                </w:p>
              </w:tc>
              <w:tc>
                <w:tcPr/>
                <w:p>
                  <w:pPr>
                    <w:pStyle w:val="Compact"/>
                    <w:jc w:val="right"/>
                    <w:jc w:val="center"/>
                  </w:pPr>
                  <w:r>
                    <w:t xml:space="preserve">t(30) = −2.35</w:t>
                  </w:r>
                </w:p>
              </w:tc>
              <w:tc>
                <w:tcPr/>
                <w:p>
                  <w:pPr>
                    <w:pStyle w:val="Compact"/>
                    <w:jc w:val="right"/>
                    <w:jc w:val="center"/>
                  </w:pPr>
                  <w:r>
                    <w:t xml:space="preserve">p = .026</w:t>
                  </w:r>
                </w:p>
              </w:tc>
            </w:tr>
            <w:tr>
              <w:tc>
                <w:tcPr/>
                <w:p>
                  <w:pPr>
                    <w:pStyle w:val="Compact"/>
                    <w:jc w:val="left"/>
                    <w:jc w:val="center"/>
                  </w:pPr>
                  <w:r>
                    <w:t xml:space="preserve">TEPR (B1 baseline)</w:t>
                  </w:r>
                </w:p>
              </w:tc>
              <w:tc>
                <w:tcPr/>
                <w:p>
                  <w:pPr>
                    <w:pStyle w:val="Compact"/>
                    <w:jc w:val="right"/>
                    <w:jc w:val="center"/>
                  </w:pPr>
                  <w:r>
                    <w:t xml:space="preserve">VDT</w:t>
                  </w:r>
                </w:p>
              </w:tc>
              <w:tc>
                <w:tcPr/>
                <w:p>
                  <w:pPr>
                    <w:pStyle w:val="Compact"/>
                    <w:jc w:val="right"/>
                    <w:jc w:val="center"/>
                  </w:pPr>
                  <w:r>
                    <w:t xml:space="preserve">30</w:t>
                  </w:r>
                </w:p>
              </w:tc>
              <w:tc>
                <w:tcPr/>
                <w:p>
                  <w:pPr>
                    <w:pStyle w:val="Compact"/>
                    <w:jc w:val="right"/>
                    <w:jc w:val="center"/>
                  </w:pPr>
                  <w:r>
                    <w:t xml:space="preserve">0.810 (2.123)</w:t>
                  </w:r>
                </w:p>
              </w:tc>
              <w:tc>
                <w:tcPr/>
                <w:p>
                  <w:pPr>
                    <w:pStyle w:val="Compact"/>
                    <w:jc w:val="right"/>
                    <w:jc w:val="center"/>
                  </w:pPr>
                  <w:r>
                    <w:t xml:space="preserve">1.241 (2.185)</w:t>
                  </w:r>
                </w:p>
              </w:tc>
              <w:tc>
                <w:tcPr/>
                <w:p>
                  <w:pPr>
                    <w:pStyle w:val="Compact"/>
                    <w:jc w:val="right"/>
                    <w:jc w:val="center"/>
                  </w:pPr>
                  <w:r>
                    <w:t xml:space="preserve">−0.432</w:t>
                  </w:r>
                </w:p>
              </w:tc>
              <w:tc>
                <w:tcPr/>
                <w:p>
                  <w:pPr>
                    <w:pStyle w:val="Compact"/>
                    <w:jc w:val="right"/>
                    <w:jc w:val="center"/>
                  </w:pPr>
                  <w:r>
                    <w:t xml:space="preserve">t(29) = −2.40</w:t>
                  </w:r>
                </w:p>
              </w:tc>
              <w:tc>
                <w:tcPr/>
                <w:p>
                  <w:pPr>
                    <w:pStyle w:val="Compact"/>
                    <w:jc w:val="right"/>
                    <w:jc w:val="center"/>
                  </w:pPr>
                  <w:r>
                    <w:t xml:space="preserve">p = .023</w:t>
                  </w:r>
                </w:p>
              </w:tc>
            </w:tr>
            <w:tr>
              <w:tc>
                <w:tcPr/>
                <w:p>
                  <w:pPr>
                    <w:pStyle w:val="Compact"/>
                    <w:jc w:val="left"/>
                    <w:jc w:val="center"/>
                  </w:pPr>
                  <w:r>
                    <w:t xml:space="preserve">TEPR (B0 baseline)</w:t>
                  </w:r>
                </w:p>
              </w:tc>
              <w:tc>
                <w:tcPr/>
                <w:p>
                  <w:pPr>
                    <w:pStyle w:val="Compact"/>
                    <w:jc w:val="right"/>
                    <w:jc w:val="center"/>
                  </w:pPr>
                  <w:r>
                    <w:t xml:space="preserve">ADT</w:t>
                  </w:r>
                </w:p>
              </w:tc>
              <w:tc>
                <w:tcPr/>
                <w:p>
                  <w:pPr>
                    <w:pStyle w:val="Compact"/>
                    <w:jc w:val="right"/>
                    <w:jc w:val="center"/>
                  </w:pPr>
                  <w:r>
                    <w:t xml:space="preserve">31</w:t>
                  </w:r>
                </w:p>
              </w:tc>
              <w:tc>
                <w:tcPr/>
                <w:p>
                  <w:pPr>
                    <w:pStyle w:val="Compact"/>
                    <w:jc w:val="right"/>
                    <w:jc w:val="center"/>
                  </w:pPr>
                  <w:r>
                    <w:t xml:space="preserve">1.520 (4.064)</w:t>
                  </w:r>
                </w:p>
              </w:tc>
              <w:tc>
                <w:tcPr/>
                <w:p>
                  <w:pPr>
                    <w:pStyle w:val="Compact"/>
                    <w:jc w:val="right"/>
                    <w:jc w:val="center"/>
                  </w:pPr>
                  <w:r>
                    <w:t xml:space="preserve">0.517 (4.495)</w:t>
                  </w:r>
                </w:p>
              </w:tc>
              <w:tc>
                <w:tcPr/>
                <w:p>
                  <w:pPr>
                    <w:pStyle w:val="Compact"/>
                    <w:jc w:val="right"/>
                    <w:jc w:val="center"/>
                  </w:pPr>
                  <w:r>
                    <w:t xml:space="preserve">1.003</w:t>
                  </w:r>
                </w:p>
              </w:tc>
              <w:tc>
                <w:tcPr/>
                <w:p>
                  <w:pPr>
                    <w:pStyle w:val="Compact"/>
                    <w:jc w:val="right"/>
                    <w:jc w:val="center"/>
                  </w:pPr>
                  <w:r>
                    <w:t xml:space="preserve">t(30) = 2.45</w:t>
                  </w:r>
                </w:p>
              </w:tc>
              <w:tc>
                <w:tcPr/>
                <w:p>
                  <w:pPr>
                    <w:pStyle w:val="Compact"/>
                    <w:jc w:val="right"/>
                    <w:jc w:val="center"/>
                  </w:pPr>
                  <w:r>
                    <w:t xml:space="preserve">p = .020</w:t>
                  </w:r>
                </w:p>
              </w:tc>
            </w:tr>
            <w:tr>
              <w:tc>
                <w:tcPr/>
                <w:p>
                  <w:pPr>
                    <w:pStyle w:val="Compact"/>
                    <w:jc w:val="left"/>
                    <w:jc w:val="center"/>
                  </w:pPr>
                  <w:r>
                    <w:t xml:space="preserve">TEPR (B0 baseline)</w:t>
                  </w:r>
                </w:p>
              </w:tc>
              <w:tc>
                <w:tcPr/>
                <w:p>
                  <w:pPr>
                    <w:pStyle w:val="Compact"/>
                    <w:jc w:val="right"/>
                    <w:jc w:val="center"/>
                  </w:pPr>
                  <w:r>
                    <w:t xml:space="preserve">VDT</w:t>
                  </w:r>
                </w:p>
              </w:tc>
              <w:tc>
                <w:tcPr/>
                <w:p>
                  <w:pPr>
                    <w:pStyle w:val="Compact"/>
                    <w:jc w:val="right"/>
                    <w:jc w:val="center"/>
                  </w:pPr>
                  <w:r>
                    <w:t xml:space="preserve">30</w:t>
                  </w:r>
                </w:p>
              </w:tc>
              <w:tc>
                <w:tcPr/>
                <w:p>
                  <w:pPr>
                    <w:pStyle w:val="Compact"/>
                    <w:jc w:val="right"/>
                    <w:jc w:val="center"/>
                  </w:pPr>
                  <w:r>
                    <w:t xml:space="preserve">1.075 (2.111)</w:t>
                  </w:r>
                </w:p>
              </w:tc>
              <w:tc>
                <w:tcPr/>
                <w:p>
                  <w:pPr>
                    <w:pStyle w:val="Compact"/>
                    <w:jc w:val="right"/>
                    <w:jc w:val="center"/>
                  </w:pPr>
                  <w:r>
                    <w:t xml:space="preserve">1.047 (2.466)</w:t>
                  </w:r>
                </w:p>
              </w:tc>
              <w:tc>
                <w:tcPr/>
                <w:p>
                  <w:pPr>
                    <w:pStyle w:val="Compact"/>
                    <w:jc w:val="right"/>
                    <w:jc w:val="center"/>
                  </w:pPr>
                  <w:r>
                    <w:t xml:space="preserve">0.028</w:t>
                  </w:r>
                </w:p>
              </w:tc>
              <w:tc>
                <w:tcPr/>
                <w:p>
                  <w:pPr>
                    <w:pStyle w:val="Compact"/>
                    <w:jc w:val="right"/>
                    <w:jc w:val="center"/>
                  </w:pPr>
                  <w:r>
                    <w:t xml:space="preserve">t(29) = 0.10</w:t>
                  </w:r>
                </w:p>
              </w:tc>
              <w:tc>
                <w:tcPr/>
                <w:p>
                  <w:pPr>
                    <w:pStyle w:val="Compact"/>
                    <w:jc w:val="right"/>
                    <w:jc w:val="center"/>
                  </w:pPr>
                  <w:r>
                    <w:t xml:space="preserve">p = .919</w:t>
                  </w:r>
                </w:p>
              </w:tc>
            </w:tr>
            <w:tr>
              <w:tc>
                <w:tcPr/>
                <w:p>
                  <w:pPr>
                    <w:pStyle w:val="Compact"/>
                    <w:jc w:val="left"/>
                    <w:jc w:val="center"/>
                  </w:pPr>
                  <w:r>
                    <w:t xml:space="preserve">Grip-period pupil</w:t>
                  </w:r>
                </w:p>
              </w:tc>
              <w:tc>
                <w:tcPr/>
                <w:p>
                  <w:pPr>
                    <w:pStyle w:val="Compact"/>
                    <w:jc w:val="right"/>
                    <w:jc w:val="center"/>
                  </w:pPr>
                  <w:r>
                    <w:t xml:space="preserve">ADT</w:t>
                  </w:r>
                </w:p>
              </w:tc>
              <w:tc>
                <w:tcPr/>
                <w:p>
                  <w:pPr>
                    <w:pStyle w:val="Compact"/>
                    <w:jc w:val="right"/>
                    <w:jc w:val="center"/>
                  </w:pPr>
                  <w:r>
                    <w:t xml:space="preserve">28</w:t>
                  </w:r>
                </w:p>
              </w:tc>
              <w:tc>
                <w:tcPr/>
                <w:p>
                  <w:pPr>
                    <w:pStyle w:val="Compact"/>
                    <w:jc w:val="right"/>
                    <w:jc w:val="center"/>
                  </w:pPr>
                  <w:r>
                    <w:t xml:space="preserve">0.268 (1.128)</w:t>
                  </w:r>
                </w:p>
              </w:tc>
              <w:tc>
                <w:tcPr/>
                <w:p>
                  <w:pPr>
                    <w:pStyle w:val="Compact"/>
                    <w:jc w:val="right"/>
                    <w:jc w:val="center"/>
                  </w:pPr>
                  <w:r>
                    <w:t xml:space="preserve">−0.352 (0.724)</w:t>
                  </w:r>
                </w:p>
              </w:tc>
              <w:tc>
                <w:tcPr/>
                <w:p>
                  <w:pPr>
                    <w:pStyle w:val="Compact"/>
                    <w:jc w:val="right"/>
                    <w:jc w:val="center"/>
                  </w:pPr>
                  <w:r>
                    <w:t xml:space="preserve">0.593</w:t>
                  </w:r>
                </w:p>
              </w:tc>
              <w:tc>
                <w:tcPr/>
                <w:p>
                  <w:pPr>
                    <w:pStyle w:val="Compact"/>
                    <w:jc w:val="right"/>
                    <w:jc w:val="center"/>
                  </w:pPr>
                  <w:r>
                    <w:t xml:space="preserve">t(27) = 3.37</w:t>
                  </w:r>
                </w:p>
              </w:tc>
              <w:tc>
                <w:tcPr/>
                <w:p>
                  <w:pPr>
                    <w:pStyle w:val="Compact"/>
                    <w:jc w:val="right"/>
                    <w:jc w:val="center"/>
                  </w:pPr>
                  <w:r>
                    <w:t xml:space="preserve">p = .002</w:t>
                  </w:r>
                </w:p>
              </w:tc>
            </w:tr>
            <w:tr>
              <w:tc>
                <w:tcPr/>
                <w:p>
                  <w:pPr>
                    <w:pStyle w:val="Compact"/>
                    <w:jc w:val="left"/>
                    <w:jc w:val="center"/>
                  </w:pPr>
                  <w:r>
                    <w:t xml:space="preserve">Grip-period pupil</w:t>
                  </w:r>
                </w:p>
              </w:tc>
              <w:tc>
                <w:tcPr/>
                <w:p>
                  <w:pPr>
                    <w:pStyle w:val="Compact"/>
                    <w:jc w:val="right"/>
                    <w:jc w:val="center"/>
                  </w:pPr>
                  <w:r>
                    <w:t xml:space="preserve">VDT</w:t>
                  </w:r>
                </w:p>
              </w:tc>
              <w:tc>
                <w:tcPr/>
                <w:p>
                  <w:pPr>
                    <w:pStyle w:val="Compact"/>
                    <w:jc w:val="right"/>
                    <w:jc w:val="center"/>
                  </w:pPr>
                  <w:r>
                    <w:t xml:space="preserve">29</w:t>
                  </w:r>
                </w:p>
              </w:tc>
              <w:tc>
                <w:tcPr/>
                <w:p>
                  <w:pPr>
                    <w:pStyle w:val="Compact"/>
                    <w:jc w:val="right"/>
                    <w:jc w:val="center"/>
                  </w:pPr>
                  <w:r>
                    <w:t xml:space="preserve">−0.090 (0.757)</w:t>
                  </w:r>
                </w:p>
              </w:tc>
              <w:tc>
                <w:tcPr/>
                <w:p>
                  <w:pPr>
                    <w:pStyle w:val="Compact"/>
                    <w:jc w:val="right"/>
                    <w:jc w:val="center"/>
                  </w:pPr>
                  <w:r>
                    <w:t xml:space="preserve">−0.273 (0.780)</w:t>
                  </w:r>
                </w:p>
              </w:tc>
              <w:tc>
                <w:tcPr/>
                <w:p>
                  <w:pPr>
                    <w:pStyle w:val="Compact"/>
                    <w:jc w:val="right"/>
                    <w:jc w:val="center"/>
                  </w:pPr>
                  <w:r>
                    <w:t xml:space="preserve">0.212</w:t>
                  </w:r>
                </w:p>
              </w:tc>
              <w:tc>
                <w:tcPr/>
                <w:p>
                  <w:pPr>
                    <w:pStyle w:val="Compact"/>
                    <w:jc w:val="right"/>
                    <w:jc w:val="center"/>
                  </w:pPr>
                  <w:r>
                    <w:t xml:space="preserve">t(28) = 2.08</w:t>
                  </w:r>
                </w:p>
              </w:tc>
              <w:tc>
                <w:tcPr/>
                <w:p>
                  <w:pPr>
                    <w:pStyle w:val="Compact"/>
                    <w:jc w:val="right"/>
                    <w:jc w:val="center"/>
                  </w:pPr>
                  <w:r>
                    <w:t xml:space="preserve">p = .047</w:t>
                  </w:r>
                </w:p>
              </w:tc>
            </w:tr>
          </w:tbl>
          <w:p>
            <w:pPr>
              <w:jc w:val="center"/>
            </w:pPr>
            <w:r>
              <w:rPr>
                <w:i/>
                <w:iCs/>
              </w:rPr>
              <w:t xml:space="preserve">Note.</w:t>
            </w:r>
            <w:r>
              <w:t xml:space="preserve"> </w:t>
            </w:r>
            <w:r>
              <w:t xml:space="preserve">n is the number of participants with both effort levels for that task. The paired test drops anyone missing one level. The final pupil sample is 43 participants.</w:t>
            </w:r>
          </w:p>
          <w:bookmarkEnd w:id="1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suppfig-tepr"/>
          <w:p>
            <w:pPr>
              <w:jc w:val="center"/>
            </w:pPr>
            <w:r>
              <w:drawing>
                <wp:inline>
                  <wp:extent cx="5334000" cy="4878658"/>
                  <wp:effectExtent b="0" l="0" r="0" t="0"/>
                  <wp:docPr descr="" title="" id="144" name="Picture"/>
                  <a:graphic>
                    <a:graphicData uri="http://schemas.openxmlformats.org/drawingml/2006/picture">
                      <pic:pic>
                        <pic:nvPicPr>
                          <pic:cNvPr descr="../output/ddm_refits/runs/final_20261016/figures/final/S_tepr_timecourse.png" id="145" name="Picture"/>
                          <pic:cNvPicPr>
                            <a:picLocks noChangeArrowheads="1" noChangeAspect="1"/>
                          </pic:cNvPicPr>
                        </pic:nvPicPr>
                        <pic:blipFill>
                          <a:blip r:embed="rId143"/>
                          <a:stretch>
                            <a:fillRect/>
                          </a:stretch>
                        </pic:blipFill>
                        <pic:spPr bwMode="auto">
                          <a:xfrm>
                            <a:off x="0" y="0"/>
                            <a:ext cx="5334000" cy="4878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Pupil size by task and effort in the pupil sample, relative to the pre-squeeze baseline. Shading shows ±1 SE. Grey band: grip period; blue band: TEPR window; solid line: probe onset; dashed line: response cue.</w:t>
            </w:r>
          </w:p>
          <w:bookmarkEnd w:id="146"/>
        </w:tc>
      </w:tr>
    </w:tbl>
    <w:bookmarkEnd w:id="147"/>
    <w:bookmarkStart w:id="153" w:name="s6-model-specification-details"/>
    <w:p>
      <w:pPr>
        <w:pStyle w:val="Heading2"/>
      </w:pPr>
      <w:r>
        <w:t xml:space="preserve">S6 Model specification details</w:t>
      </w:r>
    </w:p>
    <w:p>
      <w:pPr>
        <w:pStyle w:val="FirstParagraph"/>
      </w:pPr>
      <w:r>
        <w:t xml:space="preserve">Prior distributions are listed in Table S13. The non-decision-time posterior lay well below its upper bound (Figure S4).</w:t>
      </w:r>
    </w:p>
    <w:tbl>
      <w:tblPr>
        <w:tblStyle w:val="Table"/>
        <w:tblW w:type="pct" w:w="5000"/>
        <w:tblLayout w:type="fixed"/>
        <w:tblLook w:firstRow="0" w:lastRow="0" w:firstColumn="0" w:lastColumn="0" w:noHBand="0" w:noVBand="0" w:val="0000"/>
      </w:tblPr>
      <w:tblGrid>
        <w:gridCol w:w="7920"/>
      </w:tblGrid>
      <w:tr>
        <w:tc>
          <w:tcPr/>
          <w:bookmarkStart w:id="148" w:name="supptbl-priors"/>
          <w:p>
            <w:pPr>
              <w:jc w:val="center"/>
            </w:pPr>
            <w:pPr>
              <w:jc w:val="left"/>
              <w:spacing w:before="200"/>
              <w:pStyle w:val="ImageCaption"/>
            </w:pPr>
            <w:r>
              <w:t xml:space="preserve">Table S13: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48"/>
        </w:tc>
      </w:tr>
    </w:tbl>
    <w:p/>
    <w:tbl>
      <w:tblPr>
        <w:tblStyle w:val="Table"/>
        <w:tblW w:type="pct" w:w="5000"/>
        <w:tblLayout w:type="fixed"/>
        <w:tblLook w:firstRow="0" w:lastRow="0" w:firstColumn="0" w:lastColumn="0" w:noHBand="0" w:noVBand="0" w:val="0000"/>
      </w:tblPr>
      <w:tblGrid>
        <w:gridCol w:w="7920"/>
      </w:tblGrid>
      <w:tr>
        <w:tc>
          <w:tcPr/>
          <w:bookmarkStart w:id="152" w:name="suppfig-ndt"/>
          <w:p>
            <w:pPr>
              <w:jc w:val="center"/>
            </w:pPr>
            <w:r>
              <w:drawing>
                <wp:inline>
                  <wp:extent cx="5334000" cy="5506064"/>
                  <wp:effectExtent b="0" l="0" r="0" t="0"/>
                  <wp:docPr descr="" title="" id="150" name="Picture"/>
                  <a:graphic>
                    <a:graphicData uri="http://schemas.openxmlformats.org/drawingml/2006/picture">
                      <pic:pic>
                        <pic:nvPicPr>
                          <pic:cNvPr descr="../output/ddm_refits/runs/final_20261016/figures/final/S_ndt_prior_posterior.png" id="151" name="Picture"/>
                          <pic:cNvPicPr>
                            <a:picLocks noChangeArrowheads="1" noChangeAspect="1"/>
                          </pic:cNvPicPr>
                        </pic:nvPicPr>
                        <pic:blipFill>
                          <a:blip r:embed="rId149"/>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Prior (bottom) and posterior (top) distributions of non-decision time in M4. The dashed line marks the upper bound set from the shortest RT.</w:t>
            </w:r>
          </w:p>
          <w:bookmarkEnd w:id="152"/>
        </w:tc>
      </w:tr>
    </w:tbl>
    <w:bookmarkEnd w:id="153"/>
    <w:bookmarkEnd w:id="154"/>
    <w:bookmarkStart w:id="155" w:name="Xdfda95695fe65d44131e064e6275cc9a4db42ea"/>
    <w:p>
      <w:pPr>
        <w:pStyle w:val="Heading1"/>
      </w:pPr>
      <w:r>
        <w:t xml:space="preserve">Appendix: Response to advisor comments (draft only)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Section</w:t>
            </w:r>
          </w:p>
        </w:tc>
        <w:tc>
          <w:tcPr/>
          <w:p>
            <w:pPr>
              <w:pStyle w:val="Compact"/>
            </w:pPr>
            <w:r>
              <w:t xml:space="preserve">Comment</w:t>
            </w:r>
          </w:p>
        </w:tc>
        <w:tc>
          <w:tcPr/>
          <w:p>
            <w:pPr>
              <w:pStyle w:val="Compact"/>
            </w:pPr>
            <w:r>
              <w:t xml:space="preserve">Response</w:t>
            </w:r>
          </w:p>
        </w:tc>
      </w:tr>
      <w:tr>
        <w:tc>
          <w:tcPr/>
          <w:p>
            <w:pPr>
              <w:pStyle w:val="Compact"/>
            </w:pPr>
            <w:r>
              <w:t xml:space="preserve">C0</w:t>
            </w:r>
          </w:p>
        </w:tc>
        <w:tc>
          <w:tcPr/>
          <w:p>
            <w:pPr>
              <w:pStyle w:val="Compact"/>
            </w:pPr>
            <w:r>
              <w:t xml:space="preserve">Abstract</w:t>
            </w:r>
          </w:p>
        </w:tc>
        <w:tc>
          <w:tcPr/>
          <w:p>
            <w:pPr>
              <w:pStyle w:val="Compact"/>
            </w:pPr>
            <w:r>
              <w:t xml:space="preserve">state as sig or not sig</w:t>
            </w:r>
          </w:p>
        </w:tc>
        <w:tc>
          <w:tcPr/>
          <w:p>
            <w:pPr>
              <w:pStyle w:val="Compact"/>
            </w:pPr>
            <w:r>
              <w:t xml:space="preserve">Effects are stated with their statistics and direction, without unqualified labels.</w:t>
            </w:r>
          </w:p>
        </w:tc>
      </w:tr>
      <w:tr>
        <w:tc>
          <w:tcPr/>
          <w:p>
            <w:pPr>
              <w:pStyle w:val="Compact"/>
            </w:pPr>
            <w:r>
              <w:t xml:space="preserve">C1</w:t>
            </w:r>
          </w:p>
        </w:tc>
        <w:tc>
          <w:tcPr/>
          <w:p>
            <w:pPr>
              <w:pStyle w:val="Compact"/>
            </w:pPr>
            <w:r>
              <w:t xml:space="preserve">Abstract</w:t>
            </w:r>
          </w:p>
        </w:tc>
        <w:tc>
          <w:tcPr/>
          <w:p>
            <w:pPr>
              <w:pStyle w:val="Compact"/>
            </w:pPr>
            <w:r>
              <w:t xml:space="preserve">sig or not sig?</w:t>
            </w:r>
          </w:p>
        </w:tc>
        <w:tc>
          <w:tcPr/>
          <w:p>
            <w:pPr>
              <w:pStyle w:val="Compact"/>
            </w:pPr>
            <w:r>
              <w:t xml:space="preserve">Boundary effect stated as credibly positive but within the ROPE.</w:t>
            </w:r>
          </w:p>
        </w:tc>
      </w:tr>
      <w:tr>
        <w:tc>
          <w:tcPr/>
          <w:p>
            <w:pPr>
              <w:pStyle w:val="Compact"/>
            </w:pPr>
            <w:r>
              <w:t xml:space="preserve">C2</w:t>
            </w:r>
          </w:p>
        </w:tc>
        <w:tc>
          <w:tcPr/>
          <w:p>
            <w:pPr>
              <w:pStyle w:val="Compact"/>
            </w:pPr>
            <w:r>
              <w:t xml:space="preserve">Abstract</w:t>
            </w:r>
          </w:p>
        </w:tc>
        <w:tc>
          <w:tcPr/>
          <w:p>
            <w:pPr>
              <w:pStyle w:val="Compact"/>
            </w:pPr>
            <w:r>
              <w:t xml:space="preserve">on what DV?</w:t>
            </w:r>
          </w:p>
        </w:tc>
        <w:tc>
          <w:tcPr/>
          <w:p>
            <w:pPr>
              <w:pStyle w:val="Compact"/>
            </w:pPr>
            <w:r>
              <w:t xml:space="preserve">Pupil result tied to its outcome (boundary separation) and model.</w:t>
            </w:r>
          </w:p>
        </w:tc>
      </w:tr>
      <w:tr>
        <w:tc>
          <w:tcPr/>
          <w:p>
            <w:pPr>
              <w:pStyle w:val="Compact"/>
            </w:pPr>
            <w:r>
              <w:t xml:space="preserve">C3</w:t>
            </w:r>
          </w:p>
        </w:tc>
        <w:tc>
          <w:tcPr/>
          <w:p>
            <w:pPr>
              <w:pStyle w:val="Compact"/>
            </w:pPr>
            <w:r>
              <w:t xml:space="preserve">Abstract</w:t>
            </w:r>
          </w:p>
        </w:tc>
        <w:tc>
          <w:tcPr/>
          <w:p>
            <w:pPr>
              <w:pStyle w:val="Compact"/>
            </w:pPr>
            <w:r>
              <w:t xml:space="preserve">sig or not sig?</w:t>
            </w:r>
          </w:p>
        </w:tc>
        <w:tc>
          <w:tcPr/>
          <w:p>
            <w:pPr>
              <w:pStyle w:val="Compact"/>
            </w:pPr>
            <w:r>
              <w:t xml:space="preserve">Stated with its estimate; duration caveat given.</w:t>
            </w:r>
          </w:p>
        </w:tc>
      </w:tr>
      <w:tr>
        <w:tc>
          <w:tcPr/>
          <w:p>
            <w:pPr>
              <w:pStyle w:val="Compact"/>
            </w:pPr>
            <w:r>
              <w:t xml:space="preserve">C4</w:t>
            </w:r>
          </w:p>
        </w:tc>
        <w:tc>
          <w:tcPr/>
          <w:p>
            <w:pPr>
              <w:pStyle w:val="Compact"/>
            </w:pPr>
            <w:r>
              <w:t xml:space="preserve">1 / 4.1</w:t>
            </w:r>
          </w:p>
        </w:tc>
        <w:tc>
          <w:tcPr/>
          <w:p>
            <w:pPr>
              <w:pStyle w:val="Compact"/>
            </w:pPr>
            <w:r>
              <w:t xml:space="preserve">does it matter that they were older adults? what evidence do you have that this is about an aging CNS vs any age CNS?</w:t>
            </w:r>
          </w:p>
        </w:tc>
        <w:tc>
          <w:tcPr/>
          <w:p>
            <w:pPr>
              <w:pStyle w:val="Compact"/>
            </w:pPr>
            <w:r>
              <w:t xml:space="preserve">Claims about the aging nervous system removed. Age is discussed only through prior age-comparison studies, and the Discussion states that this chapter has no younger group.</w:t>
            </w:r>
          </w:p>
        </w:tc>
      </w:tr>
      <w:tr>
        <w:tc>
          <w:tcPr/>
          <w:p>
            <w:pPr>
              <w:pStyle w:val="Compact"/>
            </w:pPr>
            <w:r>
              <w:t xml:space="preserve">C5</w:t>
            </w:r>
          </w:p>
        </w:tc>
        <w:tc>
          <w:tcPr/>
          <w:p>
            <w:pPr>
              <w:pStyle w:val="Compact"/>
            </w:pPr>
            <w:r>
              <w:t xml:space="preserve">Abstract</w:t>
            </w:r>
          </w:p>
        </w:tc>
        <w:tc>
          <w:tcPr/>
          <w:p>
            <w:pPr>
              <w:pStyle w:val="Compact"/>
            </w:pPr>
            <w:r>
              <w:t xml:space="preserve">which DV (with sig effects) above specifically speaks to this SNR issue?</w:t>
            </w:r>
          </w:p>
        </w:tc>
        <w:tc>
          <w:tcPr/>
          <w:p>
            <w:pPr>
              <w:pStyle w:val="Compact"/>
            </w:pPr>
            <w:r>
              <w:t xml:space="preserve">Signal-to-noise claim removed; evidence quality is defined by the effort × stimulus term.</w:t>
            </w:r>
          </w:p>
        </w:tc>
      </w:tr>
      <w:tr>
        <w:tc>
          <w:tcPr/>
          <w:p>
            <w:pPr>
              <w:pStyle w:val="Compact"/>
            </w:pPr>
            <w:r>
              <w:t xml:space="preserve">C6</w:t>
            </w:r>
          </w:p>
        </w:tc>
        <w:tc>
          <w:tcPr/>
          <w:p>
            <w:pPr>
              <w:pStyle w:val="Compact"/>
            </w:pPr>
            <w:r>
              <w:t xml:space="preserve">Abstract</w:t>
            </w:r>
          </w:p>
        </w:tc>
        <w:tc>
          <w:tcPr/>
          <w:p>
            <w:pPr>
              <w:pStyle w:val="Compact"/>
            </w:pPr>
            <w:r>
              <w:t xml:space="preserve">which DVs (with non-sig effects) capture this?</w:t>
            </w:r>
          </w:p>
        </w:tc>
        <w:tc>
          <w:tcPr/>
          <w:p>
            <w:pPr>
              <w:pStyle w:val="Compact"/>
            </w:pPr>
            <w:r>
              <w:t xml:space="preserve">Claim removed; the null effects are stated by parameter.</w:t>
            </w:r>
          </w:p>
        </w:tc>
      </w:tr>
      <w:tr>
        <w:tc>
          <w:tcPr/>
          <w:p>
            <w:pPr>
              <w:pStyle w:val="Compact"/>
            </w:pPr>
            <w:r>
              <w:t xml:space="preserve">C7</w:t>
            </w:r>
          </w:p>
        </w:tc>
        <w:tc>
          <w:tcPr/>
          <w:p>
            <w:pPr>
              <w:pStyle w:val="Compact"/>
            </w:pPr>
            <w:r>
              <w:t xml:space="preserve">1</w:t>
            </w:r>
          </w:p>
        </w:tc>
        <w:tc>
          <w:tcPr/>
          <w:p>
            <w:pPr>
              <w:pStyle w:val="Compact"/>
            </w:pPr>
            <w:r>
              <w:t xml:space="preserve">this topic sentence does not fit most other sentences in the paragraph</w:t>
            </w:r>
          </w:p>
        </w:tc>
        <w:tc>
          <w:tcPr/>
          <w:p>
            <w:pPr>
              <w:pStyle w:val="Compact"/>
            </w:pPr>
            <w:r>
              <w:t xml:space="preserve">Paragraph rebuilt around one claim (effort as a competitor for capacity), with supporting citations.</w:t>
            </w:r>
          </w:p>
        </w:tc>
      </w:tr>
      <w:tr>
        <w:tc>
          <w:tcPr/>
          <w:p>
            <w:pPr>
              <w:pStyle w:val="Compact"/>
            </w:pPr>
            <w:r>
              <w:t xml:space="preserve">C8</w:t>
            </w:r>
          </w:p>
        </w:tc>
        <w:tc>
          <w:tcPr/>
          <w:p>
            <w:pPr>
              <w:pStyle w:val="Compact"/>
            </w:pPr>
            <w:r>
              <w:t xml:space="preserve">1</w:t>
            </w:r>
          </w:p>
        </w:tc>
        <w:tc>
          <w:tcPr/>
          <w:p>
            <w:pPr>
              <w:pStyle w:val="Compact"/>
            </w:pPr>
            <w:r>
              <w:t xml:space="preserve">you’ll want to integrate what was learned from your Ch1 regarding performance and pupil</w:t>
            </w:r>
          </w:p>
        </w:tc>
        <w:tc>
          <w:tcPr/>
          <w:p>
            <w:pPr>
              <w:pStyle w:val="Compact"/>
            </w:pPr>
            <w:r>
              <w:t xml:space="preserve">Chapter 1 results summarized in the first paragraph.</w:t>
            </w:r>
          </w:p>
        </w:tc>
      </w:tr>
      <w:tr>
        <w:tc>
          <w:tcPr/>
          <w:p>
            <w:pPr>
              <w:pStyle w:val="Compact"/>
            </w:pPr>
            <w:r>
              <w:t xml:space="preserve">C9</w:t>
            </w:r>
          </w:p>
        </w:tc>
        <w:tc>
          <w:tcPr/>
          <w:p>
            <w:pPr>
              <w:pStyle w:val="Compact"/>
            </w:pPr>
            <w:r>
              <w:t xml:space="preserve">1</w:t>
            </w:r>
          </w:p>
        </w:tc>
        <w:tc>
          <w:tcPr/>
          <w:p>
            <w:pPr>
              <w:pStyle w:val="Compact"/>
            </w:pPr>
            <w:r>
              <w:t xml:space="preserve">is this your prediction? also, is all this model integration necessary for your specific study aims?</w:t>
            </w:r>
          </w:p>
        </w:tc>
        <w:tc>
          <w:tcPr/>
          <w:p>
            <w:pPr>
              <w:pStyle w:val="Compact"/>
            </w:pPr>
            <w:r>
              <w:t xml:space="preserve">Integrated resource–arousal model removed; the two accounts are stated separately, each with its own prediction.</w:t>
            </w:r>
          </w:p>
        </w:tc>
      </w:tr>
      <w:tr>
        <w:tc>
          <w:tcPr/>
          <w:p>
            <w:pPr>
              <w:pStyle w:val="Compact"/>
            </w:pPr>
            <w:r>
              <w:t xml:space="preserve">C10</w:t>
            </w:r>
          </w:p>
        </w:tc>
        <w:tc>
          <w:tcPr/>
          <w:p>
            <w:pPr>
              <w:pStyle w:val="Compact"/>
            </w:pPr>
            <w:r>
              <w:t xml:space="preserve">1</w:t>
            </w:r>
          </w:p>
        </w:tc>
        <w:tc>
          <w:tcPr/>
          <w:p>
            <w:pPr>
              <w:pStyle w:val="Compact"/>
            </w:pPr>
            <w:r>
              <w:t xml:space="preserve">densely jargony. which gross beh measures? how are you measuring degrades sensory processing? how do you know the lower threshold is</w:t>
            </w:r>
            <w:r>
              <w:t xml:space="preserve"> </w:t>
            </w:r>
            <w:r>
              <w:t xml:space="preserve">“deliberate”</w:t>
            </w:r>
            <w:r>
              <w:t xml:space="preserve">?</w:t>
            </w:r>
          </w:p>
        </w:tc>
        <w:tc>
          <w:tcPr/>
          <w:p>
            <w:pPr>
              <w:pStyle w:val="Compact"/>
            </w:pPr>
            <w:r>
              <w:t xml:space="preserve">The measures are named (accuracy, RT), and the model parameter that separates each mechanism is specified.</w:t>
            </w:r>
          </w:p>
        </w:tc>
      </w:tr>
      <w:tr>
        <w:tc>
          <w:tcPr/>
          <w:p>
            <w:pPr>
              <w:pStyle w:val="Compact"/>
            </w:pPr>
            <w:r>
              <w:t xml:space="preserve">C11</w:t>
            </w:r>
          </w:p>
        </w:tc>
        <w:tc>
          <w:tcPr/>
          <w:p>
            <w:pPr>
              <w:pStyle w:val="Compact"/>
            </w:pPr>
            <w:r>
              <w:t xml:space="preserve">2.4 / 2.6</w:t>
            </w:r>
          </w:p>
        </w:tc>
        <w:tc>
          <w:tcPr/>
          <w:p>
            <w:pPr>
              <w:pStyle w:val="Compact"/>
            </w:pPr>
            <w:r>
              <w:t xml:space="preserve">these are methods details. are they needed to set up the study aims?</w:t>
            </w:r>
          </w:p>
        </w:tc>
        <w:tc>
          <w:tcPr/>
          <w:p>
            <w:pPr>
              <w:pStyle w:val="Compact"/>
            </w:pPr>
            <w:r>
              <w:t xml:space="preserve">Luminance and viewing-distance details moved from the Introduction to Apparatus and Pupillometry; the Introduction keeps only what the aims need.</w:t>
            </w:r>
          </w:p>
        </w:tc>
      </w:tr>
      <w:tr>
        <w:tc>
          <w:tcPr/>
          <w:p>
            <w:pPr>
              <w:pStyle w:val="Compact"/>
            </w:pPr>
            <w:r>
              <w:t xml:space="preserve">C12</w:t>
            </w:r>
          </w:p>
        </w:tc>
        <w:tc>
          <w:tcPr/>
          <w:p>
            <w:pPr>
              <w:pStyle w:val="Compact"/>
            </w:pPr>
            <w:r>
              <w:t xml:space="preserve">1</w:t>
            </w:r>
          </w:p>
        </w:tc>
        <w:tc>
          <w:tcPr/>
          <w:p>
            <w:pPr>
              <w:pStyle w:val="Compact"/>
            </w:pPr>
            <w:r>
              <w:t xml:space="preserve">necessary?</w:t>
            </w:r>
          </w:p>
        </w:tc>
        <w:tc>
          <w:tcPr/>
          <w:p>
            <w:pPr>
              <w:pStyle w:val="Compact"/>
            </w:pPr>
            <w:r>
              <w:t xml:space="preserve">LC sentence cut from the Introduction.</w:t>
            </w:r>
          </w:p>
        </w:tc>
      </w:tr>
      <w:tr>
        <w:tc>
          <w:tcPr/>
          <w:p>
            <w:pPr>
              <w:pStyle w:val="Compact"/>
            </w:pPr>
            <w:r>
              <w:t xml:space="preserve">C13</w:t>
            </w:r>
          </w:p>
        </w:tc>
        <w:tc>
          <w:tcPr/>
          <w:p>
            <w:pPr>
              <w:pStyle w:val="Compact"/>
            </w:pPr>
            <w:r>
              <w:t xml:space="preserve">1</w:t>
            </w:r>
          </w:p>
        </w:tc>
        <w:tc>
          <w:tcPr/>
          <w:p>
            <w:pPr>
              <w:pStyle w:val="Compact"/>
            </w:pPr>
            <w:r>
              <w:t xml:space="preserve">it’s not clear to me how much of this is your own conjecture vs evidence-based claims. first review the relevant literature, then state how it will be applied in this study (concluding sentence or paragraph)</w:t>
            </w:r>
          </w:p>
        </w:tc>
        <w:tc>
          <w:tcPr/>
          <w:p>
            <w:pPr>
              <w:pStyle w:val="Compact"/>
            </w:pPr>
            <w:r>
              <w:t xml:space="preserve">Literature is reviewed first, then its application stated in the final paragraph.</w:t>
            </w:r>
          </w:p>
        </w:tc>
      </w:tr>
      <w:tr>
        <w:tc>
          <w:tcPr/>
          <w:p>
            <w:pPr>
              <w:pStyle w:val="Compact"/>
            </w:pPr>
            <w:r>
              <w:t xml:space="preserve">C14</w:t>
            </w:r>
          </w:p>
        </w:tc>
        <w:tc>
          <w:tcPr/>
          <w:p>
            <w:pPr>
              <w:pStyle w:val="Compact"/>
            </w:pPr>
            <w:r>
              <w:t xml:space="preserve">1</w:t>
            </w:r>
          </w:p>
        </w:tc>
        <w:tc>
          <w:tcPr/>
          <w:p>
            <w:pPr>
              <w:pStyle w:val="Compact"/>
            </w:pPr>
            <w:r>
              <w:t xml:space="preserve">what sigle-trial signal and what model?</w:t>
            </w:r>
          </w:p>
        </w:tc>
        <w:tc>
          <w:tcPr/>
          <w:p>
            <w:pPr>
              <w:pStyle w:val="Compact"/>
            </w:pPr>
            <w:r>
              <w:t xml:space="preserve">The signal (trial-wise TEPR) and model (pupil-linked diffusion model) are named.</w:t>
            </w:r>
          </w:p>
        </w:tc>
      </w:tr>
      <w:tr>
        <w:tc>
          <w:tcPr/>
          <w:p>
            <w:pPr>
              <w:pStyle w:val="Compact"/>
            </w:pPr>
            <w:r>
              <w:t xml:space="preserve">C15</w:t>
            </w:r>
          </w:p>
        </w:tc>
        <w:tc>
          <w:tcPr/>
          <w:p>
            <w:pPr>
              <w:pStyle w:val="Compact"/>
            </w:pPr>
            <w:r>
              <w:t xml:space="preserve">1 / 4.3</w:t>
            </w:r>
          </w:p>
        </w:tc>
        <w:tc>
          <w:tcPr/>
          <w:p>
            <w:pPr>
              <w:pStyle w:val="Compact"/>
            </w:pPr>
            <w:r>
              <w:t xml:space="preserve">what is the evidence of this temporal ordering (arousal –&gt; caution)?</w:t>
            </w:r>
          </w:p>
        </w:tc>
        <w:tc>
          <w:tcPr/>
          <w:p>
            <w:pPr>
              <w:pStyle w:val="Compact"/>
            </w:pPr>
            <w:r>
              <w:t xml:space="preserve">Temporal ordering is now a tested question: the Introduction states the alternative (pupil responses scale with RT) and the test (pre-decision measures).</w:t>
            </w:r>
          </w:p>
        </w:tc>
      </w:tr>
      <w:tr>
        <w:tc>
          <w:tcPr/>
          <w:p>
            <w:pPr>
              <w:pStyle w:val="Compact"/>
            </w:pPr>
            <w:r>
              <w:t xml:space="preserve">C16</w:t>
            </w:r>
          </w:p>
        </w:tc>
        <w:tc>
          <w:tcPr/>
          <w:p>
            <w:pPr>
              <w:pStyle w:val="Compact"/>
            </w:pPr>
            <w:r>
              <w:t xml:space="preserve">1</w:t>
            </w:r>
          </w:p>
        </w:tc>
        <w:tc>
          <w:tcPr/>
          <w:p>
            <w:pPr>
              <w:pStyle w:val="Compact"/>
            </w:pPr>
            <w:r>
              <w:t xml:space="preserve">how is probabilistic learning related to conflict?</w:t>
            </w:r>
          </w:p>
        </w:tc>
        <w:tc>
          <w:tcPr/>
          <w:p>
            <w:pPr>
              <w:pStyle w:val="Compact"/>
            </w:pPr>
            <w:r>
              <w:t xml:space="preserve">Cavanagh et al. (2014) described accurately: a reinforcement-learning task with choices between similarly valued options.</w:t>
            </w:r>
          </w:p>
        </w:tc>
      </w:tr>
      <w:tr>
        <w:tc>
          <w:tcPr/>
          <w:p>
            <w:pPr>
              <w:pStyle w:val="Compact"/>
            </w:pPr>
            <w:r>
              <w:t xml:space="preserve">C17</w:t>
            </w:r>
          </w:p>
        </w:tc>
        <w:tc>
          <w:tcPr/>
          <w:p>
            <w:pPr>
              <w:pStyle w:val="Compact"/>
            </w:pPr>
            <w:r>
              <w:t xml:space="preserve">1</w:t>
            </w:r>
          </w:p>
        </w:tc>
        <w:tc>
          <w:tcPr/>
          <w:p>
            <w:pPr>
              <w:pStyle w:val="Compact"/>
            </w:pPr>
            <w:r>
              <w:t xml:space="preserve">cite this claim</w:t>
            </w:r>
          </w:p>
        </w:tc>
        <w:tc>
          <w:tcPr/>
          <w:p>
            <w:pPr>
              <w:pStyle w:val="Compact"/>
            </w:pPr>
            <w:r>
              <w:t xml:space="preserve">Unsupported claim removed.</w:t>
            </w:r>
          </w:p>
        </w:tc>
      </w:tr>
      <w:tr>
        <w:tc>
          <w:tcPr/>
          <w:p>
            <w:pPr>
              <w:pStyle w:val="Compact"/>
            </w:pPr>
            <w:r>
              <w:t xml:space="preserve">C18</w:t>
            </w:r>
          </w:p>
        </w:tc>
        <w:tc>
          <w:tcPr/>
          <w:p>
            <w:pPr>
              <w:pStyle w:val="Compact"/>
            </w:pPr>
            <w:r>
              <w:t xml:space="preserve">1</w:t>
            </w:r>
          </w:p>
        </w:tc>
        <w:tc>
          <w:tcPr/>
          <w:p>
            <w:pPr>
              <w:pStyle w:val="Compact"/>
            </w:pPr>
            <w:r>
              <w:t xml:space="preserve">evidence or conjecture?</w:t>
            </w:r>
          </w:p>
        </w:tc>
        <w:tc>
          <w:tcPr/>
          <w:p>
            <w:pPr>
              <w:pStyle w:val="Compact"/>
            </w:pPr>
            <w:r>
              <w:t xml:space="preserve">Conjecture removed; age claims are limited to cited findings.</w:t>
            </w:r>
          </w:p>
        </w:tc>
      </w:tr>
      <w:tr>
        <w:tc>
          <w:tcPr/>
          <w:p>
            <w:pPr>
              <w:pStyle w:val="Compact"/>
            </w:pPr>
            <w:r>
              <w:t xml:space="preserve">C19</w:t>
            </w:r>
          </w:p>
        </w:tc>
        <w:tc>
          <w:tcPr/>
          <w:p>
            <w:pPr>
              <w:pStyle w:val="Compact"/>
            </w:pPr>
            <w:r>
              <w:t xml:space="preserve">1</w:t>
            </w:r>
          </w:p>
        </w:tc>
        <w:tc>
          <w:tcPr/>
          <w:p>
            <w:pPr>
              <w:pStyle w:val="Compact"/>
            </w:pPr>
            <w:r>
              <w:t xml:space="preserve">make it clear you are running two types of DDM (classic and pupil-informed) and that the predictions are for both</w:t>
            </w:r>
          </w:p>
        </w:tc>
        <w:tc>
          <w:tcPr/>
          <w:p>
            <w:pPr>
              <w:pStyle w:val="Compact"/>
            </w:pPr>
            <w:r>
              <w:t xml:space="preserve">Final paragraph names the two analyses (diffusion model; pupil-linked diffusion model) and what each tests.</w:t>
            </w:r>
          </w:p>
        </w:tc>
      </w:tr>
      <w:tr>
        <w:tc>
          <w:tcPr/>
          <w:p>
            <w:pPr>
              <w:pStyle w:val="Compact"/>
            </w:pPr>
            <w:r>
              <w:t xml:space="preserve">C20</w:t>
            </w:r>
          </w:p>
        </w:tc>
        <w:tc>
          <w:tcPr/>
          <w:p>
            <w:pPr>
              <w:pStyle w:val="Compact"/>
            </w:pPr>
            <w:r>
              <w:t xml:space="preserve">1</w:t>
            </w:r>
          </w:p>
        </w:tc>
        <w:tc>
          <w:tcPr/>
          <w:p>
            <w:pPr>
              <w:pStyle w:val="Compact"/>
            </w:pPr>
            <w:r>
              <w:t xml:space="preserve">what is the evidence for this interpretation?</w:t>
            </w:r>
          </w:p>
        </w:tc>
        <w:tc>
          <w:tcPr/>
          <w:p>
            <w:pPr>
              <w:pStyle w:val="Compact"/>
            </w:pPr>
            <w:r>
              <w:t xml:space="preserve">Interpretive claim removed.</w:t>
            </w:r>
          </w:p>
        </w:tc>
      </w:tr>
      <w:tr>
        <w:tc>
          <w:tcPr/>
          <w:p>
            <w:pPr>
              <w:pStyle w:val="Compact"/>
            </w:pPr>
            <w:r>
              <w:t xml:space="preserve">C21</w:t>
            </w:r>
          </w:p>
        </w:tc>
        <w:tc>
          <w:tcPr/>
          <w:p>
            <w:pPr>
              <w:pStyle w:val="Compact"/>
            </w:pPr>
            <w:r>
              <w:t xml:space="preserve">1</w:t>
            </w:r>
          </w:p>
        </w:tc>
        <w:tc>
          <w:tcPr/>
          <w:p>
            <w:pPr>
              <w:pStyle w:val="Compact"/>
            </w:pPr>
            <w:r>
              <w:t xml:space="preserve">separate your predictions for the variables of interest from your interpretation and make sure both are clearly rooted in prior literature</w:t>
            </w:r>
          </w:p>
        </w:tc>
        <w:tc>
          <w:tcPr/>
          <w:p>
            <w:pPr>
              <w:pStyle w:val="Compact"/>
            </w:pPr>
            <w:r>
              <w:t xml:space="preserve">Predictions are stated per parameter and tied to prior work; interpretation is left to the Discussion.</w:t>
            </w:r>
          </w:p>
        </w:tc>
      </w:tr>
      <w:tr>
        <w:tc>
          <w:tcPr/>
          <w:p>
            <w:pPr>
              <w:pStyle w:val="Compact"/>
            </w:pPr>
            <w:r>
              <w:t xml:space="preserve">C22</w:t>
            </w:r>
          </w:p>
        </w:tc>
        <w:tc>
          <w:tcPr/>
          <w:p>
            <w:pPr>
              <w:pStyle w:val="Compact"/>
            </w:pPr>
            <w:r>
              <w:t xml:space="preserve">1</w:t>
            </w:r>
          </w:p>
        </w:tc>
        <w:tc>
          <w:tcPr/>
          <w:p>
            <w:pPr>
              <w:pStyle w:val="Compact"/>
            </w:pPr>
            <w:r>
              <w:t xml:space="preserve">what result would distinguish between/t these claims?</w:t>
            </w:r>
          </w:p>
        </w:tc>
        <w:tc>
          <w:tcPr/>
          <w:p>
            <w:pPr>
              <w:pStyle w:val="Compact"/>
            </w:pPr>
            <w:r>
              <w:t xml:space="preserve">The distinguishing result is stated: the sign of the effort effect on boundary separation.</w:t>
            </w:r>
          </w:p>
        </w:tc>
      </w:tr>
      <w:tr>
        <w:tc>
          <w:tcPr/>
          <w:p>
            <w:pPr>
              <w:pStyle w:val="Compact"/>
            </w:pPr>
            <w:r>
              <w:t xml:space="preserve">C23</w:t>
            </w:r>
          </w:p>
        </w:tc>
        <w:tc>
          <w:tcPr/>
          <w:p>
            <w:pPr>
              <w:pStyle w:val="Compact"/>
            </w:pPr>
            <w:r>
              <w:t xml:space="preserve">2.1</w:t>
            </w:r>
          </w:p>
        </w:tc>
        <w:tc>
          <w:tcPr/>
          <w:p>
            <w:pPr>
              <w:pStyle w:val="Compact"/>
            </w:pPr>
            <w:r>
              <w:t xml:space="preserve">S1?</w:t>
            </w:r>
          </w:p>
        </w:tc>
        <w:tc>
          <w:tcPr/>
          <w:p>
            <w:pPr>
              <w:pStyle w:val="Compact"/>
            </w:pPr>
            <w:r>
              <w:t xml:space="preserve">Supplement references updated to the new numbering (S1 for participant flow).</w:t>
            </w:r>
          </w:p>
        </w:tc>
      </w:tr>
      <w:tr>
        <w:tc>
          <w:tcPr/>
          <w:p>
            <w:pPr>
              <w:pStyle w:val="Compact"/>
            </w:pPr>
            <w:r>
              <w:t xml:space="preserve">C24</w:t>
            </w:r>
          </w:p>
        </w:tc>
        <w:tc>
          <w:tcPr/>
          <w:p>
            <w:pPr>
              <w:pStyle w:val="Compact"/>
            </w:pPr>
            <w:r>
              <w:t xml:space="preserve">2.1</w:t>
            </w:r>
          </w:p>
        </w:tc>
        <w:tc>
          <w:tcPr/>
          <w:p>
            <w:pPr>
              <w:pStyle w:val="Compact"/>
            </w:pPr>
            <w:r>
              <w:t xml:space="preserve">agreed. will update them at the end</w:t>
            </w:r>
          </w:p>
        </w:tc>
        <w:tc>
          <w:tcPr/>
          <w:p>
            <w:pPr>
              <w:pStyle w:val="Compact"/>
            </w:pPr>
            <w:r>
              <w:t xml:space="preserve">Done (supplement numbering finalized).</w:t>
            </w:r>
          </w:p>
        </w:tc>
      </w:tr>
      <w:tr>
        <w:tc>
          <w:tcPr/>
          <w:p>
            <w:pPr>
              <w:pStyle w:val="Compact"/>
            </w:pPr>
            <w:r>
              <w:t xml:space="preserve">C25</w:t>
            </w:r>
          </w:p>
        </w:tc>
        <w:tc>
          <w:tcPr/>
          <w:p>
            <w:pPr>
              <w:pStyle w:val="Compact"/>
            </w:pPr>
            <w:r>
              <w:t xml:space="preserve">2.1</w:t>
            </w:r>
          </w:p>
        </w:tc>
        <w:tc>
          <w:tcPr/>
          <w:p>
            <w:pPr>
              <w:pStyle w:val="Compact"/>
            </w:pPr>
            <w:r>
              <w:t xml:space="preserve">update at the end</w:t>
            </w:r>
          </w:p>
        </w:tc>
        <w:tc>
          <w:tcPr/>
          <w:p>
            <w:pPr>
              <w:pStyle w:val="Compact"/>
            </w:pPr>
            <w:r>
              <w:t xml:space="preserve">Done (flow figure is Figure S1).</w:t>
            </w:r>
          </w:p>
        </w:tc>
      </w:tr>
      <w:tr>
        <w:tc>
          <w:tcPr/>
          <w:p>
            <w:pPr>
              <w:pStyle w:val="Compact"/>
            </w:pPr>
            <w:r>
              <w:t xml:space="preserve">C26</w:t>
            </w:r>
          </w:p>
        </w:tc>
        <w:tc>
          <w:tcPr/>
          <w:p>
            <w:pPr>
              <w:pStyle w:val="Compact"/>
            </w:pPr>
            <w:r>
              <w:t xml:space="preserve">2.2</w:t>
            </w:r>
          </w:p>
        </w:tc>
        <w:tc>
          <w:tcPr/>
          <w:p>
            <w:pPr>
              <w:pStyle w:val="Compact"/>
            </w:pPr>
            <w:r>
              <w:t xml:space="preserve">what does this mean?</w:t>
            </w:r>
          </w:p>
        </w:tc>
        <w:tc>
          <w:tcPr/>
          <w:p>
            <w:pPr>
              <w:pStyle w:val="Compact"/>
            </w:pPr>
            <w:r>
              <w:t xml:space="preserve">Response-signal procedure defined in one clause: participants withheld their response until a response cue.</w:t>
            </w:r>
          </w:p>
        </w:tc>
      </w:tr>
      <w:tr>
        <w:tc>
          <w:tcPr/>
          <w:p>
            <w:pPr>
              <w:pStyle w:val="Compact"/>
            </w:pPr>
            <w:r>
              <w:t xml:space="preserve">C27</w:t>
            </w:r>
          </w:p>
        </w:tc>
        <w:tc>
          <w:tcPr/>
          <w:p>
            <w:pPr>
              <w:pStyle w:val="Compact"/>
            </w:pPr>
            <w:r>
              <w:t xml:space="preserve">2.2</w:t>
            </w:r>
          </w:p>
        </w:tc>
        <w:tc>
          <w:tcPr/>
          <w:p>
            <w:pPr>
              <w:pStyle w:val="Compact"/>
            </w:pPr>
            <w:r>
              <w:t xml:space="preserve">participants are instructed when to press the response box</w:t>
            </w:r>
          </w:p>
        </w:tc>
        <w:tc>
          <w:tcPr/>
          <w:p>
            <w:pPr>
              <w:pStyle w:val="Compact"/>
            </w:pPr>
            <w:r>
              <w:t xml:space="preserve">See C26.</w:t>
            </w:r>
          </w:p>
        </w:tc>
      </w:tr>
      <w:tr>
        <w:tc>
          <w:tcPr/>
          <w:p>
            <w:pPr>
              <w:pStyle w:val="Compact"/>
            </w:pPr>
            <w:r>
              <w:t xml:space="preserve">C28</w:t>
            </w:r>
          </w:p>
        </w:tc>
        <w:tc>
          <w:tcPr/>
          <w:p>
            <w:pPr>
              <w:pStyle w:val="Compact"/>
            </w:pPr>
            <w:r>
              <w:t xml:space="preserve">2.3</w:t>
            </w:r>
          </w:p>
        </w:tc>
        <w:tc>
          <w:tcPr/>
          <w:p>
            <w:pPr>
              <w:pStyle w:val="Compact"/>
            </w:pPr>
            <w:r>
              <w:t xml:space="preserve">describe this in its own section</w:t>
            </w:r>
          </w:p>
        </w:tc>
        <w:tc>
          <w:tcPr/>
          <w:p>
            <w:pPr>
              <w:pStyle w:val="Compact"/>
            </w:pPr>
            <w:r>
              <w:t xml:space="preserve">MVC has its own section (2.3), with the session structure: mean of three 5-s maximal squeezes, re-measured in the scanner in Session 2 and used for Sessions 2 and 3.</w:t>
            </w:r>
          </w:p>
        </w:tc>
      </w:tr>
      <w:tr>
        <w:tc>
          <w:tcPr/>
          <w:p>
            <w:pPr>
              <w:pStyle w:val="Compact"/>
            </w:pPr>
            <w:r>
              <w:t xml:space="preserve">C29</w:t>
            </w:r>
          </w:p>
        </w:tc>
        <w:tc>
          <w:tcPr/>
          <w:p>
            <w:pPr>
              <w:pStyle w:val="Compact"/>
            </w:pPr>
            <w:r>
              <w:t xml:space="preserve">2.9</w:t>
            </w:r>
          </w:p>
        </w:tc>
        <w:tc>
          <w:tcPr/>
          <w:p>
            <w:pPr>
              <w:pStyle w:val="Compact"/>
            </w:pPr>
            <w:r>
              <w:t xml:space="preserve">this is usually the last section, unless you are specifying the beh analyses only here?</w:t>
            </w:r>
          </w:p>
        </w:tc>
        <w:tc>
          <w:tcPr/>
          <w:p>
            <w:pPr>
              <w:pStyle w:val="Compact"/>
            </w:pPr>
            <w:r>
              <w:t xml:space="preserve">Statistical inference is now the last Methods section.</w:t>
            </w:r>
          </w:p>
        </w:tc>
      </w:tr>
      <w:tr>
        <w:tc>
          <w:tcPr/>
          <w:p>
            <w:pPr>
              <w:pStyle w:val="Compact"/>
            </w:pPr>
            <w:r>
              <w:t xml:space="preserve">C30</w:t>
            </w:r>
          </w:p>
        </w:tc>
        <w:tc>
          <w:tcPr/>
          <w:p>
            <w:pPr>
              <w:pStyle w:val="Compact"/>
            </w:pPr>
            <w:r>
              <w:t xml:space="preserve">2.7.2</w:t>
            </w:r>
          </w:p>
        </w:tc>
        <w:tc>
          <w:tcPr/>
          <w:p>
            <w:pPr>
              <w:pStyle w:val="Compact"/>
            </w:pPr>
            <w:r>
              <w:t xml:space="preserve">citations for this claim?</w:t>
            </w:r>
          </w:p>
        </w:tc>
        <w:tc>
          <w:tcPr/>
          <w:p>
            <w:pPr>
              <w:pStyle w:val="Compact"/>
            </w:pPr>
            <w:r>
              <w:t xml:space="preserve">Unsupported claim about joint specification removed; the joint fit is stated without justification claims.</w:t>
            </w:r>
          </w:p>
        </w:tc>
      </w:tr>
      <w:tr>
        <w:tc>
          <w:tcPr/>
          <w:p>
            <w:pPr>
              <w:pStyle w:val="Compact"/>
            </w:pPr>
            <w:r>
              <w:t xml:space="preserve">C31</w:t>
            </w:r>
          </w:p>
        </w:tc>
        <w:tc>
          <w:tcPr/>
          <w:p>
            <w:pPr>
              <w:pStyle w:val="Compact"/>
            </w:pPr>
            <w:r>
              <w:t xml:space="preserve">2.7.2</w:t>
            </w:r>
          </w:p>
        </w:tc>
        <w:tc>
          <w:tcPr/>
          <w:p>
            <w:pPr>
              <w:pStyle w:val="Compact"/>
            </w:pPr>
            <w:r>
              <w:t xml:space="preserve">say this in 1 short sentence</w:t>
            </w:r>
          </w:p>
        </w:tc>
        <w:tc>
          <w:tcPr/>
          <w:p>
            <w:pPr>
              <w:pStyle w:val="Compact"/>
            </w:pPr>
            <w:r>
              <w:t xml:space="preserve">Task enters drift in the primary model (model comparison, Table S2); stated in one sentence.</w:t>
            </w:r>
          </w:p>
        </w:tc>
      </w:tr>
      <w:tr>
        <w:tc>
          <w:tcPr/>
          <w:p>
            <w:pPr>
              <w:pStyle w:val="Compact"/>
            </w:pPr>
            <w:r>
              <w:t xml:space="preserve">C32</w:t>
            </w:r>
          </w:p>
        </w:tc>
        <w:tc>
          <w:tcPr/>
          <w:p>
            <w:pPr>
              <w:pStyle w:val="Compact"/>
            </w:pPr>
            <w:r>
              <w:t xml:space="preserve">2</w:t>
            </w:r>
          </w:p>
        </w:tc>
        <w:tc>
          <w:tcPr/>
          <w:p>
            <w:pPr>
              <w:pStyle w:val="Compact"/>
            </w:pPr>
            <w:r>
              <w:t xml:space="preserve">this section is not needed</w:t>
            </w:r>
          </w:p>
        </w:tc>
        <w:tc>
          <w:tcPr/>
          <w:p>
            <w:pPr>
              <w:pStyle w:val="Compact"/>
            </w:pPr>
            <w:r>
              <w:t xml:space="preserve">Analysis overview section cut.</w:t>
            </w:r>
          </w:p>
        </w:tc>
      </w:tr>
      <w:tr>
        <w:tc>
          <w:tcPr/>
          <w:p>
            <w:pPr>
              <w:pStyle w:val="Compact"/>
            </w:pPr>
            <w:r>
              <w:t xml:space="preserve">C33</w:t>
            </w:r>
          </w:p>
        </w:tc>
        <w:tc>
          <w:tcPr/>
          <w:p>
            <w:pPr>
              <w:pStyle w:val="Compact"/>
            </w:pPr>
            <w:r>
              <w:t xml:space="preserve">2.9 / S</w:t>
            </w:r>
          </w:p>
        </w:tc>
        <w:tc>
          <w:tcPr/>
          <w:p>
            <w:pPr>
              <w:pStyle w:val="Compact"/>
            </w:pPr>
            <w:r>
              <w:t xml:space="preserve">this is not a manipulation check; it’s another way of analyzing the data – report in the supporting only if at all</w:t>
            </w:r>
          </w:p>
        </w:tc>
        <w:tc>
          <w:tcPr/>
          <w:p>
            <w:pPr>
              <w:pStyle w:val="Compact"/>
            </w:pPr>
            <w:r>
              <w:t xml:space="preserve">Accuracy GLMM described in one sentence as a separate analysis; full results in the supplement.</w:t>
            </w:r>
          </w:p>
        </w:tc>
      </w:tr>
      <w:tr>
        <w:tc>
          <w:tcPr/>
          <w:p>
            <w:pPr>
              <w:pStyle w:val="Compact"/>
            </w:pPr>
            <w:r>
              <w:t xml:space="preserve">C34</w:t>
            </w:r>
          </w:p>
        </w:tc>
        <w:tc>
          <w:tcPr/>
          <w:p>
            <w:pPr>
              <w:pStyle w:val="Compact"/>
            </w:pPr>
            <w:r>
              <w:t xml:space="preserve">2.7.2</w:t>
            </w:r>
          </w:p>
        </w:tc>
        <w:tc>
          <w:tcPr/>
          <w:p>
            <w:pPr>
              <w:pStyle w:val="Compact"/>
            </w:pPr>
            <w:r>
              <w:t xml:space="preserve">report it with the first partof this sentence</w:t>
            </w:r>
          </w:p>
        </w:tc>
        <w:tc>
          <w:tcPr/>
          <w:p>
            <w:pPr>
              <w:pStyle w:val="Compact"/>
            </w:pPr>
            <w:r>
              <w:t xml:space="preserve">Model specification given where the model is introduced.</w:t>
            </w:r>
          </w:p>
        </w:tc>
      </w:tr>
      <w:tr>
        <w:tc>
          <w:tcPr/>
          <w:p>
            <w:pPr>
              <w:pStyle w:val="Compact"/>
            </w:pPr>
            <w:r>
              <w:t xml:space="preserve">C35</w:t>
            </w:r>
          </w:p>
        </w:tc>
        <w:tc>
          <w:tcPr/>
          <w:p>
            <w:pPr>
              <w:pStyle w:val="Compact"/>
            </w:pPr>
            <w:r>
              <w:t xml:space="preserve">2.5</w:t>
            </w:r>
          </w:p>
        </w:tc>
        <w:tc>
          <w:tcPr/>
          <w:p>
            <w:pPr>
              <w:pStyle w:val="Compact"/>
            </w:pPr>
            <w:r>
              <w:t xml:space="preserve">stated previously I think</w:t>
            </w:r>
          </w:p>
        </w:tc>
        <w:tc>
          <w:tcPr/>
          <w:p>
            <w:pPr>
              <w:pStyle w:val="Compact"/>
            </w:pPr>
            <w:r>
              <w:t xml:space="preserve">RT-cutoff sensitivity stated once (2.5).</w:t>
            </w:r>
          </w:p>
        </w:tc>
      </w:tr>
      <w:tr>
        <w:tc>
          <w:tcPr/>
          <w:p>
            <w:pPr>
              <w:pStyle w:val="Compact"/>
            </w:pPr>
            <w:r>
              <w:t xml:space="preserve">C36</w:t>
            </w:r>
          </w:p>
        </w:tc>
        <w:tc>
          <w:tcPr/>
          <w:p>
            <w:pPr>
              <w:pStyle w:val="Compact"/>
            </w:pPr>
            <w:r>
              <w:t xml:space="preserve">—</w:t>
            </w:r>
          </w:p>
        </w:tc>
        <w:tc>
          <w:tcPr/>
          <w:p>
            <w:pPr>
              <w:pStyle w:val="Compact"/>
            </w:pPr>
            <w:r>
              <w:t xml:space="preserve">cut; not related at all to the current study aims</w:t>
            </w:r>
          </w:p>
        </w:tc>
        <w:tc>
          <w:tcPr/>
          <w:p>
            <w:pPr>
              <w:pStyle w:val="Compact"/>
            </w:pPr>
            <w:r>
              <w:t xml:space="preserve">LC and neuropsychological analyses removed from Methods; dissertation supplement only.</w:t>
            </w:r>
          </w:p>
        </w:tc>
      </w:tr>
      <w:tr>
        <w:tc>
          <w:tcPr/>
          <w:p>
            <w:pPr>
              <w:pStyle w:val="Compact"/>
            </w:pPr>
            <w:r>
              <w:t xml:space="preserve">C37</w:t>
            </w:r>
          </w:p>
        </w:tc>
        <w:tc>
          <w:tcPr/>
          <w:p>
            <w:pPr>
              <w:pStyle w:val="Compact"/>
            </w:pPr>
            <w:r>
              <w:t xml:space="preserve">2.6</w:t>
            </w:r>
          </w:p>
        </w:tc>
        <w:tc>
          <w:tcPr/>
          <w:p>
            <w:pPr>
              <w:pStyle w:val="Compact"/>
            </w:pPr>
            <w:r>
              <w:t xml:space="preserve">nope!</w:t>
            </w:r>
          </w:p>
        </w:tc>
        <w:tc>
          <w:tcPr/>
          <w:p>
            <w:pPr>
              <w:pStyle w:val="Compact"/>
            </w:pPr>
            <w:r>
              <w:t xml:space="preserve">“Cognitive workload”</w:t>
            </w:r>
            <w:r>
              <w:t xml:space="preserve"> </w:t>
            </w:r>
            <w:r>
              <w:t xml:space="preserve">framing removed.</w:t>
            </w:r>
          </w:p>
        </w:tc>
      </w:tr>
      <w:tr>
        <w:tc>
          <w:tcPr/>
          <w:p>
            <w:pPr>
              <w:pStyle w:val="Compact"/>
            </w:pPr>
            <w:r>
              <w:t xml:space="preserve">C38</w:t>
            </w:r>
          </w:p>
        </w:tc>
        <w:tc>
          <w:tcPr/>
          <w:p>
            <w:pPr>
              <w:pStyle w:val="Compact"/>
            </w:pPr>
            <w:r>
              <w:t xml:space="preserve">2.6</w:t>
            </w:r>
          </w:p>
        </w:tc>
        <w:tc>
          <w:tcPr/>
          <w:p>
            <w:pPr>
              <w:pStyle w:val="Compact"/>
            </w:pPr>
            <w:r>
              <w:t xml:space="preserve">citation?</w:t>
            </w:r>
          </w:p>
        </w:tc>
        <w:tc>
          <w:tcPr/>
          <w:p>
            <w:pPr>
              <w:pStyle w:val="Compact"/>
            </w:pPr>
            <w:r>
              <w:t xml:space="preserve">0.3-s onset cited (Mathôt, 2018).</w:t>
            </w:r>
          </w:p>
        </w:tc>
      </w:tr>
      <w:tr>
        <w:tc>
          <w:tcPr/>
          <w:p>
            <w:pPr>
              <w:pStyle w:val="Compact"/>
            </w:pPr>
            <w:r>
              <w:t xml:space="preserve">C39</w:t>
            </w:r>
          </w:p>
        </w:tc>
        <w:tc>
          <w:tcPr/>
          <w:p>
            <w:pPr>
              <w:pStyle w:val="Compact"/>
            </w:pPr>
            <w:r>
              <w:t xml:space="preserve">2.6</w:t>
            </w:r>
          </w:p>
        </w:tc>
        <w:tc>
          <w:tcPr/>
          <w:p>
            <w:pPr>
              <w:pStyle w:val="Compact"/>
            </w:pPr>
            <w:r>
              <w:t xml:space="preserve">3s can not be</w:t>
            </w:r>
            <w:r>
              <w:t xml:space="preserve"> </w:t>
            </w:r>
            <w:r>
              <w:t xml:space="preserve">“highly specialized”</w:t>
            </w:r>
          </w:p>
        </w:tc>
        <w:tc>
          <w:tcPr/>
          <w:p>
            <w:pPr>
              <w:pStyle w:val="Compact"/>
            </w:pPr>
            <w:r>
              <w:t xml:space="preserve">“Highly specialized”</w:t>
            </w:r>
            <w:r>
              <w:t xml:space="preserve"> </w:t>
            </w:r>
            <w:r>
              <w:t xml:space="preserve">removed.</w:t>
            </w:r>
          </w:p>
        </w:tc>
      </w:tr>
      <w:tr>
        <w:tc>
          <w:tcPr/>
          <w:p>
            <w:pPr>
              <w:pStyle w:val="Compact"/>
            </w:pPr>
            <w:r>
              <w:t xml:space="preserve">C40</w:t>
            </w:r>
          </w:p>
        </w:tc>
        <w:tc>
          <w:tcPr/>
          <w:p>
            <w:pPr>
              <w:pStyle w:val="Compact"/>
            </w:pPr>
            <w:r>
              <w:t xml:space="preserve">2.6</w:t>
            </w:r>
          </w:p>
        </w:tc>
        <w:tc>
          <w:tcPr/>
          <w:p>
            <w:pPr>
              <w:pStyle w:val="Compact"/>
            </w:pPr>
            <w:r>
              <w:t xml:space="preserve">I’m sure someone would disagree with this statement</w:t>
            </w:r>
          </w:p>
        </w:tc>
        <w:tc>
          <w:tcPr/>
          <w:p>
            <w:pPr>
              <w:pStyle w:val="Compact"/>
            </w:pPr>
            <w:r>
              <w:t xml:space="preserve">“Complete morphological profile”</w:t>
            </w:r>
            <w:r>
              <w:t xml:space="preserve"> </w:t>
            </w:r>
            <w:r>
              <w:t xml:space="preserve">removed; window described by its bounds and the typical peak latency, with a citation.</w:t>
            </w:r>
          </w:p>
        </w:tc>
      </w:tr>
      <w:tr>
        <w:tc>
          <w:tcPr/>
          <w:p>
            <w:pPr>
              <w:pStyle w:val="Compact"/>
            </w:pPr>
            <w:r>
              <w:t xml:space="preserve">C41</w:t>
            </w:r>
          </w:p>
        </w:tc>
        <w:tc>
          <w:tcPr/>
          <w:p>
            <w:pPr>
              <w:pStyle w:val="Compact"/>
            </w:pPr>
            <w:r>
              <w:t xml:space="preserve">2.6</w:t>
            </w:r>
          </w:p>
        </w:tc>
        <w:tc>
          <w:tcPr/>
          <w:p>
            <w:pPr>
              <w:pStyle w:val="Compact"/>
            </w:pPr>
            <w:r>
              <w:t xml:space="preserve">citation</w:t>
            </w:r>
          </w:p>
        </w:tc>
        <w:tc>
          <w:tcPr/>
          <w:p>
            <w:pPr>
              <w:pStyle w:val="Compact"/>
            </w:pPr>
            <w:r>
              <w:t xml:space="preserve">Peak latency cited (da Silva Castanheira et al., 2021).</w:t>
            </w:r>
          </w:p>
        </w:tc>
      </w:tr>
      <w:tr>
        <w:tc>
          <w:tcPr/>
          <w:p>
            <w:pPr>
              <w:pStyle w:val="Compact"/>
            </w:pPr>
            <w:r>
              <w:t xml:space="preserve">C42</w:t>
            </w:r>
          </w:p>
        </w:tc>
        <w:tc>
          <w:tcPr/>
          <w:p>
            <w:pPr>
              <w:pStyle w:val="Compact"/>
            </w:pPr>
            <w:r>
              <w:t xml:space="preserve">2.6</w:t>
            </w:r>
          </w:p>
        </w:tc>
        <w:tc>
          <w:tcPr/>
          <w:p>
            <w:pPr>
              <w:pStyle w:val="Compact"/>
            </w:pPr>
            <w:r>
              <w:t xml:space="preserve">see, not specialized at all!</w:t>
            </w:r>
          </w:p>
        </w:tc>
        <w:tc>
          <w:tcPr/>
          <w:p>
            <w:pPr>
              <w:pStyle w:val="Compact"/>
            </w:pPr>
            <w:r>
              <w:t xml:space="preserve">Text now states that the window extends past the response and includes post-decision processing.</w:t>
            </w:r>
          </w:p>
        </w:tc>
      </w:tr>
      <w:tr>
        <w:tc>
          <w:tcPr/>
          <w:p>
            <w:pPr>
              <w:pStyle w:val="Compact"/>
            </w:pPr>
            <w:r>
              <w:t xml:space="preserve">C43</w:t>
            </w:r>
          </w:p>
        </w:tc>
        <w:tc>
          <w:tcPr/>
          <w:p>
            <w:pPr>
              <w:pStyle w:val="Compact"/>
            </w:pPr>
            <w:r>
              <w:t xml:space="preserve">2.8</w:t>
            </w:r>
          </w:p>
        </w:tc>
        <w:tc>
          <w:tcPr/>
          <w:p>
            <w:pPr>
              <w:pStyle w:val="Compact"/>
            </w:pPr>
            <w:r>
              <w:t xml:space="preserve">how does RT isolate these dynamics? cite</w:t>
            </w:r>
          </w:p>
        </w:tc>
        <w:tc>
          <w:tcPr/>
          <w:p>
            <w:pPr>
              <w:pStyle w:val="Compact"/>
            </w:pPr>
            <w:r>
              <w:t xml:space="preserve">The RT-covariate claim was incorrect and is removed. Duration is addressed by explicit tests: the RT-trimmed refit, the pre-response window, and pre-decision measures.</w:t>
            </w:r>
          </w:p>
        </w:tc>
      </w:tr>
      <w:tr>
        <w:tc>
          <w:tcPr/>
          <w:p>
            <w:pPr>
              <w:pStyle w:val="Compact"/>
            </w:pPr>
            <w:r>
              <w:t xml:space="preserve">C44</w:t>
            </w:r>
          </w:p>
        </w:tc>
        <w:tc>
          <w:tcPr/>
          <w:p>
            <w:pPr>
              <w:pStyle w:val="Compact"/>
            </w:pPr>
            <w:r>
              <w:t xml:space="preserve">—</w:t>
            </w:r>
          </w:p>
        </w:tc>
        <w:tc>
          <w:tcPr/>
          <w:p>
            <w:pPr>
              <w:pStyle w:val="Compact"/>
            </w:pPr>
            <w:r>
              <w:t xml:space="preserve">necessary? cut?</w:t>
            </w:r>
          </w:p>
        </w:tc>
        <w:tc>
          <w:tcPr/>
          <w:p>
            <w:pPr>
              <w:pStyle w:val="Compact"/>
            </w:pPr>
            <w:r>
              <w:t xml:space="preserve">Truncated AUC cut.</w:t>
            </w:r>
          </w:p>
        </w:tc>
      </w:tr>
      <w:tr>
        <w:tc>
          <w:tcPr/>
          <w:p>
            <w:pPr>
              <w:pStyle w:val="Compact"/>
            </w:pPr>
            <w:r>
              <w:t xml:space="preserve">C45</w:t>
            </w:r>
          </w:p>
        </w:tc>
        <w:tc>
          <w:tcPr/>
          <w:p>
            <w:pPr>
              <w:pStyle w:val="Compact"/>
            </w:pPr>
            <w:r>
              <w:t xml:space="preserve">2.7.1</w:t>
            </w:r>
          </w:p>
        </w:tc>
        <w:tc>
          <w:tcPr/>
          <w:p>
            <w:pPr>
              <w:pStyle w:val="Compact"/>
            </w:pPr>
            <w:r>
              <w:t xml:space="preserve">i bet this whole section could be 2-3 sentences</w:t>
            </w:r>
          </w:p>
        </w:tc>
        <w:tc>
          <w:tcPr/>
          <w:p>
            <w:pPr>
              <w:pStyle w:val="Compact"/>
            </w:pPr>
            <w:r>
              <w:t xml:space="preserve">Response coding reduced to three sentences.</w:t>
            </w:r>
          </w:p>
        </w:tc>
      </w:tr>
      <w:tr>
        <w:tc>
          <w:tcPr/>
          <w:p>
            <w:pPr>
              <w:pStyle w:val="Compact"/>
            </w:pPr>
            <w:r>
              <w:t xml:space="preserve">C46</w:t>
            </w:r>
          </w:p>
        </w:tc>
        <w:tc>
          <w:tcPr/>
          <w:p>
            <w:pPr>
              <w:pStyle w:val="Compact"/>
            </w:pPr>
            <w:r>
              <w:t xml:space="preserve">2.7.1</w:t>
            </w:r>
          </w:p>
        </w:tc>
        <w:tc>
          <w:tcPr/>
          <w:p>
            <w:pPr>
              <w:pStyle w:val="Compact"/>
            </w:pPr>
            <w:r>
              <w:t xml:space="preserve">is this necessary?</w:t>
            </w:r>
          </w:p>
        </w:tc>
        <w:tc>
          <w:tcPr/>
          <w:p>
            <w:pPr>
              <w:pStyle w:val="Compact"/>
            </w:pPr>
            <w:r>
              <w:t xml:space="preserve">Accuracy-coding argument cut.</w:t>
            </w:r>
          </w:p>
        </w:tc>
      </w:tr>
      <w:tr>
        <w:tc>
          <w:tcPr/>
          <w:p>
            <w:pPr>
              <w:pStyle w:val="Compact"/>
            </w:pPr>
            <w:r>
              <w:t xml:space="preserve">C47</w:t>
            </w:r>
          </w:p>
        </w:tc>
        <w:tc>
          <w:tcPr/>
          <w:p>
            <w:pPr>
              <w:pStyle w:val="Compact"/>
            </w:pPr>
            <w:r>
              <w:t xml:space="preserve">2.7.2</w:t>
            </w:r>
          </w:p>
        </w:tc>
        <w:tc>
          <w:tcPr/>
          <w:p>
            <w:pPr>
              <w:pStyle w:val="Compact"/>
            </w:pPr>
            <w:r>
              <w:t xml:space="preserve">present first if it’s your primary</w:t>
            </w:r>
          </w:p>
        </w:tc>
        <w:tc>
          <w:tcPr/>
          <w:p>
            <w:pPr>
              <w:pStyle w:val="Compact"/>
            </w:pPr>
            <w:r>
              <w:t xml:space="preserve">Primary model presented first; the Standard-only calibration was cut.</w:t>
            </w:r>
          </w:p>
        </w:tc>
      </w:tr>
      <w:tr>
        <w:tc>
          <w:tcPr/>
          <w:p>
            <w:pPr>
              <w:pStyle w:val="Compact"/>
            </w:pPr>
            <w:r>
              <w:t xml:space="preserve">C48</w:t>
            </w:r>
          </w:p>
        </w:tc>
        <w:tc>
          <w:tcPr/>
          <w:p>
            <w:pPr>
              <w:pStyle w:val="Compact"/>
            </w:pPr>
            <w:r>
              <w:t xml:space="preserve">2.7.2</w:t>
            </w:r>
          </w:p>
        </w:tc>
        <w:tc>
          <w:tcPr/>
          <w:p>
            <w:pPr>
              <w:pStyle w:val="Compact"/>
            </w:pPr>
            <w:r>
              <w:t xml:space="preserve">repetitive with what you state earlier; be concise!</w:t>
            </w:r>
          </w:p>
        </w:tc>
        <w:tc>
          <w:tcPr/>
          <w:p>
            <w:pPr>
              <w:pStyle w:val="Compact"/>
            </w:pPr>
            <w:r>
              <w:t xml:space="preserve">Repetition removed.</w:t>
            </w:r>
          </w:p>
        </w:tc>
      </w:tr>
      <w:tr>
        <w:tc>
          <w:tcPr/>
          <w:p>
            <w:pPr>
              <w:pStyle w:val="Compact"/>
            </w:pPr>
            <w:r>
              <w:t xml:space="preserve">C49</w:t>
            </w:r>
          </w:p>
        </w:tc>
        <w:tc>
          <w:tcPr/>
          <w:p>
            <w:pPr>
              <w:pStyle w:val="Compact"/>
            </w:pPr>
            <w:r>
              <w:t xml:space="preserve">2.7.2</w:t>
            </w:r>
          </w:p>
        </w:tc>
        <w:tc>
          <w:tcPr/>
          <w:p>
            <w:pPr>
              <w:pStyle w:val="Compact"/>
            </w:pPr>
            <w:r>
              <w:t xml:space="preserve">???</w:t>
            </w:r>
          </w:p>
        </w:tc>
        <w:tc>
          <w:tcPr/>
          <w:p>
            <w:pPr>
              <w:pStyle w:val="Compact"/>
            </w:pPr>
            <w:r>
              <w:t xml:space="preserve">“Tonic”</w:t>
            </w:r>
            <w:r>
              <w:t xml:space="preserve"> </w:t>
            </w:r>
            <w:r>
              <w:t xml:space="preserve">removed.</w:t>
            </w:r>
          </w:p>
        </w:tc>
      </w:tr>
      <w:tr>
        <w:tc>
          <w:tcPr/>
          <w:p>
            <w:pPr>
              <w:pStyle w:val="Compact"/>
            </w:pPr>
            <w:r>
              <w:t xml:space="preserve">C50</w:t>
            </w:r>
          </w:p>
        </w:tc>
        <w:tc>
          <w:tcPr/>
          <w:p>
            <w:pPr>
              <w:pStyle w:val="Compact"/>
            </w:pPr>
            <w:r>
              <w:t xml:space="preserve">2.7.2</w:t>
            </w:r>
          </w:p>
        </w:tc>
        <w:tc>
          <w:tcPr/>
          <w:p>
            <w:pPr>
              <w:pStyle w:val="Compact"/>
            </w:pPr>
            <w:r>
              <w:t xml:space="preserve">previously stated?</w:t>
            </w:r>
          </w:p>
        </w:tc>
        <w:tc>
          <w:tcPr/>
          <w:p>
            <w:pPr>
              <w:pStyle w:val="Compact"/>
            </w:pPr>
            <w:r>
              <w:t xml:space="preserve">Stated once.</w:t>
            </w:r>
          </w:p>
        </w:tc>
      </w:tr>
      <w:tr>
        <w:tc>
          <w:tcPr/>
          <w:p>
            <w:pPr>
              <w:pStyle w:val="Compact"/>
            </w:pPr>
            <w:r>
              <w:t xml:space="preserve">C51</w:t>
            </w:r>
          </w:p>
        </w:tc>
        <w:tc>
          <w:tcPr/>
          <w:p>
            <w:pPr>
              <w:pStyle w:val="Compact"/>
            </w:pPr>
            <w:r>
              <w:t xml:space="preserve">—</w:t>
            </w:r>
          </w:p>
        </w:tc>
        <w:tc>
          <w:tcPr/>
          <w:p>
            <w:pPr>
              <w:pStyle w:val="Compact"/>
            </w:pPr>
            <w:r>
              <w:t xml:space="preserve">stated earlier; not necessary to run/report</w:t>
            </w:r>
          </w:p>
        </w:tc>
        <w:tc>
          <w:tcPr/>
          <w:p>
            <w:pPr>
              <w:pStyle w:val="Compact"/>
            </w:pPr>
            <w:r>
              <w:t xml:space="preserve">Behavioral validation section cut (accuracy model now in 2.9 as a separate analysis).</w:t>
            </w:r>
          </w:p>
        </w:tc>
      </w:tr>
      <w:tr>
        <w:tc>
          <w:tcPr/>
          <w:p>
            <w:pPr>
              <w:pStyle w:val="Compact"/>
            </w:pPr>
            <w:r>
              <w:t xml:space="preserve">C52</w:t>
            </w:r>
          </w:p>
        </w:tc>
        <w:tc>
          <w:tcPr/>
          <w:p>
            <w:pPr>
              <w:pStyle w:val="Compact"/>
            </w:pPr>
            <w:r>
              <w:t xml:space="preserve">2.8</w:t>
            </w:r>
          </w:p>
        </w:tc>
        <w:tc>
          <w:tcPr/>
          <w:p>
            <w:pPr>
              <w:pStyle w:val="Compact"/>
            </w:pPr>
            <w:r>
              <w:t xml:space="preserve">how can you do this with just 2 levels of effort/arousal?</w:t>
            </w:r>
          </w:p>
        </w:tc>
        <w:tc>
          <w:tcPr/>
          <w:p>
            <w:pPr>
              <w:pStyle w:val="Compact"/>
            </w:pPr>
            <w:r>
              <w:t xml:space="preserve">Yerkes–Dodson pupil × difficulty model removed; with two effort levels it could not test an inverted-U.</w:t>
            </w:r>
          </w:p>
        </w:tc>
      </w:tr>
      <w:tr>
        <w:tc>
          <w:tcPr/>
          <w:p>
            <w:pPr>
              <w:pStyle w:val="Compact"/>
            </w:pPr>
            <w:r>
              <w:t xml:space="preserve">C53</w:t>
            </w:r>
          </w:p>
        </w:tc>
        <w:tc>
          <w:tcPr/>
          <w:p>
            <w:pPr>
              <w:pStyle w:val="Compact"/>
            </w:pPr>
            <w:r>
              <w:t xml:space="preserve">2.7.3</w:t>
            </w:r>
          </w:p>
        </w:tc>
        <w:tc>
          <w:tcPr/>
          <w:p>
            <w:pPr>
              <w:pStyle w:val="Compact"/>
            </w:pPr>
            <w:r>
              <w:t xml:space="preserve">It’s unclear how much of this section is results. Is it necessary?</w:t>
            </w:r>
          </w:p>
        </w:tc>
        <w:tc>
          <w:tcPr/>
          <w:p>
            <w:pPr>
              <w:pStyle w:val="Compact"/>
            </w:pPr>
            <w:r>
              <w:t xml:space="preserve">Diagnostics reduced to the acceptance criteria; diagnostic results moved to Table S3.</w:t>
            </w:r>
          </w:p>
        </w:tc>
      </w:tr>
      <w:tr>
        <w:tc>
          <w:tcPr/>
          <w:p>
            <w:pPr>
              <w:pStyle w:val="Compact"/>
            </w:pPr>
            <w:r>
              <w:t xml:space="preserve">C54</w:t>
            </w:r>
          </w:p>
        </w:tc>
        <w:tc>
          <w:tcPr/>
          <w:p>
            <w:pPr>
              <w:pStyle w:val="Compact"/>
            </w:pPr>
            <w:r>
              <w:t xml:space="preserve">3</w:t>
            </w:r>
          </w:p>
        </w:tc>
        <w:tc>
          <w:tcPr/>
          <w:p>
            <w:pPr>
              <w:pStyle w:val="Compact"/>
            </w:pPr>
            <w:r>
              <w:t xml:space="preserve">The results section is very challenging to get through. You have combined methods details and results and discussion-style summaries. Instead, create separate sections for each of the models that you ran and report the results in a clear format.</w:t>
            </w:r>
          </w:p>
        </w:tc>
        <w:tc>
          <w:tcPr/>
          <w:p>
            <w:pPr>
              <w:pStyle w:val="Compact"/>
            </w:pPr>
            <w:r>
              <w:t xml:space="preserve">Results rebuilt as one section per model (primary model, robustness, pupil models, model adequacy); methods details moved to Methods; no summaries.</w:t>
            </w:r>
          </w:p>
        </w:tc>
      </w:tr>
      <w:tr>
        <w:tc>
          <w:tcPr/>
          <w:p>
            <w:pPr>
              <w:pStyle w:val="Compact"/>
            </w:pPr>
            <w:r>
              <w:t xml:space="preserve">C55</w:t>
            </w:r>
          </w:p>
        </w:tc>
        <w:tc>
          <w:tcPr/>
          <w:p>
            <w:pPr>
              <w:pStyle w:val="Compact"/>
            </w:pPr>
            <w:r>
              <w:t xml:space="preserve">3.1</w:t>
            </w:r>
          </w:p>
        </w:tc>
        <w:tc>
          <w:tcPr/>
          <w:p>
            <w:pPr>
              <w:pStyle w:val="Compact"/>
            </w:pPr>
            <w:r>
              <w:t xml:space="preserve">do all DDM papers have sections like this (send me an example). if not, cut and start the results with your main findings</w:t>
            </w:r>
          </w:p>
        </w:tc>
        <w:tc>
          <w:tcPr/>
          <w:p>
            <w:pPr>
              <w:pStyle w:val="Compact"/>
            </w:pPr>
            <w:r>
              <w:t xml:space="preserve">Overview section cut; Results open with the model comparison and the primary-model findings.</w:t>
            </w:r>
          </w:p>
        </w:tc>
      </w:tr>
      <w:tr>
        <w:tc>
          <w:tcPr/>
          <w:p>
            <w:pPr>
              <w:pStyle w:val="Compact"/>
            </w:pPr>
            <w:r>
              <w:t xml:space="preserve">C56</w:t>
            </w:r>
          </w:p>
        </w:tc>
        <w:tc>
          <w:tcPr/>
          <w:p>
            <w:pPr>
              <w:pStyle w:val="Compact"/>
            </w:pPr>
            <w:r>
              <w:t xml:space="preserve">3</w:t>
            </w:r>
          </w:p>
        </w:tc>
        <w:tc>
          <w:tcPr/>
          <w:p>
            <w:pPr>
              <w:pStyle w:val="Compact"/>
            </w:pPr>
            <w:r>
              <w:t xml:space="preserve">cut; repetitive with participant section</w:t>
            </w:r>
          </w:p>
        </w:tc>
        <w:tc>
          <w:tcPr/>
          <w:p>
            <w:pPr>
              <w:pStyle w:val="Compact"/>
            </w:pPr>
            <w:r>
              <w:t xml:space="preserve">Sample sizes appear only in Participants (2.1).</w:t>
            </w:r>
          </w:p>
        </w:tc>
      </w:tr>
      <w:tr>
        <w:tc>
          <w:tcPr/>
          <w:p>
            <w:pPr>
              <w:pStyle w:val="Compact"/>
            </w:pPr>
            <w:r>
              <w:t xml:space="preserve">C57</w:t>
            </w:r>
          </w:p>
        </w:tc>
        <w:tc>
          <w:tcPr/>
          <w:p>
            <w:pPr>
              <w:pStyle w:val="Compact"/>
            </w:pPr>
            <w:r>
              <w:t xml:space="preserve">3</w:t>
            </w:r>
          </w:p>
        </w:tc>
        <w:tc>
          <w:tcPr/>
          <w:p>
            <w:pPr>
              <w:pStyle w:val="Compact"/>
            </w:pPr>
            <w:r>
              <w:t xml:space="preserve">is this info necessary?</w:t>
            </w:r>
          </w:p>
        </w:tc>
        <w:tc>
          <w:tcPr/>
          <w:p>
            <w:pPr>
              <w:pStyle w:val="Compact"/>
            </w:pPr>
            <w:r>
              <w:t xml:space="preserve">Trial counts moved to Methods (2.5) and Table S1.</w:t>
            </w:r>
          </w:p>
        </w:tc>
      </w:tr>
      <w:tr>
        <w:tc>
          <w:tcPr/>
          <w:p>
            <w:pPr>
              <w:pStyle w:val="Compact"/>
            </w:pPr>
            <w:r>
              <w:t xml:space="preserve">C58</w:t>
            </w:r>
          </w:p>
        </w:tc>
        <w:tc>
          <w:tcPr/>
          <w:p>
            <w:pPr>
              <w:pStyle w:val="Compact"/>
            </w:pPr>
            <w:r>
              <w:t xml:space="preserve">3.1 / S11</w:t>
            </w:r>
          </w:p>
        </w:tc>
        <w:tc>
          <w:tcPr/>
          <w:p>
            <w:pPr>
              <w:pStyle w:val="Compact"/>
            </w:pPr>
            <w:r>
              <w:t xml:space="preserve">cut; not manipulation check; not necessary; and not your primary model</w:t>
            </w:r>
          </w:p>
        </w:tc>
        <w:tc>
          <w:tcPr/>
          <w:p>
            <w:pPr>
              <w:pStyle w:val="Compact"/>
            </w:pPr>
            <w:r>
              <w:t xml:space="preserve">Manipulation-check section cut. Observed accuracy appears as one sentence, tied to the drift criterion result; Brinley plot moved to the dissertation supplement.</w:t>
            </w:r>
          </w:p>
        </w:tc>
      </w:tr>
      <w:tr>
        <w:tc>
          <w:tcPr/>
          <w:p>
            <w:pPr>
              <w:pStyle w:val="Compact"/>
            </w:pPr>
            <w:r>
              <w:t xml:space="preserve">C59</w:t>
            </w:r>
          </w:p>
        </w:tc>
        <w:tc>
          <w:tcPr/>
          <w:p>
            <w:pPr>
              <w:pStyle w:val="Compact"/>
            </w:pPr>
            <w:r>
              <w:t xml:space="preserve">3.1</w:t>
            </w:r>
          </w:p>
        </w:tc>
        <w:tc>
          <w:tcPr/>
          <w:p>
            <w:pPr>
              <w:pStyle w:val="Compact"/>
            </w:pPr>
            <w:r>
              <w:t xml:space="preserve">I have no idea how to read this section. nothing looks like a result; there are no statistics, except in the figure notes? what are you testing for and how do you know if it’s significant?</w:t>
            </w:r>
          </w:p>
        </w:tc>
        <w:tc>
          <w:tcPr/>
          <w:p>
            <w:pPr>
              <w:pStyle w:val="Compact"/>
            </w:pPr>
            <w:r>
              <w:t xml:space="preserve">Every effect is reported with its posterior median, 95% CrI and posterior direction probability in the text; inference criteria are defined in Methods 2.9.</w:t>
            </w:r>
          </w:p>
        </w:tc>
      </w:tr>
      <w:tr>
        <w:tc>
          <w:tcPr/>
          <w:p>
            <w:pPr>
              <w:pStyle w:val="Compact"/>
            </w:pPr>
            <w:r>
              <w:t xml:space="preserve">C60</w:t>
            </w:r>
          </w:p>
        </w:tc>
        <w:tc>
          <w:tcPr/>
          <w:p>
            <w:pPr>
              <w:pStyle w:val="Compact"/>
            </w:pPr>
            <w:r>
              <w:t xml:space="preserve">3.2 Effort effects on decision parameters (H1-H4)</w:t>
            </w:r>
          </w:p>
        </w:tc>
        <w:tc>
          <w:tcPr/>
          <w:p>
            <w:pPr>
              <w:pStyle w:val="Compact"/>
            </w:pPr>
            <w:r>
              <w:t xml:space="preserve">can you share with me a publication that you used to model this results section after?</w:t>
            </w:r>
          </w:p>
        </w:tc>
        <w:tc>
          <w:tcPr/>
          <w:p>
            <w:pPr>
              <w:pStyle w:val="Compact"/>
            </w:pPr>
            <w:r>
              <w:rPr>
                <w:b/>
                <w:bCs/>
              </w:rPr>
              <w:t xml:space="preserve">Open</w:t>
            </w:r>
            <w:r>
              <w:t xml:space="preserve"> </w:t>
            </w:r>
            <w:r>
              <w:t xml:space="preserve">Needs Mohammad: name the paper the Results reporting format follows.</w:t>
            </w:r>
          </w:p>
        </w:tc>
      </w:tr>
      <w:tr>
        <w:tc>
          <w:tcPr/>
          <w:p>
            <w:pPr>
              <w:pStyle w:val="Compact"/>
            </w:pPr>
            <w:r>
              <w:t xml:space="preserve">C61</w:t>
            </w:r>
          </w:p>
        </w:tc>
        <w:tc>
          <w:tcPr/>
          <w:p>
            <w:pPr>
              <w:pStyle w:val="Compact"/>
            </w:pPr>
            <w:r>
              <w:t xml:space="preserve">3.1</w:t>
            </w:r>
          </w:p>
        </w:tc>
        <w:tc>
          <w:tcPr/>
          <w:p>
            <w:pPr>
              <w:pStyle w:val="Compact"/>
            </w:pPr>
            <w:r>
              <w:t xml:space="preserve">guide the reader to these figures as you report the results, not bunched up like this devoid from any findings</w:t>
            </w:r>
          </w:p>
        </w:tc>
        <w:tc>
          <w:tcPr/>
          <w:p>
            <w:pPr>
              <w:pStyle w:val="Compact"/>
            </w:pPr>
            <w:r>
              <w:t xml:space="preserve">Figures are cited at the sentence that reports the result.</w:t>
            </w:r>
          </w:p>
        </w:tc>
      </w:tr>
      <w:tr>
        <w:tc>
          <w:tcPr/>
          <w:p>
            <w:pPr>
              <w:pStyle w:val="Compact"/>
            </w:pPr>
            <w:r>
              <w:t xml:space="preserve">C62</w:t>
            </w:r>
          </w:p>
        </w:tc>
        <w:tc>
          <w:tcPr/>
          <w:p>
            <w:pPr>
              <w:pStyle w:val="Compact"/>
            </w:pPr>
            <w:r>
              <w:t xml:space="preserve">3.1</w:t>
            </w:r>
          </w:p>
        </w:tc>
        <w:tc>
          <w:tcPr/>
          <w:p>
            <w:pPr>
              <w:pStyle w:val="Compact"/>
            </w:pPr>
            <w:r>
              <w:t xml:space="preserve">does it surprise you where standards fall relative to heard/easy conditions?</w:t>
            </w:r>
          </w:p>
        </w:tc>
        <w:tc>
          <w:tcPr/>
          <w:p>
            <w:pPr>
              <w:pStyle w:val="Compact"/>
            </w:pPr>
            <w:r>
              <w:t xml:space="preserve">Response coding explains the Standard position: negative drift on Standard trials accumulates toward the correct</w:t>
            </w:r>
            <w:r>
              <w:t xml:space="preserve"> </w:t>
            </w:r>
            <w:r>
              <w:t xml:space="preserve">“same”</w:t>
            </w:r>
            <w:r>
              <w:t xml:space="preserve"> </w:t>
            </w:r>
            <w:r>
              <w:t xml:space="preserve">response; Hard trials also had negative drift (mostly incorrect).</w:t>
            </w:r>
          </w:p>
        </w:tc>
      </w:tr>
      <w:tr>
        <w:tc>
          <w:tcPr/>
          <w:p>
            <w:pPr>
              <w:pStyle w:val="Compact"/>
            </w:pPr>
            <w:r>
              <w:t xml:space="preserve">C63</w:t>
            </w:r>
          </w:p>
        </w:tc>
        <w:tc>
          <w:tcPr/>
          <w:p>
            <w:pPr>
              <w:pStyle w:val="Compact"/>
            </w:pPr>
            <w:r>
              <w:t xml:space="preserve">3.1</w:t>
            </w:r>
          </w:p>
        </w:tc>
        <w:tc>
          <w:tcPr/>
          <w:p>
            <w:pPr>
              <w:pStyle w:val="Compact"/>
            </w:pPr>
            <w:r>
              <w:t xml:space="preserve">when do you ever see this language in a results section?</w:t>
            </w:r>
          </w:p>
        </w:tc>
        <w:tc>
          <w:tcPr/>
          <w:p>
            <w:pPr>
              <w:pStyle w:val="Compact"/>
            </w:pPr>
            <w:r>
              <w:t xml:space="preserve">“Highly credible”</w:t>
            </w:r>
            <w:r>
              <w:t xml:space="preserve"> </w:t>
            </w:r>
            <w:r>
              <w:t xml:space="preserve">and similar labels removed; results reported with statistics only.</w:t>
            </w:r>
          </w:p>
        </w:tc>
      </w:tr>
      <w:tr>
        <w:tc>
          <w:tcPr/>
          <w:p>
            <w:pPr>
              <w:pStyle w:val="Compact"/>
            </w:pPr>
            <w:r>
              <w:t xml:space="preserve">C64</w:t>
            </w:r>
          </w:p>
        </w:tc>
        <w:tc>
          <w:tcPr/>
          <w:p>
            <w:pPr>
              <w:pStyle w:val="Compact"/>
            </w:pPr>
            <w:r>
              <w:t xml:space="preserve">3</w:t>
            </w:r>
          </w:p>
        </w:tc>
        <w:tc>
          <w:tcPr/>
          <w:p>
            <w:pPr>
              <w:pStyle w:val="Compact"/>
            </w:pPr>
            <w:r>
              <w:t xml:space="preserve">wait, how does this relate to the prior section?</w:t>
            </w:r>
          </w:p>
        </w:tc>
        <w:tc>
          <w:tcPr/>
          <w:p>
            <w:pPr>
              <w:pStyle w:val="Compact"/>
            </w:pPr>
            <w:r>
              <w:t xml:space="preserve">Separate hypothesis-test section removed; effort results are part of 3.1.</w:t>
            </w:r>
          </w:p>
        </w:tc>
      </w:tr>
      <w:tr>
        <w:tc>
          <w:tcPr/>
          <w:p>
            <w:pPr>
              <w:pStyle w:val="Compact"/>
            </w:pPr>
            <w:r>
              <w:t xml:space="preserve">C65</w:t>
            </w:r>
          </w:p>
        </w:tc>
        <w:tc>
          <w:tcPr/>
          <w:p>
            <w:pPr>
              <w:pStyle w:val="Compact"/>
            </w:pPr>
            <w:r>
              <w:t xml:space="preserve">2.9</w:t>
            </w:r>
          </w:p>
        </w:tc>
        <w:tc>
          <w:tcPr/>
          <w:p>
            <w:pPr>
              <w:pStyle w:val="Compact"/>
            </w:pPr>
            <w:r>
              <w:t xml:space="preserve">this reads like methods</w:t>
            </w:r>
          </w:p>
        </w:tc>
        <w:tc>
          <w:tcPr/>
          <w:p>
            <w:pPr>
              <w:pStyle w:val="Compact"/>
            </w:pPr>
            <w:r>
              <w:t xml:space="preserve">Inference description moved to Methods 2.9.</w:t>
            </w:r>
          </w:p>
        </w:tc>
      </w:tr>
      <w:tr>
        <w:tc>
          <w:tcPr/>
          <w:p>
            <w:pPr>
              <w:pStyle w:val="Compact"/>
            </w:pPr>
            <w:r>
              <w:t xml:space="preserve">C66</w:t>
            </w:r>
          </w:p>
        </w:tc>
        <w:tc>
          <w:tcPr/>
          <w:p>
            <w:pPr>
              <w:pStyle w:val="Compact"/>
            </w:pPr>
            <w:r>
              <w:t xml:space="preserve">3.1 / 4.1</w:t>
            </w:r>
          </w:p>
        </w:tc>
        <w:tc>
          <w:tcPr/>
          <w:p>
            <w:pPr>
              <w:pStyle w:val="Compact"/>
            </w:pPr>
            <w:r>
              <w:t xml:space="preserve">is this a results summary? just walk through the actual results and summarize in the discussion</w:t>
            </w:r>
          </w:p>
        </w:tc>
        <w:tc>
          <w:tcPr/>
          <w:p>
            <w:pPr>
              <w:pStyle w:val="Compact"/>
            </w:pPr>
            <w:r>
              <w:t xml:space="preserve">Results summary removed; stimulus effects reported directly; synthesis left to the Discussion.</w:t>
            </w:r>
          </w:p>
        </w:tc>
      </w:tr>
      <w:tr>
        <w:tc>
          <w:tcPr/>
          <w:p>
            <w:pPr>
              <w:pStyle w:val="Compact"/>
            </w:pPr>
            <w:r>
              <w:t xml:space="preserve">C67</w:t>
            </w:r>
          </w:p>
        </w:tc>
        <w:tc>
          <w:tcPr/>
          <w:p>
            <w:pPr>
              <w:pStyle w:val="Compact"/>
            </w:pPr>
            <w:r>
              <w:t xml:space="preserve">3.1</w:t>
            </w:r>
          </w:p>
        </w:tc>
        <w:tc>
          <w:tcPr/>
          <w:p>
            <w:pPr>
              <w:pStyle w:val="Compact"/>
            </w:pPr>
            <w:r>
              <w:t xml:space="preserve">guide the reader to relevant figures as you walk through the corresponding results</w:t>
            </w:r>
          </w:p>
        </w:tc>
        <w:tc>
          <w:tcPr/>
          <w:p>
            <w:pPr>
              <w:pStyle w:val="Compact"/>
            </w:pPr>
            <w:r>
              <w:t xml:space="preserve">Figures cited inline with each result.</w:t>
            </w:r>
          </w:p>
        </w:tc>
      </w:tr>
      <w:tr>
        <w:tc>
          <w:tcPr/>
          <w:p>
            <w:pPr>
              <w:pStyle w:val="Compact"/>
            </w:pPr>
            <w:r>
              <w:t xml:space="preserve">C68</w:t>
            </w:r>
          </w:p>
        </w:tc>
        <w:tc>
          <w:tcPr/>
          <w:p>
            <w:pPr>
              <w:pStyle w:val="Compact"/>
            </w:pPr>
            <w:r>
              <w:t xml:space="preserve">3.1</w:t>
            </w:r>
          </w:p>
        </w:tc>
        <w:tc>
          <w:tcPr/>
          <w:p>
            <w:pPr>
              <w:pStyle w:val="Compact"/>
            </w:pPr>
            <w:r>
              <w:t xml:space="preserve">do not write these as separate hypotheses (when do you ever see this style in publications?); just report the results for the metrics of interest</w:t>
            </w:r>
          </w:p>
        </w:tc>
        <w:tc>
          <w:tcPr/>
          <w:p>
            <w:pPr>
              <w:pStyle w:val="Compact"/>
            </w:pPr>
            <w:r>
              <w:t xml:space="preserve">H1–H4 labels removed.</w:t>
            </w:r>
          </w:p>
        </w:tc>
      </w:tr>
      <w:tr>
        <w:tc>
          <w:tcPr/>
          <w:p>
            <w:pPr>
              <w:pStyle w:val="Compact"/>
            </w:pPr>
            <w:r>
              <w:t xml:space="preserve">C69</w:t>
            </w:r>
          </w:p>
        </w:tc>
        <w:tc>
          <w:tcPr/>
          <w:p>
            <w:pPr>
              <w:pStyle w:val="Compact"/>
            </w:pPr>
            <w:r>
              <w:t xml:space="preserve">3.1</w:t>
            </w:r>
          </w:p>
        </w:tc>
        <w:tc>
          <w:tcPr/>
          <w:p>
            <w:pPr>
              <w:pStyle w:val="Compact"/>
            </w:pPr>
            <w:r>
              <w:t xml:space="preserve">unnecessary to state</w:t>
            </w:r>
          </w:p>
        </w:tc>
        <w:tc>
          <w:tcPr/>
          <w:p>
            <w:pPr>
              <w:pStyle w:val="Compact"/>
            </w:pPr>
            <w:r>
              <w:t xml:space="preserve">Statement removed.</w:t>
            </w:r>
          </w:p>
        </w:tc>
      </w:tr>
      <w:tr>
        <w:tc>
          <w:tcPr/>
          <w:p>
            <w:pPr>
              <w:pStyle w:val="Compact"/>
            </w:pPr>
            <w:r>
              <w:t xml:space="preserve">C70</w:t>
            </w:r>
          </w:p>
        </w:tc>
        <w:tc>
          <w:tcPr/>
          <w:p>
            <w:pPr>
              <w:pStyle w:val="Compact"/>
            </w:pPr>
            <w:r>
              <w:t xml:space="preserve">3.1</w:t>
            </w:r>
          </w:p>
        </w:tc>
        <w:tc>
          <w:tcPr/>
          <w:p>
            <w:pPr>
              <w:pStyle w:val="Compact"/>
            </w:pPr>
            <w:r>
              <w:t xml:space="preserve">is it necessary to state this?</w:t>
            </w:r>
          </w:p>
        </w:tc>
        <w:tc>
          <w:tcPr/>
          <w:p>
            <w:pPr>
              <w:pStyle w:val="Compact"/>
            </w:pPr>
            <w:r>
              <w:t xml:space="preserve">ROPE is reported only where it changes the interpretation (boundary, starting point, task boundary).</w:t>
            </w:r>
          </w:p>
        </w:tc>
      </w:tr>
      <w:tr>
        <w:tc>
          <w:tcPr/>
          <w:p>
            <w:pPr>
              <w:pStyle w:val="Compact"/>
            </w:pPr>
            <w:r>
              <w:t xml:space="preserve">C71</w:t>
            </w:r>
          </w:p>
        </w:tc>
        <w:tc>
          <w:tcPr/>
          <w:p>
            <w:pPr>
              <w:pStyle w:val="Compact"/>
            </w:pPr>
            <w:r>
              <w:t xml:space="preserve">3.1</w:t>
            </w:r>
          </w:p>
        </w:tc>
        <w:tc>
          <w:tcPr/>
          <w:p>
            <w:pPr>
              <w:pStyle w:val="Compact"/>
            </w:pPr>
            <w:r>
              <w:t xml:space="preserve">why are difficulty and effort analyzed differently? why not report the effects together and in the same way?</w:t>
            </w:r>
          </w:p>
        </w:tc>
        <w:tc>
          <w:tcPr/>
          <w:p>
            <w:pPr>
              <w:pStyle w:val="Compact"/>
            </w:pPr>
            <w:r>
              <w:t xml:space="preserve">Stimulus and effort effects are now estimated in the same model and reported in the same format.</w:t>
            </w:r>
          </w:p>
        </w:tc>
      </w:tr>
      <w:tr>
        <w:tc>
          <w:tcPr/>
          <w:p>
            <w:pPr>
              <w:pStyle w:val="Compact"/>
            </w:pPr>
            <w:r>
              <w:t xml:space="preserve">C72</w:t>
            </w:r>
          </w:p>
        </w:tc>
        <w:tc>
          <w:tcPr/>
          <w:p>
            <w:pPr>
              <w:pStyle w:val="Compact"/>
            </w:pPr>
            <w:r>
              <w:t xml:space="preserve">3</w:t>
            </w:r>
          </w:p>
        </w:tc>
        <w:tc>
          <w:tcPr/>
          <w:p>
            <w:pPr>
              <w:pStyle w:val="Compact"/>
            </w:pPr>
            <w:r>
              <w:t xml:space="preserve">then don’t report it here</w:t>
            </w:r>
          </w:p>
        </w:tc>
        <w:tc>
          <w:tcPr/>
          <w:p>
            <w:pPr>
              <w:pStyle w:val="Compact"/>
            </w:pPr>
            <w:r>
              <w:t xml:space="preserve">t0 is not tested for effort; it appears only in Model adequacy (cutoff dependence) and Methods.</w:t>
            </w:r>
          </w:p>
        </w:tc>
      </w:tr>
      <w:tr>
        <w:tc>
          <w:tcPr/>
          <w:p>
            <w:pPr>
              <w:pStyle w:val="Compact"/>
            </w:pPr>
            <w:r>
              <w:t xml:space="preserve">C73</w:t>
            </w:r>
          </w:p>
        </w:tc>
        <w:tc>
          <w:tcPr/>
          <w:p>
            <w:pPr>
              <w:pStyle w:val="Compact"/>
            </w:pPr>
            <w:r>
              <w:t xml:space="preserve">3</w:t>
            </w:r>
          </w:p>
        </w:tc>
        <w:tc>
          <w:tcPr/>
          <w:p>
            <w:pPr>
              <w:pStyle w:val="Compact"/>
            </w:pPr>
            <w:r>
              <w:t xml:space="preserve">if this is a different analysis, put it in a different section</w:t>
            </w:r>
          </w:p>
        </w:tc>
        <w:tc>
          <w:tcPr/>
          <w:p>
            <w:pPr>
              <w:pStyle w:val="Compact"/>
            </w:pPr>
            <w:r>
              <w:t xml:space="preserve">Exploratory t0 contrast removed.</w:t>
            </w:r>
          </w:p>
        </w:tc>
      </w:tr>
      <w:tr>
        <w:tc>
          <w:tcPr/>
          <w:p>
            <w:pPr>
              <w:pStyle w:val="Compact"/>
            </w:pPr>
            <w:r>
              <w:t xml:space="preserve">C74</w:t>
            </w:r>
          </w:p>
        </w:tc>
        <w:tc>
          <w:tcPr/>
          <w:p>
            <w:pPr>
              <w:pStyle w:val="Compact"/>
            </w:pPr>
            <w:r>
              <w:t xml:space="preserve">3.1</w:t>
            </w:r>
          </w:p>
        </w:tc>
        <w:tc>
          <w:tcPr/>
          <w:p>
            <w:pPr>
              <w:pStyle w:val="Compact"/>
            </w:pPr>
            <w:r>
              <w:t xml:space="preserve">why split by task here when you don’t for the other variables?</w:t>
            </w:r>
          </w:p>
        </w:tc>
        <w:tc>
          <w:tcPr/>
          <w:p>
            <w:pPr>
              <w:pStyle w:val="Compact"/>
            </w:pPr>
            <w:r>
              <w:t xml:space="preserve">Task effects are reported for all parameters (drift, boundary, starting point), not for bias alone; the earlier statement that VDT was biased more toward</w:t>
            </w:r>
            <w:r>
              <w:t xml:space="preserve"> </w:t>
            </w:r>
            <w:r>
              <w:t xml:space="preserve">“different”</w:t>
            </w:r>
            <w:r>
              <w:t xml:space="preserve"> </w:t>
            </w:r>
            <w:r>
              <w:t xml:space="preserve">was incorrect (VDT bias is slightly smaller) and has been corrected.</w:t>
            </w:r>
          </w:p>
        </w:tc>
      </w:tr>
      <w:tr>
        <w:tc>
          <w:tcPr/>
          <w:p>
            <w:pPr>
              <w:pStyle w:val="Compact"/>
            </w:pPr>
            <w:r>
              <w:t xml:space="preserve">C75</w:t>
            </w:r>
          </w:p>
        </w:tc>
        <w:tc>
          <w:tcPr/>
          <w:p>
            <w:pPr>
              <w:pStyle w:val="Compact"/>
            </w:pPr>
            <w:r>
              <w:t xml:space="preserve">3</w:t>
            </w:r>
          </w:p>
        </w:tc>
        <w:tc>
          <w:tcPr/>
          <w:p>
            <w:pPr>
              <w:pStyle w:val="Compact"/>
            </w:pPr>
            <w:r>
              <w:t xml:space="preserve">don’t summarize in the results</w:t>
            </w:r>
          </w:p>
        </w:tc>
        <w:tc>
          <w:tcPr/>
          <w:p>
            <w:pPr>
              <w:pStyle w:val="Compact"/>
            </w:pPr>
            <w:r>
              <w:t xml:space="preserve">Cross-test summary removed.</w:t>
            </w:r>
          </w:p>
        </w:tc>
      </w:tr>
      <w:tr>
        <w:tc>
          <w:tcPr/>
          <w:p>
            <w:pPr>
              <w:pStyle w:val="Compact"/>
            </w:pPr>
            <w:r>
              <w:t xml:space="preserve">C76</w:t>
            </w:r>
          </w:p>
        </w:tc>
        <w:tc>
          <w:tcPr/>
          <w:p>
            <w:pPr>
              <w:pStyle w:val="Compact"/>
            </w:pPr>
            <w:r>
              <w:t xml:space="preserve">3.3</w:t>
            </w:r>
          </w:p>
        </w:tc>
        <w:tc>
          <w:tcPr/>
          <w:p>
            <w:pPr>
              <w:pStyle w:val="Compact"/>
            </w:pPr>
            <w:r>
              <w:t xml:space="preserve">I explicit this section’s structure to mimic the non-pupil DDM</w:t>
            </w:r>
          </w:p>
        </w:tc>
        <w:tc>
          <w:tcPr/>
          <w:p>
            <w:pPr>
              <w:pStyle w:val="Compact"/>
            </w:pPr>
            <w:r>
              <w:t xml:space="preserve">Pupil section mirrors 3.1: which parameter tracks TEPR, then timing tests.</w:t>
            </w:r>
          </w:p>
        </w:tc>
      </w:tr>
      <w:tr>
        <w:tc>
          <w:tcPr/>
          <w:p>
            <w:pPr>
              <w:pStyle w:val="Compact"/>
            </w:pPr>
            <w:r>
              <w:t xml:space="preserve">C77</w:t>
            </w:r>
          </w:p>
        </w:tc>
        <w:tc>
          <w:tcPr/>
          <w:p>
            <w:pPr>
              <w:pStyle w:val="Compact"/>
            </w:pPr>
            <w:r>
              <w:t xml:space="preserve">2.8</w:t>
            </w:r>
          </w:p>
        </w:tc>
        <w:tc>
          <w:tcPr/>
          <w:p>
            <w:pPr>
              <w:pStyle w:val="Compact"/>
            </w:pPr>
            <w:r>
              <w:t xml:space="preserve">this whole paragraph is methods, not results</w:t>
            </w:r>
          </w:p>
        </w:tc>
        <w:tc>
          <w:tcPr/>
          <w:p>
            <w:pPr>
              <w:pStyle w:val="Compact"/>
            </w:pPr>
            <w:r>
              <w:t xml:space="preserve">Model-set description moved to Methods 2.8.</w:t>
            </w:r>
          </w:p>
        </w:tc>
      </w:tr>
      <w:tr>
        <w:tc>
          <w:tcPr/>
          <w:p>
            <w:pPr>
              <w:pStyle w:val="Compact"/>
            </w:pPr>
            <w:r>
              <w:t xml:space="preserve">C78</w:t>
            </w:r>
          </w:p>
        </w:tc>
        <w:tc>
          <w:tcPr/>
          <w:p>
            <w:pPr>
              <w:pStyle w:val="Compact"/>
            </w:pPr>
            <w:r>
              <w:t xml:space="preserve">2.8</w:t>
            </w:r>
          </w:p>
        </w:tc>
        <w:tc>
          <w:tcPr/>
          <w:p>
            <w:pPr>
              <w:pStyle w:val="Compact"/>
            </w:pPr>
            <w:r>
              <w:t xml:space="preserve">why bolded?</w:t>
            </w:r>
          </w:p>
        </w:tc>
        <w:tc>
          <w:tcPr/>
          <w:p>
            <w:pPr>
              <w:pStyle w:val="Compact"/>
            </w:pPr>
            <w:r>
              <w:t xml:space="preserve">Bold list removed; model set described in prose in Methods.</w:t>
            </w:r>
          </w:p>
        </w:tc>
      </w:tr>
    </w:tbl>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149" Target="media/rId149.png" /><Relationship Type="http://schemas.openxmlformats.org/officeDocument/2006/relationships/image" Id="rId119" Target="media/rId119.png" /><Relationship Type="http://schemas.openxmlformats.org/officeDocument/2006/relationships/image" Id="rId130" Target="media/rId130.png" /><Relationship Type="http://schemas.openxmlformats.org/officeDocument/2006/relationships/image" Id="rId143" Target="media/rId143.png" /><Relationship Type="http://schemas.openxmlformats.org/officeDocument/2006/relationships/hyperlink" Id="rId106" Target="https://doi.org/10.1007/s00426-020-01371-8" TargetMode="External" /><Relationship Type="http://schemas.openxmlformats.org/officeDocument/2006/relationships/hyperlink" Id="rId62" Target="https://doi.org/10.1016/j.jml.2012.11.001" TargetMode="External" /><Relationship Type="http://schemas.openxmlformats.org/officeDocument/2006/relationships/hyperlink" Id="rId93" Target="https://doi.org/10.1016/j.neuroimage.2020.116560" TargetMode="External" /><Relationship Type="http://schemas.openxmlformats.org/officeDocument/2006/relationships/hyperlink" Id="rId85" Target="https://doi.org/10.1016/j.neuron.2015.11.028" TargetMode="External" /><Relationship Type="http://schemas.openxmlformats.org/officeDocument/2006/relationships/hyperlink" Id="rId68"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3" Target="https://doi.org/10.1037/0882-7974.18.3.443" TargetMode="External" /><Relationship Type="http://schemas.openxmlformats.org/officeDocument/2006/relationships/hyperlink" Id="rId75" Target="https://doi.org/10.1037/a0035813" TargetMode="External" /><Relationship Type="http://schemas.openxmlformats.org/officeDocument/2006/relationships/hyperlink" Id="rId71"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8" Target="https://doi.org/10.1038/ncomms14637" TargetMode="External" /><Relationship Type="http://schemas.openxmlformats.org/officeDocument/2006/relationships/hyperlink" Id="rId83" Target="https://doi.org/10.1093/geronb/gbr129"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0" Target="https://doi.org/10.1167/jov.22.14.3645" TargetMode="External" /><Relationship Type="http://schemas.openxmlformats.org/officeDocument/2006/relationships/hyperlink" Id="rId89" Target="https://doi.org/10.1177/2515245918771304" TargetMode="External" /><Relationship Type="http://schemas.openxmlformats.org/officeDocument/2006/relationships/hyperlink" Id="rId111" Target="https://doi.org/10.1214/20-BA1221" TargetMode="External" /><Relationship Type="http://schemas.openxmlformats.org/officeDocument/2006/relationships/hyperlink" Id="rId115" Target="https://doi.org/10.1518/001872008X288394" TargetMode="External" /><Relationship Type="http://schemas.openxmlformats.org/officeDocument/2006/relationships/hyperlink" Id="rId66" Target="https://doi.org/10.18637/jss.v067.i01" TargetMode="External" /><Relationship Type="http://schemas.openxmlformats.org/officeDocument/2006/relationships/hyperlink" Id="rId73"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91" Target="https://doi.org/10.32614/CRAN.package.emmeans" TargetMode="External" /><Relationship Type="http://schemas.openxmlformats.org/officeDocument/2006/relationships/hyperlink" Id="rId101" Target="https://doi.org/10.3758/BF03196302" TargetMode="External" /><Relationship Type="http://schemas.openxmlformats.org/officeDocument/2006/relationships/hyperlink" Id="rId81" Target="https://doi.org/10.3758/CABN.10.2.252" TargetMode="External" /><Relationship Type="http://schemas.openxmlformats.org/officeDocument/2006/relationships/hyperlink" Id="rId77" Target="https://doi.org/10.3758/s13415-020-00843-z" TargetMode="External" /><Relationship Type="http://schemas.openxmlformats.org/officeDocument/2006/relationships/hyperlink" Id="rId64" Target="https://doi.org/10.48550/arXiv.1506.04967" TargetMode="External" /><Relationship Type="http://schemas.openxmlformats.org/officeDocument/2006/relationships/hyperlink" Id="rId95" Target="https://doi.org/10.5334/joc.18" TargetMode="External" /><Relationship Type="http://schemas.openxmlformats.org/officeDocument/2006/relationships/hyperlink" Id="rId79" Target="https://doi.org/10.7554/eLife.54014" TargetMode="External" /><Relationship Type="http://schemas.openxmlformats.org/officeDocument/2006/relationships/hyperlink" Id="rId103" Target="https://mc-stan.org/docs/cmdstan-guide/"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7/s00426-020-01371-8" TargetMode="External" /><Relationship Type="http://schemas.openxmlformats.org/officeDocument/2006/relationships/hyperlink" Id="rId62" Target="https://doi.org/10.1016/j.jml.2012.11.001" TargetMode="External" /><Relationship Type="http://schemas.openxmlformats.org/officeDocument/2006/relationships/hyperlink" Id="rId93" Target="https://doi.org/10.1016/j.neuroimage.2020.116560" TargetMode="External" /><Relationship Type="http://schemas.openxmlformats.org/officeDocument/2006/relationships/hyperlink" Id="rId85" Target="https://doi.org/10.1016/j.neuron.2015.11.028" TargetMode="External" /><Relationship Type="http://schemas.openxmlformats.org/officeDocument/2006/relationships/hyperlink" Id="rId68"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3" Target="https://doi.org/10.1037/0882-7974.18.3.443" TargetMode="External" /><Relationship Type="http://schemas.openxmlformats.org/officeDocument/2006/relationships/hyperlink" Id="rId75" Target="https://doi.org/10.1037/a0035813" TargetMode="External" /><Relationship Type="http://schemas.openxmlformats.org/officeDocument/2006/relationships/hyperlink" Id="rId71"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8" Target="https://doi.org/10.1038/ncomms14637" TargetMode="External" /><Relationship Type="http://schemas.openxmlformats.org/officeDocument/2006/relationships/hyperlink" Id="rId83" Target="https://doi.org/10.1093/geronb/gbr129"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0" Target="https://doi.org/10.1167/jov.22.14.3645" TargetMode="External" /><Relationship Type="http://schemas.openxmlformats.org/officeDocument/2006/relationships/hyperlink" Id="rId89" Target="https://doi.org/10.1177/2515245918771304" TargetMode="External" /><Relationship Type="http://schemas.openxmlformats.org/officeDocument/2006/relationships/hyperlink" Id="rId111" Target="https://doi.org/10.1214/20-BA1221" TargetMode="External" /><Relationship Type="http://schemas.openxmlformats.org/officeDocument/2006/relationships/hyperlink" Id="rId115" Target="https://doi.org/10.1518/001872008X288394" TargetMode="External" /><Relationship Type="http://schemas.openxmlformats.org/officeDocument/2006/relationships/hyperlink" Id="rId66" Target="https://doi.org/10.18637/jss.v067.i01" TargetMode="External" /><Relationship Type="http://schemas.openxmlformats.org/officeDocument/2006/relationships/hyperlink" Id="rId73"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91" Target="https://doi.org/10.32614/CRAN.package.emmeans" TargetMode="External" /><Relationship Type="http://schemas.openxmlformats.org/officeDocument/2006/relationships/hyperlink" Id="rId101" Target="https://doi.org/10.3758/BF03196302" TargetMode="External" /><Relationship Type="http://schemas.openxmlformats.org/officeDocument/2006/relationships/hyperlink" Id="rId81" Target="https://doi.org/10.3758/CABN.10.2.252" TargetMode="External" /><Relationship Type="http://schemas.openxmlformats.org/officeDocument/2006/relationships/hyperlink" Id="rId77" Target="https://doi.org/10.3758/s13415-020-00843-z" TargetMode="External" /><Relationship Type="http://schemas.openxmlformats.org/officeDocument/2006/relationships/hyperlink" Id="rId64" Target="https://doi.org/10.48550/arXiv.1506.04967" TargetMode="External" /><Relationship Type="http://schemas.openxmlformats.org/officeDocument/2006/relationships/hyperlink" Id="rId95" Target="https://doi.org/10.5334/joc.18" TargetMode="External" /><Relationship Type="http://schemas.openxmlformats.org/officeDocument/2006/relationships/hyperlink" Id="rId79" Target="https://doi.org/10.7554/eLife.54014" TargetMode="External" /><Relationship Type="http://schemas.openxmlformats.org/officeDocument/2006/relationships/hyperlink" Id="rId103" Target="https://mc-stan.org/docs/cmdstan-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 to be supplied]</dc:title>
  <dc:creator>Mohammad Dastgheib</dc:creator>
  <cp:keywords/>
  <dcterms:created xsi:type="dcterms:W3CDTF">2026-10-19T21:44:55Z</dcterms:created>
  <dcterms:modified xsi:type="dcterms:W3CDTF">2026-10-19T21:44:55Z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False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