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1.png" ContentType="image/png"/>
  <Override PartName="/word/media/rId186.png" ContentType="image/png"/>
  <Override PartName="/word/media/rId210.png" ContentType="image/png"/>
  <Override PartName="/word/media/rId214.png" ContentType="image/png"/>
  <Override PartName="/word/media/rId125.png" ContentType="image/png"/>
  <Override PartName="/word/media/rId111.png" ContentType="image/png"/>
  <Override PartName="/word/media/rId115.png" ContentType="image/png"/>
  <Override PartName="/word/media/rId22.png" ContentType="image/png"/>
  <Override PartName="/word/media/rId48.png" ContentType="image/png"/>
  <Override PartName="/word/media/rId52.png" ContentType="image/png"/>
  <Override PartName="/word/media/rId224.png" ContentType="image/png"/>
  <Override PartName="/word/media/rId58.png" ContentType="image/png"/>
  <Override PartName="/word/media/rId89.png" ContentType="image/png"/>
  <Override PartName="/word/media/rId99.png" ContentType="image/png"/>
  <Override PartName="/word/media/rId136.png" ContentType="image/png"/>
  <Override PartName="/word/media/rId196.png" ContentType="image/png"/>
  <Override PartName="/word/media/rId145.png" ContentType="image/png"/>
  <Override PartName="/word/media/rId120.png" ContentType="image/png"/>
  <Override PartName="/word/media/rId84.png" ContentType="image/png"/>
  <Override PartName="/word/media/rId80.png" ContentType="image/png"/>
  <Override PartName="/word/media/rId203.png" ContentType="image/png"/>
  <Override PartName="/word/media/rId175.png" ContentType="image/png"/>
  <Override PartName="/word/media/rId141.png" ContentType="image/png"/>
  <Override PartName="/word/media/rId165.png" ContentType="image/png"/>
  <Override PartName="/word/media/rId1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Physical Effort Reduces Evidence Accumulation Quality in Older Adults: A Hierarchical Diffusion Decision Model Analysis</w:t>
      </w:r>
    </w:p>
    <w:p>
      <w:pPr>
        <w:pStyle w:val="Author"/>
      </w:pPr>
      <w:r>
        <w:t xml:space="preserve">Mohammad Dastgheib</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0" w:name="abstract"/>
    <w:p>
      <w:pPr>
        <w:pStyle w:val="Heading1"/>
      </w:pPr>
      <w:r>
        <w:t xml:space="preserve">Abstract</w:t>
      </w:r>
    </w:p>
    <w:p>
      <w:pPr>
        <w:pStyle w:val="FirstParagraph"/>
      </w:pPr>
      <w:r>
        <w:t xml:space="preserve">Sixty-seven older adults completed auditory and visual same–different judgments under low (5% MVC) or high (40% MVC) isometric grip while pupil diameter was recorded. A hierarchical Wiener DDM was fit with probe-onset-locked RT. Difficulty entered drift (</w:t>
      </w:r>
      <m:oMath>
        <m:r>
          <m:t>v</m:t>
        </m:r>
      </m:oMath>
      <w:r>
        <w:t xml:space="preserve">) and boundary separation (</w:t>
      </w:r>
      <m:oMath>
        <m:r>
          <m:t>a</m:t>
        </m:r>
      </m:oMath>
      <w:r>
        <w:t xml:space="preserve">); task and effort entered starting-point bias (</w:t>
      </w:r>
      <m:oMath>
        <m:r>
          <m:t>z</m:t>
        </m:r>
      </m:oMath>
      <w:r>
        <w:t xml:space="preserve">), held constant across difficulty because trials were randomized.</w:t>
      </w:r>
    </w:p>
    <w:p>
      <w:pPr>
        <w:pStyle w:val="BodyText"/>
      </w:pPr>
      <w:r>
        <w:t xml:space="preserve">High effort lowered drift relative to low (</w:t>
      </w:r>
      <m:oMath>
        <m:r>
          <m:t>β</m:t>
        </m:r>
        <m:r>
          <m:rPr>
            <m:sty m:val="p"/>
          </m:rPr>
          <m:t>=</m:t>
        </m:r>
        <m:r>
          <m:rPr>
            <m:sty m:val="p"/>
          </m:rPr>
          <m:t>−</m:t>
        </m:r>
        <m:r>
          <m:t>0.06</m:t>
        </m:r>
      </m:oMath>
      <w:r>
        <w:t xml:space="preserve">, 95% CrI</w:t>
      </w:r>
      <w:r>
        <w:t xml:space="preserve"> </w:t>
      </w:r>
      <m:oMath>
        <m:d>
          <m:dPr>
            <m:begChr m:val="["/>
            <m:sepChr m:val=""/>
            <m:endChr m:val="]"/>
            <m:grow/>
          </m:dPr>
          <m:e>
            <m:r>
              <m:rPr>
                <m:sty m:val="p"/>
              </m:rPr>
              <m:t>−</m:t>
            </m:r>
            <m:r>
              <m:t>0.10</m:t>
            </m:r>
            <m:r>
              <m:rPr>
                <m:sty m:val="p"/>
              </m:rPr>
              <m:t>,</m:t>
            </m:r>
            <m:r>
              <m:t> </m:t>
            </m:r>
            <m:r>
              <m:rPr>
                <m:sty m:val="p"/>
              </m:rPr>
              <m:t>−</m:t>
            </m:r>
            <m:r>
              <m:t>0.02</m:t>
            </m:r>
          </m:e>
        </m:d>
      </m:oMath>
      <w:r>
        <w:t xml:space="preserve">;</w:t>
      </w:r>
      <w:r>
        <w:t xml:space="preserve"> </w:t>
      </w:r>
      <m:oMath>
        <m:r>
          <m:t>P</m:t>
        </m:r>
        <m:d>
          <m:dPr>
            <m:begChr m:val="("/>
            <m:sepChr m:val=""/>
            <m:endChr m:val=")"/>
            <m:grow/>
          </m:dPr>
          <m:e>
            <m:r>
              <m:t>β</m:t>
            </m:r>
            <m:r>
              <m:rPr>
                <m:sty m:val="p"/>
              </m:rPr>
              <m:t>&lt;</m:t>
            </m:r>
            <m:r>
              <m:t>0</m:t>
            </m:r>
          </m:e>
        </m:d>
        <m:r>
          <m:rPr>
            <m:sty m:val="p"/>
          </m:rPr>
          <m:t>=</m:t>
        </m:r>
        <m:r>
          <m:t>0.997</m:t>
        </m:r>
      </m:oMath>
      <w:r>
        <w:t xml:space="preserve">; 4% ROPE mass). High effort produced a directionally positive boundary-separation contrast that was practically negligible under the project ROPE (</w:t>
      </w:r>
      <m:oMath>
        <m:r>
          <m:t>β</m:t>
        </m:r>
        <m:r>
          <m:rPr>
            <m:sty m:val="p"/>
          </m:rPr>
          <m:t>=</m:t>
        </m:r>
        <m:r>
          <m:t>0.02</m:t>
        </m:r>
      </m:oMath>
      <w:r>
        <w:t xml:space="preserve">, 95% CrI</w:t>
      </w:r>
      <w:r>
        <w:t xml:space="preserve"> </w:t>
      </w:r>
      <m:oMath>
        <m:d>
          <m:dPr>
            <m:begChr m:val="["/>
            <m:sepChr m:val=""/>
            <m:endChr m:val="]"/>
            <m:grow/>
          </m:dPr>
          <m:e>
            <m:r>
              <m:t>0.004</m:t>
            </m:r>
            <m:r>
              <m:rPr>
                <m:sty m:val="p"/>
              </m:rPr>
              <m:t>,</m:t>
            </m:r>
            <m:r>
              <m:t> </m:t>
            </m:r>
            <m:r>
              <m:t>0.029</m:t>
            </m:r>
          </m:e>
        </m:d>
      </m:oMath>
      <w:r>
        <w:t xml:space="preserve">;</w:t>
      </w:r>
      <w:r>
        <w:t xml:space="preserve"> </w:t>
      </w:r>
      <m:oMath>
        <m:r>
          <m:t>P</m:t>
        </m:r>
        <m:d>
          <m:dPr>
            <m:begChr m:val="("/>
            <m:sepChr m:val=""/>
            <m:endChr m:val=")"/>
            <m:grow/>
          </m:dPr>
          <m:e>
            <m:r>
              <m:t>β</m:t>
            </m:r>
            <m:r>
              <m:rPr>
                <m:sty m:val="p"/>
              </m:rPr>
              <m:t>&gt;</m:t>
            </m:r>
            <m:r>
              <m:t>0</m:t>
            </m:r>
          </m:e>
        </m:d>
        <m:r>
          <m:rPr>
            <m:sty m:val="p"/>
          </m:rPr>
          <m:t>=</m:t>
        </m:r>
        <m:r>
          <m:t>0.996</m:t>
        </m:r>
      </m:oMath>
      <w:r>
        <w:t xml:space="preserve">). Effort did not credibly change bias (</w:t>
      </w:r>
      <m:oMath>
        <m:r>
          <m:t>β</m:t>
        </m:r>
        <m:r>
          <m:rPr>
            <m:sty m:val="p"/>
          </m:rPr>
          <m:t>=</m:t>
        </m:r>
        <m:r>
          <m:rPr>
            <m:sty m:val="p"/>
          </m:rPr>
          <m:t>−</m:t>
        </m:r>
        <m:r>
          <m:t>0.005</m:t>
        </m:r>
      </m:oMath>
      <w:r>
        <w:t xml:space="preserve">, 95% CrI</w:t>
      </w:r>
      <w:r>
        <w:t xml:space="preserve"> </w:t>
      </w:r>
      <m:oMath>
        <m:d>
          <m:dPr>
            <m:begChr m:val="["/>
            <m:sepChr m:val=""/>
            <m:endChr m:val="]"/>
            <m:grow/>
          </m:dPr>
          <m:e>
            <m:r>
              <m:rPr>
                <m:sty m:val="p"/>
              </m:rPr>
              <m:t>−</m:t>
            </m:r>
            <m:r>
              <m:t>0.046</m:t>
            </m:r>
            <m:r>
              <m:rPr>
                <m:sty m:val="p"/>
              </m:rPr>
              <m:t>,</m:t>
            </m:r>
            <m:r>
              <m:t> </m:t>
            </m:r>
            <m:r>
              <m:t>0.036</m:t>
            </m:r>
          </m:e>
        </m:d>
      </m:oMath>
      <w:r>
        <w:t xml:space="preserve">;</w:t>
      </w:r>
      <w:r>
        <w:t xml:space="preserve"> </w:t>
      </w:r>
      <m:oMath>
        <m:r>
          <m:t>P</m:t>
        </m:r>
        <m:d>
          <m:dPr>
            <m:begChr m:val="("/>
            <m:sepChr m:val=""/>
            <m:endChr m:val=")"/>
            <m:grow/>
          </m:dPr>
          <m:e>
            <m:r>
              <m:t>β</m:t>
            </m:r>
            <m:r>
              <m:rPr>
                <m:sty m:val="p"/>
              </m:rPr>
              <m:t>&gt;</m:t>
            </m:r>
            <m:r>
              <m:t>0</m:t>
            </m:r>
          </m:e>
        </m:d>
        <m:r>
          <m:rPr>
            <m:sty m:val="p"/>
          </m:rPr>
          <m:t>=</m:t>
        </m:r>
        <m:r>
          <m:t>0.404</m:t>
        </m:r>
      </m:oMath>
      <w:r>
        <w:t xml:space="preserve">). Non-decision time (</w:t>
      </w:r>
      <m:oMath>
        <m:sSub>
          <m:e>
            <m:r>
              <m:t>t</m:t>
            </m:r>
          </m:e>
          <m:sub>
            <m:r>
              <m:t>0</m:t>
            </m:r>
          </m:sub>
        </m:sSub>
      </m:oMath>
      <w:r>
        <w:t xml:space="preserve">) was group-level only in the primary model, so effort on peripheral timing was not tested there; an exploratory log-</w:t>
      </w:r>
      <m:oMath>
        <m:sSub>
          <m:e>
            <m:r>
              <m:t>t</m:t>
            </m:r>
          </m:e>
          <m:sub>
            <m:r>
              <m:t>0</m:t>
            </m:r>
          </m:sub>
        </m:sSub>
      </m:oMath>
      <w:r>
        <w:t xml:space="preserve"> </w:t>
      </w:r>
      <w:r>
        <w:t xml:space="preserve">effort term was small and wide (</w:t>
      </w:r>
      <m:oMath>
        <m:acc>
          <m:accPr>
            <m:chr m:val="̂"/>
          </m:accPr>
          <m:e>
            <m:r>
              <m:t>β</m:t>
            </m:r>
          </m:e>
        </m:acc>
        <m:r>
          <m:rPr>
            <m:sty m:val="p"/>
          </m:rPr>
          <m:t>=</m:t>
        </m:r>
        <m:r>
          <m:t>0.02</m:t>
        </m:r>
      </m:oMath>
      <w:r>
        <w:t xml:space="preserve">, 95% CrI [−0.05, 0.09]).</w:t>
      </w:r>
    </w:p>
    <w:p>
      <w:pPr>
        <w:pStyle w:val="BodyText"/>
      </w:pPr>
      <w:r>
        <w:t xml:space="preserve">Exploratory pupil-linked models showed near-zero TEPR associations with drift and bias, no predictive gain over the behavioral baseline on the pupil subset, and no LOO advantage for Cavanagh-style pupil→boundary extensions (</w:t>
      </w:r>
      <w:hyperlink w:anchor="sec-pupil-ddm-integration">
        <w:r>
          <w:rPr>
            <w:rStyle w:val="Hyperlink"/>
          </w:rPr>
          <w:t xml:space="preserve">Section 3.3</w:t>
        </w:r>
      </w:hyperlink>
      <w:r>
        <w:t xml:space="preserve">). A pupil × difficulty interaction on drift did not support demand-dependent arousal effects (</w:t>
      </w:r>
      <w:hyperlink w:anchor="sec-pupil-ddm-integration">
        <w:r>
          <w:rPr>
            <w:rStyle w:val="Hyperlink"/>
          </w:rPr>
          <w:t xml:space="preserve">Section 3.3</w:t>
        </w:r>
      </w:hyperlink>
      <w:r>
        <w:t xml:space="preserve">).</w:t>
      </w:r>
    </w:p>
    <w:p>
      <w:pPr>
        <w:pStyle w:val="BodyText"/>
      </w:pPr>
      <w:r>
        <w:t xml:space="preserve">Primary contrasts held under alternative RT cutoffs and when task modality was included as a sensitivity check. Under concurrent grip, older adults mainly accumulated less evidence per unit time; caution and pre-response bias changed little.</w:t>
      </w:r>
    </w:p>
    <w:p>
      <w:r>
        <w:br w:type="page"/>
      </w:r>
    </w:p>
    <w:bookmarkEnd w:id="20"/>
    <w:bookmarkStart w:id="31" w:name="introduction"/>
    <w:p>
      <w:pPr>
        <w:pStyle w:val="Heading1"/>
      </w:pPr>
      <w:r>
        <w:t xml:space="preserve">1. Introduction</w:t>
      </w:r>
    </w:p>
    <w:bookmarkStart w:id="21" w:name="X67b1c3429de2ede06fb0039351d35a53ffd7929"/>
    <w:p>
      <w:pPr>
        <w:pStyle w:val="Heading2"/>
      </w:pPr>
      <w:r>
        <w:t xml:space="preserve">1.1 Physical Effort and Performance in the Aging Brain</w:t>
      </w:r>
    </w:p>
    <w:p>
      <w:pPr>
        <w:pStyle w:val="FirstParagraph"/>
      </w:pPr>
      <w:r>
        <w:t xml:space="preserve">Older adults show pervasive response time slowing across virtually all task domains, a finding historically attributed to generalized processing speed decline</w:t>
      </w:r>
      <w:r>
        <w:t xml:space="preserve"> </w:t>
      </w:r>
      <w:r>
        <w:t xml:space="preserve">(Birren, 1965; Salthouse, 1985; Salthouse, 1996)</w:t>
      </w:r>
      <w:r>
        <w:t xml:space="preserve">. Beyond simple biological slowing, this behavior is often strategic; older adults systematically favor accuracy over speed, adopting a more cautious response mode to compensate for declining neural efficiency</w:t>
      </w:r>
      <w:r>
        <w:t xml:space="preserve"> </w:t>
      </w:r>
      <w:r>
        <w:t xml:space="preserve">(Rabbitt, 1979; Ratcliff et al., 2004; Starns &amp; Ratcliff, 2010)</w:t>
      </w:r>
      <w:r>
        <w:t xml:space="preserve">. While these patterns are well-documented in sedentary laboratory settings, real-world cognitive tasks frequently occur while simultaneously exerting physical effort.</w:t>
      </w:r>
    </w:p>
    <w:p>
      <w:pPr>
        <w:pStyle w:val="BodyText"/>
      </w:pPr>
      <w:r>
        <w:t xml:space="preserve">For older adults, the</w:t>
      </w:r>
      <w:r>
        <w:t xml:space="preserve"> </w:t>
      </w:r>
      <w:r>
        <w:t xml:space="preserve">“cost”</w:t>
      </w:r>
      <w:r>
        <w:t xml:space="preserve"> </w:t>
      </w:r>
      <w:r>
        <w:t xml:space="preserve">of such exertion is significantly higher due to age-related declines in motor efficiency and reduced neural reserves</w:t>
      </w:r>
      <w:r>
        <w:t xml:space="preserve"> </w:t>
      </w:r>
      <w:r>
        <w:t xml:space="preserve">(Verhaeghen et al., 2003)</w:t>
      </w:r>
      <w:r>
        <w:t xml:space="preserve">. According to resource competition theories, the executive demands required to maintain a physical grip or posture compete for the same limited pool of cognitive resources needed for decision-making</w:t>
      </w:r>
      <w:r>
        <w:t xml:space="preserve"> </w:t>
      </w:r>
      <w:r>
        <w:t xml:space="preserve">(Wickens, 2008)</w:t>
      </w:r>
      <w:r>
        <w:t xml:space="preserve">. While it is established that physical load can impair general performance</w:t>
      </w:r>
      <w:r>
        <w:t xml:space="preserve"> </w:t>
      </w:r>
      <w:r>
        <w:t xml:space="preserve">(Verhaeghen et al., 2003; Woollacott &amp; Shumway-Cook, 2002)</w:t>
      </w:r>
      <w:r>
        <w:t xml:space="preserve">, we do not yet know whether this interference simply slows down peripheral execution or fundamentally degrades the quality of information processing. This study utilizes a computational framework to decompose these effects, investigating how physical effort and physiological state interact to shape decision-making in the aging brain.</w:t>
      </w:r>
    </w:p>
    <w:bookmarkEnd w:id="21"/>
    <w:bookmarkStart w:id="26" w:name="X12db78e2d71a7c2f316eac3c6c178ba506234dc"/>
    <w:p>
      <w:pPr>
        <w:pStyle w:val="Heading2"/>
      </w:pPr>
      <w:r>
        <w:t xml:space="preserve">1.2 Decomposing Decisions: The Drift-Diffusion Model</w:t>
      </w:r>
    </w:p>
    <w:p>
      <w:pPr>
        <w:pStyle w:val="FirstParagraph"/>
      </w:pPr>
      <w:r>
        <w:t xml:space="preserve">To understand the latent mechanisms underlying age-related slowing, we utilize the Drift-Diffusion Model</w:t>
      </w:r>
      <w:r>
        <w:t xml:space="preserve"> </w:t>
      </w:r>
      <w:r>
        <w:t xml:space="preserve">(Ratcliff, 1978)</w:t>
      </w:r>
      <w:r>
        <w:t xml:space="preserve">. This computational framework assumes that decision-making is a continuous process of evidence accumulation over time, driven by two primary opposing forces that define the internal dynamics of the choice. The first of these internal forces is the deterministic mean drift rate (</w:t>
      </w:r>
      <m:oMath>
        <m:r>
          <m:t>v</m:t>
        </m:r>
      </m:oMath>
      <w:r>
        <w:t xml:space="preserve">), which represents the true quality or strength of the sensory evidence extracted from a stimulus. The second force is the stochastic diffusion constant (</w:t>
      </w:r>
      <m:oMath>
        <m:r>
          <m:t>σ</m:t>
        </m:r>
      </m:oMath>
      <w:r>
        <w:t xml:space="preserve">), capturing the inherent noise and moment-to-moment Gaussian fluctuations in the nervous system. Together, these two forces determine the trajectory of a decision vector over time until it intersects a boundary, a dynamic process visually formalized in</w:t>
      </w:r>
      <w:r>
        <w:t xml:space="preserve"> </w:t>
      </w:r>
      <w:hyperlink w:anchor="fig-ddm-process">
        <w:r>
          <w:rPr>
            <w:rStyle w:val="Hyperlink"/>
          </w:rPr>
          <w:t xml:space="preserve">Figure 1</w:t>
        </w:r>
      </w:hyperlink>
      <w:r>
        <w:t xml:space="preserve"> </w:t>
      </w:r>
      <w:r>
        <w:t xml:space="preserve">(Panel B). As shown in this architectural layout, the final choice and its corresponding timing are ultimately governed by the decision architecture, which dictates the structural boundaries and thresholds within which this continuous evidence accumulation occurs.</w:t>
      </w:r>
    </w:p>
    <w:tbl>
      <w:tblPr>
        <w:tblStyle w:val="Table"/>
        <w:tblW w:type="pct" w:w="5000"/>
        <w:tblLayout w:type="fixed"/>
        <w:tblLook w:firstRow="0" w:lastRow="0" w:firstColumn="0" w:lastColumn="0" w:noHBand="0" w:noVBand="0" w:val="0000"/>
      </w:tblPr>
      <w:tblGrid>
        <w:gridCol w:w="7920"/>
      </w:tblGrid>
      <w:tr>
        <w:tc>
          <w:tcPr/>
          <w:bookmarkStart w:id="25" w:name="fig-ddm-process"/>
          <w:p>
            <w:pPr>
              <w:pStyle w:val="Compact"/>
              <w:jc w:val="center"/>
            </w:pPr>
            <w:r>
              <w:drawing>
                <wp:inline>
                  <wp:extent cx="5334000" cy="4387685"/>
                  <wp:effectExtent b="0" l="0" r="0" t="0"/>
                  <wp:docPr descr="" title="" id="23" name="Picture"/>
                  <a:graphic>
                    <a:graphicData uri="http://schemas.openxmlformats.org/drawingml/2006/picture">
                      <pic:pic>
                        <pic:nvPicPr>
                          <pic:cNvPr descr="../output/figures/manuscript/fig1_design_schematic.png" id="24" name="Picture"/>
                          <pic:cNvPicPr>
                            <a:picLocks noChangeArrowheads="1" noChangeAspect="1"/>
                          </pic:cNvPicPr>
                        </pic:nvPicPr>
                        <pic:blipFill>
                          <a:blip r:embed="rId22"/>
                          <a:stretch>
                            <a:fillRect/>
                          </a:stretch>
                        </pic:blipFill>
                        <pic:spPr bwMode="auto">
                          <a:xfrm>
                            <a:off x="0" y="0"/>
                            <a:ext cx="5334000" cy="438768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Older adults performed auditory and visual change-detection tasks under concurrent isometric grip while pupil diameter was continuously recorded, enabling trial-by-trial decomposition of decision processes via hierarchical drift-diffusion modeling.</w:t>
            </w:r>
            <w:r>
              <w:t xml:space="preserve"> </w:t>
            </w:r>
            <w:r>
              <w:rPr>
                <w:b/>
                <w:bCs/>
              </w:rPr>
              <w:t xml:space="preserve">(A)</w:t>
            </w:r>
            <w:r>
              <w:t xml:space="preserve"> </w:t>
            </w:r>
            <w:r>
              <w:t xml:space="preserve">Response-signal trial timeline: jittered pre-cue (1.5–4.5 s), 3-s grip gauge (Low = 5% MVC; High = 40% MVC), standard</w:t>
            </w:r>
            <w:r>
              <w:t xml:space="preserve"> </w:t>
            </w:r>
            <m:oMath>
              <m:r>
                <m:rPr>
                  <m:sty m:val="p"/>
                </m:rPr>
                <m:t>→</m:t>
              </m:r>
            </m:oMath>
            <w:r>
              <w:t xml:space="preserve"> </w:t>
            </w:r>
            <w:r>
              <w:t xml:space="preserve">probe stimulus sequence, same/different response window (3 s), and confidence rating.</w:t>
            </w:r>
            <w:r>
              <w:t xml:space="preserve"> </w:t>
            </w:r>
            <w:r>
              <w:rPr>
                <w:b/>
                <w:bCs/>
              </w:rPr>
              <w:t xml:space="preserve">(B)</w:t>
            </w:r>
            <w:r>
              <w:t xml:space="preserve"> </w:t>
            </w:r>
            <w:r>
              <w:t xml:space="preserve">Drift-diffusion schematic with response-side coding (upper boundary =</w:t>
            </w:r>
            <w:r>
              <w:t xml:space="preserve"> </w:t>
            </w:r>
            <w:r>
              <w:t xml:space="preserve">‘different’</w:t>
            </w:r>
            <w:r>
              <w:t xml:space="preserve">; lower =</w:t>
            </w:r>
            <w:r>
              <w:t xml:space="preserve"> </w:t>
            </w:r>
            <w:r>
              <w:t xml:space="preserve">‘same’</w:t>
            </w:r>
            <w:r>
              <w:t xml:space="preserve">); parameters labelled: drift rate (</w:t>
            </w:r>
            <m:oMath>
              <m:r>
                <m:t>v</m:t>
              </m:r>
            </m:oMath>
            <w:r>
              <w:t xml:space="preserve">), boundary separation (</w:t>
            </w:r>
            <m:oMath>
              <m:r>
                <m:t>a</m:t>
              </m:r>
            </m:oMath>
            <w:r>
              <w:t xml:space="preserve">), starting-point bias (</w:t>
            </w:r>
            <m:oMath>
              <m:r>
                <m:t>z</m:t>
              </m:r>
            </m:oMath>
            <w:r>
              <w:t xml:space="preserve">), non-decision time (</w:t>
            </w:r>
            <m:oMath>
              <m:sSub>
                <m:e>
                  <m:r>
                    <m:t>t</m:t>
                  </m:r>
                </m:e>
                <m:sub>
                  <m:r>
                    <m:t>0</m:t>
                  </m:r>
                </m:sub>
              </m:sSub>
            </m:oMath>
            <w:r>
              <w:t xml:space="preserve">).</w:t>
            </w:r>
            <w:r>
              <w:t xml:space="preserve"> </w:t>
            </w:r>
            <w:r>
              <w:rPr>
                <w:b/>
                <w:bCs/>
              </w:rPr>
              <w:t xml:space="preserve">(C)</w:t>
            </w:r>
            <w:r>
              <w:t xml:space="preserve"> </w:t>
            </w:r>
            <w:r>
              <w:t xml:space="preserve">Predictor-to-parameter map for the primary model: difficulty and effort predict</w:t>
            </w:r>
            <w:r>
              <w:t xml:space="preserve"> </w:t>
            </w:r>
            <m:oMath>
              <m:r>
                <m:t>v</m:t>
              </m:r>
            </m:oMath>
            <w:r>
              <w:t xml:space="preserve"> </w:t>
            </w:r>
            <w:r>
              <w:t xml:space="preserve">and</w:t>
            </w:r>
            <w:r>
              <w:t xml:space="preserve"> </w:t>
            </w:r>
            <m:oMath>
              <m:r>
                <m:t>a</m:t>
              </m:r>
            </m:oMath>
            <w:r>
              <w:t xml:space="preserve">; effort and task predict</w:t>
            </w:r>
            <w:r>
              <w:t xml:space="preserve"> </w:t>
            </w:r>
            <m:oMath>
              <m:r>
                <m:t>z</m:t>
              </m:r>
            </m:oMath>
            <w:r>
              <w:t xml:space="preserve">;</w:t>
            </w:r>
            <w:r>
              <w:t xml:space="preserve"> </w:t>
            </w:r>
            <m:oMath>
              <m:sSub>
                <m:e>
                  <m:r>
                    <m:t>t</m:t>
                  </m:r>
                </m:e>
                <m:sub>
                  <m:r>
                    <m:t>0</m:t>
                  </m:r>
                </m:sub>
              </m:sSub>
            </m:oMath>
            <w:r>
              <w:t xml:space="preserve"> </w:t>
            </w:r>
            <w:r>
              <w:t xml:space="preserve">is intercept-only. Statistical note:</w:t>
            </w:r>
            <w:r>
              <w:t xml:space="preserve"> </w:t>
            </w:r>
            <m:oMath>
              <m:r>
                <m:t>N</m:t>
              </m:r>
            </m:oMath>
            <w:r>
              <w:t xml:space="preserve"> </w:t>
            </w:r>
            <w:r>
              <w:t xml:space="preserve">= 67 older adults (age</w:t>
            </w:r>
            <w:r>
              <w:t xml:space="preserve"> </w:t>
            </w:r>
            <m:oMath>
              <m:r>
                <m:t>M</m:t>
              </m:r>
            </m:oMath>
            <w:r>
              <w:t xml:space="preserve"> </w:t>
            </w:r>
            <w:r>
              <w:t xml:space="preserve">= 69.5 years,</w:t>
            </w:r>
            <w:r>
              <w:t xml:space="preserve"> </w:t>
            </w:r>
            <m:oMath>
              <m:r>
                <m:t>S</m:t>
              </m:r>
              <m:r>
                <m:t>D</m:t>
              </m:r>
            </m:oMath>
            <w:r>
              <w:t xml:space="preserve"> </w:t>
            </w:r>
            <w:r>
              <w:t xml:space="preserve">= 6.4, range 60–87); 17,857 trials retained after cue-locked RT exclusions.</w:t>
            </w:r>
          </w:p>
          <w:bookmarkEnd w:id="25"/>
        </w:tc>
      </w:tr>
    </w:tbl>
    <w:p>
      <w:pPr>
        <w:pStyle w:val="BodyText"/>
      </w:pPr>
      <w:r>
        <w:t xml:space="preserve">This mathematical framework allows us to decompose standard behavioral reaction time data and accuracy rates into four distinct latent parameters. The drift rate (</w:t>
      </w:r>
      <m:oMath>
        <m:r>
          <m:t>v</m:t>
        </m:r>
      </m:oMath>
      <w:r>
        <w:t xml:space="preserve">) reflects the efficiency and quality of the accumulation process itself, where the absolute magnitude of the parameter reflects the clarity of the sensory signal and the efficiency of the accumulation process itself, directing the decision vector toward either the upper (</w:t>
      </w:r>
      <w:r>
        <w:t xml:space="preserve">‘different’</w:t>
      </w:r>
      <w:r>
        <w:t xml:space="preserve">) or lower (</w:t>
      </w:r>
      <w:r>
        <w:t xml:space="preserve">‘same’</w:t>
      </w:r>
      <w:r>
        <w:t xml:space="preserve">) boundary based on stimulus properties. The boundary separation (</w:t>
      </w:r>
      <m:oMath>
        <m:r>
          <m:t>a</m:t>
        </m:r>
      </m:oMath>
      <w:r>
        <w:t xml:space="preserve">) establishes the total amount of evidence required before a participant commits to a response, serving as a direct measure of response caution. The starting-point bias (</w:t>
      </w:r>
      <m:oMath>
        <m:r>
          <m:t>z</m:t>
        </m:r>
      </m:oMath>
      <w:r>
        <w:t xml:space="preserve">) accounts for any a priori preference or baseline asymmetry toward one response alternative over another before the trial even begins. Finally, the non-decision time (</w:t>
      </w:r>
      <m:oMath>
        <m:sSub>
          <m:e>
            <m:r>
              <m:t>t</m:t>
            </m:r>
          </m:e>
          <m:sub>
            <m:r>
              <m:t>0</m:t>
            </m:r>
          </m:sub>
        </m:sSub>
      </m:oMath>
      <w:r>
        <w:t xml:space="preserve">) captures the duration of peripheral mechanisms that fall completely outside the core decision process, such as initial sensory encoding and downstream motor execution</w:t>
      </w:r>
      <w:r>
        <w:t xml:space="preserve"> </w:t>
      </w:r>
      <w:r>
        <w:t xml:space="preserve">(Ratcliff, 1978; Ratcliff &amp; McKoon, 2008; Voss et al., 2004)</w:t>
      </w:r>
      <w:r>
        <w:t xml:space="preserve">.</w:t>
      </w:r>
    </w:p>
    <w:p>
      <w:pPr>
        <w:pStyle w:val="BodyText"/>
      </w:pPr>
      <w:r>
        <w:t xml:space="preserve">Decomposing these metrics is critical when examining an aging population because standard behavioral observations often mask the true underlying cognitive changes. Previous research demonstrates a clear processing dissociation in older adults. When performing simple perceptual tasks like brightness or letter discrimination, older adults consistently exhibit elevated boundary separation and longer non-decision times, yet their underlying drift rate remains remarkably preserved</w:t>
      </w:r>
      <w:r>
        <w:t xml:space="preserve"> </w:t>
      </w:r>
      <w:r>
        <w:t xml:space="preserve">(Ratcliff et al., 2001, 2004; Ratcliff &amp; McKoon, 2008)</w:t>
      </w:r>
      <w:r>
        <w:t xml:space="preserve">. However, this preservation is fragile. When task demands intensify through increased perceptual load, complex visual search, or episodic memory retrieval, the efficiency of evidence accumulation begins to decline significantly</w:t>
      </w:r>
      <w:r>
        <w:t xml:space="preserve"> </w:t>
      </w:r>
      <w:r>
        <w:t xml:space="preserve">(Madden &amp; Allen, 1991; Spaniol et al., 2006)</w:t>
      </w:r>
      <w:r>
        <w:t xml:space="preserve">.</w:t>
      </w:r>
    </w:p>
    <w:p>
      <w:pPr>
        <w:pStyle w:val="BodyText"/>
      </w:pPr>
      <w:r>
        <w:t xml:space="preserve">An open question is whether these DDM parameters represent rigid capacity limits or if they are dynamically modulated by an individual’s immediate physiological state. By using physical effort to manipulate systemic arousal, we can test whether these internal mechanisms are flexible under stress. Specifically, we can determine if the increased physiological cost of high physical effort forces an alteration in the decision architecture, perhaps prompting a compensatory increase in boundary caution, or if it directly degrades the efficiency of the evidence accumulation process itself. This methodology allows us to move past the simple observation that older adults slow down under pressure, revealing instead the real-time interaction between somatic demand and cognitive efficiency.</w:t>
      </w:r>
    </w:p>
    <w:bookmarkEnd w:id="26"/>
    <w:bookmarkStart w:id="27" w:name="Xb49d50b85949bde2d9d13c52e6874686003578c"/>
    <w:p>
      <w:pPr>
        <w:pStyle w:val="Heading2"/>
      </w:pPr>
      <w:r>
        <w:t xml:space="preserve">1.3 Arousal, Effort, and Decision Performance in Older Adults</w:t>
      </w:r>
    </w:p>
    <w:p>
      <w:pPr>
        <w:pStyle w:val="FirstParagraph"/>
      </w:pPr>
      <w:r>
        <w:t xml:space="preserve">The relationship between physiological arousal and cognitive performance has long been conceptualized as an inverted-U function, where intermediate states yield optimal execution while hypo- or hyper-arousal leads to systemic performance degradation</w:t>
      </w:r>
      <w:r>
        <w:t xml:space="preserve"> </w:t>
      </w:r>
      <w:r>
        <w:t xml:space="preserve">(Yerkes &amp; Dodson, 1908)</w:t>
      </w:r>
      <w:r>
        <w:t xml:space="preserve">. Adaptive Gain Theory provides a functional account of this classic relationship by frameworking arousal as a dynamic modulator of neural gain, which directly dictates the signal-to-noise ratio of information processing during task-relevant behavior</w:t>
      </w:r>
      <w:r>
        <w:t xml:space="preserve"> </w:t>
      </w:r>
      <w:r>
        <w:t xml:space="preserve">(Aston-Jones &amp; Cohen, 2005)</w:t>
      </w:r>
      <w:r>
        <w:t xml:space="preserve">. When applied to the psychology of aging, empirical evidence suggests that the dynamic range of these autonomic regulation systems becomes significantly constricted. Age-related shifts in baseline arousal settings and diminished physiological flexibility make older adults highly vulnerable to over-activation. Consequently, modest increases in objective task demands can rapidly elevate systemic arousal past the optimal peak and into a supra-optimal zone where excessive internal noise compromises cognitive stability</w:t>
      </w:r>
      <w:r>
        <w:t xml:space="preserve"> </w:t>
      </w:r>
      <w:r>
        <w:t xml:space="preserve">(Huang &amp; Clewett, 2024; Mather &amp; Harley, 2016; Mikneviciute et al., 2022)</w:t>
      </w:r>
      <w:r>
        <w:t xml:space="preserve">.</w:t>
      </w:r>
    </w:p>
    <w:p>
      <w:pPr>
        <w:pStyle w:val="BodyText"/>
      </w:pPr>
      <w:r>
        <w:t xml:space="preserve">This physiological vulnerability becomes highly salient when cognitive operations are performed under concurrent physical load, which acts as a powerful somatic driver of systemic arousal. Because older adults exhibit reduced motor efficiency and diminished physiological reserves, maintaining an isometric grip demands a vastly disproportionate expenditure of subjective effort relative to younger cohorts. This cognitive-motor cost reflects an age-related shift wherein previously automated sensorimotor operations must recruit explicit, top-down executive control, effectively transforming a somatic task into a direct competitor for limited central processing resources</w:t>
      </w:r>
      <w:r>
        <w:t xml:space="preserve"> </w:t>
      </w:r>
      <w:r>
        <w:t xml:space="preserve">(Verhaeghen et al., 2003)</w:t>
      </w:r>
      <w:r>
        <w:t xml:space="preserve">. Older adults performing continuous processing tasks exhibit exaggerated autonomic reactivity, measured via prominent shifts in systolic blood pressure, which directly predict heightened states of subsequent cognitive fatigue</w:t>
      </w:r>
      <w:r>
        <w:t xml:space="preserve"> </w:t>
      </w:r>
      <w:r>
        <w:t xml:space="preserve">(Hess &amp; Ennis, 2012)</w:t>
      </w:r>
      <w:r>
        <w:t xml:space="preserve">. Crucially, this somatic burden directly interferes with simultaneous processing, selectively impairing performance accuracy in older adults under conditions where younger adults remain entirely unaffected</w:t>
      </w:r>
      <w:r>
        <w:t xml:space="preserve"> </w:t>
      </w:r>
      <w:r>
        <w:t xml:space="preserve">(Azer et al., 2023)</w:t>
      </w:r>
      <w:r>
        <w:t xml:space="preserve">. Rather than treating resource competition</w:t>
      </w:r>
      <w:r>
        <w:t xml:space="preserve"> </w:t>
      </w:r>
      <w:r>
        <w:t xml:space="preserve">(Wickens, 2008)</w:t>
      </w:r>
      <w:r>
        <w:t xml:space="preserve"> </w:t>
      </w:r>
      <w:r>
        <w:t xml:space="preserve">and arousal-based models as independent accounts, we argue they are functionally integrated. The substantial central resources required to sustain a high-intensity physical grip force the aging nervous system into a state of hyper-arousal. This sustained somatic load pushes the organism past the optimal peak of the functional gain curve, generating a resource bottleneck where cognitive processing efficiency is simultaneously drained by structural capacity limits and obscured by hyper-arousal-induced noise.</w:t>
      </w:r>
    </w:p>
    <w:p>
      <w:pPr>
        <w:pStyle w:val="BodyText"/>
      </w:pPr>
      <w:r>
        <w:t xml:space="preserve">Although it is clear that concurrent physical effort alters gross behavioral metrics like accuracy, traditional performance measures are fundamentally blind to the underlying latent mechanisms driving these failures. For example, a drop in accuracy under high physical load could reflect a degradation in the quality of sensory processing, but it could alternatively signal a top-down strategic shift where a participant deliberately lowers their decision threshold to escape the discomfort of sustained muscular contraction. Traditional reaction time and error analyses cannot adjudicate between these competing explanations. By decomposing behavioral data into distinct computational parameters within a diffusion framework, we can explicitly isolate these hidden components. Identifying whether physical effort selectively suppresses evidence quality or collapses decision boundaries provides critical insight into the functional architecture of cognitive-motor interference. This computational approach moves the field beyond merely documenting that physical demand impairs cognition, providing instead a clear mechanistic account of how somatic load shapes the speed, accuracy, and strategic boundaries of human choice.</w:t>
      </w:r>
    </w:p>
    <w:bookmarkEnd w:id="27"/>
    <w:bookmarkStart w:id="28" w:name="Xce4220a54f11369760f609fd231fb17ec0e6867"/>
    <w:p>
      <w:pPr>
        <w:pStyle w:val="Heading2"/>
      </w:pPr>
      <w:r>
        <w:t xml:space="preserve">1.4 Pupillometry and Pupil-Informed Drift-Diffusion Modeling</w:t>
      </w:r>
    </w:p>
    <w:p>
      <w:pPr>
        <w:pStyle w:val="FirstParagraph"/>
      </w:pPr>
      <w:r>
        <w:t xml:space="preserve">To empirically capture these shifting states of resource allocation, we utilize pupillometry as a continuous physiological proxy for an individual’s internal state. Non-invasive eye tracking provides a highly sensitive measure of central nervous system activation, where fluctuations in pupil diameter track changes in autonomic tone with exceptional temporal precision</w:t>
      </w:r>
      <w:r>
        <w:t xml:space="preserve"> </w:t>
      </w:r>
      <w:r>
        <w:t xml:space="preserve">(Beatty, 1982; Kahneman &amp; Beatty, 1966)</w:t>
      </w:r>
      <w:r>
        <w:t xml:space="preserve">. Within this methodology, two distinct components offer insight into a participant’s physiological state. While baseline pupil diameter reflects slower shifts in tonic arousal and sustained alertness, the task-evoked pupil response (TEPR) acts as a rapid, phasic signal that directly tracks moment-to-moment changes in cognitive and somatic workload</w:t>
      </w:r>
      <w:r>
        <w:t xml:space="preserve"> </w:t>
      </w:r>
      <w:r>
        <w:t xml:space="preserve">(Gilzenrat et al., 2010; Van Gerven et al., 2004)</w:t>
      </w:r>
      <w:r>
        <w:t xml:space="preserve">. Quantifying this phasic response via the trial-wise area under the curve (AUC) allows us to measure how the immediate demand of sustaining a physical grip alters an individual’s physiological investment from one choice to the next.</w:t>
      </w:r>
    </w:p>
    <w:p>
      <w:pPr>
        <w:pStyle w:val="BodyText"/>
      </w:pPr>
      <w:r>
        <w:t xml:space="preserve">Of course, peripheral pupil metrics are not driven solely by internal arousal; they are inherently sensitive to extraneous variables such as ambient luminance, viewing distance, and direct motor execution reflexes</w:t>
      </w:r>
      <w:r>
        <w:t xml:space="preserve"> </w:t>
      </w:r>
      <w:r>
        <w:t xml:space="preserve">(Beatty, 1982; Loewenfeld &amp; Lowenstein, 1999)</w:t>
      </w:r>
      <w:r>
        <w:t xml:space="preserve">. We rigorously control for these potential confounds by executing our paradigm within a highly regulated MRI environment characterized by constant background luminance and a locked viewing distance. Under these invariant conditions, transient changes in the TEPR can be confidently interpreted as a relative index of phasic arousal rather than a sensory or physical artifact. Furthermore, while a wealth of animal and neuropharmacological research firmly links transient pupil dilations to central locus coeruleus-norepinephrine activity</w:t>
      </w:r>
      <w:r>
        <w:t xml:space="preserve"> </w:t>
      </w:r>
      <w:r>
        <w:t xml:space="preserve">(Gilzenrat et al., 2010; Joshi et al., 2016)</w:t>
      </w:r>
      <w:r>
        <w:t xml:space="preserve">, our psychophysiological approach treats the TEPR strictly as a functional, systemic index of phasic arousal state rather than a direct anatomical biomarker of midbrain nuclei integrity. However, an open physiological question remains whether the concurrent somatic demands of a sustained motor action complement or structurally obscure these transient, cognitively driven pupillary dilations under high workload.</w:t>
      </w:r>
    </w:p>
    <w:p>
      <w:pPr>
        <w:pStyle w:val="BodyText"/>
      </w:pPr>
      <w:r>
        <w:t xml:space="preserve">Integrating this single-trial psychophysiological metric directly into a computational model offers a substantial analytical advantage over traditional behavioral modeling. Standard applications of the drift-diffusion model generate static parameter estimates averaged across entire blocks of trials. This aggregate approach completely ignores the reality that a participant’s internal state fluctuations occur continuously throughout a session. By incorporating trial-by-trial pupil data directly into the hierarchical DDM framework, we can map these transient, phasic arousal fluctuations onto specific latent decision processes, revealing how moment-to-moment cognitive preparation shifts under the broader constraints of a sustained physical load.</w:t>
      </w:r>
    </w:p>
    <w:p>
      <w:pPr>
        <w:pStyle w:val="BodyText"/>
      </w:pPr>
      <w:r>
        <w:t xml:space="preserve">A foundational demonstration of this technique was provided by Cavanagh and colleagues</w:t>
      </w:r>
      <w:r>
        <w:t xml:space="preserve"> </w:t>
      </w:r>
      <w:r>
        <w:t xml:space="preserve">(2014)</w:t>
      </w:r>
      <w:r>
        <w:t xml:space="preserve">, who utilized single-trial pupillometry during a probabilistic learning task to show that transient pupil dilations specifically predicted an increase in boundary separation (</w:t>
      </w:r>
      <m:oMath>
        <m:r>
          <m:t>a</m:t>
        </m:r>
      </m:oMath>
      <w:r>
        <w:t xml:space="preserve">) during high-conflict choices. This finding suggested that under cognitive conflict, a sudden surge in phasic arousal acts as a signaling mechanism that prompts the brain to adopt greater response caution.</w:t>
      </w:r>
    </w:p>
    <w:p>
      <w:pPr>
        <w:pStyle w:val="BodyText"/>
      </w:pPr>
      <w:r>
        <w:t xml:space="preserve">Our study extends this methodology by shifting the experimental focus from cognitive conflict to physical effort, and from healthy young cohorts to an aging population. This shift provides a fundamentally distinct test of how internal arousal states govern decision architecture. While cognitive conflict in young adults primarily modulates top-down strategic thresholds, the combination of advanced age and concurrent physical exertion introduces a severe strain on shared processing resources. Consequently, by testing pupil-informed models under varying physical loads—including nested extensions on drift, starting-point bias, and boundary separation—we evaluated whether trial-by-trial fluctuations in pupil-indexed phasic arousal track strategic caution (</w:t>
      </w:r>
      <m:oMath>
        <m:r>
          <m:t>a</m:t>
        </m:r>
      </m:oMath>
      <w:r>
        <w:t xml:space="preserve">) or degradation in evidence accumulation (</w:t>
      </w:r>
      <m:oMath>
        <m:r>
          <m:t>v</m:t>
        </m:r>
      </m:oMath>
      <w:r>
        <w:t xml:space="preserve">) under sustained physical load.</w:t>
      </w:r>
    </w:p>
    <w:bookmarkEnd w:id="28"/>
    <w:bookmarkStart w:id="29" w:name="hypotheses-and-predictions"/>
    <w:p>
      <w:pPr>
        <w:pStyle w:val="Heading2"/>
      </w:pPr>
      <w:r>
        <w:t xml:space="preserve">1.5 Hypotheses and Predictions</w:t>
      </w:r>
    </w:p>
    <w:p>
      <w:pPr>
        <w:pStyle w:val="FirstParagraph"/>
      </w:pPr>
      <w:r>
        <w:t xml:space="preserve">We evaluated four primary predictions regarding how concurrent physical load modulates the latent components of decision formation in older adults. First, we hypothesized that the drift rate (</w:t>
      </w:r>
      <m:oMath>
        <m:r>
          <m:t>v</m:t>
        </m:r>
      </m:oMath>
      <w:r>
        <w:t xml:space="preserve">) would significantly decrease under the high-effort condition (40% MVC) relative to the low-effort baseline (5% MVC). This prediction directly builds upon the principles of resource competition and functional arousal dynamics established across the preceding sections. The severe somatic burden of maintaining a high-intensity muscular contraction is expected to force the aging nervous system past the optimal peak of the Yerkes-Dodson curve, draining shared central resources and ultimately degrading the clarity and efficiency of sensory evidence accumulation.</w:t>
      </w:r>
    </w:p>
    <w:p>
      <w:pPr>
        <w:pStyle w:val="BodyText"/>
      </w:pPr>
      <w:r>
        <w:t xml:space="preserve">Second, we evaluated two competing accounts regarding boundary separation (</w:t>
      </w:r>
      <m:oMath>
        <m:r>
          <m:t>a</m:t>
        </m:r>
      </m:oMath>
      <w:r>
        <w:t xml:space="preserve">). Under an adaptive caution account extrapolated from cognitive conflict frameworks, systemic hyper-arousal might prompt a top-down, strategic widening of thresholds to protect performance stability under strain. Conversely, under a somatic fatigue account, the acute physical discomfort of sustained muscular contraction could drive a collapse of boundaries as participants attempt to terminate trials quickly. Adjudicating between these accounts allows us to determine whether older adults dynamically recalibrate their decision criteria under tonic somatic load.</w:t>
      </w:r>
    </w:p>
    <w:p>
      <w:pPr>
        <w:pStyle w:val="BodyText"/>
      </w:pPr>
      <w:r>
        <w:t xml:space="preserve">Third, we addressed the impact of motor demand on peripheral overhead by exploring whether non-decision time (</w:t>
      </w:r>
      <m:oMath>
        <m:sSub>
          <m:e>
            <m:r>
              <m:t>t</m:t>
            </m:r>
          </m:e>
          <m:sub>
            <m:r>
              <m:t>0</m:t>
            </m:r>
          </m:sub>
        </m:sSub>
      </m:oMath>
      <w:r>
        <w:t xml:space="preserve">) would increase under high physical effort, a shift that would reflect direct cognitive-motor interference during concurrent grip maintenance. Because the inherent structural constraints of the response-signal paradigm restrict full estimation flexibility for non-decision processes, this evaluation was treated as an explicit exploratory analysis rather than a primary structural hypothesis. These parameter variations are reported transparently to provide a complete overview of the model space despite these paradigm-specific mathematical limitations.</w:t>
      </w:r>
    </w:p>
    <w:p>
      <w:pPr>
        <w:pStyle w:val="BodyText"/>
      </w:pPr>
      <w:r>
        <w:t xml:space="preserve">Fourth, we tested whether the bias-attenuating properties of physiological arousal generalize from transient states to sustained states. While spontaneous, trial-by-trial phasic arousal bursts have been shown to systematically suppress choice biases, it remains unknown whether a sustained, exogenously driven tonic elevation in arousal operates through an identical framework. We hypothesized that if tonic somatic noise mirrors phasic arousal dynamics, starting-point bias (</w:t>
      </w:r>
      <m:oMath>
        <m:r>
          <m:t>z</m:t>
        </m:r>
      </m:oMath>
      <w:r>
        <w:t xml:space="preserve">) would systematically shift toward structural neutrality (</w:t>
      </w:r>
      <m:oMath>
        <m:r>
          <m:t>z</m:t>
        </m:r>
        <m:r>
          <m:rPr>
            <m:sty m:val="p"/>
          </m:rPr>
          <m:t>=</m:t>
        </m:r>
        <m:r>
          <m:t>0.5</m:t>
        </m:r>
      </m:oMath>
      <w:r>
        <w:t xml:space="preserve">) under high effort; alternatively, the chronic overhead of the motor task might lock in stable, energy-saving strategic heuristics.</w:t>
      </w:r>
    </w:p>
    <w:bookmarkEnd w:id="29"/>
    <w:bookmarkStart w:id="30" w:name="the-present-study"/>
    <w:p>
      <w:pPr>
        <w:pStyle w:val="Heading2"/>
      </w:pPr>
      <w:r>
        <w:t xml:space="preserve">1.6 The Present Study</w:t>
      </w:r>
    </w:p>
    <w:p>
      <w:pPr>
        <w:pStyle w:val="FirstParagraph"/>
      </w:pPr>
      <w:r>
        <w:t xml:space="preserve">The present chapter applies hierarchical Bayesian drift-diffusion modeling to examine how physical effort (Low: 5% MVC vs. High: 40% MVC isometric handgrip) modulates latent decision parameters in older adults performing auditory and visual same-different discrimination tasks. Trial-by-trial task-evoked pupil responses (TEPR) serve as an exploratory index of phasic arousal to test whether within-person arousal fluctuations predict changes in evidence accumulation or response bias. Together, these analyses test whether the characteristic slowing and cautiousness of older decision-makers reflect fixed capacity limits or physiological-state-dependent features modulated by effort-induced arousal.</w:t>
      </w:r>
    </w:p>
    <w:bookmarkEnd w:id="30"/>
    <w:bookmarkEnd w:id="31"/>
    <w:bookmarkStart w:id="46" w:name="methods"/>
    <w:p>
      <w:pPr>
        <w:pStyle w:val="Heading1"/>
      </w:pPr>
      <w:r>
        <w:t xml:space="preserve">2. Methods</w:t>
      </w:r>
    </w:p>
    <w:bookmarkStart w:id="33" w:name="participants"/>
    <w:p>
      <w:pPr>
        <w:pStyle w:val="Heading2"/>
      </w:pPr>
      <w:r>
        <w:t xml:space="preserve">2.1 Participants</w:t>
      </w:r>
    </w:p>
    <w:p>
      <w:pPr>
        <w:pStyle w:val="FirstParagraph"/>
      </w:pPr>
      <w:r>
        <w:t xml:space="preserve">Participants were recruited from communities surrounding the University of California, Riverside, through multiple channels including direct mail, posted flyers, social media advertisements, and word-of-mouth referrals. Eligibility criteria required participants to be aged 60–90 years, possess normal or corrected-to-normal vision and hearing, demonstrate sufficient English language comprehension to follow experimental instructions, and exhibit right-hand dominance. Exclusion criteria comprised contraindications for magnetic resonance imaging (MRI), current use of psychotropic medications, clinically significant neurological disorders, and major systemic health conditions including diabetes mellitus.</w:t>
      </w:r>
    </w:p>
    <w:p>
      <w:pPr>
        <w:pStyle w:val="BodyText"/>
      </w:pPr>
      <w:r>
        <w:t xml:space="preserve">Sixty-nine individuals initially enrolled in the study. Two participants were excluded following enrollment: one due to suspected mild cognitive impairment (MCI) and another due to possible essential tremor, yielding a final sample of 67 older adults (age</w:t>
      </w:r>
      <w:r>
        <w:t xml:space="preserve"> </w:t>
      </w:r>
      <w:r>
        <w:rPr>
          <w:i/>
          <w:iCs/>
        </w:rPr>
        <w:t xml:space="preserve">M</w:t>
      </w:r>
      <w:r>
        <w:t xml:space="preserve"> </w:t>
      </w:r>
      <w:r>
        <w:t xml:space="preserve">= 69.5 years,</w:t>
      </w:r>
      <w:r>
        <w:t xml:space="preserve"> </w:t>
      </w:r>
      <w:r>
        <w:rPr>
          <w:i/>
          <w:iCs/>
        </w:rPr>
        <w:t xml:space="preserve">SD</w:t>
      </w:r>
      <w:r>
        <w:t xml:space="preserve"> </w:t>
      </w:r>
      <w:r>
        <w:t xml:space="preserve">= 6.4, range = 60–87 years).</w:t>
      </w:r>
      <w:r>
        <w:t xml:space="preserve"> </w:t>
      </w:r>
      <w:hyperlink w:anchor="fig-participant-flow">
        <w:r>
          <w:rPr>
            <w:rStyle w:val="Hyperlink"/>
          </w:rPr>
          <w:t xml:space="preserve">Figure 7</w:t>
        </w:r>
      </w:hyperlink>
      <w:r>
        <w:t xml:space="preserve"> </w:t>
      </w:r>
      <w:r>
        <w:t xml:space="preserve">summarizes participant and trial retention through behavioral and pupil-linked analytic paths. Table 1 reports baseline demographics for the full sample; the extended neuropsychological battery and additional baseline descriptives are provided in Appendix A9. After applying the RT threshold and quality criteria (fewer than 100 analyzable trials in a given task), 5 participants contributed data to only one task, yielding task-specific analytic samples of</w:t>
      </w:r>
      <w:r>
        <w:t xml:space="preserve"> </w:t>
      </w:r>
      <w:r>
        <w:rPr>
          <w:i/>
          <w:iCs/>
        </w:rPr>
        <w:t xml:space="preserve">N</w:t>
      </w:r>
      <w:r>
        <w:t xml:space="preserve"> </w:t>
      </w:r>
      <w:r>
        <w:t xml:space="preserve">= 64 (Auditory) and</w:t>
      </w:r>
      <w:r>
        <w:t xml:space="preserve"> </w:t>
      </w:r>
      <w:r>
        <w:rPr>
          <w:i/>
          <w:iCs/>
        </w:rPr>
        <w:t xml:space="preserve">N</w:t>
      </w:r>
      <w:r>
        <w:t xml:space="preserve"> </w:t>
      </w:r>
      <w:r>
        <w:t xml:space="preserve">= 65 (Visual). Sample size was determined via a priori power analysis (G*Power 3.1;</w:t>
      </w:r>
      <w:r>
        <w:t xml:space="preserve"> </w:t>
      </w:r>
      <w:r>
        <w:t xml:space="preserve">(Faul et al., 2007)</w:t>
      </w:r>
      <w:r>
        <w:t xml:space="preserve">). For a repeated-measures ANOVA with two within-subject conditions, medium effect size (</w:t>
      </w:r>
      <m:oMath>
        <m:r>
          <m:t>f</m:t>
        </m:r>
        <m:r>
          <m:rPr>
            <m:sty m:val="p"/>
          </m:rPr>
          <m:t>=</m:t>
        </m:r>
        <m:r>
          <m:t>0.25</m:t>
        </m:r>
      </m:oMath>
      <w:r>
        <w:t xml:space="preserve">),</w:t>
      </w:r>
      <w:r>
        <w:t xml:space="preserve"> </w:t>
      </w:r>
      <m:oMath>
        <m:r>
          <m:t>α</m:t>
        </m:r>
        <m:r>
          <m:rPr>
            <m:sty m:val="p"/>
          </m:rPr>
          <m:t>=</m:t>
        </m:r>
        <m:r>
          <m:t>.05</m:t>
        </m:r>
      </m:oMath>
      <w:r>
        <w:t xml:space="preserve">, and power = .80, a minimum of 34 participants was required. The achieved sample of</w:t>
      </w:r>
      <w:r>
        <w:t xml:space="preserve"> </w:t>
      </w:r>
      <m:oMath>
        <m:r>
          <m:t>N</m:t>
        </m:r>
        <m:r>
          <m:rPr>
            <m:sty m:val="p"/>
          </m:rPr>
          <m:t>=</m:t>
        </m:r>
        <m:r>
          <m:t>67</m:t>
        </m:r>
      </m:oMath>
      <w:r>
        <w:t xml:space="preserve"> </w:t>
      </w:r>
      <w:r>
        <w:t xml:space="preserve">exceeds this threshold by approximately 2</w:t>
      </w:r>
      <m:oMath>
        <m:r>
          <m:rPr>
            <m:sty m:val="p"/>
          </m:rPr>
          <m:t>×</m:t>
        </m:r>
      </m:oMath>
      <w:r>
        <w:t xml:space="preserve"> </w:t>
      </w:r>
      <w:r>
        <w:t xml:space="preserve">and is consistent with published hierarchical DDM studies reliably detecting group-level condition effects with</w:t>
      </w:r>
      <w:r>
        <w:t xml:space="preserve"> </w:t>
      </w:r>
      <m:oMath>
        <m:r>
          <m:t>N</m:t>
        </m:r>
        <m:r>
          <m:rPr>
            <m:sty m:val="p"/>
          </m:rPr>
          <m:t>=</m:t>
        </m:r>
        <m:r>
          <m:t>30</m:t>
        </m:r>
      </m:oMath>
      <w:r>
        <w:t xml:space="preserve">–</w:t>
      </w:r>
      <m:oMath>
        <m:r>
          <m:t>60</m:t>
        </m:r>
      </m:oMath>
      <w:r>
        <w:t xml:space="preserve"> </w:t>
      </w:r>
      <w:r>
        <w:t xml:space="preserve">(Ratcliff et al., 2004; Wiecki et al., 2013)</w:t>
      </w:r>
      <w:r>
        <w:t xml:space="preserve">. Twelve participants performed at or near chance level (</w:t>
      </w:r>
      <m:oMath>
        <m:r>
          <m:rPr>
            <m:sty m:val="p"/>
          </m:rPr>
          <m:t>≤</m:t>
        </m:r>
      </m:oMath>
      <w:r>
        <w:t xml:space="preserve"> </w:t>
      </w:r>
      <w:r>
        <w:t xml:space="preserve">55% accuracy, compared to the 50% two-alternative forced-choice chance baseline) in some experimental conditions but were retained in analyses to maximize sample size, as hierarchical modeling approaches borrow statistical strength across participants to stabilize individual-level parameter estimates.</w:t>
      </w:r>
    </w:p>
    <w:p>
      <w:pPr>
        <w:pStyle w:val="BodyText"/>
      </w:pPr>
      <w:r>
        <w:t xml:space="preserve">All participants provided written informed consent and received either course credit or monetary compensation for their participation. Study procedures were approved by the Institutional Review Board of the University of California, Riverside, and all experimental procedures were conducted in accordance with approved guidelines and regulations.</w:t>
      </w:r>
    </w:p>
    <w:tbl>
      <w:tblPr>
        <w:tblStyle w:val="Table"/>
        <w:tblW w:type="pct" w:w="5000"/>
        <w:tblLayout w:type="fixed"/>
        <w:tblLook w:firstRow="0" w:lastRow="0" w:firstColumn="0" w:lastColumn="0" w:noHBand="0" w:noVBand="0" w:val="0000"/>
      </w:tblPr>
      <w:tblGrid>
        <w:gridCol w:w="7920"/>
      </w:tblGrid>
      <w:tr>
        <w:tc>
          <w:tcPr/>
          <w:bookmarkStart w:id="32" w:name="tbl-demographics"/>
          <w:p>
            <w:pPr>
              <w:jc w:val="center"/>
            </w:pPr>
            <w:pPr>
              <w:jc w:val="start"/>
              <w:spacing w:before="200"/>
              <w:pStyle w:val="ImageCaption"/>
            </w:pPr>
            <w:r>
              <w:t xml:space="preserve">Table 1: Baseline Demographics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jc w:val="center"/>
                  </w:pPr>
                  <w:r>
                    <w:t xml:space="preserve">Full Sample</w:t>
                  </w:r>
                </w:p>
              </w:tc>
            </w:tr>
            <w:tr>
              <w:tc>
                <w:tcPr/>
                <w:p>
                  <w:pPr>
                    <w:pStyle w:val="Compact"/>
                    <w:jc w:val="left"/>
                    <w:jc w:val="center"/>
                  </w:pPr>
                  <w:r>
                    <w:t xml:space="preserve">N</w:t>
                  </w:r>
                </w:p>
              </w:tc>
              <w:tc>
                <w:tcPr/>
                <w:p>
                  <w:pPr>
                    <w:pStyle w:val="Compact"/>
                    <w:jc w:val="right"/>
                    <w:jc w:val="center"/>
                  </w:pPr>
                  <w:r>
                    <w:t xml:space="preserve">67</w:t>
                  </w:r>
                </w:p>
              </w:tc>
            </w:tr>
            <w:tr>
              <w:tc>
                <w:tcPr/>
                <w:p>
                  <w:pPr>
                    <w:pStyle w:val="Compact"/>
                    <w:jc w:val="left"/>
                    <w:jc w:val="center"/>
                  </w:pPr>
                  <w:r>
                    <w:t xml:space="preserve">Age (SD)</w:t>
                  </w:r>
                </w:p>
              </w:tc>
              <w:tc>
                <w:tcPr/>
                <w:p>
                  <w:pPr>
                    <w:pStyle w:val="Compact"/>
                    <w:jc w:val="right"/>
                    <w:jc w:val="center"/>
                  </w:pPr>
                  <w:r>
                    <w:t xml:space="preserve">69.5 (6.4)</w:t>
                  </w:r>
                </w:p>
              </w:tc>
            </w:tr>
            <w:tr>
              <w:tc>
                <w:tcPr/>
                <w:p>
                  <w:pPr>
                    <w:pStyle w:val="Compact"/>
                    <w:jc w:val="left"/>
                    <w:jc w:val="center"/>
                  </w:pPr>
                  <w:r>
                    <w:t xml:space="preserve">Gender, female (%)</w:t>
                  </w:r>
                </w:p>
              </w:tc>
              <w:tc>
                <w:tcPr/>
                <w:p>
                  <w:pPr>
                    <w:pStyle w:val="Compact"/>
                    <w:jc w:val="right"/>
                    <w:jc w:val="center"/>
                  </w:pPr>
                  <w:r>
                    <w:t xml:space="preserve">34 (50.7%)</w:t>
                  </w:r>
                </w:p>
              </w:tc>
            </w:tr>
            <w:tr>
              <w:tc>
                <w:tcPr/>
                <w:p>
                  <w:pPr>
                    <w:pStyle w:val="Compact"/>
                    <w:jc w:val="left"/>
                    <w:jc w:val="center"/>
                  </w:pPr>
                  <w:r>
                    <w:t xml:space="preserve">Education, years (SD)</w:t>
                  </w:r>
                </w:p>
              </w:tc>
              <w:tc>
                <w:tcPr/>
                <w:p>
                  <w:pPr>
                    <w:pStyle w:val="Compact"/>
                    <w:jc w:val="right"/>
                    <w:jc w:val="center"/>
                  </w:pPr>
                  <w:r>
                    <w:t xml:space="preserve">15.7 (2.6)</w:t>
                  </w:r>
                </w:p>
              </w:tc>
            </w:tr>
            <w:tr>
              <w:tc>
                <w:tcPr/>
                <w:p>
                  <w:pPr>
                    <w:pStyle w:val="Compact"/>
                    <w:jc w:val="left"/>
                    <w:jc w:val="center"/>
                  </w:pPr>
                  <w:r>
                    <w:t xml:space="preserve">MoCA, score (SD)</w:t>
                  </w:r>
                </w:p>
              </w:tc>
              <w:tc>
                <w:tcPr/>
                <w:p>
                  <w:pPr>
                    <w:pStyle w:val="Compact"/>
                    <w:jc w:val="right"/>
                    <w:jc w:val="center"/>
                  </w:pPr>
                  <w:r>
                    <w:t xml:space="preserve">19.8 (1.5)</w:t>
                  </w:r>
                </w:p>
              </w:tc>
            </w:tr>
            <w:tr>
              <w:tc>
                <w:tcPr/>
                <w:p>
                  <w:pPr>
                    <w:pStyle w:val="Compact"/>
                    <w:jc w:val="left"/>
                    <w:jc w:val="center"/>
                  </w:pPr>
                  <w:r>
                    <w:t xml:space="preserve">Race, count (%)</w:t>
                  </w:r>
                </w:p>
              </w:tc>
              <w:tc>
                <w:tcPr/>
                <w:p>
                  <w:pPr>
                    <w:pStyle w:val="Compact"/>
                  </w:pPr>
                </w:p>
              </w:tc>
            </w:tr>
            <w:tr>
              <w:tc>
                <w:tcPr/>
                <w:p>
                  <w:pPr>
                    <w:pStyle w:val="Compact"/>
                    <w:jc w:val="left"/>
                    <w:jc w:val="center"/>
                  </w:pPr>
                  <w:r>
                    <w:t xml:space="preserve">White/Caucasian</w:t>
                  </w:r>
                </w:p>
              </w:tc>
              <w:tc>
                <w:tcPr/>
                <w:p>
                  <w:pPr>
                    <w:pStyle w:val="Compact"/>
                    <w:jc w:val="right"/>
                    <w:jc w:val="center"/>
                  </w:pPr>
                  <w:r>
                    <w:t xml:space="preserve">51 (76.1%)</w:t>
                  </w:r>
                </w:p>
              </w:tc>
            </w:tr>
            <w:tr>
              <w:tc>
                <w:tcPr/>
                <w:p>
                  <w:pPr>
                    <w:pStyle w:val="Compact"/>
                    <w:jc w:val="left"/>
                    <w:jc w:val="center"/>
                  </w:pPr>
                  <w:r>
                    <w:t xml:space="preserve">Black/African American</w:t>
                  </w:r>
                </w:p>
              </w:tc>
              <w:tc>
                <w:tcPr/>
                <w:p>
                  <w:pPr>
                    <w:pStyle w:val="Compact"/>
                    <w:jc w:val="right"/>
                    <w:jc w:val="center"/>
                  </w:pPr>
                  <w:r>
                    <w:t xml:space="preserve">4 (6.0%)</w:t>
                  </w:r>
                </w:p>
              </w:tc>
            </w:tr>
            <w:tr>
              <w:tc>
                <w:tcPr/>
                <w:p>
                  <w:pPr>
                    <w:pStyle w:val="Compact"/>
                    <w:jc w:val="left"/>
                    <w:jc w:val="center"/>
                  </w:pPr>
                  <w:r>
                    <w:t xml:space="preserve">Asian</w:t>
                  </w:r>
                </w:p>
              </w:tc>
              <w:tc>
                <w:tcPr/>
                <w:p>
                  <w:pPr>
                    <w:pStyle w:val="Compact"/>
                    <w:jc w:val="right"/>
                    <w:jc w:val="center"/>
                  </w:pPr>
                  <w:r>
                    <w:t xml:space="preserve">5 (7.5%)</w:t>
                  </w:r>
                </w:p>
              </w:tc>
            </w:tr>
            <w:tr>
              <w:tc>
                <w:tcPr/>
                <w:p>
                  <w:pPr>
                    <w:pStyle w:val="Compact"/>
                    <w:jc w:val="left"/>
                    <w:jc w:val="center"/>
                  </w:pPr>
                  <w:r>
                    <w:t xml:space="preserve">Other</w:t>
                  </w:r>
                </w:p>
              </w:tc>
              <w:tc>
                <w:tcPr/>
                <w:p>
                  <w:pPr>
                    <w:pStyle w:val="Compact"/>
                    <w:jc w:val="right"/>
                    <w:jc w:val="center"/>
                  </w:pPr>
                  <w:r>
                    <w:t xml:space="preserve">5 (7.5%)</w:t>
                  </w:r>
                </w:p>
              </w:tc>
            </w:tr>
            <w:tr>
              <w:tc>
                <w:tcPr/>
                <w:p>
                  <w:pPr>
                    <w:pStyle w:val="Compact"/>
                    <w:jc w:val="left"/>
                    <w:jc w:val="center"/>
                  </w:pPr>
                  <w:r>
                    <w:t xml:space="preserve">Hispanic/Latino</w:t>
                  </w:r>
                </w:p>
              </w:tc>
              <w:tc>
                <w:tcPr/>
                <w:p>
                  <w:pPr>
                    <w:pStyle w:val="Compact"/>
                    <w:jc w:val="right"/>
                    <w:jc w:val="center"/>
                  </w:pPr>
                  <w:r>
                    <w:t xml:space="preserve">10 (14.9%)</w:t>
                  </w:r>
                </w:p>
              </w:tc>
            </w:tr>
          </w:tbl>
          <w:bookmarkEnd w:id="32"/>
          <w:p/>
        </w:tc>
      </w:tr>
    </w:tbl>
    <w:bookmarkEnd w:id="33"/>
    <w:bookmarkStart w:id="34" w:name="stimuli-and-task-design"/>
    <w:p>
      <w:pPr>
        <w:pStyle w:val="Heading2"/>
      </w:pPr>
      <w:r>
        <w:t xml:space="preserve">2.2 Stimuli and Task Design</w:t>
      </w:r>
    </w:p>
    <w:p>
      <w:pPr>
        <w:pStyle w:val="FirstParagraph"/>
      </w:pPr>
      <w:r>
        <w:rPr>
          <w:b/>
          <w:bCs/>
        </w:rPr>
        <w:t xml:space="preserve">Task overview</w:t>
      </w:r>
      <w:r>
        <w:t xml:space="preserve"> </w:t>
      </w:r>
      <w:r>
        <w:t xml:space="preserve">Participants completed two response-signal same/different discrimination tasks—an Auditory Detection Task (ADT) and a Visual Detection Task (VDT)—each performed under concurrent hand-grip effort manipulation. In both tasks, a standard and probe stimulus were presented in succession, and participants judged whether the stimuli were the same or different using button presses, followed by a confidence rating.</w:t>
      </w:r>
    </w:p>
    <w:p>
      <w:pPr>
        <w:pStyle w:val="BodyText"/>
      </w:pPr>
      <w:r>
        <w:rPr>
          <w:b/>
          <w:bCs/>
        </w:rPr>
        <w:t xml:space="preserve">Trial structure.</w:t>
      </w:r>
      <w:r>
        <w:t xml:space="preserve"> </w:t>
      </w:r>
      <w:r>
        <w:t xml:space="preserve">Both tasks shared the same response-signal timeline (see</w:t>
      </w:r>
      <w:r>
        <w:t xml:space="preserve"> </w:t>
      </w:r>
      <w:hyperlink w:anchor="fig-ddm-process">
        <w:r>
          <w:rPr>
            <w:rStyle w:val="Hyperlink"/>
          </w:rPr>
          <w:t xml:space="preserve">Figure 1</w:t>
        </w:r>
      </w:hyperlink>
      <w:r>
        <w:t xml:space="preserve">, Panel A). Each trial began with a jittered blank interval (1.5–4.5 s) displaying only a gray background. Participants were then shown a 3-second rectangular grip gauge with a marker positioned at either 5% or 40% from the bottom, indicating the target force level to be maintained using a hand-held dynamometer (left hand) at the corresponding percentage of their maximum voluntary contraction (MVC). MVC was determined during a brief calibration procedure prior to each task. Following the grip period, a 0.25-second blank screen and 0.5-second fixation dot preceded stimulus presentation.</w:t>
      </w:r>
    </w:p>
    <w:p>
      <w:pPr>
        <w:pStyle w:val="BodyText"/>
      </w:pPr>
      <w:r>
        <w:rPr>
          <w:b/>
          <w:bCs/>
        </w:rPr>
        <w:t xml:space="preserve">Auditory Detection Task (ADT).</w:t>
      </w:r>
      <w:r>
        <w:t xml:space="preserve"> </w:t>
      </w:r>
      <w:r>
        <w:t xml:space="preserve">The standard stimulus was a 0.1-second sinusoidal tone at 1000 Hz. After a 0.5-second inter-stimulus interval, the probe stimulus was presented as a 0.1-second tone that was either identical to the standard (</w:t>
      </w:r>
      <m:oMath>
        <m:r>
          <m:t>Δ</m:t>
        </m:r>
        <m:r>
          <m:t>f</m:t>
        </m:r>
        <m:r>
          <m:t>r</m:t>
        </m:r>
        <m:r>
          <m:t>e</m:t>
        </m:r>
        <m:r>
          <m:t>q</m:t>
        </m:r>
        <m:r>
          <m:t>u</m:t>
        </m:r>
        <m:r>
          <m:t>e</m:t>
        </m:r>
        <m:r>
          <m:t>n</m:t>
        </m:r>
        <m:r>
          <m:t>c</m:t>
        </m:r>
        <m:r>
          <m:t>y</m:t>
        </m:r>
      </m:oMath>
      <w:r>
        <w:t xml:space="preserve"> </w:t>
      </w:r>
      <w:r>
        <w:t xml:space="preserve">= 0) or positively offset by</w:t>
      </w:r>
      <w:r>
        <w:t xml:space="preserve"> </w:t>
      </w:r>
      <m:oMath>
        <m:r>
          <m:t>Δ</m:t>
        </m:r>
        <m:r>
          <m:t>f</m:t>
        </m:r>
        <m:r>
          <m:t>r</m:t>
        </m:r>
        <m:r>
          <m:t>e</m:t>
        </m:r>
        <m:r>
          <m:t>q</m:t>
        </m:r>
        <m:r>
          <m:t>u</m:t>
        </m:r>
        <m:r>
          <m:t>e</m:t>
        </m:r>
        <m:r>
          <m:t>n</m:t>
        </m:r>
        <m:r>
          <m:t>c</m:t>
        </m:r>
        <m:r>
          <m:t>y</m:t>
        </m:r>
        <m:r>
          <m:rPr>
            <m:sty m:val="p"/>
          </m:rPr>
          <m:t>∈</m:t>
        </m:r>
        <m:r>
          <m:rPr>
            <m:sty m:val="p"/>
          </m:rPr>
          <m:t>{</m:t>
        </m:r>
        <m:r>
          <m:t>8</m:t>
        </m:r>
        <m:r>
          <m:rPr>
            <m:sty m:val="p"/>
          </m:rPr>
          <m:t>,</m:t>
        </m:r>
        <m:r>
          <m:t>16</m:t>
        </m:r>
        <m:r>
          <m:rPr>
            <m:sty m:val="p"/>
          </m:rPr>
          <m:t>,</m:t>
        </m:r>
        <m:r>
          <m:t>32</m:t>
        </m:r>
        <m:r>
          <m:rPr>
            <m:sty m:val="p"/>
          </m:rPr>
          <m:t>,</m:t>
        </m:r>
        <m:r>
          <m:t>64</m:t>
        </m:r>
        <m:r>
          <m:rPr>
            <m:sty m:val="p"/>
          </m:rPr>
          <m:t>}</m:t>
        </m:r>
        <m:r>
          <m:t> </m:t>
        </m:r>
        <m:r>
          <m:rPr>
            <m:sty m:val="p"/>
          </m:rPr>
          <m:t>H</m:t>
        </m:r>
        <m:r>
          <m:rPr>
            <m:sty m:val="p"/>
          </m:rPr>
          <m:t>z</m:t>
        </m:r>
      </m:oMath>
      <w:r>
        <w:t xml:space="preserve">. For drift-diffusion model (DDM) analyses, the four non-zero offsets were collapsed into two difficulty bins: Hard = {8, 16} Hz and Easy = {32, 64} Hz, with Standard = 0 Hz.</w:t>
      </w:r>
    </w:p>
    <w:p>
      <w:pPr>
        <w:pStyle w:val="BodyText"/>
      </w:pPr>
      <w:r>
        <w:rPr>
          <w:b/>
          <w:bCs/>
        </w:rPr>
        <w:t xml:space="preserve">Visual Detection Task (VDT).</w:t>
      </w:r>
      <w:r>
        <w:t xml:space="preserve"> </w:t>
      </w:r>
      <w:r>
        <w:t xml:space="preserve">The standard stimulus was a centrally presented sinusoidal Gabor patch (spatial frequency 1.5 cycles/degree, Michelson contrast 0.20, diameter 4°, duration 0.1 s). After a 0.5-second inter-stimulus interval, the probe stimulus was presented as a 0.1-second Gabor that was either identical to the standard (</w:t>
      </w:r>
      <m:oMath>
        <m:r>
          <m:t>Δ</m:t>
        </m:r>
        <m:r>
          <m:t>c</m:t>
        </m:r>
        <m:r>
          <m:t>o</m:t>
        </m:r>
        <m:r>
          <m:t>n</m:t>
        </m:r>
        <m:r>
          <m:t>t</m:t>
        </m:r>
        <m:r>
          <m:t>r</m:t>
        </m:r>
        <m:r>
          <m:t>a</m:t>
        </m:r>
        <m:r>
          <m:t>s</m:t>
        </m:r>
        <m:r>
          <m:t>t</m:t>
        </m:r>
      </m:oMath>
      <w:r>
        <w:t xml:space="preserve"> </w:t>
      </w:r>
      <w:r>
        <w:t xml:space="preserve">= 0) or showed a positive contrast increase of</w:t>
      </w:r>
      <w:r>
        <w:t xml:space="preserve"> </w:t>
      </w:r>
      <m:oMath>
        <m:r>
          <m:t>Δ</m:t>
        </m:r>
        <m:r>
          <m:t>c</m:t>
        </m:r>
        <m:r>
          <m:t>o</m:t>
        </m:r>
        <m:r>
          <m:t>n</m:t>
        </m:r>
        <m:r>
          <m:t>t</m:t>
        </m:r>
        <m:r>
          <m:t>r</m:t>
        </m:r>
        <m:r>
          <m:t>a</m:t>
        </m:r>
        <m:r>
          <m:t>s</m:t>
        </m:r>
        <m:r>
          <m:t>t</m:t>
        </m:r>
        <m:r>
          <m:rPr>
            <m:sty m:val="p"/>
          </m:rPr>
          <m:t>∈</m:t>
        </m:r>
        <m:r>
          <m:rPr>
            <m:sty m:val="p"/>
          </m:rPr>
          <m:t>{</m:t>
        </m:r>
        <m:r>
          <m:t>0.06</m:t>
        </m:r>
        <m:r>
          <m:rPr>
            <m:sty m:val="p"/>
          </m:rPr>
          <m:t>,</m:t>
        </m:r>
        <m:r>
          <m:t>0.12</m:t>
        </m:r>
        <m:r>
          <m:rPr>
            <m:sty m:val="p"/>
          </m:rPr>
          <m:t>,</m:t>
        </m:r>
        <m:r>
          <m:t>0.24</m:t>
        </m:r>
        <m:r>
          <m:rPr>
            <m:sty m:val="p"/>
          </m:rPr>
          <m:t>,</m:t>
        </m:r>
        <m:r>
          <m:t>0.48</m:t>
        </m:r>
        <m:r>
          <m:rPr>
            <m:sty m:val="p"/>
          </m:rPr>
          <m:t>}</m:t>
        </m:r>
      </m:oMath>
      <w:r>
        <w:t xml:space="preserve">, with all other parameters held constant. For DDM analyses, offsets were collapsed into Hard = {0.06, 0.12} and Easy = {0.24, 0.48}, with Standard = 0.</w:t>
      </w:r>
    </w:p>
    <w:p>
      <w:pPr>
        <w:pStyle w:val="BodyText"/>
      </w:pPr>
      <w:r>
        <w:rPr>
          <w:b/>
          <w:bCs/>
        </w:rPr>
        <w:t xml:space="preserve">Response collection.</w:t>
      </w:r>
      <w:r>
        <w:t xml:space="preserve"> </w:t>
      </w:r>
      <w:r>
        <w:t xml:space="preserve">Following stimulus offset, participants relaxed their grip and had a 3-second response window to indicate whether the two stimuli were the same or different using their right hand (index finger =</w:t>
      </w:r>
      <w:r>
        <w:t xml:space="preserve"> </w:t>
      </w:r>
      <w:r>
        <w:t xml:space="preserve">“different”</w:t>
      </w:r>
      <w:r>
        <w:t xml:space="preserve">; middle finger =</w:t>
      </w:r>
      <w:r>
        <w:t xml:space="preserve"> </w:t>
      </w:r>
      <w:r>
        <w:t xml:space="preserve">“same”</w:t>
      </w:r>
      <w:r>
        <w:t xml:space="preserve">). This was immediately followed by another 3-second window in which participants provided a confidence rating on a 4-point scale (1 = low confidence, 4 = high confidence).</w:t>
      </w:r>
    </w:p>
    <w:p>
      <w:pPr>
        <w:pStyle w:val="BodyText"/>
      </w:pPr>
      <w:r>
        <w:rPr>
          <w:b/>
          <w:bCs/>
        </w:rPr>
        <w:t xml:space="preserve">Trial counts and monitoring.</w:t>
      </w:r>
      <w:r>
        <w:t xml:space="preserve"> </w:t>
      </w:r>
      <w:r>
        <w:t xml:space="preserve">Each task comprised 150 trials distributed across five blocks of 30 trials each. Within each block, the five stimulus levels (Standard plus four offsets) were crossed with the two effort conditions (5% vs. 40% MVC) and presented in pseudorandom order with equal proportions (three repetitions per stimulus × effort combination). Hand-grip performance was monitored after each block, and participants received corrective feedback if they consistently failed to maintain the dynamometer at the designated force level (near the grip gauge marker) and/or for the correct duration (until offset of the probe stimulus).</w:t>
      </w:r>
    </w:p>
    <w:bookmarkEnd w:id="34"/>
    <w:bookmarkStart w:id="35" w:name="equipment"/>
    <w:p>
      <w:pPr>
        <w:pStyle w:val="Heading2"/>
      </w:pPr>
      <w:r>
        <w:t xml:space="preserve">2.3 Equipment</w:t>
      </w:r>
    </w:p>
    <w:p>
      <w:pPr>
        <w:pStyle w:val="FirstParagraph"/>
      </w:pPr>
      <w:r>
        <w:t xml:space="preserve">The experimental task was programmed and executed on an Alienware laptop. Visual stimuli were presented via a PROPixx projector (VPixx Technologies, Montreal, Canada; 480 Hz refresh rate, 1920×1080 resolution) and viewed through a head coil-mounted mirror (viewing distance</w:t>
      </w:r>
      <w:r>
        <w:t xml:space="preserve"> </w:t>
      </w:r>
      <m:oMath>
        <m:r>
          <m:rPr>
            <m:sty m:val="p"/>
          </m:rPr>
          <m:t>≈</m:t>
        </m:r>
      </m:oMath>
      <w:r>
        <w:t xml:space="preserve"> </w:t>
      </w:r>
      <w:r>
        <w:t xml:space="preserve">12 cm). Auditory stimuli were delivered via MRI-safe earbuds (Newmatic Medical, Duluth, GA; 30 dB NRR). Behavioral responses were recorded using a RESPONSEpixx fiber-optic response box, hand-grip force via a MRI-compatible dynamometer (Current Designs Inc., Philadelphia, USA; 100 Hz sampling), and pupil diameter via an MRI-compatible TRACKPixx binocular eye tracker (VPixx Technologies, Montreal, Canada; 2000 Hz sampling). Stimuli were generated using Psychophysics Toolbox 3.0.18</w:t>
      </w:r>
      <w:r>
        <w:t xml:space="preserve"> </w:t>
      </w:r>
      <w:r>
        <w:t xml:space="preserve">(Brainard &amp; Vision, 1997; Kleiner et al., 2007)</w:t>
      </w:r>
      <w:r>
        <w:t xml:space="preserve"> </w:t>
      </w:r>
      <w:r>
        <w:t xml:space="preserve">in MATLAB R2022b (The MathWorks, Natick, MA). Data were collected inside an MRI scanner; neuroimaging results are reported elsewhere.</w:t>
      </w:r>
    </w:p>
    <w:bookmarkEnd w:id="35"/>
    <w:bookmarkStart w:id="37" w:name="data-processing-and-quality-control"/>
    <w:p>
      <w:pPr>
        <w:pStyle w:val="Heading2"/>
      </w:pPr>
      <w:r>
        <w:t xml:space="preserve">2.4 Data Processing and Quality Control</w:t>
      </w:r>
    </w:p>
    <w:p>
      <w:pPr>
        <w:pStyle w:val="FirstParagraph"/>
      </w:pPr>
      <w:r>
        <w:rPr>
          <w:b/>
          <w:bCs/>
        </w:rPr>
        <w:t xml:space="preserve">Reaction time definition.</w:t>
      </w:r>
      <w:r>
        <w:t xml:space="preserve"> </w:t>
      </w:r>
      <w:r>
        <w:t xml:space="preserve">In this response-signal design, reaction time (RT) was initially recorded as the latency from response-screen onset (</w:t>
      </w:r>
      <w:r>
        <w:t xml:space="preserve">“Same or Different?”</w:t>
      </w:r>
      <w:r>
        <w:t xml:space="preserve"> </w:t>
      </w:r>
      <w:r>
        <w:t xml:space="preserve">prompt) to button press, termed</w:t>
      </w:r>
      <w:r>
        <w:t xml:space="preserve"> </w:t>
      </w:r>
      <w:r>
        <w:rPr>
          <w:b/>
          <w:bCs/>
        </w:rPr>
        <w:t xml:space="preserve">cue-locked RT</w:t>
      </w:r>
      <w:r>
        <w:t xml:space="preserve">. However, perceptual evidence becomes available at probe onset (the second stimulus). To align RT with evidence accumulation onset, we derived</w:t>
      </w:r>
      <w:r>
        <w:t xml:space="preserve"> </w:t>
      </w:r>
      <w:r>
        <w:rPr>
          <w:b/>
          <w:bCs/>
        </w:rPr>
        <w:t xml:space="preserve">probe-onset-locked RT</w:t>
      </w:r>
      <w:r>
        <w:t xml:space="preserve"> </w:t>
      </w:r>
      <w:r>
        <w:t xml:space="preserve">by adding the fixed post-probe delay to cue-locked RT:</w:t>
      </w:r>
    </w:p>
    <w:p>
      <w:pPr>
        <w:pStyle w:val="BodyText"/>
      </w:pPr>
      <w:bookmarkStart w:id="36" w:name="eq-probe"/>
      <m:oMathPara>
        <m:oMathParaPr>
          <m:jc m:val="center"/>
        </m:oMathParaPr>
        <m:oMath>
          <m:r>
            <m:t>R</m:t>
          </m:r>
          <m:sSub>
            <m:e>
              <m:r>
                <m:t>T</m:t>
              </m:r>
            </m:e>
            <m:sub>
              <m:r>
                <m:rPr>
                  <m:nor/>
                  <m:sty m:val="p"/>
                </m:rPr>
                <m:t>probe-onset</m:t>
              </m:r>
            </m:sub>
          </m:sSub>
          <m:r>
            <m:rPr>
              <m:sty m:val="p"/>
            </m:rPr>
            <m:t>=</m:t>
          </m:r>
          <m:r>
            <m:t>R</m:t>
          </m:r>
          <m:sSub>
            <m:e>
              <m:r>
                <m:t>T</m:t>
              </m:r>
            </m:e>
            <m:sub>
              <m:r>
                <m:rPr>
                  <m:nor/>
                  <m:sty m:val="p"/>
                </m:rPr>
                <m:t>cue-locked</m:t>
              </m:r>
            </m:sub>
          </m:sSub>
          <m:r>
            <m:rPr>
              <m:sty m:val="p"/>
            </m:rPr>
            <m:t>+</m:t>
          </m:r>
          <m:r>
            <m:t>0.35</m:t>
          </m:r>
          <m:r>
            <m:rPr>
              <m:nor/>
              <m:sty m:val="p"/>
            </m:rPr>
            <m:t> s</m:t>
          </m:r>
          <m:r>
            <m:rPr>
              <m:sty m:val="p"/>
            </m:rPr>
            <m:t>.</m:t>
          </m:r>
          <m:r>
            <m:t>  </m:t>
          </m:r>
          <m:d>
            <m:dPr>
              <m:begChr m:val="("/>
              <m:sepChr m:val=""/>
              <m:endChr m:val=")"/>
              <m:grow/>
            </m:dPr>
            <m:e>
              <m:r>
                <m:t>1</m:t>
              </m:r>
            </m:e>
          </m:d>
        </m:oMath>
      </m:oMathPara>
      <w:bookmarkEnd w:id="36"/>
    </w:p>
    <w:p>
      <w:pPr>
        <w:pStyle w:val="FirstParagraph"/>
      </w:pPr>
      <w:r>
        <w:t xml:space="preserve">where 0.35 s comprises 0.10 s probe duration plus 0.25 s grip-relaxation period. Probe-onset-locked RT served as the primary timing measure for DDM interpretation, as it aligns the decision process with evidence onset. Under this convention, the DDM non-decision time parameter (</w:t>
      </w:r>
      <m:oMath>
        <m:sSub>
          <m:e>
            <m:r>
              <m:t>t</m:t>
            </m:r>
          </m:e>
          <m:sub>
            <m:r>
              <m:t>0</m:t>
            </m:r>
          </m:sub>
        </m:sSub>
      </m:oMath>
      <w:r>
        <w:t xml:space="preserve">) includes the fixed 0.35 s response-gating delay plus residual encoding and motor components. Cue-locked RT was retained for sensitivity analyses. This probe-onset-locked timing is our chosen convention to align</w:t>
      </w:r>
      <w:r>
        <w:t xml:space="preserve"> </w:t>
      </w:r>
      <m:oMath>
        <m:sSub>
          <m:e>
            <m:r>
              <m:t>t</m:t>
            </m:r>
          </m:e>
          <m:sub>
            <m:r>
              <m:t>0</m:t>
            </m:r>
          </m:sub>
        </m:sSub>
      </m:oMath>
      <w:r>
        <w:t xml:space="preserve"> </w:t>
      </w:r>
      <w:r>
        <w:t xml:space="preserve">with evidence onset; some DDM studies alternatively use cue-locked or response-locked reference points depending on task structure.</w:t>
      </w:r>
    </w:p>
    <w:p>
      <w:pPr>
        <w:pStyle w:val="BodyText"/>
      </w:pPr>
      <w:r>
        <w:rPr>
          <w:b/>
          <w:bCs/>
        </w:rPr>
        <w:t xml:space="preserve">Gated response-signal validity.</w:t>
      </w:r>
      <w:r>
        <w:t xml:space="preserve"> </w:t>
      </w:r>
      <w:r>
        <w:t xml:space="preserve">Overt responses were withheld until the response screen (a fixed 0.35 s after probe offset), so cue-locked RT mixes pre-response processing with enforced waiting. Probe-onset locking shifts the accumulation clock to evidence onset while absorbing the fixed gating interval into</w:t>
      </w:r>
      <w:r>
        <w:t xml:space="preserve"> </w:t>
      </w:r>
      <m:oMath>
        <m:sSub>
          <m:e>
            <m:r>
              <m:t>t</m:t>
            </m:r>
          </m:e>
          <m:sub>
            <m:r>
              <m:t>0</m:t>
            </m:r>
          </m:sub>
        </m:sSub>
      </m:oMath>
      <w:r>
        <w:t xml:space="preserve"> </w:t>
      </w:r>
      <w:r>
        <w:t xml:space="preserve">(intercept-only in the primary model). This follows standard practice for response-signal and masked-response designs: condition contrasts are identified within a shared timing regime, and absolute</w:t>
      </w:r>
      <w:r>
        <w:t xml:space="preserve"> </w:t>
      </w:r>
      <m:oMath>
        <m:sSub>
          <m:e>
            <m:r>
              <m:t>t</m:t>
            </m:r>
          </m:e>
          <m:sub>
            <m:r>
              <m:t>0</m:t>
            </m:r>
          </m:sub>
        </m:sSub>
      </m:oMath>
      <w:r>
        <w:t xml:space="preserve"> </w:t>
      </w:r>
      <w:r>
        <w:t xml:space="preserve">estimates are not interpreted as pure motor time</w:t>
      </w:r>
      <w:r>
        <w:t xml:space="preserve"> </w:t>
      </w:r>
      <w:r>
        <w:t xml:space="preserve">(Ratcliff &amp; McKoon, 2008; Starns &amp; Ratcliff, 2010)</w:t>
      </w:r>
      <w:r>
        <w:t xml:space="preserve">. We treat probe-onset locking as a conservative alignment choice; free-response replications without enforced waiting would be needed to isolate encoding-only</w:t>
      </w:r>
      <w:r>
        <w:t xml:space="preserve"> </w:t>
      </w:r>
      <m:oMath>
        <m:sSub>
          <m:e>
            <m:r>
              <m:t>t</m:t>
            </m:r>
          </m:e>
          <m:sub>
            <m:r>
              <m:t>0</m:t>
            </m:r>
          </m:sub>
        </m:sSub>
      </m:oMath>
      <w:r>
        <w:t xml:space="preserve"> </w:t>
      </w:r>
      <w:r>
        <w:t xml:space="preserve">components.</w:t>
      </w:r>
    </w:p>
    <w:p>
      <w:pPr>
        <w:pStyle w:val="BodyText"/>
      </w:pPr>
      <w:r>
        <w:rPr>
          <w:b/>
          <w:bCs/>
        </w:rPr>
        <w:t xml:space="preserve">Trial exclusion criteria.</w:t>
      </w:r>
      <w:r>
        <w:t xml:space="preserve"> </w:t>
      </w:r>
      <w:r>
        <w:t xml:space="preserve">To minimize the influence of premature or accidental button presses, trials with cue-locked RT &lt; 0.20 s were excluded from the primary analysis (sensitivity analyses using alternative cutoffs of 0.15 s and 0.25 s are reported in Appendix A). This lower bound was applied to cue-locked RT before constructing probe-onset-locked RT for the primary DDM models. Additional exclusions included missed responses, trials from runs flagged for invalid performance (defined as run-level accuracy at or below chance, indicating the participant did not engage with the task), and trials with non-positive or missing RT values (i.e., recording artifacts where RT was logged as zero or a negative number). For pupil-linked DDM models, trials additionally required valid pupil data (see Pupillometry Preprocessing section).</w:t>
      </w:r>
    </w:p>
    <w:bookmarkEnd w:id="37"/>
    <w:bookmarkStart w:id="38" w:name="X7bdad3c4230e1bce88edf69d0589575f6f665b6"/>
    <w:p>
      <w:pPr>
        <w:pStyle w:val="Heading2"/>
      </w:pPr>
      <w:r>
        <w:t xml:space="preserve">2.5 Experimental Design and Statistical Modeling</w:t>
      </w:r>
    </w:p>
    <w:p>
      <w:pPr>
        <w:pStyle w:val="FirstParagraph"/>
      </w:pPr>
      <w:r>
        <w:rPr>
          <w:b/>
          <w:bCs/>
        </w:rPr>
        <w:t xml:space="preserve">Design.</w:t>
      </w:r>
      <w:r>
        <w:t xml:space="preserve"> </w:t>
      </w:r>
      <w:r>
        <w:t xml:space="preserve">The study employed a 2 (Task: ADT, VDT) × 3 (Difficulty: Standard, Easy, Hard) × 2 (Effort: Low, High) within-subjects factorial design, yielding 12 experimental conditions per participant. Because difficulty is determined by stimulus offset magnitude and thus unknown at trial onset, it was not included as a predictor of starting-point bias in the primary DDM specification.</w:t>
      </w:r>
    </w:p>
    <w:p>
      <w:pPr>
        <w:pStyle w:val="BodyText"/>
      </w:pPr>
      <w:r>
        <w:rPr>
          <w:b/>
          <w:bCs/>
        </w:rPr>
        <w:t xml:space="preserve">Modeling approach.</w:t>
      </w:r>
      <w:r>
        <w:t xml:space="preserve"> </w:t>
      </w:r>
      <w:r>
        <w:t xml:space="preserve">ADT and VDT were modeled</w:t>
      </w:r>
      <w:r>
        <w:t xml:space="preserve"> </w:t>
      </w:r>
      <w:r>
        <w:rPr>
          <w:i/>
          <w:iCs/>
        </w:rPr>
        <w:t xml:space="preserve">jointly</w:t>
      </w:r>
      <w:r>
        <w:t xml:space="preserve"> </w:t>
      </w:r>
      <w:r>
        <w:t xml:space="preserve">in a single hierarchical Bayesian DDM, with Task (ADT vs. VDT) included as a fixed effect on starting-point bias</w:t>
      </w:r>
      <w:r>
        <w:t xml:space="preserve"> </w:t>
      </w:r>
      <m:oMath>
        <m:r>
          <m:t>z</m:t>
        </m:r>
      </m:oMath>
      <w:r>
        <w:t xml:space="preserve">. This joint specification estimates task-specific parameter offsets (i.e., how ADT and VDT differ in bias) while sharing subject-level random-effect variance across tasks, allowing hierarchical shrinkage to stabilize individual-level estimates. Importantly, drift rate</w:t>
      </w:r>
      <w:r>
        <w:t xml:space="preserve"> </w:t>
      </w:r>
      <m:oMath>
        <m:r>
          <m:t>v</m:t>
        </m:r>
      </m:oMath>
      <w:r>
        <w:t xml:space="preserve"> </w:t>
      </w:r>
      <w:r>
        <w:t xml:space="preserve">and boundary separation</w:t>
      </w:r>
      <w:r>
        <w:t xml:space="preserve"> </w:t>
      </w:r>
      <m:oMath>
        <m:r>
          <m:t>a</m:t>
        </m:r>
      </m:oMath>
      <w:r>
        <w:t xml:space="preserve"> </w:t>
      </w:r>
      <w:r>
        <w:t xml:space="preserve">were not modeled as functions of Task in the primary model — instead, task-specific estimates for these parameters are provided as a sensitivity analysis in Appendix A4.3. This choice reflects our primary interest in the pooled effort and difficulty effects, with task-modality differences treated as secondary context.</w:t>
      </w:r>
    </w:p>
    <w:bookmarkEnd w:id="38"/>
    <w:bookmarkStart w:id="39" w:name="sec-stats-overview"/>
    <w:p>
      <w:pPr>
        <w:pStyle w:val="Heading2"/>
      </w:pPr>
      <w:r>
        <w:t xml:space="preserve">2.6 Statistical Analysis Overview</w:t>
      </w:r>
    </w:p>
    <w:p>
      <w:pPr>
        <w:pStyle w:val="FirstParagraph"/>
      </w:pPr>
      <w:r>
        <w:t xml:space="preserve">Analyses proceeded in three stages. First,</w:t>
      </w:r>
      <w:r>
        <w:t xml:space="preserve"> </w:t>
      </w:r>
      <w:r>
        <w:rPr>
          <w:b/>
          <w:bCs/>
        </w:rPr>
        <w:t xml:space="preserve">manipulation checks</w:t>
      </w:r>
      <w:r>
        <w:t xml:space="preserve"> </w:t>
      </w:r>
      <w:r>
        <w:t xml:space="preserve">confirmed that difficulty and effort affected behavioral performance (accuracy and RT) as intended, using generalized linear mixed-effects models (GLMM, binomial family) for accuracy and linear mixed-effects models (LMM) for median RT via</w:t>
      </w:r>
      <w:r>
        <w:t xml:space="preserve"> </w:t>
      </w:r>
      <w:r>
        <w:rPr>
          <w:rStyle w:val="VerbatimChar"/>
        </w:rPr>
        <w:t xml:space="preserve">lme4</w:t>
      </w:r>
      <w:r>
        <w:t xml:space="preserve"> </w:t>
      </w:r>
      <w:r>
        <w:t xml:space="preserve">(Bates et al., 2015)</w:t>
      </w:r>
      <w:r>
        <w:t xml:space="preserve">, each with fixed effects for Difficulty, Effort, and Task and random intercepts for participant; fixed-effects summaries used</w:t>
      </w:r>
      <w:r>
        <w:t xml:space="preserve"> </w:t>
      </w:r>
      <w:r>
        <w:rPr>
          <w:rStyle w:val="VerbatimChar"/>
        </w:rPr>
        <w:t xml:space="preserve">broom.mixed</w:t>
      </w:r>
      <w:r>
        <w:t xml:space="preserve"> </w:t>
      </w:r>
      <w:r>
        <w:t xml:space="preserve">(Anderson et al., 2024)</w:t>
      </w:r>
      <w:r>
        <w:t xml:space="preserve">. Full results are reported in Appendix A7. Second, the</w:t>
      </w:r>
      <w:r>
        <w:t xml:space="preserve"> </w:t>
      </w:r>
      <w:r>
        <w:rPr>
          <w:b/>
          <w:bCs/>
        </w:rPr>
        <w:t xml:space="preserve">primary DDM analysis</w:t>
      </w:r>
      <w:r>
        <w:t xml:space="preserve"> </w:t>
      </w:r>
      <w:r>
        <w:t xml:space="preserve">used a hierarchical Bayesian Wiener diffusion model fit via</w:t>
      </w:r>
      <w:r>
        <w:t xml:space="preserve"> </w:t>
      </w:r>
      <w:r>
        <w:rPr>
          <w:rStyle w:val="VerbatimChar"/>
        </w:rPr>
        <w:t xml:space="preserve">brms</w:t>
      </w:r>
      <w:r>
        <w:t xml:space="preserve"> </w:t>
      </w:r>
      <w:r>
        <w:t xml:space="preserve">(Bürkner, 2017)</w:t>
      </w:r>
      <w:r>
        <w:t xml:space="preserve"> </w:t>
      </w:r>
      <w:r>
        <w:t xml:space="preserve">in R</w:t>
      </w:r>
      <w:r>
        <w:t xml:space="preserve"> </w:t>
      </w:r>
      <w:r>
        <w:t xml:space="preserve">(R Core Team, 2025)</w:t>
      </w:r>
      <w:r>
        <w:t xml:space="preserve">, with model comparison via Pareto-smoothed importance sampling LOO cross-validation (PSIS-LOO;</w:t>
      </w:r>
      <w:r>
        <w:t xml:space="preserve"> </w:t>
      </w:r>
      <w:r>
        <w:t xml:space="preserve">(Vehtari et al., 2017)</w:t>
      </w:r>
      <w:r>
        <w:t xml:space="preserve">); full model specification is described in</w:t>
      </w:r>
      <w:r>
        <w:t xml:space="preserve"> </w:t>
      </w:r>
      <w:hyperlink w:anchor="sec-ddm-spec">
        <w:r>
          <w:rPr>
            <w:rStyle w:val="Hyperlink"/>
          </w:rPr>
          <w:t xml:space="preserve">Section 2.10</w:t>
        </w:r>
      </w:hyperlink>
      <w:r>
        <w:t xml:space="preserve">. Third,</w:t>
      </w:r>
      <w:r>
        <w:t xml:space="preserve"> </w:t>
      </w:r>
      <w:r>
        <w:rPr>
          <w:b/>
          <w:bCs/>
        </w:rPr>
        <w:t xml:space="preserve">pupil-linked DDM extensions</w:t>
      </w:r>
      <w:r>
        <w:t xml:space="preserve"> </w:t>
      </w:r>
      <w:r>
        <w:t xml:space="preserve">tested whether trial-wise task-evoked pupil responses (TEPR) modulated drift rate or response bias, using a nested sequence of pupil-augmented models compared via PSIS-LOO (</w:t>
      </w:r>
      <w:hyperlink w:anchor="sec-pupil-ddm-models">
        <w:r>
          <w:rPr>
            <w:rStyle w:val="Hyperlink"/>
          </w:rPr>
          <w:t xml:space="preserve">Section 2.10.1</w:t>
        </w:r>
      </w:hyperlink>
      <w:r>
        <w:t xml:space="preserve">). Sensitivity analyses across RT cutoff thresholds are reported in Appendix A4.2.</w:t>
      </w:r>
      <w:r>
        <w:t xml:space="preserve"> </w:t>
      </w:r>
      <w:r>
        <w:rPr>
          <w:b/>
          <w:bCs/>
        </w:rPr>
        <w:t xml:space="preserve">Exploratory individual-differences analyses</w:t>
      </w:r>
      <w:r>
        <w:t xml:space="preserve"> </w:t>
      </w:r>
      <w:r>
        <w:t xml:space="preserve">examined whether LC structural MRI metrics (Appendix A8;</w:t>
      </w:r>
      <w:r>
        <w:t xml:space="preserve"> </w:t>
      </w:r>
      <w:r>
        <w:t xml:space="preserve">(Bennett et al., 2024)</w:t>
      </w:r>
      <w:r>
        <w:t xml:space="preserve">) and neuropsychological test scores (Appendix A9) related to DDM parameters or behavioral effort costs; these analyses were not used for model selection or primary hypothesis testing.</w:t>
      </w:r>
    </w:p>
    <w:bookmarkEnd w:id="39"/>
    <w:bookmarkStart w:id="40" w:name="sec-pupil-preprocessing"/>
    <w:p>
      <w:pPr>
        <w:pStyle w:val="Heading2"/>
      </w:pPr>
      <w:r>
        <w:t xml:space="preserve">2.7 Pupillometry Preprocessing and AUC Features</w:t>
      </w:r>
    </w:p>
    <w:p>
      <w:pPr>
        <w:pStyle w:val="FirstParagraph"/>
      </w:pPr>
      <w:r>
        <w:rPr>
          <w:b/>
          <w:bCs/>
        </w:rPr>
        <w:t xml:space="preserve">Recording and hardware.</w:t>
      </w:r>
      <w:r>
        <w:t xml:space="preserve"> </w:t>
      </w:r>
      <w:r>
        <w:t xml:space="preserve">Pupil diameter was continuously recorded using an MRI-compatible TRACKPixx binocular eye tracker (VPixx Technologies, Montreal, Canada) sampling at 2000 Hz. Raw eye-tracking data were exported as .mat files and processed through a multi-stage preprocessing pipeline designed to ensure high-quality pupillometry measurements.</w:t>
      </w:r>
    </w:p>
    <w:p>
      <w:pPr>
        <w:pStyle w:val="BodyText"/>
      </w:pPr>
      <w:r>
        <w:rPr>
          <w:b/>
          <w:bCs/>
        </w:rPr>
        <w:t xml:space="preserve">Artifact correction and quality control.</w:t>
      </w:r>
      <w:r>
        <w:t xml:space="preserve"> </w:t>
      </w:r>
      <w:r>
        <w:t xml:space="preserve">Blink artifacts and invalid samples were removed using the ET-remove-artifacts MATLAB toolbox (Huang et al., 2020), which employs a velocity-based detection algorithm configured with a 100th-order low-pass filter (passband: 10 Hz, stopband: 12 Hz) and peak/trough threshold factors of 5 standard deviations above baseline. Artifacts exceeding 2 seconds in duration were replaced with missing values rather than interpolated, following established methodological guidelines indicating that linear reconstruction over extended durations artificially compresses natural physiological variance and introduces spurious data trends (</w:t>
      </w:r>
      <w:r>
        <w:t xml:space="preserve">(Kret &amp; Sjak-Shie, 2019; Mathôt, 2018)</w:t>
      </w:r>
      <w:r>
        <w:t xml:space="preserve">). All recordings then underwent manual inspection using the toolbox’s interactive plot editor to identify and correct any remaining undetected artifacts.</w:t>
      </w:r>
    </w:p>
    <w:p>
      <w:pPr>
        <w:pStyle w:val="BodyText"/>
      </w:pPr>
      <w:r>
        <w:rPr>
          <w:b/>
          <w:bCs/>
        </w:rPr>
        <w:t xml:space="preserve">Trial alignment and downsampling.</w:t>
      </w:r>
      <w:r>
        <w:t xml:space="preserve"> </w:t>
      </w:r>
      <w:r>
        <w:t xml:space="preserve">Cleaned pupil data were trial-aligned using event timestamps synchronized with behavioral event markers, then downsampled from 2000 Hz to 250 Hz using an 8th-order anti-aliasing filter to preserve signal quality while reducing computational demands. Baseline correction was applied by subtracting the mean pupil diameter during the baseline window (-0.5 s to 0 s relative to squeeze onset) from all timepoints in the trial.</w:t>
      </w:r>
    </w:p>
    <w:p>
      <w:pPr>
        <w:pStyle w:val="BodyText"/>
      </w:pPr>
      <w:r>
        <w:rPr>
          <w:b/>
          <w:bCs/>
        </w:rPr>
        <w:t xml:space="preserve">Decision-Response AUC specification and rationale.</w:t>
      </w:r>
      <w:r>
        <w:t xml:space="preserve"> </w:t>
      </w:r>
      <w:r>
        <w:t xml:space="preserve">We quantified trial-wise phasic cognitive workload by calculating the baseline-corrected pupil area under the curve (AUC) via trapezoidal integration. This metric, functionally designated as the Decision-Response AUC, was extracted from a 3.0-second window anchored directly to evidence onset, spanning from 0.3 to 3.3 seconds post-probe. This placement corresponds to 4.65 to 7.65 seconds relative to the initial handgrip squeeze, capturing the transient, stimulus-locked phasic arousal fluctuation riding on top of the sustained tonic effort baseline. Delaying the window onset by 300 milliseconds directly accounts for the inherent neurophysiological lag of the pupillary efferent pathway. The 3.0-second window duration is highly specialized. It encapsulates the complete morphological profile of the transient task-evoked pupil response (TEPR), which characteristically peaks at approximately 2.95 seconds post-stimulus in this cohort. Because the explicit response prompt appeared 0.35 seconds post-probe and mean cue-locked response latencies averaged 0.6 seconds, this expansive window spans both pre-decision evidence accumulation and post-decision motor and confidence processing. We directly isolated these overlapping post-decisional dynamics by entering reaction time as a covariate in all primary downstream pupil-informed models. We also defined a</w:t>
      </w:r>
      <w:r>
        <w:t xml:space="preserve"> </w:t>
      </w:r>
      <w:r>
        <w:rPr>
          <w:b/>
          <w:bCs/>
        </w:rPr>
        <w:t xml:space="preserve">Truncated Decision-Response AUC</w:t>
      </w:r>
      <w:r>
        <w:t xml:space="preserve">—a 1.0-second integration window from 0.3 to 1.3 s post-probe (4.65 to 5.65 s relative to handgrip onset)—as a narrower alternative that minimizes post-response contamination at the cost of capturing less of the full TEPR morphology; the same nested pupil-DDM sequence was refit on this metric as a sensitivity analysis (</w:t>
      </w:r>
      <w:hyperlink w:anchor="sec-pupil-ddm-integration">
        <w:r>
          <w:rPr>
            <w:rStyle w:val="Hyperlink"/>
          </w:rPr>
          <w:t xml:space="preserve">Section 3.3</w:t>
        </w:r>
      </w:hyperlink>
      <w:r>
        <w:t xml:space="preserve">).</w:t>
      </w:r>
    </w:p>
    <w:p>
      <w:pPr>
        <w:pStyle w:val="BodyText"/>
      </w:pPr>
      <w:r>
        <w:t xml:space="preserve">Supplementary</w:t>
      </w:r>
      <w:r>
        <w:t xml:space="preserve"> </w:t>
      </w:r>
      <w:hyperlink w:anchor="fig-timing-supp">
        <w:r>
          <w:rPr>
            <w:rStyle w:val="Hyperlink"/>
          </w:rPr>
          <w:t xml:space="preserve">Figure 18</w:t>
        </w:r>
      </w:hyperlink>
      <w:r>
        <w:t xml:space="preserve"> </w:t>
      </w:r>
      <w:r>
        <w:t xml:space="preserve">shows the response-signal timing structure used in analyses.</w:t>
      </w:r>
    </w:p>
    <w:p>
      <w:pPr>
        <w:pStyle w:val="BodyText"/>
      </w:pPr>
      <w:r>
        <w:rPr>
          <w:b/>
          <w:bCs/>
        </w:rPr>
        <w:t xml:space="preserve">Confounds and sensitivity checks.</w:t>
      </w:r>
      <w:r>
        <w:t xml:space="preserve"> </w:t>
      </w:r>
      <w:r>
        <w:t xml:space="preserve">To minimize potential confounds from luminance and viewing distance, the paradigm was executed within a controlled MRI environment characterized by constant background luminance and a fixed viewing distance. Motor-related autonomic activity was addressed by including reaction time as a covariate in subsequent pupil-informed models.</w:t>
      </w:r>
    </w:p>
    <w:bookmarkEnd w:id="40"/>
    <w:bookmarkStart w:id="41" w:name="ddm-overview-and-parameter-definitions"/>
    <w:p>
      <w:pPr>
        <w:pStyle w:val="Heading2"/>
      </w:pPr>
      <w:r>
        <w:t xml:space="preserve">2.8 DDM Overview and Parameter Definitions</w:t>
      </w:r>
    </w:p>
    <w:p>
      <w:pPr>
        <w:pStyle w:val="FirstParagraph"/>
      </w:pPr>
      <w:r>
        <w:t xml:space="preserve">The DDM framework and its four parameters (</w:t>
      </w:r>
      <m:oMath>
        <m:r>
          <m:t>v</m:t>
        </m:r>
      </m:oMath>
      <w:r>
        <w:t xml:space="preserve">,</w:t>
      </w:r>
      <w:r>
        <w:t xml:space="preserve"> </w:t>
      </w:r>
      <m:oMath>
        <m:r>
          <m:t>a</m:t>
        </m:r>
      </m:oMath>
      <w:r>
        <w:t xml:space="preserve">,</w:t>
      </w:r>
      <w:r>
        <w:t xml:space="preserve"> </w:t>
      </w:r>
      <m:oMath>
        <m:r>
          <m:t>z</m:t>
        </m:r>
      </m:oMath>
      <w:r>
        <w:t xml:space="preserve">,</w:t>
      </w:r>
      <w:r>
        <w:t xml:space="preserve"> </w:t>
      </w:r>
      <m:oMath>
        <m:sSub>
          <m:e>
            <m:r>
              <m:t>t</m:t>
            </m:r>
          </m:e>
          <m:sub>
            <m:r>
              <m:t>0</m:t>
            </m:r>
          </m:sub>
        </m:sSub>
      </m:oMath>
      <w:r>
        <w:t xml:space="preserve">) are introduced in Section 1.2; this section describes the implementation-specific decisions for the present study.</w:t>
      </w:r>
    </w:p>
    <w:bookmarkEnd w:id="41"/>
    <w:bookmarkStart w:id="42" w:name="decision-coding-and-parameterization"/>
    <w:p>
      <w:pPr>
        <w:pStyle w:val="Heading2"/>
      </w:pPr>
      <w:r>
        <w:t xml:space="preserve">2.9 Decision Coding and Parameterization</w:t>
      </w:r>
    </w:p>
    <w:p>
      <w:pPr>
        <w:pStyle w:val="FirstParagraph"/>
      </w:pPr>
      <w:r>
        <w:rPr>
          <w:b/>
          <w:bCs/>
        </w:rPr>
        <w:t xml:space="preserve">Response-side coding rationale.</w:t>
      </w:r>
      <w:r>
        <w:t xml:space="preserve"> </w:t>
      </w:r>
      <w:r>
        <w:t xml:space="preserve">We employed response-side coding (also termed stimulus coding) where the upper boundary maps to</w:t>
      </w:r>
      <w:r>
        <w:t xml:space="preserve"> </w:t>
      </w:r>
      <w:r>
        <w:t xml:space="preserve">“different”</w:t>
      </w:r>
      <w:r>
        <w:t xml:space="preserve"> </w:t>
      </w:r>
      <w:r>
        <w:t xml:space="preserve">choices and the lower boundary maps to</w:t>
      </w:r>
      <w:r>
        <w:t xml:space="preserve"> </w:t>
      </w:r>
      <w:r>
        <w:t xml:space="preserve">“same”</w:t>
      </w:r>
      <w:r>
        <w:t xml:space="preserve"> </w:t>
      </w:r>
      <w:r>
        <w:t xml:space="preserve">choices</w:t>
      </w:r>
      <w:r>
        <w:t xml:space="preserve"> </w:t>
      </w:r>
      <w:r>
        <w:t xml:space="preserve">(Ratcliff &amp; McKoon, 2008; Wiecki et al., 2013)</w:t>
      </w:r>
      <w:r>
        <w:t xml:space="preserve">. This configuration is mathematically required to independently isolate response-selection biases from true sensory discriminability (drift rate). Accuracy-based coding layouts (correct vs. incorrect boundaries) are structurally incapable of capturing these dynamics, as a bias parameter in an accuracy matrix merely reflects a trivial preference for being correct. Because individuals performing same–different discrimination paradigms frequently exhibit prominent response-specific heuristics (e.g., a conservative tendency to favor the</w:t>
      </w:r>
      <w:r>
        <w:t xml:space="preserve"> </w:t>
      </w:r>
      <w:r>
        <w:t xml:space="preserve">“same”</w:t>
      </w:r>
      <w:r>
        <w:t xml:space="preserve"> </w:t>
      </w:r>
      <w:r>
        <w:t xml:space="preserve">classification), anchoring boundaries directly to the physical response alternatives allows the model to estimate true pre-stimulus starting-point preferences. Under this parameterization, evidence accumulation directed toward a true</w:t>
      </w:r>
      <w:r>
        <w:t xml:space="preserve"> </w:t>
      </w:r>
      <w:r>
        <w:t xml:space="preserve">“Standard”</w:t>
      </w:r>
      <w:r>
        <w:t xml:space="preserve"> </w:t>
      </w:r>
      <w:r>
        <w:t xml:space="preserve">(same) stimulus is represented as a negative drift rate traveling toward the lower boundary, rather than a processing deficit.</w:t>
      </w:r>
    </w:p>
    <w:p>
      <w:pPr>
        <w:pStyle w:val="BodyText"/>
      </w:pPr>
      <w:r>
        <w:rPr>
          <w:b/>
          <w:bCs/>
        </w:rPr>
        <w:t xml:space="preserve">Implementation and model leverage.</w:t>
      </w:r>
      <w:r>
        <w:t xml:space="preserve"> </w:t>
      </w:r>
      <w:r>
        <w:t xml:space="preserve">Response-side coding was implemented by constructing a binary response vector, coded as 1 for</w:t>
      </w:r>
      <w:r>
        <w:t xml:space="preserve"> </w:t>
      </w:r>
      <w:r>
        <w:t xml:space="preserve">“different”</w:t>
      </w:r>
      <w:r>
        <w:t xml:space="preserve"> </w:t>
      </w:r>
      <w:r>
        <w:t xml:space="preserve">judgments and 0 for</w:t>
      </w:r>
      <w:r>
        <w:t xml:space="preserve"> </w:t>
      </w:r>
      <w:r>
        <w:t xml:space="preserve">“same”</w:t>
      </w:r>
      <w:r>
        <w:t xml:space="preserve"> </w:t>
      </w:r>
      <w:r>
        <w:t xml:space="preserve">judgments. Standard (</w:t>
      </w:r>
      <m:oMath>
        <m:r>
          <m:t>Δ</m:t>
        </m:r>
        <m:r>
          <m:rPr>
            <m:sty m:val="p"/>
          </m:rPr>
          <m:t>=</m:t>
        </m:r>
        <m:r>
          <m:t>0</m:t>
        </m:r>
      </m:oMath>
      <w:r>
        <w:t xml:space="preserve">) trials provide critical mathematical leverage for identifying baseline starting-point bias (</w:t>
      </w:r>
      <m:oMath>
        <m:r>
          <m:t>z</m:t>
        </m:r>
      </m:oMath>
      <w:r>
        <w:t xml:space="preserve">) under this coding scheme. Because these baseline trials contain zero objective sensory evidence, they effectively isolate automatic response preferences from evidence accumulation speed. Full link function specifications and the underlying Wiener likelihood equations are detailed in Appendix A6.</w:t>
      </w:r>
    </w:p>
    <w:bookmarkEnd w:id="42"/>
    <w:bookmarkStart w:id="44" w:name="sec-ddm-spec"/>
    <w:p>
      <w:pPr>
        <w:pStyle w:val="Heading2"/>
      </w:pPr>
      <w:r>
        <w:t xml:space="preserve">2.10 Model Specification: Standard-only Calibration and Primary Model</w:t>
      </w:r>
    </w:p>
    <w:p>
      <w:pPr>
        <w:pStyle w:val="FirstParagraph"/>
      </w:pPr>
      <w:r>
        <w:rPr>
          <w:b/>
          <w:bCs/>
        </w:rPr>
        <w:t xml:space="preserve">Standard-only bias calibration model.</w:t>
      </w:r>
      <w:r>
        <w:t xml:space="preserve"> </w:t>
      </w:r>
      <w:r>
        <w:t xml:space="preserve">To structurally isolate baseline starting-point bias from active drift-rate estimation, we executed a two-stage modeling pipeline. The first stage fit a targeted calibration model restricted exclusively to Standard trials (</w:t>
      </w:r>
      <m:oMath>
        <m:r>
          <m:rPr>
            <m:sty m:val="p"/>
          </m:rPr>
          <m:t>≈</m:t>
        </m:r>
      </m:oMath>
      <w:r>
        <w:t xml:space="preserve"> </w:t>
      </w:r>
      <w:r>
        <w:t xml:space="preserve">3,600 trials), which establishes an empirical baseline for choice preference in the complete absence of sensory evidence shifts. Starting-point bias (</w:t>
      </w:r>
      <m:oMath>
        <m:r>
          <m:t>z</m:t>
        </m:r>
      </m:oMath>
      <w:r>
        <w:t xml:space="preserve">) was allowed to vary as a function of task modality and effort condition—both of which were explicitly known to the participant pre-trial—but was constrained to be invariant across perceptual difficulty levels, as trial-wise difficulty was randomized and entirely unknown prior to evidence presentation. The full parameter estimates and descriptive levels resulting from this calibration step are detailed in Appendix A2.</w:t>
      </w:r>
    </w:p>
    <w:p>
      <w:pPr>
        <w:pStyle w:val="BodyText"/>
      </w:pPr>
      <w:r>
        <w:rPr>
          <w:b/>
          <w:bCs/>
        </w:rPr>
        <w:t xml:space="preserve">Primary analysis model.</w:t>
      </w:r>
      <w:r>
        <w:t xml:space="preserve"> </w:t>
      </w:r>
      <w:r>
        <w:t xml:space="preserve">Our primary behavioral DDM integrated both testing domains by modeling the Auditory Discrimination Task (ADT) and Visual Discrimination Task (VDT) jointly within a single hierarchical Bayesian framework. This joint configuration enters task modality as a fixed effect on starting-point bias (</w:t>
      </w:r>
      <m:oMath>
        <m:r>
          <m:t>z</m:t>
        </m:r>
      </m:oMath>
      <w:r>
        <w:t xml:space="preserve">), allowing the model to isolate task-specific parameter offsets while sharing participant-level random-effect variance across sensory domains. This hierarchical design leverages partial pooling via shrinkage to stabilize individual parameter estimates and maximize statistical power for detecting our core effects of interest.</w:t>
      </w:r>
    </w:p>
    <w:p>
      <w:pPr>
        <w:pStyle w:val="BodyText"/>
      </w:pPr>
      <w:r>
        <w:t xml:space="preserve">Within this joint model architecture, drift rate (</w:t>
      </w:r>
      <m:oMath>
        <m:r>
          <m:t>v</m:t>
        </m:r>
      </m:oMath>
      <w:r>
        <w:t xml:space="preserve">) and boundary separation (</w:t>
      </w:r>
      <m:oMath>
        <m:r>
          <m:t>a</m:t>
        </m:r>
      </m:oMath>
      <w:r>
        <w:t xml:space="preserve">) were estimated as additive functions of perceptual task difficulty (treatment-coded, Standard as reference) and tonic effort condition (treatment-coded, Low as reference). Starting-point bias (</w:t>
      </w:r>
      <m:oMath>
        <m:r>
          <m:t>z</m:t>
        </m:r>
      </m:oMath>
      <w:r>
        <w:t xml:space="preserve">) was modeled as a function of task and effort, but remained excluded from difficulty subformulas because trial difficulty cannot be anticipated before evidence accumulation begins (see</w:t>
      </w:r>
      <w:r>
        <w:t xml:space="preserve"> </w:t>
      </w:r>
      <w:hyperlink w:anchor="fig-ddm-process">
        <w:r>
          <w:rPr>
            <w:rStyle w:val="Hyperlink"/>
          </w:rPr>
          <w:t xml:space="preserve">Figure 1</w:t>
        </w:r>
      </w:hyperlink>
      <w:r>
        <w:t xml:space="preserve">, Panel C for a visual summary of predictor mappings). Non-decision time (</w:t>
      </w:r>
      <m:oMath>
        <m:sSub>
          <m:e>
            <m:r>
              <m:t>t</m:t>
            </m:r>
          </m:e>
          <m:sub>
            <m:r>
              <m:t>0</m:t>
            </m:r>
          </m:sub>
        </m:sSub>
      </m:oMath>
      <w:r>
        <w:t xml:space="preserve">) was set to an intercept-only specification based on pilot identification constraints inherent to the gated response-signal design. Random intercepts by participant were comprehensively estimated for</w:t>
      </w:r>
      <w:r>
        <w:t xml:space="preserve"> </w:t>
      </w:r>
      <m:oMath>
        <m:r>
          <m:t>v</m:t>
        </m:r>
      </m:oMath>
      <w:r>
        <w:t xml:space="preserve">,</w:t>
      </w:r>
      <w:r>
        <w:t xml:space="preserve"> </w:t>
      </w:r>
      <m:oMath>
        <m:r>
          <m:t>a</m:t>
        </m:r>
      </m:oMath>
      <w:r>
        <w:t xml:space="preserve">, and</w:t>
      </w:r>
      <w:r>
        <w:t xml:space="preserve"> </w:t>
      </w:r>
      <m:oMath>
        <m:r>
          <m:t>z</m:t>
        </m:r>
      </m:oMath>
      <w:r>
        <w:t xml:space="preserve">, while</w:t>
      </w:r>
      <w:r>
        <w:t xml:space="preserve"> </w:t>
      </w:r>
      <m:oMath>
        <m:sSub>
          <m:e>
            <m:r>
              <m:t>t</m:t>
            </m:r>
          </m:e>
          <m:sub>
            <m:r>
              <m:t>0</m:t>
            </m:r>
          </m:sub>
        </m:sSub>
      </m:oMath>
      <w:r>
        <w:t xml:space="preserve"> </w:t>
      </w:r>
      <w:r>
        <w:t xml:space="preserve">was retained as a fixed population parameter to ensure strict model identifiability. Task-separated parameter profiles are provided as an explicit sensitivity check in Appendix A4.3 to validate that joint pooling did not obscure modality-specific trends.</w:t>
      </w:r>
    </w:p>
    <w:p>
      <w:pPr>
        <w:pStyle w:val="BodyText"/>
      </w:pPr>
      <w:r>
        <w:rPr>
          <w:b/>
          <w:bCs/>
        </w:rPr>
        <w:t xml:space="preserve">RT timing convention.</w:t>
      </w:r>
      <w:r>
        <w:t xml:space="preserve"> </w:t>
      </w:r>
      <w:r>
        <w:t xml:space="preserve">In this response-signal design, reaction time was defined as the latency from response-screen onset to the button press. However, because perceptual evidence becomes available immediately at probe onset, modeling distributions strictly from the execution cue presents a chronological misalignment between evidence availability and the mathematical integration start point. To ensure the diffusion window encompasses the entire information-processing timeline, probe-onset-locked RT was derived by adding the fixed 0.35-s post-probe delay (0.10-s probe duration plus 0.25-s grip-relaxation period) to the raw cue-locked value.</w:t>
      </w:r>
    </w:p>
    <w:p>
      <w:pPr>
        <w:pStyle w:val="BodyText"/>
      </w:pPr>
      <w:r>
        <w:t xml:space="preserve">Probe-onset-locked RT served as our primary timing convention because it correctly aligns the diffusion process with evidence onset (</w:t>
      </w:r>
      <w:hyperlink w:anchor="fig-rt-distributions">
        <w:r>
          <w:rPr>
            <w:rStyle w:val="Hyperlink"/>
          </w:rPr>
          <w:t xml:space="preserve">Figure 19</w:t>
        </w:r>
      </w:hyperlink>
      <w:r>
        <w:t xml:space="preserve">). Under this convention, the non-decision time parameter (</w:t>
      </w:r>
      <m:oMath>
        <m:sSub>
          <m:e>
            <m:r>
              <m:t>t</m:t>
            </m:r>
          </m:e>
          <m:sub>
            <m:r>
              <m:t>0</m:t>
            </m:r>
          </m:sub>
        </m:sSub>
      </m:oMath>
      <w:r>
        <w:t xml:space="preserve">) absorbs the fixed 0.35-s response-gating delay alongside standard encoding and motor execution overhead</w:t>
      </w:r>
      <w:r>
        <w:t xml:space="preserve"> </w:t>
      </w:r>
      <w:r>
        <w:t xml:space="preserve">(Ratcliff et al., 2007; Voss et al., 2004)</w:t>
      </w:r>
      <w:r>
        <w:t xml:space="preserve">. While this constant addition can compress parameter variance in peripheral timing estimates, anchoring the model timeline to evidence onset is more theoretically appropriate for isolating accumulation dynamics under concurrent motor load. Raw cue-locked latency profiles and alternative lower-bound filtering cutoffs (0.15 s and 0.25 s) were retained for sensitivity analyses, which are reported in Appendix A4.</w:t>
      </w:r>
    </w:p>
    <w:p>
      <w:pPr>
        <w:pStyle w:val="BodyText"/>
      </w:pPr>
      <w:r>
        <w:rPr>
          <w:b/>
          <w:bCs/>
        </w:rPr>
        <w:t xml:space="preserve">Behavioral validation checks.</w:t>
      </w:r>
      <w:r>
        <w:t xml:space="preserve"> </w:t>
      </w:r>
      <w:r>
        <w:t xml:space="preserve">To confirm that our perceptual difficulty and physical effort manipulations systematically altered gross behavioral performance independent of DDM assumptions, we conducted baseline mixed-effects model checks restricted to active discrimination trials (Easy and Hard conditions). Perceptual accuracy was evaluated using a generalized linear mixed model (GLMM, binomial logistic link), and median reaction times were evaluated using a linear mixed model (LMM). Both validation frameworks entered task modality, perceptual difficulty, and physical effort as fixed effects, alongside random participant intercepts. Full model parameters and frequentist significance metrics for these baseline checks are reported transparently in Appendix A7.</w:t>
      </w:r>
    </w:p>
    <w:bookmarkStart w:id="43" w:name="sec-pupil-ddm-models"/>
    <w:p>
      <w:pPr>
        <w:pStyle w:val="Heading3"/>
      </w:pPr>
      <w:r>
        <w:t xml:space="preserve">2.10.1 Pupil-Linked DDM Extensions</w:t>
      </w:r>
    </w:p>
    <w:p>
      <w:pPr>
        <w:pStyle w:val="FirstParagraph"/>
      </w:pPr>
      <w:r>
        <w:t xml:space="preserve">Building upon the baseline behavioral model, we implemented hierarchical, pupil-informed regression extensions to evaluate whether within-person physiological fluctuations modulate parameters of choice on a trial-by-trial basis</w:t>
      </w:r>
      <w:r>
        <w:t xml:space="preserve"> </w:t>
      </w:r>
      <w:r>
        <w:t xml:space="preserve">(Wiecki et al., 2013)</w:t>
      </w:r>
      <w:r>
        <w:t xml:space="preserve">. The physical metric used for these extensions was the baseline-corrected Decision-Response AUC. To isolate true intra-individual variation from stable, between-participant differences in eye morphology, these trial-wise integration values were z-scored individually within each participant’s complete timecourse profile. This localized transformation yielded a standardized single-trial metric that serves as our functional physiological proxy for transient arousal fluctuations during the decision window.</w:t>
      </w:r>
    </w:p>
    <w:p>
      <w:pPr>
        <w:pStyle w:val="BodyText"/>
      </w:pPr>
      <w:r>
        <w:t xml:space="preserve">To explicitly adjudicate between alternative mechanisms of state-dependent cognitive control, we evaluated a nested sequence of model configurations</w:t>
      </w:r>
      <w:r>
        <w:t xml:space="preserve"> </w:t>
      </w:r>
      <w:r>
        <w:t xml:space="preserve">(de Gee et al., 2017)</w:t>
      </w:r>
      <w:r>
        <w:t xml:space="preserve">. The baseline behavioral model excluded all trial-level physiological inputs, establishing a structural reference point where parameter variance was governed solely by categorical task conditions. A bias-only model allowed this standardized pupil metric to modulate starting-point bias (</w:t>
      </w:r>
      <m:oMath>
        <m:r>
          <m:t>z</m:t>
        </m:r>
      </m:oMath>
      <w:r>
        <w:t xml:space="preserve">) through a logistic link function, testing the hypothesis that momentary arousal suppresses pre-existing response preferences and drives the initial decision architecture toward neutrality (</w:t>
      </w:r>
      <m:oMath>
        <m:r>
          <m:t>z</m:t>
        </m:r>
        <m:r>
          <m:rPr>
            <m:sty m:val="p"/>
          </m:rPr>
          <m:t>=</m:t>
        </m:r>
        <m:r>
          <m:t>0.5</m:t>
        </m:r>
      </m:oMath>
      <w:r>
        <w:t xml:space="preserve">). Finally, a dual-dependency model allowed the pupil metric to simultaneously modulate both bias and drift rate (</w:t>
      </w:r>
      <m:oMath>
        <m:r>
          <m:t>v</m:t>
        </m:r>
      </m:oMath>
      <w:r>
        <w:t xml:space="preserve">), testing whether momentary arousal additionally alters the efficiency of central sensory processing under a sustained motor load. We compared the relative predictive success of these architectures using Pareto-smoothed importance sampling leave-one-out cross-validation (PSIS-LOO;</w:t>
      </w:r>
      <w:r>
        <w:t xml:space="preserve"> </w:t>
      </w:r>
      <w:r>
        <w:t xml:space="preserve">Vehtari et al. (2017)</w:t>
      </w:r>
      <w:r>
        <w:t xml:space="preserve">), focusing population-level inference on the posterior regression coefficients (</w:t>
      </w:r>
      <m:oMath>
        <m:r>
          <m:t>β</m:t>
        </m:r>
      </m:oMath>
      <w:r>
        <w:t xml:space="preserve">) estimated on the link scale.</w:t>
      </w:r>
    </w:p>
    <w:p>
      <w:pPr>
        <w:pStyle w:val="BodyText"/>
      </w:pPr>
      <w:r>
        <w:rPr>
          <w:b/>
          <w:bCs/>
        </w:rPr>
        <w:t xml:space="preserve">Pupil × Perceptual Difficulty interaction model.</w:t>
      </w:r>
      <w:r>
        <w:t xml:space="preserve"> </w:t>
      </w:r>
      <w:r>
        <w:t xml:space="preserve">To evaluate the classic Yerkes–Dodson prediction that the effects of arousal on decision-making diverge as a function of immediate cognitive demands—with the optimal arousal threshold shifting according to task complexity—we implemented an interaction model crossing the standardized pupil metric with perceptual task difficulty. This specification directly evaluates the integrated resource-arousal framework established in our introduction, examining whether within-person fluctuations in phasic arousal differentially modulate parameter dynamics across sensory difficulty levels. In the primary nested sequence, pupil was evaluated on starting-point bias (</w:t>
      </w:r>
      <m:oMath>
        <m:r>
          <m:t>z</m:t>
        </m:r>
      </m:oMath>
      <w:r>
        <w:t xml:space="preserve">), drift + bias (</w:t>
      </w:r>
      <m:oMath>
        <m:r>
          <m:t>v</m:t>
        </m:r>
      </m:oMath>
      <w:r>
        <w:t xml:space="preserve">,</w:t>
      </w:r>
      <w:r>
        <w:t xml:space="preserve"> </w:t>
      </w:r>
      <m:oMath>
        <m:r>
          <m:t>z</m:t>
        </m:r>
      </m:oMath>
      <w:r>
        <w:t xml:space="preserve">), and pupil × difficulty on drift (Models 1–3). To test the Cavanagh</w:t>
      </w:r>
      <w:r>
        <w:t xml:space="preserve"> </w:t>
      </w:r>
      <w:r>
        <w:t xml:space="preserve">(2014)</w:t>
      </w:r>
      <w:r>
        <w:t xml:space="preserve"> </w:t>
      </w:r>
      <w:r>
        <w:t xml:space="preserve">boundary account directly, we additionally fit a Cavanagh-style extension allowing pupil to modulate boundary separation (</w:t>
      </w:r>
      <m:oMath>
        <m:r>
          <m:t>a</m:t>
        </m:r>
      </m:oMath>
      <w:r>
        <w:t xml:space="preserve">) only, compared to the same-</w:t>
      </w:r>
      <m:oMath>
        <m:r>
          <m:t>N</m:t>
        </m:r>
      </m:oMath>
      <w:r>
        <w:t xml:space="preserve"> </w:t>
      </w:r>
      <w:r>
        <w:t xml:space="preserve">behavioral baseline via PSIS-LOO (Decision-Response and Truncated Decision-Response AUC windows;</w:t>
      </w:r>
      <w:r>
        <w:t xml:space="preserve"> </w:t>
      </w:r>
      <w:hyperlink w:anchor="sec-pupil-ddm-integration">
        <w:r>
          <w:rPr>
            <w:rStyle w:val="Hyperlink"/>
          </w:rPr>
          <w:t xml:space="preserve">Section 3.3</w:t>
        </w:r>
      </w:hyperlink>
      <w:r>
        <w:t xml:space="preserve">, Appendix A5). Non-decision time remained intercept-only.</w:t>
      </w:r>
    </w:p>
    <w:bookmarkEnd w:id="43"/>
    <w:bookmarkEnd w:id="44"/>
    <w:bookmarkStart w:id="45" w:name="sec-ddm-priors"/>
    <w:p>
      <w:pPr>
        <w:pStyle w:val="Heading2"/>
      </w:pPr>
      <w:r>
        <w:t xml:space="preserve">2.11 Priors, Computation, and Diagnostics</w:t>
      </w:r>
    </w:p>
    <w:p>
      <w:pPr>
        <w:pStyle w:val="FirstParagraph"/>
      </w:pPr>
      <w:r>
        <w:t xml:space="preserve">Priors were weakly informative and specified on the link scale. The boundary separation intercept used</w:t>
      </w:r>
      <w:r>
        <w:t xml:space="preserve"> </w:t>
      </w:r>
      <m:oMath>
        <m:r>
          <m:rPr>
            <m:sty m:val="p"/>
            <m:scr m:val="script"/>
          </m:rPr>
          <m:t>N</m:t>
        </m:r>
        <m:d>
          <m:dPr>
            <m:begChr m:val="("/>
            <m:sepChr m:val=""/>
            <m:endChr m:val=")"/>
            <m:grow/>
          </m:dPr>
          <m:e>
            <m:r>
              <m:rPr>
                <m:sty m:val="p"/>
              </m:rPr>
              <m:t>log</m:t>
            </m:r>
            <m:r>
              <m:t>1.3</m:t>
            </m:r>
            <m:r>
              <m:rPr>
                <m:sty m:val="p"/>
              </m:rPr>
              <m:t>,</m:t>
            </m:r>
            <m:r>
              <m:t> </m:t>
            </m:r>
            <m:r>
              <m:t>0.25</m:t>
            </m:r>
          </m:e>
        </m:d>
      </m:oMath>
      <w:r>
        <w:t xml:space="preserve"> </w:t>
      </w:r>
      <w:r>
        <w:t xml:space="preserve">(corresponding to</w:t>
      </w:r>
      <w:r>
        <w:t xml:space="preserve"> </w:t>
      </w:r>
      <m:oMath>
        <m:r>
          <m:t>a</m:t>
        </m:r>
        <m:r>
          <m:rPr>
            <m:sty m:val="p"/>
          </m:rPr>
          <m:t>≈</m:t>
        </m:r>
        <m:r>
          <m:t>1.3</m:t>
        </m:r>
      </m:oMath>
      <w:r>
        <w:t xml:space="preserve"> </w:t>
      </w:r>
      <w:r>
        <w:t xml:space="preserve">at baseline), the non-decision time intercept used</w:t>
      </w:r>
      <w:r>
        <w:t xml:space="preserve"> </w:t>
      </w:r>
      <m:oMath>
        <m:r>
          <m:rPr>
            <m:sty m:val="p"/>
            <m:scr m:val="script"/>
          </m:rPr>
          <m:t>N</m:t>
        </m:r>
        <m:d>
          <m:dPr>
            <m:begChr m:val="("/>
            <m:sepChr m:val=""/>
            <m:endChr m:val=")"/>
            <m:grow/>
          </m:dPr>
          <m:e>
            <m:r>
              <m:rPr>
                <m:sty m:val="p"/>
              </m:rPr>
              <m:t>log</m:t>
            </m:r>
            <m:r>
              <m:t>0.35</m:t>
            </m:r>
            <m:r>
              <m:rPr>
                <m:sty m:val="p"/>
              </m:rPr>
              <m:t>,</m:t>
            </m:r>
            <m:r>
              <m:t> </m:t>
            </m:r>
            <m:r>
              <m:t>0.15</m:t>
            </m:r>
          </m:e>
        </m:d>
      </m:oMath>
      <w:r>
        <w:t xml:space="preserve"> </w:t>
      </w:r>
      <w:r>
        <w:t xml:space="preserve">(</w:t>
      </w:r>
      <m:oMath>
        <m:sSub>
          <m:e>
            <m:r>
              <m:t>t</m:t>
            </m:r>
          </m:e>
          <m:sub>
            <m:r>
              <m:t>0</m:t>
            </m:r>
          </m:sub>
        </m:sSub>
        <m:r>
          <m:rPr>
            <m:sty m:val="p"/>
          </m:rPr>
          <m:t>≈</m:t>
        </m:r>
        <m:r>
          <m:t>0.35</m:t>
        </m:r>
      </m:oMath>
      <w:r>
        <w:t xml:space="preserve"> </w:t>
      </w:r>
      <w:r>
        <w:t xml:space="preserve">s, probe-onset-locked), the drift rate intercept used</w:t>
      </w:r>
      <w:r>
        <w:t xml:space="preserve"> </w:t>
      </w:r>
      <m:oMath>
        <m:r>
          <m:rPr>
            <m:sty m:val="p"/>
            <m:scr m:val="script"/>
          </m:rPr>
          <m:t>N</m:t>
        </m:r>
        <m:d>
          <m:dPr>
            <m:begChr m:val="("/>
            <m:sepChr m:val=""/>
            <m:endChr m:val=")"/>
            <m:grow/>
          </m:dPr>
          <m:e>
            <m:r>
              <m:t>0</m:t>
            </m:r>
            <m:r>
              <m:rPr>
                <m:sty m:val="p"/>
              </m:rPr>
              <m:t>,</m:t>
            </m:r>
            <m:r>
              <m:t>1</m:t>
            </m:r>
          </m:e>
        </m:d>
      </m:oMath>
      <w:r>
        <w:t xml:space="preserve">, and the starting-point bias intercept used</w:t>
      </w:r>
      <w:r>
        <w:t xml:space="preserve"> </w:t>
      </w:r>
      <m:oMath>
        <m:r>
          <m:rPr>
            <m:sty m:val="p"/>
            <m:scr m:val="script"/>
          </m:rPr>
          <m:t>N</m:t>
        </m:r>
        <m:d>
          <m:dPr>
            <m:begChr m:val="("/>
            <m:sepChr m:val=""/>
            <m:endChr m:val=")"/>
            <m:grow/>
          </m:dPr>
          <m:e>
            <m:r>
              <m:t>0</m:t>
            </m:r>
            <m:r>
              <m:rPr>
                <m:sty m:val="p"/>
              </m:rPr>
              <m:t>,</m:t>
            </m:r>
            <m:r>
              <m:t>0.5</m:t>
            </m:r>
          </m:e>
        </m:d>
      </m:oMath>
      <w:r>
        <w:t xml:space="preserve"> </w:t>
      </w:r>
      <w:r>
        <w:t xml:space="preserve">(</w:t>
      </w:r>
      <m:oMath>
        <m:r>
          <m:t>z</m:t>
        </m:r>
        <m:r>
          <m:rPr>
            <m:sty m:val="p"/>
          </m:rPr>
          <m:t>≈</m:t>
        </m:r>
        <m:r>
          <m:t>0.5</m:t>
        </m:r>
      </m:oMath>
      <w:r>
        <w:t xml:space="preserve">, no bias). Full prior specifications for slopes and random effects are provided in Appendix A6.</w:t>
      </w:r>
    </w:p>
    <w:p>
      <w:pPr>
        <w:pStyle w:val="BodyText"/>
      </w:pPr>
      <w:r>
        <w:t xml:space="preserve">Convergence was assessed using</w:t>
      </w:r>
      <w:r>
        <w:t xml:space="preserve"> </w:t>
      </w:r>
      <m:oMath>
        <m:acc>
          <m:accPr>
            <m:chr m:val="̂"/>
          </m:accPr>
          <m:e>
            <m:r>
              <m:t>R</m:t>
            </m:r>
          </m:e>
        </m:acc>
        <m:r>
          <m:rPr>
            <m:sty m:val="p"/>
          </m:rPr>
          <m:t>&lt;</m:t>
        </m:r>
        <m:r>
          <m:t>1.01</m:t>
        </m:r>
      </m:oMath>
      <w:r>
        <w:t xml:space="preserve"> </w:t>
      </w:r>
      <w:r>
        <w:t xml:space="preserve">and minimum bulk ESS</w:t>
      </w:r>
      <w:r>
        <w:t xml:space="preserve"> </w:t>
      </w:r>
      <m:oMath>
        <m:r>
          <m:rPr>
            <m:sty m:val="p"/>
          </m:rPr>
          <m:t>&gt;</m:t>
        </m:r>
        <m:r>
          <m:t>400</m:t>
        </m:r>
      </m:oMath>
      <w:r>
        <w:t xml:space="preserve">; all primary behavioral models satisfied these criteria. Exploratory choice-history models met the criterion for the history variant (max</w:t>
      </w:r>
      <w:r>
        <w:t xml:space="preserve"> </w:t>
      </w:r>
      <m:oMath>
        <m:acc>
          <m:accPr>
            <m:chr m:val="̂"/>
          </m:accPr>
          <m:e>
            <m:r>
              <m:t>R</m:t>
            </m:r>
          </m:e>
        </m:acc>
      </m:oMath>
      <w:r>
        <w:t xml:space="preserve"> </w:t>
      </w:r>
      <w:r>
        <w:t xml:space="preserve">= 1.003); the WSLS variant showed a slightly elevated maximum</w:t>
      </w:r>
      <w:r>
        <w:t xml:space="preserve"> </w:t>
      </w:r>
      <m:oMath>
        <m:acc>
          <m:accPr>
            <m:chr m:val="̂"/>
          </m:accPr>
          <m:e>
            <m:r>
              <m:t>R</m:t>
            </m:r>
          </m:e>
        </m:acc>
      </m:oMath>
      <w:r>
        <w:t xml:space="preserve"> </w:t>
      </w:r>
      <w:r>
        <w:t xml:space="preserve">(1.014) but zero divergent transitions (Appendix A10.1). Model comparison used Pareto-smoothed importance sampling LOO cross-validation (PSIS-LOO;</w:t>
      </w:r>
      <w:r>
        <w:t xml:space="preserve"> </w:t>
      </w:r>
      <w:r>
        <w:t xml:space="preserve">Vehtari et al. (2017)</w:t>
      </w:r>
      <w:r>
        <w:t xml:space="preserve">), with ELPD differences exceeding 4 considered meaningful; results are in</w:t>
      </w:r>
      <w:r>
        <w:t xml:space="preserve"> </w:t>
      </w:r>
      <w:hyperlink w:anchor="sec-results-sample">
        <w:r>
          <w:rPr>
            <w:rStyle w:val="Hyperlink"/>
          </w:rPr>
          <w:t xml:space="preserve">Section 3.1</w:t>
        </w:r>
      </w:hyperlink>
      <w:r>
        <w:t xml:space="preserve">.</w:t>
      </w:r>
    </w:p>
    <w:p>
      <w:pPr>
        <w:pStyle w:val="BodyText"/>
      </w:pPr>
      <w:r>
        <w:t xml:space="preserve">Model fit was evaluated using posterior predictive checks (PPC), including subject-level quantile-probability plots, Kolmogorov-Smirnov statistics, and residual heatmaps (full PPC diagnostics in Appendix A3). PPC deviations in fast-tail regions — a known limitation of standard Wiener DDM — did not affect inference on key parameter contrasts.</w:t>
      </w:r>
    </w:p>
    <w:p>
      <w:r>
        <w:br w:type="page"/>
      </w:r>
    </w:p>
    <w:bookmarkEnd w:id="45"/>
    <w:bookmarkEnd w:id="46"/>
    <w:bookmarkStart w:id="65" w:name="results"/>
    <w:p>
      <w:pPr>
        <w:pStyle w:val="Heading1"/>
      </w:pPr>
      <w:r>
        <w:t xml:space="preserve">3. Results</w:t>
      </w:r>
    </w:p>
    <w:bookmarkStart w:id="47" w:name="sec-results-sample"/>
    <w:p>
      <w:pPr>
        <w:pStyle w:val="Heading2"/>
      </w:pPr>
      <w:r>
        <w:t xml:space="preserve">3.1 Primary model overview</w:t>
      </w:r>
    </w:p>
    <w:p>
      <w:pPr>
        <w:pStyle w:val="FirstParagraph"/>
      </w:pPr>
      <w:r>
        <w:t xml:space="preserve">The DDM analysis included 67 older adults (</w:t>
      </w:r>
      <m:oMath>
        <m:sSub>
          <m:e>
            <m:r>
              <m:t>N</m:t>
            </m:r>
          </m:e>
          <m:sub>
            <m:r>
              <m:t>A</m:t>
            </m:r>
            <m:r>
              <m:t>D</m:t>
            </m:r>
            <m:r>
              <m:t>T</m:t>
            </m:r>
          </m:sub>
        </m:sSub>
      </m:oMath>
      <w:r>
        <w:t xml:space="preserve"> </w:t>
      </w:r>
      <w:r>
        <w:t xml:space="preserve">= 64,</w:t>
      </w:r>
      <w:r>
        <w:t xml:space="preserve"> </w:t>
      </w:r>
      <m:oMath>
        <m:sSub>
          <m:e>
            <m:r>
              <m:t>N</m:t>
            </m:r>
          </m:e>
          <m:sub>
            <m:r>
              <m:t>V</m:t>
            </m:r>
            <m:r>
              <m:t>D</m:t>
            </m:r>
            <m:r>
              <m:t>T</m:t>
            </m:r>
          </m:sub>
        </m:sSub>
      </m:oMath>
      <w:r>
        <w:t xml:space="preserve"> </w:t>
      </w:r>
      <w:r>
        <w:t xml:space="preserve">= 65 after task-specific exclusions). 5 participants contributed to only one task after exclusions because the other task had fewer than 100 valid trials. The primary additive model retained 17,857 probe-onset-locked trials after the cue-locked RT</w:t>
      </w:r>
      <w:r>
        <w:t xml:space="preserve"> </w:t>
      </w:r>
      <m:oMath>
        <m:r>
          <m:rPr>
            <m:sty m:val="p"/>
          </m:rPr>
          <m:t>&lt;</m:t>
        </m:r>
      </m:oMath>
      <w:r>
        <w:t xml:space="preserve"> </w:t>
      </w:r>
      <w:r>
        <w:t xml:space="preserve">0.20 s cutoff (mean 23 trials per subject across cells; cell totals 860–1863,</w:t>
      </w:r>
      <w:r>
        <w:t xml:space="preserve"> </w:t>
      </w:r>
      <w:hyperlink w:anchor="tbl-trial-counts">
        <w:r>
          <w:rPr>
            <w:rStyle w:val="Hyperlink"/>
          </w:rPr>
          <w:t xml:space="preserve">Table 5</w:t>
        </w:r>
      </w:hyperlink>
      <w:r>
        <w:t xml:space="preserve">;</w:t>
      </w:r>
      <w:r>
        <w:t xml:space="preserve"> </w:t>
      </w:r>
      <w:hyperlink w:anchor="fig-participant-flow">
        <w:r>
          <w:rPr>
            <w:rStyle w:val="Hyperlink"/>
          </w:rPr>
          <w:t xml:space="preserve">Figure 7</w:t>
        </w:r>
      </w:hyperlink>
      <w:r>
        <w:t xml:space="preserve">). Manipulation checks showed that difficulty and effort affected accuracy and RT as intended (Appendix A7).</w:t>
      </w:r>
    </w:p>
    <w:p>
      <w:pPr>
        <w:pStyle w:val="BodyText"/>
      </w:pPr>
      <w:r>
        <w:t xml:space="preserve">All primary behavioral models met convergence criteria (</w:t>
      </w:r>
      <m:oMath>
        <m:acc>
          <m:accPr>
            <m:chr m:val="̂"/>
          </m:accPr>
          <m:e>
            <m:r>
              <m:t>R</m:t>
            </m:r>
          </m:e>
        </m:acc>
      </m:oMath>
      <w:r>
        <w:t xml:space="preserve"> </w:t>
      </w:r>
      <w:r>
        <w:t xml:space="preserve">&lt; 1.01, bulk ESS &gt; 400, zero divergent transitions; Appendix A1). Posterior predictive checks were less clean. All 12 experimental cells crossed the pre-specified KS/QP flagging thresholds (max KS = 0.343, max full-range QP RMSE = 0.225 s;</w:t>
      </w:r>
      <w:r>
        <w:t xml:space="preserve"> </w:t>
      </w:r>
      <w:hyperlink w:anchor="tbl-convergence-ppc-gate-appendix">
        <w:r>
          <w:rPr>
            <w:rStyle w:val="Hyperlink"/>
          </w:rPr>
          <w:t xml:space="preserve">Table 10</w:t>
        </w:r>
      </w:hyperlink>
      <w:r>
        <w:t xml:space="preserve">), mainly because of fast-tail RT misfit. Mid-body quantile–probability fit was acceptable (Appendix A3). The key effort contrasts also held under alternative RT lower-bound thresholds (Appendix A4.2).</w:t>
      </w:r>
    </w:p>
    <w:p>
      <w:pPr>
        <w:pStyle w:val="BodyText"/>
      </w:pPr>
      <w:r>
        <w:t xml:space="preserve">We compared nested specifications with PSIS-LOO (</w:t>
      </w:r>
      <w:r>
        <w:t xml:space="preserve">Vehtari et al. (2017)</w:t>
      </w:r>
      <w:r>
        <w:t xml:space="preserve">). The additive model treated difficulty and effort as independent predictors of drift rate and boundary separation; it outperformed a difficulty-only baseline (</w:t>
      </w:r>
      <m:oMath>
        <m:r>
          <m:t>Δ</m:t>
        </m:r>
      </m:oMath>
      <w:r>
        <w:t xml:space="preserve">ELPD</w:t>
      </w:r>
      <w:r>
        <w:t xml:space="preserve"> </w:t>
      </w:r>
      <m:oMath>
        <m:r>
          <m:rPr>
            <m:sty m:val="p"/>
          </m:rPr>
          <m:t>&gt;</m:t>
        </m:r>
      </m:oMath>
      <w:r>
        <w:t xml:space="preserve"> </w:t>
      </w:r>
      <w:r>
        <w:t xml:space="preserve">4). A difficulty</w:t>
      </w:r>
      <w:r>
        <w:t xml:space="preserve"> </w:t>
      </w:r>
      <m:oMath>
        <m:r>
          <m:rPr>
            <m:sty m:val="p"/>
          </m:rPr>
          <m:t>×</m:t>
        </m:r>
      </m:oMath>
      <w:r>
        <w:t xml:space="preserve"> </w:t>
      </w:r>
      <w:r>
        <w:t xml:space="preserve">effort interaction model attained a nominally higher ELPD (+</w:t>
      </w:r>
      <m:oMath>
        <m:r>
          <m:t>1515.8</m:t>
        </m:r>
      </m:oMath>
      <w:r>
        <w:t xml:space="preserve"> </w:t>
      </w:r>
      <w:r>
        <w:t xml:space="preserve">vs. additive, SE =</w:t>
      </w:r>
      <w:r>
        <w:t xml:space="preserve"> </w:t>
      </w:r>
      <m:oMath>
        <m:r>
          <m:t>58.4</m:t>
        </m:r>
      </m:oMath>
      <w:r>
        <w:t xml:space="preserve">; 26 SE). This apparent advantage is not interpretable: PSIS-LOO for the interaction was unreliable (max Pareto-</w:t>
      </w:r>
      <m:oMath>
        <m:r>
          <m:t>k</m:t>
        </m:r>
      </m:oMath>
      <w:r>
        <w:t xml:space="preserve"> </w:t>
      </w:r>
      <w:r>
        <w:t xml:space="preserve">= 1.18, above the 0.7 diagnostic threshold), whereas the additive model’s LOO was reliable (max Pareto-</w:t>
      </w:r>
      <m:oMath>
        <m:r>
          <m:t>k</m:t>
        </m:r>
      </m:oMath>
      <w:r>
        <w:t xml:space="preserve"> </w:t>
      </w:r>
      <w:r>
        <w:t xml:space="preserve">= 0.47). We retain the additive specification on LOO reliability and parsimony (see</w:t>
      </w:r>
      <w:r>
        <w:t xml:space="preserve"> </w:t>
      </w:r>
      <w:hyperlink w:anchor="tbl-loo-comparison">
        <w:r>
          <w:rPr>
            <w:rStyle w:val="Hyperlink"/>
          </w:rPr>
          <w:t xml:space="preserve">Table 3</w:t>
        </w:r>
      </w:hyperlink>
      <w:r>
        <w:t xml:space="preserve">). Interaction coefficients on drift</w:t>
      </w:r>
      <w:r>
        <w:t xml:space="preserve"> </w:t>
      </w:r>
      <m:oMath>
        <m:r>
          <m:t>β</m:t>
        </m:r>
        <m:r>
          <m:rPr>
            <m:sty m:val="p"/>
          </m:rPr>
          <m:t>=</m:t>
        </m:r>
        <m:r>
          <m:rPr>
            <m:sty m:val="p"/>
          </m:rPr>
          <m:t>−</m:t>
        </m:r>
        <m:r>
          <m:t>0.021</m:t>
        </m:r>
      </m:oMath>
      <w:r>
        <w:t xml:space="preserve">, 95% CrI</w:t>
      </w:r>
      <w:r>
        <w:t xml:space="preserve"> </w:t>
      </w:r>
      <m:oMath>
        <m:d>
          <m:dPr>
            <m:begChr m:val="["/>
            <m:sepChr m:val=""/>
            <m:endChr m:val="]"/>
            <m:grow/>
          </m:dPr>
          <m:e>
            <m:r>
              <m:rPr>
                <m:sty m:val="p"/>
              </m:rPr>
              <m:t>−</m:t>
            </m:r>
            <m:r>
              <m:t>0.116</m:t>
            </m:r>
            <m:r>
              <m:rPr>
                <m:sty m:val="p"/>
              </m:rPr>
              <m:t>,</m:t>
            </m:r>
            <m:r>
              <m:t> </m:t>
            </m:r>
            <m:r>
              <m:t>0.073</m:t>
            </m:r>
          </m:e>
        </m:d>
      </m:oMath>
      <w:r>
        <w:t xml:space="preserve"> </w:t>
      </w:r>
      <w:r>
        <w:t xml:space="preserve">and boundary</w:t>
      </w:r>
      <w:r>
        <w:t xml:space="preserve"> </w:t>
      </w:r>
      <m:oMath>
        <m:r>
          <m:t>β</m:t>
        </m:r>
        <m:r>
          <m:rPr>
            <m:sty m:val="p"/>
          </m:rPr>
          <m:t>=</m:t>
        </m:r>
        <m:r>
          <m:rPr>
            <m:sty m:val="p"/>
          </m:rPr>
          <m:t>−</m:t>
        </m:r>
        <m:r>
          <m:t>0.028</m:t>
        </m:r>
      </m:oMath>
      <w:r>
        <w:t xml:space="preserve">, 95% CrI</w:t>
      </w:r>
      <w:r>
        <w:t xml:space="preserve"> </w:t>
      </w:r>
      <m:oMath>
        <m:d>
          <m:dPr>
            <m:begChr m:val="["/>
            <m:sepChr m:val=""/>
            <m:endChr m:val="]"/>
            <m:grow/>
          </m:dPr>
          <m:e>
            <m:r>
              <m:rPr>
                <m:sty m:val="p"/>
              </m:rPr>
              <m:t>−</m:t>
            </m:r>
            <m:r>
              <m:t>0.069</m:t>
            </m:r>
            <m:r>
              <m:rPr>
                <m:sty m:val="p"/>
              </m:rPr>
              <m:t>,</m:t>
            </m:r>
            <m:r>
              <m:t> </m:t>
            </m:r>
            <m:r>
              <m:t>0.011</m:t>
            </m:r>
          </m:e>
        </m:d>
      </m:oMath>
      <w:r>
        <w:t xml:space="preserve"> </w:t>
      </w:r>
      <w:r>
        <w:t xml:space="preserve">spanned zero. Full ELPD values are in Appendix A1 (</w:t>
      </w:r>
      <w:hyperlink w:anchor="tbl-loo-comparison">
        <w:r>
          <w:rPr>
            <w:rStyle w:val="Hyperlink"/>
          </w:rPr>
          <w:t xml:space="preserve">Table 3</w:t>
        </w:r>
      </w:hyperlink>
      <w:r>
        <w:t xml:space="preserve">; max Pareto-</w:t>
      </w:r>
      <m:oMath>
        <m:r>
          <m:t>k</m:t>
        </m:r>
      </m:oMath>
      <w:r>
        <w:t xml:space="preserve"> </w:t>
      </w:r>
      <w:r>
        <w:t xml:space="preserve">= 0.47 for the additive model). All primary analyses below use the additive, probe-onset-locked specification. Pupil-augmented models are reported separately in</w:t>
      </w:r>
      <w:r>
        <w:t xml:space="preserve"> </w:t>
      </w:r>
      <w:hyperlink w:anchor="sec-pupil-ddm-integration">
        <w:r>
          <w:rPr>
            <w:rStyle w:val="Hyperlink"/>
          </w:rPr>
          <w:t xml:space="preserve">Section 3.3</w:t>
        </w:r>
      </w:hyperlink>
      <w:r>
        <w:t xml:space="preserve">.</w:t>
      </w:r>
    </w:p>
    <w:bookmarkEnd w:id="47"/>
    <w:bookmarkStart w:id="63" w:name="sec-behavioral-ddm"/>
    <w:p>
      <w:pPr>
        <w:pStyle w:val="Heading2"/>
      </w:pPr>
      <w:r>
        <w:t xml:space="preserve">3.2 Effort effects on decision parameters (H1-H4)</w:t>
      </w:r>
    </w:p>
    <w:p>
      <w:pPr>
        <w:pStyle w:val="FirstParagraph"/>
      </w:pPr>
      <w:r>
        <w:t xml:space="preserve">Drift (</w:t>
      </w:r>
      <m:oMath>
        <m:r>
          <m:t>v</m:t>
        </m:r>
      </m:oMath>
      <w:r>
        <w:t xml:space="preserve">) and boundary separation (</w:t>
      </w:r>
      <m:oMath>
        <m:r>
          <m:t>a</m:t>
        </m:r>
      </m:oMath>
      <w:r>
        <w:t xml:space="preserve">) by Difficulty × Effort are shown in</w:t>
      </w:r>
      <w:r>
        <w:t xml:space="preserve"> </w:t>
      </w:r>
      <w:hyperlink w:anchor="fig-central-result">
        <w:r>
          <w:rPr>
            <w:rStyle w:val="Hyperlink"/>
          </w:rPr>
          <w:t xml:space="preserve">Figure 2</w:t>
        </w:r>
      </w:hyperlink>
      <w:r>
        <w:t xml:space="preserve">; effort and difficulty contrasts in</w:t>
      </w:r>
      <w:r>
        <w:t xml:space="preserve"> </w:t>
      </w:r>
      <w:hyperlink w:anchor="fig-parameter-forest">
        <w:r>
          <w:rPr>
            <w:rStyle w:val="Hyperlink"/>
          </w:rPr>
          <w:t xml:space="preserve">Figure 3</w:t>
        </w:r>
      </w:hyperlink>
      <w:r>
        <w:t xml:space="preserve">. Hypothesis tests (H1–H4) are in</w:t>
      </w:r>
      <w:r>
        <w:t xml:space="preserve"> </w:t>
      </w:r>
      <w:hyperlink w:anchor="sec-key-contrasts">
        <w:r>
          <w:rPr>
            <w:rStyle w:val="Hyperlink"/>
          </w:rPr>
          <w:t xml:space="preserve">Section 3.2.1</w:t>
        </w:r>
      </w:hyperlink>
      <w:r>
        <w:t xml:space="preserve"> </w:t>
      </w:r>
      <w:r>
        <w:t xml:space="preserve">and</w:t>
      </w:r>
      <w:r>
        <w:t xml:space="preserve"> </w:t>
      </w:r>
      <w:hyperlink w:anchor="tbl-hyp-summary">
        <w:r>
          <w:rPr>
            <w:rStyle w:val="Hyperlink"/>
          </w:rPr>
          <w:t xml:space="preserve">Table 2</w:t>
        </w:r>
      </w:hyperlink>
      <w:r>
        <w:t xml:space="preserve">. Cell-wise posterior medians [95% CrI] for</w:t>
      </w:r>
      <w:r>
        <w:t xml:space="preserve"> </w:t>
      </w:r>
      <m:oMath>
        <m:r>
          <m:t>v</m:t>
        </m:r>
      </m:oMath>
      <w:r>
        <w:t xml:space="preserve">,</w:t>
      </w:r>
      <w:r>
        <w:t xml:space="preserve"> </w:t>
      </w:r>
      <m:oMath>
        <m:r>
          <m:t>a</m:t>
        </m:r>
      </m:oMath>
      <w:r>
        <w:t xml:space="preserve">, and</w:t>
      </w:r>
      <w:r>
        <w:t xml:space="preserve"> </w:t>
      </w:r>
      <m:oMath>
        <m:r>
          <m:t>z</m:t>
        </m:r>
      </m:oMath>
      <w:r>
        <w:t xml:space="preserve"> </w:t>
      </w:r>
      <w:r>
        <w:t xml:space="preserve">are in Appendix A2 (</w:t>
      </w:r>
      <w:hyperlink w:anchor="tbl-ddm-posterior-estimates">
        <w:r>
          <w:rPr>
            <w:rStyle w:val="Hyperlink"/>
          </w:rPr>
          <w:t xml:space="preserve">Table 6</w:t>
        </w:r>
      </w:hyperlink>
      <w:r>
        <w:t xml:space="preserve">).</w:t>
      </w:r>
    </w:p>
    <w:p>
      <w:pPr>
        <w:pStyle w:val="BodyText"/>
      </w:pPr>
      <w:r>
        <w:t xml:space="preserve">Positive</w:t>
      </w:r>
      <w:r>
        <w:t xml:space="preserve"> </w:t>
      </w:r>
      <m:oMath>
        <m:r>
          <m:t>v</m:t>
        </m:r>
      </m:oMath>
      <w:r>
        <w:t xml:space="preserve"> </w:t>
      </w:r>
      <w:r>
        <w:t xml:space="preserve">indicates drift toward</w:t>
      </w:r>
      <w:r>
        <w:t xml:space="preserve"> </w:t>
      </w:r>
      <w:r>
        <w:t xml:space="preserve">“different”</w:t>
      </w:r>
      <w:r>
        <w:t xml:space="preserve">; negative</w:t>
      </w:r>
      <w:r>
        <w:t xml:space="preserve"> </w:t>
      </w:r>
      <m:oMath>
        <m:r>
          <m:t>v</m:t>
        </m:r>
      </m:oMath>
      <w:r>
        <w:t xml:space="preserve"> </w:t>
      </w:r>
      <w:r>
        <w:t xml:space="preserve">toward</w:t>
      </w:r>
      <w:r>
        <w:t xml:space="preserve"> </w:t>
      </w:r>
      <w:r>
        <w:t xml:space="preserve">“same”</w:t>
      </w:r>
      <w:r>
        <w:t xml:space="preserve">. Non-decision time (</w:t>
      </w:r>
      <m:oMath>
        <m:sSub>
          <m:e>
            <m:r>
              <m:t>t</m:t>
            </m:r>
          </m:e>
          <m:sub>
            <m:r>
              <m:t>0</m:t>
            </m:r>
          </m:sub>
        </m:sSub>
      </m:oMath>
      <w:r>
        <w:t xml:space="preserve">) was a single intercept (0.504 s) in the primary model (</w:t>
      </w:r>
      <w:hyperlink w:anchor="sec-ddm-spec">
        <w:r>
          <w:rPr>
            <w:rStyle w:val="Hyperlink"/>
          </w:rPr>
          <w:t xml:space="preserve">Section 2.10</w:t>
        </w:r>
      </w:hyperlink>
      <w:r>
        <w:t xml:space="preserve">); it does not vary by condition and is omitted from the figures.</w:t>
      </w:r>
    </w:p>
    <w:tbl>
      <w:tblPr>
        <w:tblStyle w:val="Table"/>
        <w:tblW w:type="pct" w:w="5000"/>
        <w:tblLayout w:type="fixed"/>
        <w:tblLook w:firstRow="0" w:lastRow="0" w:firstColumn="0" w:lastColumn="0" w:noHBand="0" w:noVBand="0" w:val="0000"/>
      </w:tblPr>
      <w:tblGrid>
        <w:gridCol w:w="7920"/>
      </w:tblGrid>
      <w:tr>
        <w:tc>
          <w:tcPr/>
          <w:bookmarkStart w:id="51" w:name="fig-central-result"/>
          <w:p>
            <w:pPr>
              <w:pStyle w:val="Compact"/>
              <w:jc w:val="center"/>
            </w:pPr>
            <w:r>
              <w:drawing>
                <wp:inline>
                  <wp:extent cx="5334000" cy="2964448"/>
                  <wp:effectExtent b="0" l="0" r="0" t="0"/>
                  <wp:docPr descr="" title="" id="49" name="Picture"/>
                  <a:graphic>
                    <a:graphicData uri="http://schemas.openxmlformats.org/drawingml/2006/picture">
                      <pic:pic>
                        <pic:nvPicPr>
                          <pic:cNvPr descr="../output/figures/manuscript/fig2_central_result.png" id="50" name="Picture"/>
                          <pic:cNvPicPr>
                            <a:picLocks noChangeArrowheads="1" noChangeAspect="1"/>
                          </pic:cNvPicPr>
                        </pic:nvPicPr>
                        <pic:blipFill>
                          <a:blip r:embed="rId48"/>
                          <a:stretch>
                            <a:fillRect/>
                          </a:stretch>
                        </pic:blipFill>
                        <pic:spPr bwMode="auto">
                          <a:xfrm>
                            <a:off x="0" y="0"/>
                            <a:ext cx="5334000" cy="296444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
                <w:bCs/>
              </w:rPr>
              <w:t xml:space="preserve">High-effort handgrip degraded evidence accumulation quality with only a ROPE-negligible boundary effect.</w:t>
            </w:r>
            <w:r>
              <w:t xml:space="preserve"> </w:t>
            </w:r>
            <w:r>
              <w:rPr>
                <w:b/>
                <w:bCs/>
              </w:rPr>
              <w:t xml:space="preserve">(A)</w:t>
            </w:r>
            <w:r>
              <w:t xml:space="preserve"> </w:t>
            </w:r>
            <w:r>
              <w:t xml:space="preserve">Posterior median drift rate (</w:t>
            </w:r>
            <m:oMath>
              <m:r>
                <m:t>v</m:t>
              </m:r>
            </m:oMath>
            <w:r>
              <w:t xml:space="preserve">) by Difficulty</w:t>
            </w:r>
            <w:r>
              <w:t xml:space="preserve"> </w:t>
            </w:r>
            <m:oMath>
              <m:r>
                <m:rPr>
                  <m:sty m:val="p"/>
                </m:rPr>
                <m:t>×</m:t>
              </m:r>
            </m:oMath>
            <w:r>
              <w:t xml:space="preserve"> </w:t>
            </w:r>
            <w:r>
              <w:t xml:space="preserve">Effort (95% CrI; Low = blue, High = magenta), pooled across tasks; dashed line at</w:t>
            </w:r>
            <w:r>
              <w:t xml:space="preserve"> </w:t>
            </w:r>
            <m:oMath>
              <m:r>
                <m:t>v</m:t>
              </m:r>
              <m:r>
                <m:rPr>
                  <m:sty m:val="p"/>
                </m:rPr>
                <m:t>=</m:t>
              </m:r>
              <m:r>
                <m:t>0</m:t>
              </m:r>
            </m:oMath>
            <w:r>
              <w:t xml:space="preserve">.</w:t>
            </w:r>
            <w:r>
              <w:t xml:space="preserve"> </w:t>
            </w:r>
            <w:r>
              <w:rPr>
                <w:b/>
                <w:bCs/>
              </w:rPr>
              <w:t xml:space="preserve">(B)</w:t>
            </w:r>
            <w:r>
              <w:t xml:space="preserve"> </w:t>
            </w:r>
            <w:r>
              <w:t xml:space="preserve">H1: High</w:t>
            </w:r>
            <w:r>
              <w:t xml:space="preserve"> </w:t>
            </w:r>
            <m:oMath>
              <m:r>
                <m:rPr>
                  <m:sty m:val="p"/>
                </m:rPr>
                <m:t>−</m:t>
              </m:r>
            </m:oMath>
            <w:r>
              <w:t xml:space="preserve"> </w:t>
            </w:r>
            <w:r>
              <w:t xml:space="preserve">Low effort contrast on</w:t>
            </w:r>
            <w:r>
              <w:t xml:space="preserve"> </w:t>
            </w:r>
            <m:oMath>
              <m:r>
                <m:t>v</m:t>
              </m:r>
            </m:oMath>
            <w:r>
              <w:t xml:space="preserve">; 95% CrI excludes zero.</w:t>
            </w:r>
            <w:r>
              <w:t xml:space="preserve"> </w:t>
            </w:r>
            <w:r>
              <w:rPr>
                <w:b/>
                <w:bCs/>
              </w:rPr>
              <w:t xml:space="preserve">(C)</w:t>
            </w:r>
            <w:r>
              <w:t xml:space="preserve"> </w:t>
            </w:r>
            <w:r>
              <w:t xml:space="preserve">Posterior median boundary separation (</w:t>
            </w:r>
            <m:oMath>
              <m:r>
                <m:t>a</m:t>
              </m:r>
            </m:oMath>
            <w:r>
              <w:t xml:space="preserve">) by Difficulty</w:t>
            </w:r>
            <w:r>
              <w:t xml:space="preserve"> </w:t>
            </w:r>
            <m:oMath>
              <m:r>
                <m:rPr>
                  <m:sty m:val="p"/>
                </m:rPr>
                <m:t>×</m:t>
              </m:r>
            </m:oMath>
            <w:r>
              <w:t xml:space="preserve"> </w:t>
            </w:r>
            <w:r>
              <w:t xml:space="preserve">Effort.</w:t>
            </w:r>
            <w:r>
              <w:t xml:space="preserve"> </w:t>
            </w:r>
            <w:r>
              <w:rPr>
                <w:b/>
                <w:bCs/>
              </w:rPr>
              <w:t xml:space="preserve">(D)</w:t>
            </w:r>
            <w:r>
              <w:t xml:space="preserve"> </w:t>
            </w:r>
            <w:r>
              <w:t xml:space="preserve">H2: High</w:t>
            </w:r>
            <w:r>
              <w:t xml:space="preserve"> </w:t>
            </w:r>
            <m:oMath>
              <m:r>
                <m:rPr>
                  <m:sty m:val="p"/>
                </m:rPr>
                <m:t>−</m:t>
              </m:r>
            </m:oMath>
            <w:r>
              <w:t xml:space="preserve"> </w:t>
            </w:r>
            <w:r>
              <w:t xml:space="preserve">Low effort contrast on</w:t>
            </w:r>
            <w:r>
              <w:t xml:space="preserve"> </w:t>
            </w:r>
            <m:oMath>
              <m:r>
                <m:t>a</m:t>
              </m:r>
            </m:oMath>
            <w:r>
              <w:t xml:space="preserve"> </w:t>
            </w:r>
            <w:r>
              <w:t xml:space="preserve">(log scale); directionally positive but all posterior mass within the project ROPE (practically negligible). Statistical note: H1 on</w:t>
            </w:r>
            <w:r>
              <w:t xml:space="preserve"> </w:t>
            </w:r>
            <m:oMath>
              <m:r>
                <m:t>v</m:t>
              </m:r>
            </m:oMath>
            <w:r>
              <w:t xml:space="preserve">:</w:t>
            </w:r>
            <w:r>
              <w:t xml:space="preserve"> </w:t>
            </w:r>
            <m:oMath>
              <m:r>
                <m:t>β</m:t>
              </m:r>
              <m:r>
                <m:rPr>
                  <m:sty m:val="p"/>
                </m:rPr>
                <m:t>=</m:t>
              </m:r>
              <m:r>
                <m:rPr>
                  <m:sty m:val="p"/>
                </m:rPr>
                <m:t>−</m:t>
              </m:r>
              <m:r>
                <m:t>0.06</m:t>
              </m:r>
            </m:oMath>
            <w:r>
              <w:t xml:space="preserve">, 95% CrI</w:t>
            </w:r>
            <w:r>
              <w:t xml:space="preserve"> </w:t>
            </w:r>
            <m:oMath>
              <m:d>
                <m:dPr>
                  <m:begChr m:val="["/>
                  <m:sepChr m:val=""/>
                  <m:endChr m:val="]"/>
                  <m:grow/>
                </m:dPr>
                <m:e>
                  <m:r>
                    <m:rPr>
                      <m:sty m:val="p"/>
                    </m:rPr>
                    <m:t>−</m:t>
                  </m:r>
                  <m:r>
                    <m:t>0.10</m:t>
                  </m:r>
                  <m:r>
                    <m:rPr>
                      <m:sty m:val="p"/>
                    </m:rPr>
                    <m:t>,</m:t>
                  </m:r>
                  <m:r>
                    <m:t> </m:t>
                  </m:r>
                  <m:r>
                    <m:rPr>
                      <m:sty m:val="p"/>
                    </m:rPr>
                    <m:t>−</m:t>
                  </m:r>
                  <m:r>
                    <m:t>0.02</m:t>
                  </m:r>
                </m:e>
              </m:d>
            </m:oMath>
            <w:r>
              <w:t xml:space="preserve">;</w:t>
            </w:r>
            <w:r>
              <w:t xml:space="preserve"> </w:t>
            </w:r>
            <m:oMath>
              <m:r>
                <m:t>P</m:t>
              </m:r>
              <m:d>
                <m:dPr>
                  <m:begChr m:val="("/>
                  <m:sepChr m:val=""/>
                  <m:endChr m:val=")"/>
                  <m:grow/>
                </m:dPr>
                <m:e>
                  <m:r>
                    <m:t>β</m:t>
                  </m:r>
                  <m:r>
                    <m:rPr>
                      <m:sty m:val="p"/>
                    </m:rPr>
                    <m:t>&lt;</m:t>
                  </m:r>
                  <m:r>
                    <m:t>0</m:t>
                  </m:r>
                </m:e>
              </m:d>
              <m:r>
                <m:rPr>
                  <m:sty m:val="p"/>
                </m:rPr>
                <m:t>=</m:t>
              </m:r>
              <m:r>
                <m:t>0.997</m:t>
              </m:r>
            </m:oMath>
            <w:r>
              <w:t xml:space="preserve">. H2 on</w:t>
            </w:r>
            <w:r>
              <w:t xml:space="preserve"> </w:t>
            </w:r>
            <m:oMath>
              <m:r>
                <m:t>a</m:t>
              </m:r>
            </m:oMath>
            <w:r>
              <w:t xml:space="preserve">:</w:t>
            </w:r>
            <w:r>
              <w:t xml:space="preserve"> </w:t>
            </w:r>
            <m:oMath>
              <m:r>
                <m:t>β</m:t>
              </m:r>
              <m:r>
                <m:rPr>
                  <m:sty m:val="p"/>
                </m:rPr>
                <m:t>=</m:t>
              </m:r>
              <m:r>
                <m:t>0.02</m:t>
              </m:r>
            </m:oMath>
            <w:r>
              <w:t xml:space="preserve">, 95% CrI</w:t>
            </w:r>
            <w:r>
              <w:t xml:space="preserve"> </w:t>
            </w:r>
            <m:oMath>
              <m:d>
                <m:dPr>
                  <m:begChr m:val="["/>
                  <m:sepChr m:val=""/>
                  <m:endChr m:val="]"/>
                  <m:grow/>
                </m:dPr>
                <m:e>
                  <m:r>
                    <m:t>0.004</m:t>
                  </m:r>
                  <m:r>
                    <m:rPr>
                      <m:sty m:val="p"/>
                    </m:rPr>
                    <m:t>,</m:t>
                  </m:r>
                  <m:r>
                    <m:t> </m:t>
                  </m:r>
                  <m:r>
                    <m:t>0.029</m:t>
                  </m:r>
                </m:e>
              </m:d>
            </m:oMath>
            <w:r>
              <w:t xml:space="preserve">;</w:t>
            </w:r>
            <w:r>
              <w:t xml:space="preserve"> </w:t>
            </w:r>
            <m:oMath>
              <m:r>
                <m:t>P</m:t>
              </m:r>
              <m:d>
                <m:dPr>
                  <m:begChr m:val="("/>
                  <m:sepChr m:val=""/>
                  <m:endChr m:val=")"/>
                  <m:grow/>
                </m:dPr>
                <m:e>
                  <m:r>
                    <m:t>β</m:t>
                  </m:r>
                  <m:r>
                    <m:rPr>
                      <m:sty m:val="p"/>
                    </m:rPr>
                    <m:t>&gt;</m:t>
                  </m:r>
                  <m:r>
                    <m:t>0</m:t>
                  </m:r>
                </m:e>
              </m:d>
              <m:r>
                <m:rPr>
                  <m:sty m:val="p"/>
                </m:rPr>
                <m:t>=</m:t>
              </m:r>
              <m:r>
                <m:t>0.996</m:t>
              </m:r>
            </m:oMath>
            <w:r>
              <w:t xml:space="preserve">; 100% of posterior mass within $</w:t>
            </w:r>
            <w:r>
              <w:t xml:space="preserve">$0.05 log-scale ROPE.</w:t>
            </w:r>
          </w:p>
          <w:bookmarkEnd w:id="51"/>
        </w:tc>
      </w:tr>
    </w:tbl>
    <w:p>
      <w:pPr>
        <w:pStyle w:val="BodyText"/>
      </w:pPr>
      <w:r>
        <w:t xml:space="preserve">Because Effort is a within-subject manipulation, visual overlap in marginal means is misleading. Panel B of</w:t>
      </w:r>
      <w:r>
        <w:t xml:space="preserve"> </w:t>
      </w:r>
      <w:hyperlink w:anchor="fig-central-result">
        <w:r>
          <w:rPr>
            <w:rStyle w:val="Hyperlink"/>
          </w:rPr>
          <w:t xml:space="preserve">Figure 2</w:t>
        </w:r>
      </w:hyperlink>
      <w:r>
        <w:t xml:space="preserve"> </w:t>
      </w:r>
      <w:r>
        <w:t xml:space="preserve">plots the posterior distribution of the difference score (High</w:t>
      </w:r>
      <w:r>
        <w:t xml:space="preserve"> </w:t>
      </w:r>
      <m:oMath>
        <m:r>
          <m:rPr>
            <m:sty m:val="p"/>
          </m:rPr>
          <m:t>−</m:t>
        </m:r>
      </m:oMath>
      <w:r>
        <w:t xml:space="preserve"> </w:t>
      </w:r>
      <w:r>
        <w:t xml:space="preserve">Low Effort) and shows that the 95% CrI does not cross zero, confirming a highly credible reduction in drift rate.</w:t>
      </w:r>
    </w:p>
    <w:tbl>
      <w:tblPr>
        <w:tblStyle w:val="Table"/>
        <w:tblW w:type="pct" w:w="5000"/>
        <w:tblLayout w:type="fixed"/>
        <w:tblLook w:firstRow="0" w:lastRow="0" w:firstColumn="0" w:lastColumn="0" w:noHBand="0" w:noVBand="0" w:val="0000"/>
      </w:tblPr>
      <w:tblGrid>
        <w:gridCol w:w="7920"/>
      </w:tblGrid>
      <w:tr>
        <w:tc>
          <w:tcPr/>
          <w:bookmarkStart w:id="55" w:name="fig-parameter-forest"/>
          <w:p>
            <w:pPr>
              <w:pStyle w:val="Compact"/>
              <w:jc w:val="center"/>
            </w:pPr>
            <w:r>
              <w:drawing>
                <wp:inline>
                  <wp:extent cx="5334000" cy="2665744"/>
                  <wp:effectExtent b="0" l="0" r="0" t="0"/>
                  <wp:docPr descr="" title="" id="53" name="Picture"/>
                  <a:graphic>
                    <a:graphicData uri="http://schemas.openxmlformats.org/drawingml/2006/picture">
                      <pic:pic>
                        <pic:nvPicPr>
                          <pic:cNvPr descr="../output/figures/manuscript/fig3_parameter_forest.png" id="54" name="Picture"/>
                          <pic:cNvPicPr>
                            <a:picLocks noChangeArrowheads="1" noChangeAspect="1"/>
                          </pic:cNvPicPr>
                        </pic:nvPicPr>
                        <pic:blipFill>
                          <a:blip r:embed="rId52"/>
                          <a:stretch>
                            <a:fillRect/>
                          </a:stretch>
                        </pic:blipFill>
                        <pic:spPr bwMode="auto">
                          <a:xfrm>
                            <a:off x="0" y="0"/>
                            <a:ext cx="5334000" cy="26657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Effort credibly affected drift rate and boundary separation; starting-point bias did not.</w:t>
            </w:r>
            <w:r>
              <w:t xml:space="preserve"> </w:t>
            </w:r>
            <w:r>
              <w:rPr>
                <w:b/>
                <w:bCs/>
              </w:rPr>
              <w:t xml:space="preserve">(A)</w:t>
            </w:r>
            <w:r>
              <w:t xml:space="preserve"> </w:t>
            </w:r>
            <w:r>
              <w:t xml:space="preserve">High</w:t>
            </w:r>
            <w:r>
              <w:t xml:space="preserve"> </w:t>
            </w:r>
            <m:oMath>
              <m:r>
                <m:rPr>
                  <m:sty m:val="p"/>
                </m:rPr>
                <m:t>−</m:t>
              </m:r>
            </m:oMath>
            <w:r>
              <w:t xml:space="preserve"> </w:t>
            </w:r>
            <w:r>
              <w:t xml:space="preserve">Low effort contrasts (posterior median</w:t>
            </w:r>
            <w:r>
              <w:t xml:space="preserve"> </w:t>
            </w:r>
            <m:oMath>
              <m:r>
                <m:rPr>
                  <m:sty m:val="p"/>
                </m:rPr>
                <m:t>±</m:t>
              </m:r>
            </m:oMath>
            <w:r>
              <w:t xml:space="preserve"> </w:t>
            </w:r>
            <w:r>
              <w:t xml:space="preserve">95% CrI) for H1 (drift</w:t>
            </w:r>
            <w:r>
              <w:t xml:space="preserve"> </w:t>
            </w:r>
            <m:oMath>
              <m:r>
                <m:t>v</m:t>
              </m:r>
            </m:oMath>
            <w:r>
              <w:t xml:space="preserve">), H2 (boundary</w:t>
            </w:r>
            <w:r>
              <w:t xml:space="preserve"> </w:t>
            </w:r>
            <m:oMath>
              <m:r>
                <m:t>a</m:t>
              </m:r>
            </m:oMath>
            <w:r>
              <w:t xml:space="preserve">), and H4 (starting-point bias</w:t>
            </w:r>
            <w:r>
              <w:t xml:space="preserve"> </w:t>
            </w:r>
            <m:oMath>
              <m:r>
                <m:t>z</m:t>
              </m:r>
            </m:oMath>
            <w:r>
              <w:t xml:space="preserve">). Filled circles: 95% CrI excludes zero; open circles: CrI spans zero.</w:t>
            </w:r>
            <w:r>
              <w:t xml:space="preserve"> </w:t>
            </w:r>
            <w:r>
              <w:rPr>
                <w:b/>
                <w:bCs/>
              </w:rPr>
              <w:t xml:space="preserve">(B)</w:t>
            </w:r>
            <w:r>
              <w:t xml:space="preserve"> </w:t>
            </w:r>
            <w:r>
              <w:t xml:space="preserve">Pairwise difficulty contrasts on drift</w:t>
            </w:r>
            <w:r>
              <w:t xml:space="preserve"> </w:t>
            </w:r>
            <m:oMath>
              <m:r>
                <m:t>v</m:t>
              </m:r>
            </m:oMath>
            <w:r>
              <w:t xml:space="preserve"> </w:t>
            </w:r>
            <w:r>
              <w:t xml:space="preserve">(identity scale) and boundary</w:t>
            </w:r>
            <w:r>
              <w:t xml:space="preserve"> </w:t>
            </w:r>
            <m:oMath>
              <m:r>
                <m:t>a</m:t>
              </m:r>
            </m:oMath>
            <w:r>
              <w:t xml:space="preserve"> </w:t>
            </w:r>
            <w:r>
              <w:t xml:space="preserve">(log scale): Easy vs. Standard, Hard vs. Standard, and Easy vs. Hard. Statistical note: H1</w:t>
            </w:r>
            <w:r>
              <w:t xml:space="preserve"> </w:t>
            </w:r>
            <m:oMath>
              <m:r>
                <m:t>β</m:t>
              </m:r>
              <m:r>
                <m:rPr>
                  <m:sty m:val="p"/>
                </m:rPr>
                <m:t>=</m:t>
              </m:r>
              <m:r>
                <m:rPr>
                  <m:sty m:val="p"/>
                </m:rPr>
                <m:t>−</m:t>
              </m:r>
              <m:r>
                <m:t>0.06</m:t>
              </m:r>
            </m:oMath>
            <w:r>
              <w:t xml:space="preserve"> </w:t>
            </w:r>
            <w:r>
              <w:t xml:space="preserve">95% CrI</w:t>
            </w:r>
            <w:r>
              <w:t xml:space="preserve"> </w:t>
            </w:r>
            <m:oMath>
              <m:d>
                <m:dPr>
                  <m:begChr m:val="["/>
                  <m:sepChr m:val=""/>
                  <m:endChr m:val="]"/>
                  <m:grow/>
                </m:dPr>
                <m:e>
                  <m:r>
                    <m:rPr>
                      <m:sty m:val="p"/>
                    </m:rPr>
                    <m:t>−</m:t>
                  </m:r>
                  <m:r>
                    <m:t>0.10</m:t>
                  </m:r>
                  <m:r>
                    <m:rPr>
                      <m:sty m:val="p"/>
                    </m:rPr>
                    <m:t>,</m:t>
                  </m:r>
                  <m:r>
                    <m:t> </m:t>
                  </m:r>
                  <m:r>
                    <m:rPr>
                      <m:sty m:val="p"/>
                    </m:rPr>
                    <m:t>−</m:t>
                  </m:r>
                  <m:r>
                    <m:t>0.02</m:t>
                  </m:r>
                </m:e>
              </m:d>
            </m:oMath>
            <w:r>
              <w:t xml:space="preserve">; H2</w:t>
            </w:r>
            <w:r>
              <w:t xml:space="preserve"> </w:t>
            </w:r>
            <m:oMath>
              <m:r>
                <m:t>β</m:t>
              </m:r>
              <m:r>
                <m:rPr>
                  <m:sty m:val="p"/>
                </m:rPr>
                <m:t>=</m:t>
              </m:r>
              <m:r>
                <m:t>0.02</m:t>
              </m:r>
            </m:oMath>
            <w:r>
              <w:t xml:space="preserve"> </w:t>
            </w:r>
            <w:r>
              <w:t xml:space="preserve">95% CrI</w:t>
            </w:r>
            <w:r>
              <w:t xml:space="preserve"> </w:t>
            </w:r>
            <m:oMath>
              <m:d>
                <m:dPr>
                  <m:begChr m:val="["/>
                  <m:sepChr m:val=""/>
                  <m:endChr m:val="]"/>
                  <m:grow/>
                </m:dPr>
                <m:e>
                  <m:r>
                    <m:t>0.004</m:t>
                  </m:r>
                  <m:r>
                    <m:rPr>
                      <m:sty m:val="p"/>
                    </m:rPr>
                    <m:t>,</m:t>
                  </m:r>
                  <m:r>
                    <m:t> </m:t>
                  </m:r>
                  <m:r>
                    <m:t>0.029</m:t>
                  </m:r>
                </m:e>
              </m:d>
            </m:oMath>
            <w:r>
              <w:t xml:space="preserve">; H4 (primary, logit)</w:t>
            </w:r>
            <w:r>
              <w:t xml:space="preserve"> </w:t>
            </w:r>
            <m:oMath>
              <m:r>
                <m:t>β</m:t>
              </m:r>
              <m:r>
                <m:rPr>
                  <m:sty m:val="p"/>
                </m:rPr>
                <m:t>=</m:t>
              </m:r>
              <m:r>
                <m:rPr>
                  <m:sty m:val="p"/>
                </m:rPr>
                <m:t>−</m:t>
              </m:r>
              <m:r>
                <m:t>0.005</m:t>
              </m:r>
            </m:oMath>
            <w:r>
              <w:t xml:space="preserve"> </w:t>
            </w:r>
            <w:r>
              <w:t xml:space="preserve">95% CrI</w:t>
            </w:r>
            <w:r>
              <w:t xml:space="preserve"> </w:t>
            </w:r>
            <m:oMath>
              <m:d>
                <m:dPr>
                  <m:begChr m:val="["/>
                  <m:sepChr m:val=""/>
                  <m:endChr m:val="]"/>
                  <m:grow/>
                </m:dPr>
                <m:e>
                  <m:r>
                    <m:rPr>
                      <m:sty m:val="p"/>
                    </m:rPr>
                    <m:t>−</m:t>
                  </m:r>
                  <m:r>
                    <m:t>0.046</m:t>
                  </m:r>
                  <m:r>
                    <m:rPr>
                      <m:sty m:val="p"/>
                    </m:rPr>
                    <m:t>,</m:t>
                  </m:r>
                  <m:r>
                    <m:t> </m:t>
                  </m:r>
                  <m:r>
                    <m:t>0.036</m:t>
                  </m:r>
                </m:e>
              </m:d>
            </m:oMath>
            <w:r>
              <w:t xml:space="preserve">. Difficulty contrasts on drift: Easy vs. Standard</w:t>
            </w:r>
            <w:r>
              <w:t xml:space="preserve"> </w:t>
            </w:r>
            <m:oMath>
              <m:r>
                <m:t>β</m:t>
              </m:r>
              <m:r>
                <m:rPr>
                  <m:sty m:val="p"/>
                </m:rPr>
                <m:t>≈</m:t>
              </m:r>
              <m:r>
                <m:rPr>
                  <m:sty m:val="p"/>
                </m:rPr>
                <m:t>+</m:t>
              </m:r>
              <m:r>
                <m:t>2.07</m:t>
              </m:r>
            </m:oMath>
            <w:r>
              <w:t xml:space="preserve"> </w:t>
            </w:r>
            <w:r>
              <w:t xml:space="preserve">[</w:t>
            </w:r>
            <m:oMath>
              <m:r>
                <m:t>2.028</m:t>
              </m:r>
            </m:oMath>
            <w:r>
              <w:t xml:space="preserve">,</w:t>
            </w:r>
            <w:r>
              <w:t xml:space="preserve"> </w:t>
            </w:r>
            <m:oMath>
              <m:r>
                <m:t>2.123</m:t>
              </m:r>
            </m:oMath>
            <w:r>
              <w:t xml:space="preserve">]; Hard vs. Standard</w:t>
            </w:r>
            <w:r>
              <w:t xml:space="preserve"> </w:t>
            </w:r>
            <m:oMath>
              <m:r>
                <m:t>β</m:t>
              </m:r>
              <m:r>
                <m:rPr>
                  <m:sty m:val="p"/>
                </m:rPr>
                <m:t>≈</m:t>
              </m:r>
              <m:r>
                <m:rPr>
                  <m:sty m:val="p"/>
                </m:rPr>
                <m:t>+</m:t>
              </m:r>
              <m:r>
                <m:t>0.57</m:t>
              </m:r>
            </m:oMath>
            <w:r>
              <w:t xml:space="preserve"> </w:t>
            </w:r>
            <w:r>
              <w:t xml:space="preserve">[</w:t>
            </w:r>
            <m:oMath>
              <m:r>
                <m:t>0.527</m:t>
              </m:r>
            </m:oMath>
            <w:r>
              <w:t xml:space="preserve">,</w:t>
            </w:r>
            <w:r>
              <w:t xml:space="preserve"> </w:t>
            </w:r>
            <m:oMath>
              <m:r>
                <m:t>0.617</m:t>
              </m:r>
            </m:oMath>
            <w:r>
              <w:t xml:space="preserve">]; all 95% CrIs exclude zero.</w:t>
            </w:r>
          </w:p>
          <w:bookmarkEnd w:id="55"/>
        </w:tc>
      </w:tr>
    </w:tbl>
    <w:p>
      <w:pPr>
        <w:pStyle w:val="BodyText"/>
      </w:pPr>
      <w:r>
        <w:t xml:space="preserve">Difficulty strongly modulated</w:t>
      </w:r>
      <w:r>
        <w:t xml:space="preserve"> </w:t>
      </w:r>
      <m:oMath>
        <m:r>
          <m:t>v</m:t>
        </m:r>
      </m:oMath>
      <w:r>
        <w:t xml:space="preserve"> </w:t>
      </w:r>
      <w:r>
        <w:t xml:space="preserve">and</w:t>
      </w:r>
      <w:r>
        <w:t xml:space="preserve"> </w:t>
      </w:r>
      <m:oMath>
        <m:r>
          <m:t>a</m:t>
        </m:r>
      </m:oMath>
      <w:r>
        <w:t xml:space="preserve">;</w:t>
      </w:r>
      <w:r>
        <w:t xml:space="preserve"> </w:t>
      </w:r>
      <m:oMath>
        <m:r>
          <m:t>z</m:t>
        </m:r>
      </m:oMath>
      <w:r>
        <w:t xml:space="preserve"> </w:t>
      </w:r>
      <w:r>
        <w:t xml:space="preserve">varied mainly by task, with little effort effect (</w:t>
      </w:r>
      <w:hyperlink w:anchor="fig-parameter-forest">
        <w:r>
          <w:rPr>
            <w:rStyle w:val="Hyperlink"/>
          </w:rPr>
          <w:t xml:space="preserve">Figure 3</w:t>
        </w:r>
      </w:hyperlink>
      <w:r>
        <w:t xml:space="preserve">). Starting-point bias calibration is in</w:t>
      </w:r>
      <w:r>
        <w:t xml:space="preserve"> </w:t>
      </w:r>
      <w:hyperlink w:anchor="sec-starting-point-bias">
        <w:r>
          <w:rPr>
            <w:rStyle w:val="Hyperlink"/>
          </w:rPr>
          <w:t xml:space="preserve">Section 3.2.2</w:t>
        </w:r>
      </w:hyperlink>
      <w:r>
        <w:t xml:space="preserve">.</w:t>
      </w:r>
    </w:p>
    <w:p>
      <w:pPr>
        <w:pStyle w:val="BodyText"/>
      </w:pPr>
      <w:r>
        <w:t xml:space="preserve">Of 63 subjects with usable pupil recordings, 14,586 trials had valid baseline-corrected pupil data (mean 232 trials per subject). The pupil-linked DDM models below use a further filtered subset (12,287 trials, 59 participants) requiring valid TEPR and matching behavioral inclusion. Baseline pupil descriptives by condition are reported in Appendix A2 (</w:t>
      </w:r>
      <w:hyperlink w:anchor="tbl-baseline-pupil">
        <w:r>
          <w:rPr>
            <w:rStyle w:val="Hyperlink"/>
          </w:rPr>
          <w:t xml:space="preserve">Table 8</w:t>
        </w:r>
      </w:hyperlink>
      <w:r>
        <w:t xml:space="preserve">). TEPR descriptives and waveforms are in Appendix A5 (</w:t>
      </w:r>
      <w:hyperlink w:anchor="tbl-tepr">
        <w:r>
          <w:rPr>
            <w:rStyle w:val="Hyperlink"/>
          </w:rPr>
          <w:t xml:space="preserve">Table 20</w:t>
        </w:r>
      </w:hyperlink>
      <w:r>
        <w:t xml:space="preserve">,</w:t>
      </w:r>
      <w:r>
        <w:t xml:space="preserve"> </w:t>
      </w:r>
      <w:hyperlink w:anchor="fig-tepr-timecourse-supp">
        <w:r>
          <w:rPr>
            <w:rStyle w:val="Hyperlink"/>
          </w:rPr>
          <w:t xml:space="preserve">Figure 16</w:t>
        </w:r>
      </w:hyperlink>
      <w:r>
        <w:t xml:space="preserve">).</w:t>
      </w:r>
    </w:p>
    <w:bookmarkStart w:id="57" w:name="sec-key-contrasts"/>
    <w:p>
      <w:pPr>
        <w:pStyle w:val="Heading3"/>
      </w:pPr>
      <w:r>
        <w:t xml:space="preserve">3.2.1 Behavioral hypothesis tests (H1-H4)</w:t>
      </w:r>
    </w:p>
    <w:p>
      <w:pPr>
        <w:pStyle w:val="FirstParagraph"/>
      </w:pPr>
      <w:r>
        <w:t xml:space="preserve">We tested the four effort hypotheses using posterior contrasts on the link scale.</w:t>
      </w:r>
    </w:p>
    <w:p>
      <w:pPr>
        <w:pStyle w:val="BodyText"/>
      </w:pPr>
      <w:r>
        <w:t xml:space="preserve">Difficulty had large effects on drift rate (</w:t>
      </w:r>
      <m:oMath>
        <m:r>
          <m:t>v</m:t>
        </m:r>
      </m:oMath>
      <w:r>
        <w:t xml:space="preserve">): Easy</w:t>
      </w:r>
      <w:r>
        <w:t xml:space="preserve"> </w:t>
      </w:r>
      <m:oMath>
        <m:r>
          <m:rPr>
            <m:sty m:val="p"/>
          </m:rPr>
          <m:t>&gt;</m:t>
        </m:r>
      </m:oMath>
      <w:r>
        <w:t xml:space="preserve"> </w:t>
      </w:r>
      <w:r>
        <w:t xml:space="preserve">Hard</w:t>
      </w:r>
      <w:r>
        <w:t xml:space="preserve"> </w:t>
      </w:r>
      <m:oMath>
        <m:r>
          <m:rPr>
            <m:sty m:val="p"/>
          </m:rPr>
          <m:t>&gt;</m:t>
        </m:r>
      </m:oMath>
      <w:r>
        <w:t xml:space="preserve"> </w:t>
      </w:r>
      <w:r>
        <w:t xml:space="preserve">Standard. Effort also shifted</w:t>
      </w:r>
      <w:r>
        <w:t xml:space="preserve"> </w:t>
      </w:r>
      <m:oMath>
        <m:r>
          <m:t>v</m:t>
        </m:r>
      </m:oMath>
      <w:r>
        <w:t xml:space="preserve">. Boundary separation (</w:t>
      </w:r>
      <m:oMath>
        <m:r>
          <m:t>a</m:t>
        </m:r>
      </m:oMath>
      <w:r>
        <w:t xml:space="preserve">) and starting-point bias (</w:t>
      </w:r>
      <m:oMath>
        <m:r>
          <m:t>z</m:t>
        </m:r>
      </m:oMath>
      <w:r>
        <w:t xml:space="preserve">) changed less.</w:t>
      </w:r>
    </w:p>
    <w:p>
      <w:pPr>
        <w:pStyle w:val="BodyText"/>
      </w:pPr>
      <w:r>
        <w:t xml:space="preserve">For each hypothesis, inference rests on the High − Low effort contrast (</w:t>
      </w:r>
      <m:oMath>
        <m:r>
          <m:t>δ</m:t>
        </m:r>
      </m:oMath>
      <w:r>
        <w:t xml:space="preserve">) extracted from posterior draws. We report the posterior median, 95% credible interval (CrI), and the relevant posterior probability,</w:t>
      </w:r>
      <w:r>
        <w:t xml:space="preserve"> </w:t>
      </w:r>
      <m:oMath>
        <m:r>
          <m:t>P</m:t>
        </m:r>
        <m:d>
          <m:dPr>
            <m:begChr m:val="("/>
            <m:sepChr m:val=""/>
            <m:endChr m:val=")"/>
            <m:grow/>
          </m:dPr>
          <m:e>
            <m:r>
              <m:t>δ</m:t>
            </m:r>
            <m:r>
              <m:rPr>
                <m:sty m:val="p"/>
              </m:rPr>
              <m:t>&lt;</m:t>
            </m:r>
            <m:r>
              <m:t>0</m:t>
            </m:r>
          </m:e>
        </m:d>
      </m:oMath>
      <w:r>
        <w:t xml:space="preserve"> </w:t>
      </w:r>
      <w:r>
        <w:t xml:space="preserve">or</w:t>
      </w:r>
      <w:r>
        <w:t xml:space="preserve"> </w:t>
      </w:r>
      <m:oMath>
        <m:r>
          <m:t>P</m:t>
        </m:r>
        <m:d>
          <m:dPr>
            <m:begChr m:val="("/>
            <m:sepChr m:val=""/>
            <m:endChr m:val=")"/>
            <m:grow/>
          </m:dPr>
          <m:e>
            <m:r>
              <m:t>δ</m:t>
            </m:r>
            <m:r>
              <m:rPr>
                <m:sty m:val="p"/>
              </m:rPr>
              <m:t>&gt;</m:t>
            </m:r>
            <m:r>
              <m:t>0</m:t>
            </m:r>
          </m:e>
        </m:d>
      </m:oMath>
      <w:r>
        <w:t xml:space="preserve">. When a 95% CrI excludes zero, posterior mass is concentrated on one side of zero; probabilities above 0.999 are reported as</w:t>
      </w:r>
      <w:r>
        <w:t xml:space="preserve"> </w:t>
      </w:r>
      <m:oMath>
        <m:r>
          <m:rPr>
            <m:sty m:val="p"/>
          </m:rPr>
          <m:t>&gt;</m:t>
        </m:r>
        <m:r>
          <m:t>.999</m:t>
        </m:r>
      </m:oMath>
      <w:r>
        <w:t xml:space="preserve">. The effort–drift contrast appears in</w:t>
      </w:r>
      <w:r>
        <w:t xml:space="preserve"> </w:t>
      </w:r>
      <w:hyperlink w:anchor="fig-central-result">
        <w:r>
          <w:rPr>
            <w:rStyle w:val="Hyperlink"/>
          </w:rPr>
          <w:t xml:space="preserve">Figure 2</w:t>
        </w:r>
      </w:hyperlink>
      <w:r>
        <w:t xml:space="preserve"> </w:t>
      </w:r>
      <w:r>
        <w:t xml:space="preserve">(Panel B). H2 and H4 are summarized with it in</w:t>
      </w:r>
      <w:r>
        <w:t xml:space="preserve"> </w:t>
      </w:r>
      <w:hyperlink w:anchor="fig-parameter-forest">
        <w:r>
          <w:rPr>
            <w:rStyle w:val="Hyperlink"/>
          </w:rPr>
          <w:t xml:space="preserve">Figure 3</w:t>
        </w:r>
      </w:hyperlink>
      <w:r>
        <w:t xml:space="preserve"> </w:t>
      </w:r>
      <w:r>
        <w:t xml:space="preserve">(Panel A), and difficulty contrasts are shown in Panel B.</w:t>
      </w:r>
      <w:r>
        <w:t xml:space="preserve"> </w:t>
      </w:r>
      <w:hyperlink w:anchor="tbl-hyp-summary">
        <w:r>
          <w:rPr>
            <w:rStyle w:val="Hyperlink"/>
          </w:rPr>
          <w:t xml:space="preserve">Table 2</w:t>
        </w:r>
      </w:hyperlink>
      <w:r>
        <w:t xml:space="preserve"> </w:t>
      </w:r>
      <w:r>
        <w:t xml:space="preserve">gives the full hypothesis summary.</w:t>
      </w:r>
    </w:p>
    <w:p>
      <w:pPr>
        <w:pStyle w:val="BodyText"/>
      </w:pPr>
      <w:r>
        <w:rPr>
          <w:b/>
          <w:bCs/>
        </w:rPr>
        <w:t xml:space="preserve">H1 (drift rate,</w:t>
      </w:r>
      <w:r>
        <w:rPr>
          <w:b/>
          <w:bCs/>
        </w:rPr>
        <w:t xml:space="preserve"> </w:t>
      </w:r>
      <m:oMath>
        <m:r>
          <m:t>v</m:t>
        </m:r>
      </m:oMath>
      <w:r>
        <w:rPr>
          <w:b/>
          <w:bCs/>
        </w:rPr>
        <w:t xml:space="preserve">).</w:t>
      </w:r>
      <w:r>
        <w:t xml:space="preserve"> </w:t>
      </w:r>
      <w:r>
        <w:t xml:space="preserve">High effort (40% MVC) lowered drift relative to Low effort (5% MVC):</w:t>
      </w:r>
      <w:r>
        <w:t xml:space="preserve"> </w:t>
      </w:r>
      <m:oMath>
        <m:r>
          <m:t>β</m:t>
        </m:r>
        <m:r>
          <m:rPr>
            <m:sty m:val="p"/>
          </m:rPr>
          <m:t>=</m:t>
        </m:r>
        <m:r>
          <m:rPr>
            <m:sty m:val="p"/>
          </m:rPr>
          <m:t>−</m:t>
        </m:r>
        <m:r>
          <m:t>0.06</m:t>
        </m:r>
      </m:oMath>
      <w:r>
        <w:t xml:space="preserve">, 95% CrI</w:t>
      </w:r>
      <w:r>
        <w:t xml:space="preserve"> </w:t>
      </w:r>
      <m:oMath>
        <m:d>
          <m:dPr>
            <m:begChr m:val="["/>
            <m:sepChr m:val=""/>
            <m:endChr m:val="]"/>
            <m:grow/>
          </m:dPr>
          <m:e>
            <m:r>
              <m:rPr>
                <m:sty m:val="p"/>
              </m:rPr>
              <m:t>−</m:t>
            </m:r>
            <m:r>
              <m:t>0.10</m:t>
            </m:r>
            <m:r>
              <m:rPr>
                <m:sty m:val="p"/>
              </m:rPr>
              <m:t>,</m:t>
            </m:r>
            <m:r>
              <m:t> </m:t>
            </m:r>
            <m:r>
              <m:rPr>
                <m:sty m:val="p"/>
              </m:rPr>
              <m:t>−</m:t>
            </m:r>
            <m:r>
              <m:t>0.02</m:t>
            </m:r>
          </m:e>
        </m:d>
      </m:oMath>
      <w:r>
        <w:t xml:space="preserve">;</w:t>
      </w:r>
      <w:r>
        <w:t xml:space="preserve"> </w:t>
      </w:r>
      <m:oMath>
        <m:r>
          <m:t>P</m:t>
        </m:r>
        <m:d>
          <m:dPr>
            <m:begChr m:val="("/>
            <m:sepChr m:val=""/>
            <m:endChr m:val=")"/>
            <m:grow/>
          </m:dPr>
          <m:e>
            <m:r>
              <m:t>β</m:t>
            </m:r>
            <m:r>
              <m:rPr>
                <m:sty m:val="p"/>
              </m:rPr>
              <m:t>&lt;</m:t>
            </m:r>
            <m:r>
              <m:t>0</m:t>
            </m:r>
          </m:e>
        </m:d>
        <m:r>
          <m:rPr>
            <m:sty m:val="p"/>
          </m:rPr>
          <m:t>=</m:t>
        </m:r>
        <m:r>
          <m:t>0.997</m:t>
        </m:r>
      </m:oMath>
      <w:r>
        <w:t xml:space="preserve">. The 95% CrI excludes zero. Only 4% of the posterior mass fell within the project ROPE on drift (</w:t>
      </w:r>
      <m:oMath>
        <m:r>
          <m:rPr>
            <m:sty m:val="p"/>
          </m:rPr>
          <m:t>±</m:t>
        </m:r>
        <m:r>
          <m:t>0.02</m:t>
        </m:r>
      </m:oMath>
      <w:r>
        <w:t xml:space="preserve">), so the effect is directionally reliable but small relative to the difficulty contrasts.</w:t>
      </w:r>
    </w:p>
    <w:p>
      <w:pPr>
        <w:pStyle w:val="BodyText"/>
      </w:pPr>
      <w:r>
        <w:rPr>
          <w:b/>
          <w:bCs/>
        </w:rPr>
        <w:t xml:space="preserve">H2 (boundary separation,</w:t>
      </w:r>
      <w:r>
        <w:rPr>
          <w:b/>
          <w:bCs/>
        </w:rPr>
        <w:t xml:space="preserve"> </w:t>
      </w:r>
      <m:oMath>
        <m:r>
          <m:t>a</m:t>
        </m:r>
      </m:oMath>
      <w:r>
        <w:rPr>
          <w:b/>
          <w:bCs/>
        </w:rPr>
        <w:t xml:space="preserve">).</w:t>
      </w:r>
      <w:r>
        <w:t xml:space="preserve"> </w:t>
      </w:r>
      <w:r>
        <w:t xml:space="preserve">High effort produced a directionally positive but practically negligible change in boundary separation:</w:t>
      </w:r>
      <w:r>
        <w:t xml:space="preserve"> </w:t>
      </w:r>
      <m:oMath>
        <m:r>
          <m:t>β</m:t>
        </m:r>
        <m:r>
          <m:rPr>
            <m:sty m:val="p"/>
          </m:rPr>
          <m:t>=</m:t>
        </m:r>
        <m:r>
          <m:t>0.02</m:t>
        </m:r>
      </m:oMath>
      <w:r>
        <w:t xml:space="preserve">, 95% CrI</w:t>
      </w:r>
      <w:r>
        <w:t xml:space="preserve"> </w:t>
      </w:r>
      <m:oMath>
        <m:d>
          <m:dPr>
            <m:begChr m:val="["/>
            <m:sepChr m:val=""/>
            <m:endChr m:val="]"/>
            <m:grow/>
          </m:dPr>
          <m:e>
            <m:r>
              <m:t>0.004</m:t>
            </m:r>
            <m:r>
              <m:rPr>
                <m:sty m:val="p"/>
              </m:rPr>
              <m:t>,</m:t>
            </m:r>
            <m:r>
              <m:t> </m:t>
            </m:r>
            <m:r>
              <m:t>0.029</m:t>
            </m:r>
          </m:e>
        </m:d>
      </m:oMath>
      <w:r>
        <w:t xml:space="preserve">;</w:t>
      </w:r>
      <w:r>
        <w:t xml:space="preserve"> </w:t>
      </w:r>
      <m:oMath>
        <m:r>
          <m:t>P</m:t>
        </m:r>
        <m:d>
          <m:dPr>
            <m:begChr m:val="("/>
            <m:sepChr m:val=""/>
            <m:endChr m:val=")"/>
            <m:grow/>
          </m:dPr>
          <m:e>
            <m:r>
              <m:t>β</m:t>
            </m:r>
            <m:r>
              <m:rPr>
                <m:sty m:val="p"/>
              </m:rPr>
              <m:t>&gt;</m:t>
            </m:r>
            <m:r>
              <m:t>0</m:t>
            </m:r>
          </m:e>
        </m:d>
        <m:r>
          <m:rPr>
            <m:sty m:val="p"/>
          </m:rPr>
          <m:t>=</m:t>
        </m:r>
        <m:r>
          <m:t>0.996</m:t>
        </m:r>
      </m:oMath>
      <w:r>
        <w:t xml:space="preserve">; credible interval excludes zero. All posterior mass fell within the project ROPE (</w:t>
      </w:r>
      <w:r>
        <w:t xml:space="preserve"> </w:t>
      </w:r>
      <w:r>
        <w:t xml:space="preserve">log-scale; 100%); we do not interpret this as meaningful strategic caution.</w:t>
      </w:r>
    </w:p>
    <w:p>
      <w:pPr>
        <w:pStyle w:val="BodyText"/>
      </w:pPr>
      <w:r>
        <w:rPr>
          <w:b/>
          <w:bCs/>
        </w:rPr>
        <w:t xml:space="preserve">H3 (non-decision time,</w:t>
      </w:r>
      <w:r>
        <w:rPr>
          <w:b/>
          <w:bCs/>
        </w:rPr>
        <w:t xml:space="preserve"> </w:t>
      </w:r>
      <m:oMath>
        <m:sSub>
          <m:e>
            <m:r>
              <m:t>t</m:t>
            </m:r>
          </m:e>
          <m:sub>
            <m:r>
              <m:t>0</m:t>
            </m:r>
          </m:sub>
        </m:sSub>
      </m:oMath>
      <w:r>
        <w:rPr>
          <w:b/>
          <w:bCs/>
        </w:rPr>
        <w:t xml:space="preserve">).</w:t>
      </w:r>
      <w:r>
        <w:t xml:space="preserve"> </w:t>
      </w:r>
      <w:r>
        <w:t xml:space="preserve">The response-signal design required</w:t>
      </w:r>
      <w:r>
        <w:t xml:space="preserve"> </w:t>
      </w:r>
      <m:oMath>
        <m:sSub>
          <m:e>
            <m:r>
              <m:t>t</m:t>
            </m:r>
          </m:e>
          <m:sub>
            <m:r>
              <m:t>0</m:t>
            </m:r>
          </m:sub>
        </m:sSub>
      </m:oMath>
      <w:r>
        <w:t xml:space="preserve"> </w:t>
      </w:r>
      <w:r>
        <w:t xml:space="preserve">to be a single intercept across conditions (</w:t>
      </w:r>
      <w:hyperlink w:anchor="sec-ddm-spec">
        <w:r>
          <w:rPr>
            <w:rStyle w:val="Hyperlink"/>
          </w:rPr>
          <w:t xml:space="preserve">Section 2.10</w:t>
        </w:r>
      </w:hyperlink>
      <w:r>
        <w:t xml:space="preserve">). Thus, the primary model does not test H3. An exploratory effort contrast on</w:t>
      </w:r>
      <w:r>
        <w:t xml:space="preserve"> </w:t>
      </w:r>
      <m:oMath>
        <m:r>
          <m:rPr>
            <m:sty m:val="p"/>
          </m:rPr>
          <m:t>log</m:t>
        </m:r>
        <m:sSub>
          <m:e>
            <m:r>
              <m:t>t</m:t>
            </m:r>
          </m:e>
          <m:sub>
            <m:r>
              <m:t>0</m:t>
            </m:r>
          </m:sub>
        </m:sSub>
      </m:oMath>
      <w:r>
        <w:t xml:space="preserve"> </w:t>
      </w:r>
      <w:r>
        <w:t xml:space="preserve">was</w:t>
      </w:r>
      <w:r>
        <w:t xml:space="preserve"> </w:t>
      </w:r>
      <m:oMath>
        <m:acc>
          <m:accPr>
            <m:chr m:val="̂"/>
          </m:accPr>
          <m:e>
            <m:r>
              <m:t>β</m:t>
            </m:r>
          </m:e>
        </m:acc>
        <m:r>
          <m:rPr>
            <m:sty m:val="p"/>
          </m:rPr>
          <m:t>=</m:t>
        </m:r>
        <m:r>
          <m:t>0.02</m:t>
        </m:r>
      </m:oMath>
      <w:r>
        <w:t xml:space="preserve"> </w:t>
      </w:r>
      <w:r>
        <w:t xml:space="preserve">(log</w:t>
      </w:r>
      <w:r>
        <w:t xml:space="preserve"> </w:t>
      </w:r>
      <m:oMath>
        <m:sSub>
          <m:e>
            <m:r>
              <m:t>t</m:t>
            </m:r>
          </m:e>
          <m:sub>
            <m:r>
              <m:t>0</m:t>
            </m:r>
          </m:sub>
        </m:sSub>
      </m:oMath>
      <w:r>
        <w:t xml:space="preserve"> </w:t>
      </w:r>
      <w:r>
        <w:t xml:space="preserve">scale) (95% CrI</w:t>
      </w:r>
      <w:r>
        <w:t xml:space="preserve"> </w:t>
      </w:r>
      <m:oMath>
        <m:d>
          <m:dPr>
            <m:begChr m:val="["/>
            <m:sepChr m:val=""/>
            <m:endChr m:val="]"/>
            <m:grow/>
          </m:dPr>
          <m:e>
            <m:r>
              <m:rPr>
                <m:sty m:val="p"/>
              </m:rPr>
              <m:t>−</m:t>
            </m:r>
            <m:r>
              <m:t>0.05</m:t>
            </m:r>
            <m:r>
              <m:rPr>
                <m:sty m:val="p"/>
              </m:rPr>
              <m:t>,</m:t>
            </m:r>
            <m:r>
              <m:t> </m:t>
            </m:r>
            <m:r>
              <m:t>0.09</m:t>
            </m:r>
          </m:e>
        </m:d>
      </m:oMath>
      <w:r>
        <w:t xml:space="preserve">; at the median,</w:t>
      </w:r>
      <w:r>
        <w:t xml:space="preserve"> </w:t>
      </w:r>
      <m:oMath>
        <m:r>
          <m:rPr>
            <m:sty m:val="p"/>
          </m:rPr>
          <m:t>≈</m:t>
        </m:r>
        <m:r>
          <m:t>2</m:t>
        </m:r>
        <m:r>
          <m:rPr>
            <m:sty m:val="p"/>
          </m:rPr>
          <m:t>%</m:t>
        </m:r>
      </m:oMath>
      <w:r>
        <w:t xml:space="preserve"> </w:t>
      </w:r>
      <w:r>
        <w:t xml:space="preserve">multiplicative change in</w:t>
      </w:r>
      <w:r>
        <w:t xml:space="preserve"> </w:t>
      </w:r>
      <m:oMath>
        <m:sSub>
          <m:e>
            <m:r>
              <m:t>t</m:t>
            </m:r>
          </m:e>
          <m:sub>
            <m:r>
              <m:t>0</m:t>
            </m:r>
          </m:sub>
        </m:sSub>
      </m:oMath>
      <w:r>
        <w:t xml:space="preserve">; the CrI permits negligible or large proportional shifts), but this estimate is descriptive only.</w:t>
      </w:r>
    </w:p>
    <w:p>
      <w:pPr>
        <w:pStyle w:val="BodyText"/>
      </w:pPr>
      <w:r>
        <w:rPr>
          <w:b/>
          <w:bCs/>
        </w:rPr>
        <w:t xml:space="preserve">H4 (starting-point bias,</w:t>
      </w:r>
      <w:r>
        <w:rPr>
          <w:b/>
          <w:bCs/>
        </w:rPr>
        <w:t xml:space="preserve"> </w:t>
      </w:r>
      <m:oMath>
        <m:r>
          <m:t>z</m:t>
        </m:r>
      </m:oMath>
      <w:r>
        <w:rPr>
          <w:b/>
          <w:bCs/>
        </w:rPr>
        <w:t xml:space="preserve">).</w:t>
      </w:r>
      <w:r>
        <w:t xml:space="preserve"> </w:t>
      </w:r>
      <w:r>
        <w:t xml:space="preserve">The effort contrast on pre-stimulus response bias was near zero and uncertain:</w:t>
      </w:r>
      <w:r>
        <w:t xml:space="preserve"> </w:t>
      </w:r>
      <m:oMath>
        <m:r>
          <m:t>β</m:t>
        </m:r>
        <m:r>
          <m:rPr>
            <m:sty m:val="p"/>
          </m:rPr>
          <m:t>=</m:t>
        </m:r>
        <m:r>
          <m:rPr>
            <m:sty m:val="p"/>
          </m:rPr>
          <m:t>−</m:t>
        </m:r>
        <m:r>
          <m:t>0.005</m:t>
        </m:r>
      </m:oMath>
      <w:r>
        <w:t xml:space="preserve">, 95% CrI</w:t>
      </w:r>
      <w:r>
        <w:t xml:space="preserve"> </w:t>
      </w:r>
      <m:oMath>
        <m:d>
          <m:dPr>
            <m:begChr m:val="["/>
            <m:sepChr m:val=""/>
            <m:endChr m:val="]"/>
            <m:grow/>
          </m:dPr>
          <m:e>
            <m:r>
              <m:rPr>
                <m:sty m:val="p"/>
              </m:rPr>
              <m:t>−</m:t>
            </m:r>
            <m:r>
              <m:t>0.046</m:t>
            </m:r>
            <m:r>
              <m:rPr>
                <m:sty m:val="p"/>
              </m:rPr>
              <m:t>,</m:t>
            </m:r>
            <m:r>
              <m:t> </m:t>
            </m:r>
            <m:r>
              <m:t>0.036</m:t>
            </m:r>
          </m:e>
        </m:d>
      </m:oMath>
      <w:r>
        <w:t xml:space="preserve">;</w:t>
      </w:r>
      <w:r>
        <w:t xml:space="preserve"> </w:t>
      </w:r>
      <m:oMath>
        <m:r>
          <m:t>P</m:t>
        </m:r>
        <m:d>
          <m:dPr>
            <m:begChr m:val="("/>
            <m:sepChr m:val=""/>
            <m:endChr m:val=")"/>
            <m:grow/>
          </m:dPr>
          <m:e>
            <m:r>
              <m:t>β</m:t>
            </m:r>
            <m:r>
              <m:rPr>
                <m:sty m:val="p"/>
              </m:rPr>
              <m:t>&gt;</m:t>
            </m:r>
            <m:r>
              <m:t>0</m:t>
            </m:r>
          </m:e>
        </m:d>
        <m:r>
          <m:rPr>
            <m:sty m:val="p"/>
          </m:rPr>
          <m:t>=</m:t>
        </m:r>
        <m:r>
          <m:t>0.404</m:t>
        </m:r>
      </m:oMath>
      <w:r>
        <w:t xml:space="preserve">. The CrI spans zero (ROPE mass 98%). In the primary model, VDT showed higher bias toward</w:t>
      </w:r>
      <w:r>
        <w:t xml:space="preserve"> </w:t>
      </w:r>
      <w:r>
        <w:t xml:space="preserve">“different”</w:t>
      </w:r>
      <w:r>
        <w:t xml:space="preserve"> </w:t>
      </w:r>
      <w:r>
        <w:t xml:space="preserve">responses than ADT (</w:t>
      </w:r>
      <m:oMath>
        <m:r>
          <m:t>β</m:t>
        </m:r>
        <m:r>
          <m:rPr>
            <m:sty m:val="p"/>
          </m:rPr>
          <m:t>=</m:t>
        </m:r>
        <m:r>
          <m:t>0.068</m:t>
        </m:r>
      </m:oMath>
      <w:r>
        <w:t xml:space="preserve">, 95% CrI</w:t>
      </w:r>
      <w:r>
        <w:t xml:space="preserve"> </w:t>
      </w:r>
      <m:oMath>
        <m:d>
          <m:dPr>
            <m:begChr m:val="["/>
            <m:sepChr m:val=""/>
            <m:endChr m:val="]"/>
            <m:grow/>
          </m:dPr>
          <m:e>
            <m:r>
              <m:t>0.036</m:t>
            </m:r>
            <m:r>
              <m:rPr>
                <m:sty m:val="p"/>
              </m:rPr>
              <m:t>,</m:t>
            </m:r>
            <m:r>
              <m:t> </m:t>
            </m:r>
            <m:r>
              <m:t>0.101</m:t>
            </m:r>
          </m:e>
        </m:d>
      </m:oMath>
      <w:r>
        <w:t xml:space="preserve">;</w:t>
      </w:r>
      <w:r>
        <w:t xml:space="preserve"> </w:t>
      </w:r>
      <m:oMath>
        <m:r>
          <m:t>P</m:t>
        </m:r>
        <m:d>
          <m:dPr>
            <m:begChr m:val="("/>
            <m:sepChr m:val=""/>
            <m:endChr m:val=")"/>
            <m:grow/>
          </m:dPr>
          <m:e>
            <m:sSub>
              <m:e>
                <m:r>
                  <m:t>β</m:t>
                </m:r>
              </m:e>
              <m:sub>
                <m:r>
                  <m:rPr>
                    <m:nor/>
                    <m:sty m:val="p"/>
                  </m:rPr>
                  <m:t>VDT</m:t>
                </m:r>
              </m:sub>
            </m:sSub>
            <m:r>
              <m:rPr>
                <m:sty m:val="p"/>
              </m:rPr>
              <m:t>&gt;</m:t>
            </m:r>
            <m:r>
              <m:t>0</m:t>
            </m:r>
          </m:e>
        </m:d>
        <m:r>
          <m:rPr>
            <m:sty m:val="p"/>
          </m:rPr>
          <m:t>&gt;</m:t>
        </m:r>
        <m:r>
          <m:t>.999</m:t>
        </m:r>
      </m:oMath>
      <w:r>
        <w:t xml:space="preserve">; logit task offset). Standard-only calibration reverses this ordering (</w:t>
      </w:r>
      <m:oMath>
        <m:r>
          <m:t>Δ</m:t>
        </m:r>
        <m:r>
          <m:t>z</m:t>
        </m:r>
        <m:r>
          <m:rPr>
            <m:sty m:val="p"/>
          </m:rPr>
          <m:t>=</m:t>
        </m:r>
        <m:r>
          <m:t>0.038</m:t>
        </m:r>
      </m:oMath>
      <w:r>
        <w:t xml:space="preserve">, 95% CrI</w:t>
      </w:r>
      <w:r>
        <w:t xml:space="preserve"> </w:t>
      </w:r>
      <m:oMath>
        <m:d>
          <m:dPr>
            <m:begChr m:val="["/>
            <m:sepChr m:val=""/>
            <m:endChr m:val="]"/>
            <m:grow/>
          </m:dPr>
          <m:e>
            <m:r>
              <m:t>0.019</m:t>
            </m:r>
            <m:r>
              <m:rPr>
                <m:sty m:val="p"/>
              </m:rPr>
              <m:t>,</m:t>
            </m:r>
            <m:r>
              <m:t> </m:t>
            </m:r>
            <m:r>
              <m:t>0.058</m:t>
            </m:r>
          </m:e>
        </m:d>
      </m:oMath>
      <w:r>
        <w:t xml:space="preserve">;</w:t>
      </w:r>
      <w:r>
        <w:t xml:space="preserve"> </w:t>
      </w:r>
      <m:oMath>
        <m:r>
          <m:t>P</m:t>
        </m:r>
        <m:d>
          <m:dPr>
            <m:begChr m:val="("/>
            <m:sepChr m:val=""/>
            <m:endChr m:val=")"/>
            <m:grow/>
          </m:dPr>
          <m:e>
            <m:r>
              <m:t>Δ</m:t>
            </m:r>
            <m:sSub>
              <m:e>
                <m:r>
                  <m:t>z</m:t>
                </m:r>
              </m:e>
              <m:sub>
                <m:r>
                  <m:rPr>
                    <m:nor/>
                    <m:sty m:val="p"/>
                  </m:rPr>
                  <m:t>ADT</m:t>
                </m:r>
                <m:r>
                  <m:rPr>
                    <m:sty m:val="p"/>
                  </m:rPr>
                  <m:t>−</m:t>
                </m:r>
                <m:r>
                  <m:rPr>
                    <m:nor/>
                    <m:sty m:val="p"/>
                  </m:rPr>
                  <m:t>VDT</m:t>
                </m:r>
              </m:sub>
            </m:sSub>
            <m:r>
              <m:rPr>
                <m:sty m:val="p"/>
              </m:rPr>
              <m:t>&gt;</m:t>
            </m:r>
            <m:r>
              <m:t>0</m:t>
            </m:r>
          </m:e>
        </m:d>
        <m:r>
          <m:rPr>
            <m:sty m:val="p"/>
          </m:rPr>
          <m:t>&gt;</m:t>
        </m:r>
        <m:r>
          <m:t>.999</m:t>
        </m:r>
      </m:oMath>
      <w:r>
        <w:t xml:space="preserve">; ADT − VDT on</w:t>
      </w:r>
      <w:r>
        <w:t xml:space="preserve"> </w:t>
      </w:r>
      <m:oMath>
        <m:r>
          <m:t>z</m:t>
        </m:r>
      </m:oMath>
      <w:r>
        <w:t xml:space="preserve">). This reversal is consistent with a</w:t>
      </w:r>
      <w:r>
        <w:t xml:space="preserve"> </w:t>
      </w:r>
      <m:oMath>
        <m:r>
          <m:t>v</m:t>
        </m:r>
      </m:oMath>
      <w:r>
        <w:t xml:space="preserve">–</w:t>
      </w:r>
      <m:oMath>
        <m:r>
          <m:t>z</m:t>
        </m:r>
      </m:oMath>
      <w:r>
        <w:t xml:space="preserve"> </w:t>
      </w:r>
      <w:r>
        <w:t xml:space="preserve">trade-off when drift and bias are not estimated jointly across difficulty (</w:t>
      </w:r>
      <w:hyperlink w:anchor="sec-starting-point-bias">
        <w:r>
          <w:rPr>
            <w:rStyle w:val="Hyperlink"/>
          </w:rPr>
          <w:t xml:space="preserve">Section 3.2.2</w:t>
        </w:r>
      </w:hyperlink>
      <w:r>
        <w:t xml:space="preserve">,</w:t>
      </w:r>
      <w:r>
        <w:t xml:space="preserve"> </w:t>
      </w:r>
      <w:hyperlink w:anchor="tbl-standard-only-bias-levels">
        <w:r>
          <w:rPr>
            <w:rStyle w:val="Hyperlink"/>
          </w:rPr>
          <w:t xml:space="preserve">Table 7</w:t>
        </w:r>
      </w:hyperlink>
      <w:r>
        <w:t xml:space="preserve">).</w:t>
      </w:r>
    </w:p>
    <w:p>
      <w:pPr>
        <w:pStyle w:val="BodyText"/>
      </w:pPr>
      <w:r>
        <w:t xml:space="preserve">The four hypotheses therefore carry different inferential weight. H1 is</w:t>
      </w:r>
      <w:r>
        <w:t xml:space="preserve"> </w:t>
      </w:r>
      <w:r>
        <w:rPr>
          <w:b/>
          <w:bCs/>
        </w:rPr>
        <w:t xml:space="preserve">supported</w:t>
      </w:r>
      <w:r>
        <w:t xml:space="preserve">: the CrI excludes zero, only 4% of posterior mass lies within the project ROPE on drift, and the effect is small relative to difficulty contrasts. H2 is</w:t>
      </w:r>
      <w:r>
        <w:t xml:space="preserve"> </w:t>
      </w:r>
      <w:r>
        <w:rPr>
          <w:b/>
          <w:bCs/>
        </w:rPr>
        <w:t xml:space="preserve">directionally positive but practically negligible</w:t>
      </w:r>
      <w:r>
        <w:t xml:space="preserve"> </w:t>
      </w:r>
      <w:r>
        <w:t xml:space="preserve">under the project ROPE (CrI excludes zero; 100% ROPE mass). H4 is a</w:t>
      </w:r>
      <w:r>
        <w:t xml:space="preserve"> </w:t>
      </w:r>
      <w:r>
        <w:rPr>
          <w:b/>
          <w:bCs/>
        </w:rPr>
        <w:t xml:space="preserve">near-zero null</w:t>
      </w:r>
      <w:r>
        <w:t xml:space="preserve"> </w:t>
      </w:r>
      <w:r>
        <w:t xml:space="preserve">(CrI spans zero). H3 is</w:t>
      </w:r>
      <w:r>
        <w:t xml:space="preserve"> </w:t>
      </w:r>
      <w:r>
        <w:rPr>
          <w:b/>
          <w:bCs/>
        </w:rPr>
        <w:t xml:space="preserve">not directly testable</w:t>
      </w:r>
      <w:r>
        <w:t xml:space="preserve"> </w:t>
      </w:r>
      <w:r>
        <w:t xml:space="preserve">in the primary model because the response-signal design required an intercept-only</w:t>
      </w:r>
      <w:r>
        <w:t xml:space="preserve"> </w:t>
      </w:r>
      <m:oMath>
        <m:sSub>
          <m:e>
            <m:r>
              <m:t>t</m:t>
            </m:r>
          </m:e>
          <m:sub>
            <m:r>
              <m:t>0</m:t>
            </m:r>
          </m:sub>
        </m:sSub>
      </m:oMath>
      <w:r>
        <w:t xml:space="preserve">. Pupil-linked DDM extensions were</w:t>
      </w:r>
      <w:r>
        <w:t xml:space="preserve"> </w:t>
      </w:r>
      <w:r>
        <w:rPr>
          <w:b/>
          <w:bCs/>
        </w:rPr>
        <w:t xml:space="preserve">inconclusive</w:t>
      </w:r>
      <w:r>
        <w:t xml:space="preserve"> </w:t>
      </w:r>
      <w:r>
        <w:t xml:space="preserve">under the current TEPR specification (</w:t>
      </w:r>
      <w:hyperlink w:anchor="sec-pupil-ddm-integration">
        <w:r>
          <w:rPr>
            <w:rStyle w:val="Hyperlink"/>
          </w:rPr>
          <w:t xml:space="preserve">Section 3.3</w:t>
        </w:r>
      </w:hyperlink>
      <w:r>
        <w:t xml:space="preserve">). ROPE mass in</w:t>
      </w:r>
      <w:r>
        <w:t xml:space="preserve"> </w:t>
      </w:r>
      <w:hyperlink w:anchor="tbl-hyp-summary">
        <w:r>
          <w:rPr>
            <w:rStyle w:val="Hyperlink"/>
          </w:rPr>
          <w:t xml:space="preserve">Table 2</w:t>
        </w:r>
      </w:hyperlink>
      <w:r>
        <w:t xml:space="preserve"> </w:t>
      </w:r>
      <w:r>
        <w:t xml:space="preserve">(footnote [b]) is a project-level sensitivity summary and does not replace CrI-based inference.</w:t>
      </w:r>
    </w:p>
    <w:tbl>
      <w:tblPr>
        <w:tblStyle w:val="Table"/>
        <w:tblW w:type="pct" w:w="5000"/>
        <w:tblLayout w:type="fixed"/>
        <w:tblLook w:firstRow="0" w:lastRow="0" w:firstColumn="0" w:lastColumn="0" w:noHBand="0" w:noVBand="0" w:val="0000"/>
      </w:tblPr>
      <w:tblGrid>
        <w:gridCol w:w="7920"/>
      </w:tblGrid>
      <w:tr>
        <w:tc>
          <w:tcPr/>
          <w:bookmarkStart w:id="56" w:name="tbl-hyp-summary"/>
          <w:p>
            <w:pPr>
              <w:jc w:val="center"/>
            </w:pPr>
            <w:pPr>
              <w:jc w:val="start"/>
              <w:spacing w:before="200"/>
              <w:pStyle w:val="ImageCaption"/>
            </w:pPr>
            <w:r>
              <w:t xml:space="preserve">Table 2: Unified hypothesis summary: effort and pupil effects on DDM parameters (link-scale estimates and graded evidence). Estimates use identity link for drift</w:t>
            </w:r>
            <w:r>
              <w:t xml:space="preserve"> </w:t>
            </w:r>
            <m:oMath>
              <m:r>
                <m:t>v</m:t>
              </m:r>
            </m:oMath>
            <w:r>
              <w:t xml:space="preserve">, log for boundary</w:t>
            </w:r>
            <w:r>
              <w:t xml:space="preserve"> </w:t>
            </w:r>
            <m:oMath>
              <m:r>
                <m:t>a</m:t>
              </m:r>
            </m:oMath>
            <w:r>
              <w:t xml:space="preserve">, logit for bias</w:t>
            </w:r>
            <w:r>
              <w:t xml:space="preserve"> </w:t>
            </w:r>
            <m:oMath>
              <m:r>
                <m:t>z</m:t>
              </m:r>
            </m:oMath>
            <w:r>
              <w:t xml:space="preserve">. Conditional TEPR</w:t>
            </w:r>
            <w:r>
              <w:t xml:space="preserve"> </w:t>
            </w:r>
            <m:oMath>
              <m:r>
                <m:rPr>
                  <m:sty m:val="p"/>
                </m:rPr>
                <m:t>×</m:t>
              </m:r>
            </m:oMath>
            <w:r>
              <w:t xml:space="preserve"> </w:t>
            </w:r>
            <w:r>
              <w:t xml:space="preserve">difficulty slopes are in</w:t>
            </w:r>
            <w:r>
              <w:t xml:space="preserve"> </w:t>
            </w:r>
            <w:hyperlink w:anchor="tbl-pupil-key-effects-appendix">
              <w:r>
                <w:rPr>
                  <w:rStyle w:val="Hyperlink"/>
                </w:rPr>
                <w:t xml:space="preserve">Table 18</w:t>
              </w:r>
            </w:hyperlink>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Effect</w:t>
                  </w:r>
                </w:p>
              </w:tc>
              <w:tc>
                <w:tcPr/>
                <w:p>
                  <w:pPr>
                    <w:pStyle w:val="Compact"/>
                    <w:jc w:val="right"/>
                    <w:jc w:val="center"/>
                  </w:pPr>
                  <w:r>
                    <w:t xml:space="preserve">Estimate</w:t>
                  </w:r>
                </w:p>
              </w:tc>
              <w:tc>
                <w:tcPr/>
                <w:p>
                  <w:pPr>
                    <w:pStyle w:val="Compact"/>
                    <w:jc w:val="left"/>
                    <w:jc w:val="center"/>
                  </w:pPr>
                  <w:r>
                    <w:t xml:space="preserve">95% CrI</w:t>
                  </w:r>
                </w:p>
              </w:tc>
              <w:tc>
                <w:tcPr/>
                <w:p>
                  <w:pPr>
                    <w:pStyle w:val="Compact"/>
                    <w:jc w:val="center"/>
                    <w:jc w:val="center"/>
                  </w:pPr>
                  <w:r>
                    <w:t xml:space="preserve">CrI incl. 0</w:t>
                  </w:r>
                </w:p>
              </w:tc>
              <w:tc>
                <w:tcPr/>
                <w:p>
                  <w:pPr>
                    <w:pStyle w:val="Compact"/>
                    <w:jc w:val="right"/>
                    <w:jc w:val="center"/>
                  </w:pPr>
                  <w:r>
                    <w:t xml:space="preserve">P(in ROPE)</w:t>
                  </w:r>
                </w:p>
              </w:tc>
              <w:tc>
                <w:tcPr/>
                <w:p>
                  <w:pPr>
                    <w:pStyle w:val="Compact"/>
                    <w:jc w:val="left"/>
                    <w:jc w:val="center"/>
                  </w:pPr>
                  <w:r>
                    <w:t xml:space="preserve">Evidence</w:t>
                  </w:r>
                </w:p>
              </w:tc>
            </w:tr>
            <w:tr>
              <w:tc>
                <w:tcPr/>
                <w:p>
                  <w:pPr>
                    <w:pStyle w:val="Compact"/>
                    <w:jc w:val="left"/>
                    <w:jc w:val="center"/>
                  </w:pPr>
                  <w:r>
                    <w:t xml:space="preserve">**Behavioral DDM — primary model**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H1: Effort on drift (v)</w:t>
                  </w:r>
                </w:p>
              </w:tc>
              <w:tc>
                <w:tcPr/>
                <w:p>
                  <w:pPr>
                    <w:pStyle w:val="Compact"/>
                    <w:jc w:val="right"/>
                    <w:jc w:val="center"/>
                  </w:pPr>
                  <w:r>
                    <w:t xml:space="preserve">-0.057</w:t>
                  </w:r>
                </w:p>
              </w:tc>
              <w:tc>
                <w:tcPr/>
                <w:p>
                  <w:pPr>
                    <w:pStyle w:val="Compact"/>
                    <w:jc w:val="left"/>
                    <w:jc w:val="center"/>
                  </w:pPr>
                  <w:r>
                    <w:t xml:space="preserve">[-0.097, -0.017]</w:t>
                  </w:r>
                </w:p>
              </w:tc>
              <w:tc>
                <w:tcPr/>
                <w:p>
                  <w:pPr>
                    <w:pStyle w:val="Compact"/>
                    <w:jc w:val="center"/>
                    <w:jc w:val="center"/>
                  </w:pPr>
                  <w:r>
                    <w:t xml:space="preserve">No</w:t>
                  </w:r>
                </w:p>
              </w:tc>
              <w:tc>
                <w:tcPr/>
                <w:p>
                  <w:pPr>
                    <w:pStyle w:val="Compact"/>
                    <w:jc w:val="right"/>
                    <w:jc w:val="center"/>
                  </w:pPr>
                  <w:r>
                    <w:t xml:space="preserve">4%</w:t>
                  </w:r>
                </w:p>
              </w:tc>
              <w:tc>
                <w:tcPr/>
                <w:p>
                  <w:pPr>
                    <w:pStyle w:val="Compact"/>
                    <w:jc w:val="left"/>
                    <w:jc w:val="center"/>
                  </w:pPr>
                  <w:r>
                    <w:t xml:space="preserve">Supported</w:t>
                  </w:r>
                </w:p>
              </w:tc>
            </w:tr>
            <w:tr>
              <w:tc>
                <w:tcPr/>
                <w:p>
                  <w:pPr>
                    <w:pStyle w:val="Compact"/>
                    <w:jc w:val="left"/>
                    <w:jc w:val="center"/>
                  </w:pPr>
                  <w:r>
                    <w:t xml:space="preserve">H2: Effort on boundary (a)</w:t>
                  </w:r>
                </w:p>
              </w:tc>
              <w:tc>
                <w:tcPr/>
                <w:p>
                  <w:pPr>
                    <w:pStyle w:val="Compact"/>
                    <w:jc w:val="right"/>
                    <w:jc w:val="center"/>
                  </w:pPr>
                  <w:r>
                    <w:t xml:space="preserve">0.017</w:t>
                  </w:r>
                </w:p>
              </w:tc>
              <w:tc>
                <w:tcPr/>
                <w:p>
                  <w:pPr>
                    <w:pStyle w:val="Compact"/>
                    <w:jc w:val="left"/>
                    <w:jc w:val="center"/>
                  </w:pPr>
                  <w:r>
                    <w:t xml:space="preserve">[0.004, 0.029]</w:t>
                  </w:r>
                </w:p>
              </w:tc>
              <w:tc>
                <w:tcPr/>
                <w:p>
                  <w:pPr>
                    <w:pStyle w:val="Compact"/>
                    <w:jc w:val="center"/>
                    <w:jc w:val="center"/>
                  </w:pPr>
                  <w:r>
                    <w:t xml:space="preserve">No</w:t>
                  </w:r>
                </w:p>
              </w:tc>
              <w:tc>
                <w:tcPr/>
                <w:p>
                  <w:pPr>
                    <w:pStyle w:val="Compact"/>
                    <w:jc w:val="right"/>
                    <w:jc w:val="center"/>
                  </w:pPr>
                  <w:r>
                    <w:t xml:space="preserve">100%</w:t>
                  </w:r>
                </w:p>
              </w:tc>
              <w:tc>
                <w:tcPr/>
                <w:p>
                  <w:pPr>
                    <w:pStyle w:val="Compact"/>
                    <w:jc w:val="left"/>
                    <w:jc w:val="center"/>
                  </w:pPr>
                  <w:r>
                    <w:t xml:space="preserve">Dir. positive; in ROPE</w:t>
                  </w:r>
                </w:p>
              </w:tc>
            </w:tr>
            <w:tr>
              <w:tc>
                <w:tcPr/>
                <w:p>
                  <w:pPr>
                    <w:pStyle w:val="Compact"/>
                    <w:jc w:val="left"/>
                    <w:jc w:val="center"/>
                  </w:pPr>
                  <w:r>
                    <w:t xml:space="preserve">H3: Effort on NDT (t0) [a]</w:t>
                  </w:r>
                </w:p>
              </w:tc>
              <w:tc>
                <w:tcPr/>
                <w:p>
                  <w:pPr>
                    <w:pStyle w:val="Compact"/>
                    <w:jc w:val="right"/>
                    <w:jc w:val="center"/>
                  </w:pPr>
                  <w:r>
                    <w:t xml:space="preserve">0.020</w:t>
                  </w:r>
                </w:p>
              </w:tc>
              <w:tc>
                <w:tcPr/>
                <w:p>
                  <w:pPr>
                    <w:pStyle w:val="Compact"/>
                    <w:jc w:val="left"/>
                    <w:jc w:val="center"/>
                  </w:pPr>
                  <w:r>
                    <w:t xml:space="preserve">[-0.050, 0.090]</w:t>
                  </w:r>
                </w:p>
              </w:tc>
              <w:tc>
                <w:tcPr/>
                <w:p>
                  <w:pPr>
                    <w:pStyle w:val="Compact"/>
                    <w:jc w:val="center"/>
                    <w:jc w:val="center"/>
                  </w:pPr>
                  <w:r>
                    <w:t xml:space="preserve">Yes</w:t>
                  </w:r>
                </w:p>
              </w:tc>
              <w:tc>
                <w:tcPr/>
                <w:p>
                  <w:pPr>
                    <w:pStyle w:val="Compact"/>
                    <w:jc w:val="right"/>
                    <w:jc w:val="center"/>
                  </w:pPr>
                  <w:r>
                    <w:t xml:space="preserve">n/a</w:t>
                  </w:r>
                </w:p>
              </w:tc>
              <w:tc>
                <w:tcPr/>
                <w:p>
                  <w:pPr>
                    <w:pStyle w:val="Compact"/>
                    <w:jc w:val="left"/>
                    <w:jc w:val="center"/>
                  </w:pPr>
                  <w:r>
                    <w:t xml:space="preserve">Not testable [a]</w:t>
                  </w:r>
                </w:p>
              </w:tc>
            </w:tr>
            <w:tr>
              <w:tc>
                <w:tcPr/>
                <w:p>
                  <w:pPr>
                    <w:pStyle w:val="Compact"/>
                    <w:jc w:val="left"/>
                    <w:jc w:val="center"/>
                  </w:pPr>
                  <w:r>
                    <w:t xml:space="preserve">H4: Effort on bias (z)</w:t>
                  </w:r>
                </w:p>
              </w:tc>
              <w:tc>
                <w:tcPr/>
                <w:p>
                  <w:pPr>
                    <w:pStyle w:val="Compact"/>
                    <w:jc w:val="right"/>
                    <w:jc w:val="center"/>
                  </w:pPr>
                  <w:r>
                    <w:t xml:space="preserve">-0.005</w:t>
                  </w:r>
                </w:p>
              </w:tc>
              <w:tc>
                <w:tcPr/>
                <w:p>
                  <w:pPr>
                    <w:pStyle w:val="Compact"/>
                    <w:jc w:val="left"/>
                    <w:jc w:val="center"/>
                  </w:pPr>
                  <w:r>
                    <w:t xml:space="preserve">[-0.046, 0.036]</w:t>
                  </w:r>
                </w:p>
              </w:tc>
              <w:tc>
                <w:tcPr/>
                <w:p>
                  <w:pPr>
                    <w:pStyle w:val="Compact"/>
                    <w:jc w:val="center"/>
                    <w:jc w:val="center"/>
                  </w:pPr>
                  <w:r>
                    <w:t xml:space="preserve">Yes</w:t>
                  </w:r>
                </w:p>
              </w:tc>
              <w:tc>
                <w:tcPr/>
                <w:p>
                  <w:pPr>
                    <w:pStyle w:val="Compact"/>
                    <w:jc w:val="right"/>
                    <w:jc w:val="center"/>
                  </w:pPr>
                  <w:r>
                    <w:t xml:space="preserve">98%</w:t>
                  </w:r>
                </w:p>
              </w:tc>
              <w:tc>
                <w:tcPr/>
                <w:p>
                  <w:pPr>
                    <w:pStyle w:val="Compact"/>
                    <w:jc w:val="left"/>
                    <w:jc w:val="center"/>
                  </w:pPr>
                  <w:r>
                    <w:t xml:space="preserve">Near-zero [b]</w:t>
                  </w:r>
                </w:p>
              </w:tc>
            </w:tr>
            <w:tr>
              <w:tc>
                <w:tcPr/>
                <w:p>
                  <w:pPr>
                    <w:pStyle w:val="Compact"/>
                    <w:jc w:val="left"/>
                    <w:jc w:val="center"/>
                  </w:pPr>
                  <w:r>
                    <w:t xml:space="preserve">**Pupil-augmented models [c]**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Pooled TEPR on v</w:t>
                  </w:r>
                </w:p>
              </w:tc>
              <w:tc>
                <w:tcPr/>
                <w:p>
                  <w:pPr>
                    <w:pStyle w:val="Compact"/>
                    <w:jc w:val="right"/>
                    <w:jc w:val="center"/>
                  </w:pPr>
                  <w:r>
                    <w:t xml:space="preserve">0.011</w:t>
                  </w:r>
                </w:p>
              </w:tc>
              <w:tc>
                <w:tcPr/>
                <w:p>
                  <w:pPr>
                    <w:pStyle w:val="Compact"/>
                    <w:jc w:val="left"/>
                    <w:jc w:val="center"/>
                  </w:pPr>
                  <w:r>
                    <w:t xml:space="preserve">[-0.025, 0.045]</w:t>
                  </w:r>
                </w:p>
              </w:tc>
              <w:tc>
                <w:tcPr/>
                <w:p>
                  <w:pPr>
                    <w:pStyle w:val="Compact"/>
                    <w:jc w:val="center"/>
                    <w:jc w:val="center"/>
                  </w:pPr>
                  <w:r>
                    <w:t xml:space="preserve">Yes</w:t>
                  </w:r>
                </w:p>
              </w:tc>
              <w:tc>
                <w:tcPr/>
                <w:p>
                  <w:pPr>
                    <w:pStyle w:val="Compact"/>
                    <w:jc w:val="right"/>
                    <w:jc w:val="center"/>
                  </w:pPr>
                  <w:r>
                    <w:t xml:space="preserve">n/a</w:t>
                  </w:r>
                </w:p>
              </w:tc>
              <w:tc>
                <w:tcPr/>
                <w:p>
                  <w:pPr>
                    <w:pStyle w:val="Compact"/>
                    <w:jc w:val="left"/>
                    <w:jc w:val="center"/>
                  </w:pPr>
                  <w:r>
                    <w:t xml:space="preserve">Inconclusive [c]</w:t>
                  </w:r>
                </w:p>
              </w:tc>
            </w:tr>
            <w:tr>
              <w:tc>
                <w:tcPr/>
                <w:p>
                  <w:pPr>
                    <w:pStyle w:val="Compact"/>
                    <w:jc w:val="left"/>
                    <w:jc w:val="center"/>
                  </w:pPr>
                  <w:r>
                    <w:t xml:space="preserve">Pooled TEPR on z</w:t>
                  </w:r>
                </w:p>
              </w:tc>
              <w:tc>
                <w:tcPr/>
                <w:p>
                  <w:pPr>
                    <w:pStyle w:val="Compact"/>
                    <w:jc w:val="right"/>
                    <w:jc w:val="center"/>
                  </w:pPr>
                  <w:r>
                    <w:t xml:space="preserve">0.004</w:t>
                  </w:r>
                </w:p>
              </w:tc>
              <w:tc>
                <w:tcPr/>
                <w:p>
                  <w:pPr>
                    <w:pStyle w:val="Compact"/>
                    <w:jc w:val="left"/>
                    <w:jc w:val="center"/>
                  </w:pPr>
                  <w:r>
                    <w:t xml:space="preserve">[-0.027, 0.034]</w:t>
                  </w:r>
                </w:p>
              </w:tc>
              <w:tc>
                <w:tcPr/>
                <w:p>
                  <w:pPr>
                    <w:pStyle w:val="Compact"/>
                    <w:jc w:val="center"/>
                    <w:jc w:val="center"/>
                  </w:pPr>
                  <w:r>
                    <w:t xml:space="preserve">Yes</w:t>
                  </w:r>
                </w:p>
              </w:tc>
              <w:tc>
                <w:tcPr/>
                <w:p>
                  <w:pPr>
                    <w:pStyle w:val="Compact"/>
                    <w:jc w:val="right"/>
                    <w:jc w:val="center"/>
                  </w:pPr>
                  <w:r>
                    <w:t xml:space="preserve">n/a</w:t>
                  </w:r>
                </w:p>
              </w:tc>
              <w:tc>
                <w:tcPr/>
                <w:p>
                  <w:pPr>
                    <w:pStyle w:val="Compact"/>
                    <w:jc w:val="left"/>
                    <w:jc w:val="center"/>
                  </w:pPr>
                  <w:r>
                    <w:t xml:space="preserve">Inconclusive [c]</w:t>
                  </w:r>
                </w:p>
              </w:tc>
            </w:tr>
            <w:tr>
              <w:tc>
                <w:tcPr/>
                <w:p>
                  <w:pPr>
                    <w:pStyle w:val="Compact"/>
                    <w:jc w:val="left"/>
                    <w:jc w:val="center"/>
                  </w:pPr>
                  <w:r>
                    <w:t xml:space="preserve">TEPR slope: Standard</w:t>
                  </w:r>
                </w:p>
              </w:tc>
              <w:tc>
                <w:tcPr/>
                <w:p>
                  <w:pPr>
                    <w:pStyle w:val="Compact"/>
                    <w:jc w:val="right"/>
                    <w:jc w:val="center"/>
                  </w:pPr>
                  <w:r>
                    <w:t xml:space="preserve">—</w:t>
                  </w:r>
                </w:p>
              </w:tc>
              <w:tc>
                <w:tcPr/>
                <w:p>
                  <w:pPr>
                    <w:pStyle w:val="Compact"/>
                    <w:jc w:val="left"/>
                    <w:jc w:val="center"/>
                  </w:pPr>
                  <w:r>
                    <w:t xml:space="preserve">—</w:t>
                  </w:r>
                </w:p>
              </w:tc>
              <w:tc>
                <w:tcPr/>
                <w:p>
                  <w:pPr>
                    <w:pStyle w:val="Compact"/>
                    <w:jc w:val="center"/>
                    <w:jc w:val="center"/>
                  </w:pPr>
                  <w:r>
                    <w:t xml:space="preserve">No</w:t>
                  </w:r>
                </w:p>
              </w:tc>
              <w:tc>
                <w:tcPr/>
                <w:p>
                  <w:pPr>
                    <w:pStyle w:val="Compact"/>
                    <w:jc w:val="right"/>
                    <w:jc w:val="center"/>
                  </w:pPr>
                  <w:r>
                    <w:t xml:space="preserve">n/a</w:t>
                  </w:r>
                </w:p>
              </w:tc>
              <w:tc>
                <w:tcPr/>
                <w:p>
                  <w:pPr>
                    <w:pStyle w:val="Compact"/>
                    <w:jc w:val="left"/>
                    <w:jc w:val="center"/>
                  </w:pPr>
                  <w:r>
                    <w:t xml:space="preserve">Inconclusive [c]</w:t>
                  </w:r>
                </w:p>
              </w:tc>
            </w:tr>
            <w:tr>
              <w:tc>
                <w:tcPr/>
                <w:p>
                  <w:pPr>
                    <w:pStyle w:val="Compact"/>
                    <w:jc w:val="left"/>
                    <w:jc w:val="center"/>
                  </w:pPr>
                  <w:r>
                    <w:t xml:space="preserve">TEPR slope: Hard</w:t>
                  </w:r>
                </w:p>
              </w:tc>
              <w:tc>
                <w:tcPr/>
                <w:p>
                  <w:pPr>
                    <w:pStyle w:val="Compact"/>
                    <w:jc w:val="right"/>
                    <w:jc w:val="center"/>
                  </w:pPr>
                  <w:r>
                    <w:t xml:space="preserve">—</w:t>
                  </w:r>
                </w:p>
              </w:tc>
              <w:tc>
                <w:tcPr/>
                <w:p>
                  <w:pPr>
                    <w:pStyle w:val="Compact"/>
                    <w:jc w:val="left"/>
                    <w:jc w:val="center"/>
                  </w:pPr>
                  <w:r>
                    <w:t xml:space="preserve">—</w:t>
                  </w:r>
                </w:p>
              </w:tc>
              <w:tc>
                <w:tcPr/>
                <w:p>
                  <w:pPr>
                    <w:pStyle w:val="Compact"/>
                    <w:jc w:val="center"/>
                    <w:jc w:val="center"/>
                  </w:pPr>
                  <w:r>
                    <w:t xml:space="preserve">No</w:t>
                  </w:r>
                </w:p>
              </w:tc>
              <w:tc>
                <w:tcPr/>
                <w:p>
                  <w:pPr>
                    <w:pStyle w:val="Compact"/>
                    <w:jc w:val="right"/>
                    <w:jc w:val="center"/>
                  </w:pPr>
                  <w:r>
                    <w:t xml:space="preserve">n/a</w:t>
                  </w:r>
                </w:p>
              </w:tc>
              <w:tc>
                <w:tcPr/>
                <w:p>
                  <w:pPr>
                    <w:pStyle w:val="Compact"/>
                    <w:jc w:val="left"/>
                    <w:jc w:val="center"/>
                  </w:pPr>
                  <w:r>
                    <w:t xml:space="preserve">Inconclusive [c]</w:t>
                  </w:r>
                </w:p>
              </w:tc>
            </w:tr>
            <w:tr>
              <w:tc>
                <w:tcPr/>
                <w:p>
                  <w:pPr>
                    <w:pStyle w:val="Compact"/>
                    <w:jc w:val="left"/>
                    <w:jc w:val="center"/>
                  </w:pPr>
                  <w:r>
                    <w:t xml:space="preserve">TEPR slope: Easy</w:t>
                  </w:r>
                </w:p>
              </w:tc>
              <w:tc>
                <w:tcPr/>
                <w:p>
                  <w:pPr>
                    <w:pStyle w:val="Compact"/>
                    <w:jc w:val="right"/>
                    <w:jc w:val="center"/>
                  </w:pPr>
                  <w:r>
                    <w:t xml:space="preserve">—</w:t>
                  </w:r>
                </w:p>
              </w:tc>
              <w:tc>
                <w:tcPr/>
                <w:p>
                  <w:pPr>
                    <w:pStyle w:val="Compact"/>
                    <w:jc w:val="left"/>
                    <w:jc w:val="center"/>
                  </w:pPr>
                  <w:r>
                    <w:t xml:space="preserve">—</w:t>
                  </w:r>
                </w:p>
              </w:tc>
              <w:tc>
                <w:tcPr/>
                <w:p>
                  <w:pPr>
                    <w:pStyle w:val="Compact"/>
                    <w:jc w:val="center"/>
                    <w:jc w:val="center"/>
                  </w:pPr>
                  <w:r>
                    <w:t xml:space="preserve">No</w:t>
                  </w:r>
                </w:p>
              </w:tc>
              <w:tc>
                <w:tcPr/>
                <w:p>
                  <w:pPr>
                    <w:pStyle w:val="Compact"/>
                    <w:jc w:val="right"/>
                    <w:jc w:val="center"/>
                  </w:pPr>
                  <w:r>
                    <w:t xml:space="preserve">n/a</w:t>
                  </w:r>
                </w:p>
              </w:tc>
              <w:tc>
                <w:tcPr/>
                <w:p>
                  <w:pPr>
                    <w:pStyle w:val="Compact"/>
                    <w:jc w:val="left"/>
                    <w:jc w:val="center"/>
                  </w:pPr>
                  <w:r>
                    <w:t xml:space="preserve">Inconclusive [c]</w:t>
                  </w:r>
                </w:p>
              </w:tc>
            </w:tr>
          </w:tbl>
          <w:bookmarkEnd w:id="56"/>
          <w:p/>
        </w:tc>
      </w:tr>
    </w:tbl>
    <w:p>
      <w:pPr>
        <w:pStyle w:val="BodyText"/>
      </w:pPr>
      <w:r>
        <w:t xml:space="preserve">The pooled primary model omitted Task on drift; effort</w:t>
      </w:r>
      <m:oMath>
        <m:r>
          <m:rPr>
            <m:sty m:val="p"/>
          </m:rPr>
          <m:t>→</m:t>
        </m:r>
      </m:oMath>
      <w:r>
        <w:t xml:space="preserve">drift was similar with Task on drift (primary</w:t>
      </w:r>
      <w:r>
        <w:t xml:space="preserve"> </w:t>
      </w:r>
      <m:oMath>
        <m:r>
          <m:t>β</m:t>
        </m:r>
        <m:r>
          <m:rPr>
            <m:sty m:val="p"/>
          </m:rPr>
          <m:t>=</m:t>
        </m:r>
        <m:r>
          <m:rPr>
            <m:sty m:val="p"/>
          </m:rPr>
          <m:t>−</m:t>
        </m:r>
        <m:r>
          <m:t>0.057</m:t>
        </m:r>
      </m:oMath>
      <w:r>
        <w:t xml:space="preserve"> </w:t>
      </w:r>
      <w:r>
        <w:t xml:space="preserve">vs task-sensitivity</w:t>
      </w:r>
      <w:r>
        <w:t xml:space="preserve"> </w:t>
      </w:r>
      <m:oMath>
        <m:r>
          <m:t>δ</m:t>
        </m:r>
        <m:r>
          <m:rPr>
            <m:sty m:val="p"/>
          </m:rPr>
          <m:t>=</m:t>
        </m:r>
        <m:r>
          <m:rPr>
            <m:sty m:val="p"/>
          </m:rPr>
          <m:t>−</m:t>
        </m:r>
        <m:r>
          <m:t>0.085</m:t>
        </m:r>
      </m:oMath>
      <w:r>
        <w:t xml:space="preserve">;</w:t>
      </w:r>
      <w:r>
        <w:t xml:space="preserve"> </w:t>
      </w:r>
      <w:hyperlink w:anchor="tbl-task-sensitivity">
        <w:r>
          <w:rPr>
            <w:rStyle w:val="Hyperlink"/>
          </w:rPr>
          <w:t xml:space="preserve">Table 16</w:t>
        </w:r>
      </w:hyperlink>
      <w:r>
        <w:t xml:space="preserve">); Task</w:t>
      </w:r>
      <m:oMath>
        <m:r>
          <m:rPr>
            <m:sty m:val="p"/>
          </m:rPr>
          <m:t>→</m:t>
        </m:r>
      </m:oMath>
      <w:r>
        <w:t xml:space="preserve">drift was credible but Effort</w:t>
      </w:r>
      <w:r>
        <w:t xml:space="preserve"> </w:t>
      </w:r>
      <m:oMath>
        <m:r>
          <m:rPr>
            <m:sty m:val="p"/>
          </m:rPr>
          <m:t>×</m:t>
        </m:r>
      </m:oMath>
      <w:r>
        <w:t xml:space="preserve"> </w:t>
      </w:r>
      <w:r>
        <w:t xml:space="preserve">Task was not, so we treat cross-task pooling as a deliberate simplification (Appendix A4.3). H1 kept the same sign and similar magnitude across RT cutoffs of 0.15, 0.20, and 0.25 s. H2 was less stable: at the most lenient cutoff (0.15 s), the already-negligible boundary contrast no longer excluded zero, which supports the practical-equivalence interpretation (Appendix A4.2).</w:t>
      </w:r>
    </w:p>
    <w:bookmarkEnd w:id="57"/>
    <w:bookmarkStart w:id="62" w:name="sec-starting-point-bias"/>
    <w:p>
      <w:pPr>
        <w:pStyle w:val="Heading3"/>
      </w:pPr>
      <w:r>
        <w:t xml:space="preserve">3.2.2 Starting-point bias</w:t>
      </w:r>
    </w:p>
    <w:p>
      <w:pPr>
        <w:pStyle w:val="FirstParagraph"/>
      </w:pPr>
      <w:r>
        <w:t xml:space="preserve">In a standard-only calibration model, starting-point bias (</w:t>
      </w:r>
      <m:oMath>
        <m:r>
          <m:t>z</m:t>
        </m:r>
      </m:oMath>
      <w:r>
        <w:t xml:space="preserve">) was estimated independently of drift rate (</w:t>
      </w:r>
      <m:oMath>
        <m:r>
          <m:t>v</m:t>
        </m:r>
      </m:oMath>
      <w:r>
        <w:t xml:space="preserve">). Bias values were consistently above 0.5. ADT showed higher bias toward</w:t>
      </w:r>
      <w:r>
        <w:t xml:space="preserve"> </w:t>
      </w:r>
      <w:r>
        <w:t xml:space="preserve">“different”</w:t>
      </w:r>
      <w:r>
        <w:t xml:space="preserve"> </w:t>
      </w:r>
      <w:r>
        <w:t xml:space="preserve">responses than VDT (</w:t>
      </w:r>
      <m:oMath>
        <m:r>
          <m:t>Δ</m:t>
        </m:r>
        <m:r>
          <m:t>z</m:t>
        </m:r>
        <m:r>
          <m:rPr>
            <m:sty m:val="p"/>
          </m:rPr>
          <m:t>=</m:t>
        </m:r>
        <m:r>
          <m:t>0.038</m:t>
        </m:r>
      </m:oMath>
      <w:r>
        <w:t xml:space="preserve">, 95% CrI</w:t>
      </w:r>
      <w:r>
        <w:t xml:space="preserve"> </w:t>
      </w:r>
      <m:oMath>
        <m:d>
          <m:dPr>
            <m:begChr m:val="["/>
            <m:sepChr m:val=""/>
            <m:endChr m:val="]"/>
            <m:grow/>
          </m:dPr>
          <m:e>
            <m:r>
              <m:t>0.019</m:t>
            </m:r>
            <m:r>
              <m:rPr>
                <m:sty m:val="p"/>
              </m:rPr>
              <m:t>,</m:t>
            </m:r>
            <m:r>
              <m:t> </m:t>
            </m:r>
            <m:r>
              <m:t>0.058</m:t>
            </m:r>
          </m:e>
        </m:d>
      </m:oMath>
      <w:r>
        <w:t xml:space="preserve">;</w:t>
      </w:r>
      <w:r>
        <w:t xml:space="preserve"> </w:t>
      </w:r>
      <m:oMath>
        <m:r>
          <m:t>P</m:t>
        </m:r>
        <m:d>
          <m:dPr>
            <m:begChr m:val="("/>
            <m:sepChr m:val=""/>
            <m:endChr m:val=")"/>
            <m:grow/>
          </m:dPr>
          <m:e>
            <m:r>
              <m:t>Δ</m:t>
            </m:r>
            <m:sSub>
              <m:e>
                <m:r>
                  <m:t>z</m:t>
                </m:r>
              </m:e>
              <m:sub>
                <m:r>
                  <m:rPr>
                    <m:nor/>
                    <m:sty m:val="p"/>
                  </m:rPr>
                  <m:t>ADT</m:t>
                </m:r>
                <m:r>
                  <m:rPr>
                    <m:sty m:val="p"/>
                  </m:rPr>
                  <m:t>−</m:t>
                </m:r>
                <m:r>
                  <m:rPr>
                    <m:nor/>
                    <m:sty m:val="p"/>
                  </m:rPr>
                  <m:t>VDT</m:t>
                </m:r>
              </m:sub>
            </m:sSub>
            <m:r>
              <m:rPr>
                <m:sty m:val="p"/>
              </m:rPr>
              <m:t>&gt;</m:t>
            </m:r>
            <m:r>
              <m:t>0</m:t>
            </m:r>
          </m:e>
        </m:d>
        <m:r>
          <m:rPr>
            <m:sty m:val="p"/>
          </m:rPr>
          <m:t>&gt;</m:t>
        </m:r>
        <m:r>
          <m:t>.999</m:t>
        </m:r>
      </m:oMath>
      <w:r>
        <w:t xml:space="preserve">; ADT − VDT on</w:t>
      </w:r>
      <w:r>
        <w:t xml:space="preserve"> </w:t>
      </w:r>
      <m:oMath>
        <m:r>
          <m:t>z</m:t>
        </m:r>
      </m:oMath>
      <w:r>
        <w:t xml:space="preserve">). The effort contrast in this calibration model was small and uncertain (High−Low:</w:t>
      </w:r>
      <w:r>
        <w:t xml:space="preserve"> </w:t>
      </w:r>
      <m:oMath>
        <m:r>
          <m:t>Δ</m:t>
        </m:r>
        <m:r>
          <m:t>z</m:t>
        </m:r>
        <m:r>
          <m:rPr>
            <m:sty m:val="p"/>
          </m:rPr>
          <m:t>=</m:t>
        </m:r>
        <m:r>
          <m:t>0.006</m:t>
        </m:r>
      </m:oMath>
      <w:r>
        <w:t xml:space="preserve">, 95% CrI</w:t>
      </w:r>
      <w:r>
        <w:t xml:space="preserve"> </w:t>
      </w:r>
      <m:oMath>
        <m:d>
          <m:dPr>
            <m:begChr m:val="["/>
            <m:sepChr m:val=""/>
            <m:endChr m:val="]"/>
            <m:grow/>
          </m:dPr>
          <m:e>
            <m:r>
              <m:rPr>
                <m:sty m:val="p"/>
              </m:rPr>
              <m:t>−</m:t>
            </m:r>
            <m:r>
              <m:t>0.011</m:t>
            </m:r>
            <m:r>
              <m:rPr>
                <m:sty m:val="p"/>
              </m:rPr>
              <m:t>,</m:t>
            </m:r>
            <m:r>
              <m:t> </m:t>
            </m:r>
            <m:r>
              <m:t>0.024</m:t>
            </m:r>
          </m:e>
        </m:d>
      </m:oMath>
      <w:r>
        <w:t xml:space="preserve">). Bias was modeled as a function of task and effort only, because participants did not know trial difficulty in advance</w:t>
      </w:r>
      <w:r>
        <w:t xml:space="preserve"> </w:t>
      </w:r>
      <w:r>
        <w:t xml:space="preserve">(Farell, 1985; Nosofsky &amp; Palmeri, 1997)</w:t>
      </w:r>
      <w:r>
        <w:t xml:space="preserve">. The primary-model H4 test is in</w:t>
      </w:r>
      <w:r>
        <w:t xml:space="preserve"> </w:t>
      </w:r>
      <w:hyperlink w:anchor="sec-key-contrasts">
        <w:r>
          <w:rPr>
            <w:rStyle w:val="Hyperlink"/>
          </w:rPr>
          <w:t xml:space="preserve">Section 3.2.1</w:t>
        </w:r>
      </w:hyperlink>
      <w:r>
        <w:t xml:space="preserve">.</w:t>
      </w:r>
    </w:p>
    <w:p>
      <w:pPr>
        <w:pStyle w:val="BodyText"/>
      </w:pPr>
      <w:r>
        <w:t xml:space="preserve">The standard-only bias estimate (</w:t>
      </w:r>
      <m:oMath>
        <m:r>
          <m:t>z</m:t>
        </m:r>
        <m:r>
          <m:rPr>
            <m:sty m:val="p"/>
          </m:rPr>
          <m:t>=</m:t>
        </m:r>
        <m:r>
          <m:t>0.58</m:t>
        </m:r>
      </m:oMath>
      <w:r>
        <w:t xml:space="preserve">, 95% CrI [0.51, 0.64];</w:t>
      </w:r>
      <w:r>
        <w:t xml:space="preserve"> </w:t>
      </w:r>
      <w:hyperlink w:anchor="tbl-standard-only-bias-levels">
        <w:r>
          <w:rPr>
            <w:rStyle w:val="Hyperlink"/>
          </w:rPr>
          <w:t xml:space="preserve">Table 7</w:t>
        </w:r>
      </w:hyperlink>
      <w:r>
        <w:t xml:space="preserve">) exceeded the primary-model estimates (</w:t>
      </w:r>
      <m:oMath>
        <m:r>
          <m:t>z</m:t>
        </m:r>
        <m:r>
          <m:rPr>
            <m:sty m:val="p"/>
          </m:rPr>
          <m:t>≈</m:t>
        </m:r>
        <m:r>
          <m:t>0.52</m:t>
        </m:r>
      </m:oMath>
      <w:r>
        <w:t xml:space="preserve">–</w:t>
      </w:r>
      <m:oMath>
        <m:r>
          <m:t>0.55</m:t>
        </m:r>
      </m:oMath>
      <w:r>
        <w:t xml:space="preserve">;</w:t>
      </w:r>
      <w:r>
        <w:t xml:space="preserve"> </w:t>
      </w:r>
      <w:hyperlink w:anchor="tbl-ddm-posterior-estimates">
        <w:r>
          <w:rPr>
            <w:rStyle w:val="Hyperlink"/>
          </w:rPr>
          <w:t xml:space="preserve">Table 6</w:t>
        </w:r>
      </w:hyperlink>
      <w:r>
        <w:t xml:space="preserve">). This difference reflects the</w:t>
      </w:r>
      <w:r>
        <w:t xml:space="preserve"> </w:t>
      </w:r>
      <m:oMath>
        <m:r>
          <m:t>v</m:t>
        </m:r>
      </m:oMath>
      <w:r>
        <w:t xml:space="preserve">–</w:t>
      </w:r>
      <m:oMath>
        <m:r>
          <m:t>z</m:t>
        </m:r>
      </m:oMath>
      <w:r>
        <w:t xml:space="preserve"> </w:t>
      </w:r>
      <w:r>
        <w:t xml:space="preserve">trade-off when drift and bias are estimated jointly across difficulty levels. Between-subject variability in drift rate and its effort sensitivity is shown in</w:t>
      </w:r>
      <w:r>
        <w:t xml:space="preserve"> </w:t>
      </w:r>
      <w:hyperlink w:anchor="fig-individual-diffs">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individual-diffs"/>
          <w:p>
            <w:pPr>
              <w:pStyle w:val="Compact"/>
              <w:jc w:val="center"/>
            </w:pPr>
            <w:r>
              <w:drawing>
                <wp:inline>
                  <wp:extent cx="5334000" cy="2517648"/>
                  <wp:effectExtent b="0" l="0" r="0" t="0"/>
                  <wp:docPr descr="" title="" id="59" name="Picture"/>
                  <a:graphic>
                    <a:graphicData uri="http://schemas.openxmlformats.org/drawingml/2006/picture">
                      <pic:pic>
                        <pic:nvPicPr>
                          <pic:cNvPr descr="../output/figures/manuscript/fig5_individual_differences.png" id="60" name="Picture"/>
                          <pic:cNvPicPr>
                            <a:picLocks noChangeArrowheads="1" noChangeAspect="1"/>
                          </pic:cNvPicPr>
                        </pic:nvPicPr>
                        <pic:blipFill>
                          <a:blip r:embed="rId58"/>
                          <a:stretch>
                            <a:fillRect/>
                          </a:stretch>
                        </pic:blipFill>
                        <pic:spPr bwMode="auto">
                          <a:xfrm>
                            <a:off x="0" y="0"/>
                            <a:ext cx="5334000" cy="2517648"/>
                          </a:xfrm>
                          <a:prstGeom prst="rect">
                            <a:avLst/>
                          </a:prstGeom>
                          <a:noFill/>
                          <a:ln w="9525">
                            <a:noFill/>
                            <a:headEnd/>
                            <a:tailEnd/>
                          </a:ln>
                        </pic:spPr>
                      </pic:pic>
                    </a:graphicData>
                  </a:graphic>
                </wp:inline>
              </w:drawing>
            </w:r>
          </w:p>
          <w:p>
            <w:pPr>
              <w:jc w:val="center"/>
            </w:pPr>
            <w:pPr>
              <w:jc w:val="start"/>
              <w:spacing w:before="200"/>
              <w:pStyle w:val="ImageCaption"/>
            </w:pPr>
            <w:r>
              <w:t xml:space="preserve">Figure 4:</w:t>
            </w:r>
            <w:r>
              <w:t xml:space="preserve"> </w:t>
            </w:r>
            <w:r>
              <w:rPr>
                <w:b/>
                <w:bCs/>
              </w:rPr>
              <w:t xml:space="preserve">Group-level effort reduced drift rate, with most participants showing lower High-effort than Low-effort subject-level estimates.</w:t>
            </w:r>
            <w:r>
              <w:t xml:space="preserve"> </w:t>
            </w:r>
            <w:r>
              <w:rPr>
                <w:b/>
                <w:bCs/>
              </w:rPr>
              <w:t xml:space="preserve">(A)</w:t>
            </w:r>
            <w:r>
              <w:t xml:space="preserve"> </w:t>
            </w:r>
            <w:r>
              <w:t xml:space="preserve">Brinley plot (Hard vs. Easy mean RT per participant).</w:t>
            </w:r>
            <w:r>
              <w:t xml:space="preserve"> </w:t>
            </w:r>
            <w:r>
              <w:rPr>
                <w:b/>
                <w:bCs/>
              </w:rPr>
              <w:t xml:space="preserve">(B)</w:t>
            </w:r>
            <w:r>
              <w:t xml:space="preserve"> </w:t>
            </w:r>
            <w:r>
              <w:t xml:space="preserve">Paired subject-level drift by effort; diamonds = group means.</w:t>
            </w:r>
            <w:r>
              <w:t xml:space="preserve"> </w:t>
            </w:r>
            <w:r>
              <w:rPr>
                <w:b/>
                <w:bCs/>
              </w:rPr>
              <w:t xml:space="preserve">(C)</w:t>
            </w:r>
            <w:r>
              <w:t xml:space="preserve"> </w:t>
            </w:r>
            <w:r>
              <w:t xml:space="preserve">Low vs. High effort drift scatter (points below diagonal = lower drift under High effort; uncertainty not shown). Group-level effort contrast (primary additive model)</w:t>
            </w:r>
            <w:r>
              <w:t xml:space="preserve"> </w:t>
            </w:r>
            <m:oMath>
              <m:r>
                <m:t>β</m:t>
              </m:r>
              <m:r>
                <m:rPr>
                  <m:sty m:val="p"/>
                </m:rPr>
                <m:t>=</m:t>
              </m:r>
              <m:r>
                <m:rPr>
                  <m:sty m:val="p"/>
                </m:rPr>
                <m:t>−</m:t>
              </m:r>
              <m:r>
                <m:t>0.06</m:t>
              </m:r>
            </m:oMath>
            <w:r>
              <w:t xml:space="preserve">, 95% CrI</w:t>
            </w:r>
            <w:r>
              <w:t xml:space="preserve"> </w:t>
            </w:r>
            <m:oMath>
              <m:d>
                <m:dPr>
                  <m:begChr m:val="["/>
                  <m:sepChr m:val=""/>
                  <m:endChr m:val="]"/>
                  <m:grow/>
                </m:dPr>
                <m:e>
                  <m:r>
                    <m:rPr>
                      <m:sty m:val="p"/>
                    </m:rPr>
                    <m:t>−</m:t>
                  </m:r>
                  <m:r>
                    <m:t>0.10</m:t>
                  </m:r>
                  <m:r>
                    <m:rPr>
                      <m:sty m:val="p"/>
                    </m:rPr>
                    <m:t>,</m:t>
                  </m:r>
                  <m:r>
                    <m:t> </m:t>
                  </m:r>
                  <m:r>
                    <m:rPr>
                      <m:sty m:val="p"/>
                    </m:rPr>
                    <m:t>−</m:t>
                  </m:r>
                  <m:r>
                    <m:t>0.02</m:t>
                  </m:r>
                </m:e>
              </m:d>
            </m:oMath>
            <w:r>
              <w:t xml:space="preserve">. Estimates are hierarchical posteriors with partial shrinkage toward the group mean.</w:t>
            </w:r>
          </w:p>
          <w:bookmarkEnd w:id="61"/>
        </w:tc>
      </w:tr>
    </w:tbl>
    <w:bookmarkEnd w:id="62"/>
    <w:bookmarkEnd w:id="63"/>
    <w:bookmarkStart w:id="64" w:name="sec-pupil-ddm-integration"/>
    <w:p>
      <w:pPr>
        <w:pStyle w:val="Heading2"/>
      </w:pPr>
      <w:r>
        <w:t xml:space="preserve">3.3 Pupil-linked DDM extensions</w:t>
      </w:r>
    </w:p>
    <w:p>
      <w:pPr>
        <w:pStyle w:val="FirstParagraph"/>
      </w:pPr>
      <w:r>
        <w:t xml:space="preserve">We next tested whether trial-wise task-evoked pupil responses (TEPR; within-subject</w:t>
      </w:r>
      <w:r>
        <w:t xml:space="preserve"> </w:t>
      </w:r>
      <w:r>
        <w:rPr>
          <w:i/>
          <w:iCs/>
        </w:rPr>
        <w:t xml:space="preserve">z</w:t>
      </w:r>
      <w:r>
        <w:t xml:space="preserve">-scored Decision-Response AUC) predicted latent decision parameters during concurrent grip. The</w:t>
      </w:r>
      <w:r>
        <w:t xml:space="preserve"> </w:t>
      </w:r>
      <w:r>
        <w:rPr>
          <w:b/>
          <w:bCs/>
        </w:rPr>
        <w:t xml:space="preserve">pupil → bias (</w:t>
      </w:r>
      <m:oMath>
        <m:r>
          <m:t>z</m:t>
        </m:r>
      </m:oMath>
      <w:r>
        <w:rPr>
          <w:b/>
          <w:bCs/>
        </w:rPr>
        <w:t xml:space="preserve">)</w:t>
      </w:r>
      <w:r>
        <w:t xml:space="preserve"> </w:t>
      </w:r>
      <w:r>
        <w:t xml:space="preserve">test was pre-specified as the primary pupil-linked contrast. The pupil → drift, pupil × difficulty on drift, and Cavanagh-style pupil → boundary (</w:t>
      </w:r>
      <m:oMath>
        <m:r>
          <m:t>a</m:t>
        </m:r>
      </m:oMath>
      <w:r>
        <w:t xml:space="preserve">) models were exploratory. On the pupil-available subset (12,287 trials, 59 participants), we fit four nested hierarchical Wiener models (</w:t>
      </w:r>
      <w:hyperlink w:anchor="sec-pupil-ddm-models">
        <w:r>
          <w:rPr>
            <w:rStyle w:val="Hyperlink"/>
          </w:rPr>
          <w:t xml:space="preserve">Section 2.10.1</w:t>
        </w:r>
      </w:hyperlink>
      <w:r>
        <w:t xml:space="preserve">): (1) a</w:t>
      </w:r>
      <w:r>
        <w:t xml:space="preserve"> </w:t>
      </w:r>
      <w:r>
        <w:rPr>
          <w:b/>
          <w:bCs/>
        </w:rPr>
        <w:t xml:space="preserve">behavioral baseline</w:t>
      </w:r>
      <w:r>
        <w:t xml:space="preserve"> </w:t>
      </w:r>
      <w:r>
        <w:t xml:space="preserve">without pupil predictors; (2)</w:t>
      </w:r>
      <w:r>
        <w:t xml:space="preserve"> </w:t>
      </w:r>
      <w:r>
        <w:rPr>
          <w:b/>
          <w:bCs/>
        </w:rPr>
        <w:t xml:space="preserve">pupil → bias</w:t>
      </w:r>
      <w:r>
        <w:t xml:space="preserve"> </w:t>
      </w:r>
      <w:r>
        <w:t xml:space="preserve">(</w:t>
      </w:r>
      <m:oMath>
        <m:r>
          <m:t>z</m:t>
        </m:r>
      </m:oMath>
      <w:r>
        <w:t xml:space="preserve">); (3)</w:t>
      </w:r>
      <w:r>
        <w:t xml:space="preserve"> </w:t>
      </w:r>
      <w:r>
        <w:rPr>
          <w:b/>
          <w:bCs/>
        </w:rPr>
        <w:t xml:space="preserve">pupil → drift + bias</w:t>
      </w:r>
      <w:r>
        <w:t xml:space="preserve"> </w:t>
      </w:r>
      <w:r>
        <w:t xml:space="preserve">(</w:t>
      </w:r>
      <m:oMath>
        <m:r>
          <m:t>v</m:t>
        </m:r>
      </m:oMath>
      <w:r>
        <w:t xml:space="preserve"> </w:t>
      </w:r>
      <w:r>
        <w:t xml:space="preserve">and</w:t>
      </w:r>
      <w:r>
        <w:t xml:space="preserve"> </w:t>
      </w:r>
      <m:oMath>
        <m:r>
          <m:t>z</m:t>
        </m:r>
      </m:oMath>
      <w:r>
        <w:t xml:space="preserve">); and (4)</w:t>
      </w:r>
      <w:r>
        <w:t xml:space="preserve"> </w:t>
      </w:r>
      <w:r>
        <w:rPr>
          <w:b/>
          <w:bCs/>
        </w:rPr>
        <w:t xml:space="preserve">pupil × difficulty</w:t>
      </w:r>
      <w:r>
        <w:t xml:space="preserve"> </w:t>
      </w:r>
      <w:r>
        <w:t xml:space="preserve">on drift. We also fit Cavanagh-style boundary models (</w:t>
      </w:r>
      <m:oMath>
        <m:r>
          <m:t>a</m:t>
        </m:r>
      </m:oMath>
      <w:r>
        <w:t xml:space="preserve">;</w:t>
      </w:r>
      <w:r>
        <w:t xml:space="preserve"> </w:t>
      </w:r>
      <w:hyperlink w:anchor="tbl-pupil-boundary-appendix">
        <w:r>
          <w:rPr>
            <w:rStyle w:val="Hyperlink"/>
          </w:rPr>
          <w:t xml:space="preserve">Table 19</w:t>
        </w:r>
      </w:hyperlink>
      <w:r>
        <w:t xml:space="preserve">). All nested models used the same trial set and the same additive difficulty/effort structure as the primary behavioral model. Because the pupil subset excludes trials without valid pupil data, it is</w:t>
      </w:r>
      <w:r>
        <w:t xml:space="preserve"> </w:t>
      </w:r>
      <w:r>
        <w:rPr>
          <w:b/>
          <w:bCs/>
        </w:rPr>
        <w:t xml:space="preserve">not</w:t>
      </w:r>
      <w:r>
        <w:t xml:space="preserve"> </w:t>
      </w:r>
      <w:r>
        <w:t xml:space="preserve">comparable to the full behavioral analysis (</w:t>
      </w:r>
      <m:oMath>
        <m:r>
          <m:t>N</m:t>
        </m:r>
        <m:r>
          <m:rPr>
            <m:sty m:val="p"/>
          </m:rPr>
          <m:t>=</m:t>
        </m:r>
        <m:r>
          <m:t>17</m:t>
        </m:r>
        <m:r>
          <m:rPr>
            <m:sty m:val="p"/>
          </m:rPr>
          <m:t>,</m:t>
        </m:r>
        <m:r>
          <m:t>857</m:t>
        </m:r>
      </m:oMath>
      <w:r>
        <w:t xml:space="preserve"> </w:t>
      </w:r>
      <w:r>
        <w:t xml:space="preserve">trials); pupil-model comparisons are restricted to the nested same-</w:t>
      </w:r>
      <m:oMath>
        <m:r>
          <m:t>N</m:t>
        </m:r>
      </m:oMath>
      <w:r>
        <w:t xml:space="preserve"> </w:t>
      </w:r>
      <w:r>
        <w:t xml:space="preserve">set.</w:t>
      </w:r>
    </w:p>
    <w:p>
      <w:pPr>
        <w:pStyle w:val="BodyText"/>
      </w:pPr>
      <w:r>
        <w:t xml:space="preserve">On the pupil-available subset (12,287 trials, 59 participants), PSIS-LOO was reliable (max Pareto-</w:t>
      </w:r>
      <m:oMath>
        <m:r>
          <m:t>k</m:t>
        </m:r>
      </m:oMath>
      <w:r>
        <w:t xml:space="preserve"> </w:t>
      </w:r>
      <w:r>
        <w:t xml:space="preserve">= 0.68; all</w:t>
      </w:r>
      <w:r>
        <w:t xml:space="preserve"> </w:t>
      </w:r>
      <m:oMath>
        <m:r>
          <m:t>k</m:t>
        </m:r>
        <m:r>
          <m:rPr>
            <m:sty m:val="p"/>
          </m:rPr>
          <m:t>≤</m:t>
        </m:r>
        <m:r>
          <m:t>0.7</m:t>
        </m:r>
      </m:oMath>
      <w:r>
        <w:t xml:space="preserve">). Relative to the nested behavioral baseline,</w:t>
      </w:r>
      <w:r>
        <w:t xml:space="preserve"> </w:t>
      </w:r>
      <m:oMath>
        <m:r>
          <m:t>Δ</m:t>
        </m:r>
      </m:oMath>
      <w:r>
        <w:t xml:space="preserve">ELPD was -0.10 (pupil</w:t>
      </w:r>
      <w:r>
        <w:t xml:space="preserve"> </w:t>
      </w:r>
      <m:oMath>
        <m:r>
          <m:rPr>
            <m:sty m:val="p"/>
          </m:rPr>
          <m:t>→</m:t>
        </m:r>
      </m:oMath>
      <w:r>
        <w:t xml:space="preserve"> </w:t>
      </w:r>
      <m:oMath>
        <m:r>
          <m:t>z</m:t>
        </m:r>
      </m:oMath>
      <w:r>
        <w:t xml:space="preserve">), -2.15 (pupil</w:t>
      </w:r>
      <w:r>
        <w:t xml:space="preserve"> </w:t>
      </w:r>
      <m:oMath>
        <m:r>
          <m:rPr>
            <m:sty m:val="p"/>
          </m:rPr>
          <m:t>→</m:t>
        </m:r>
      </m:oMath>
      <w:r>
        <w:t xml:space="preserve"> </w:t>
      </w:r>
      <m:oMath>
        <m:r>
          <m:t>v</m:t>
        </m:r>
      </m:oMath>
      <w:r>
        <w:t xml:space="preserve"> </w:t>
      </w:r>
      <w:r>
        <w:t xml:space="preserve">+</w:t>
      </w:r>
      <w:r>
        <w:t xml:space="preserve"> </w:t>
      </w:r>
      <m:oMath>
        <m:r>
          <m:t>z</m:t>
        </m:r>
      </m:oMath>
      <w:r>
        <w:t xml:space="preserve">), and -2.59 (pupil</w:t>
      </w:r>
      <w:r>
        <w:t xml:space="preserve"> </w:t>
      </w:r>
      <m:oMath>
        <m:r>
          <m:rPr>
            <m:sty m:val="p"/>
          </m:rPr>
          <m:t>×</m:t>
        </m:r>
      </m:oMath>
      <w:r>
        <w:t xml:space="preserve"> </w:t>
      </w:r>
      <w:r>
        <w:t xml:space="preserve">difficulty); none approached the</w:t>
      </w:r>
      <w:r>
        <w:t xml:space="preserve"> </w:t>
      </w:r>
      <m:oMath>
        <m:r>
          <m:rPr>
            <m:sty m:val="p"/>
          </m:rPr>
          <m:t>±</m:t>
        </m:r>
        <m:r>
          <m:t>4</m:t>
        </m:r>
      </m:oMath>
      <w:r>
        <w:t xml:space="preserve"> </w:t>
      </w:r>
      <w:r>
        <w:t xml:space="preserve">benchmark (</w:t>
      </w:r>
      <w:hyperlink w:anchor="tbl-pupil-loo-unified">
        <w:r>
          <w:rPr>
            <w:rStyle w:val="Hyperlink"/>
          </w:rPr>
          <w:t xml:space="preserve">Table 17</w:t>
        </w:r>
      </w:hyperlink>
      <w:r>
        <w:t xml:space="preserve">; primary-window nested Models m0–m3). Pooled TEPR did not credibly predict drift rate (</w:t>
      </w:r>
      <m:oMath>
        <m:r>
          <m:t>v</m:t>
        </m:r>
      </m:oMath>
      <w:r>
        <w:t xml:space="preserve">;</w:t>
      </w:r>
      <w:r>
        <w:t xml:space="preserve"> </w:t>
      </w:r>
      <m:oMath>
        <m:r>
          <m:t>β</m:t>
        </m:r>
        <m:r>
          <m:rPr>
            <m:sty m:val="p"/>
          </m:rPr>
          <m:t>=</m:t>
        </m:r>
        <m:r>
          <m:t>0.011</m:t>
        </m:r>
      </m:oMath>
      <w:r>
        <w:t xml:space="preserve">, 95% CrI</w:t>
      </w:r>
      <w:r>
        <w:t xml:space="preserve"> </w:t>
      </w:r>
      <m:oMath>
        <m:d>
          <m:dPr>
            <m:begChr m:val="["/>
            <m:sepChr m:val=""/>
            <m:endChr m:val="]"/>
            <m:grow/>
          </m:dPr>
          <m:e>
            <m:r>
              <m:rPr>
                <m:sty m:val="p"/>
              </m:rPr>
              <m:t>−</m:t>
            </m:r>
            <m:r>
              <m:t>0.025</m:t>
            </m:r>
            <m:r>
              <m:rPr>
                <m:sty m:val="p"/>
              </m:rPr>
              <m:t>,</m:t>
            </m:r>
            <m:r>
              <m:t> </m:t>
            </m:r>
            <m:r>
              <m:t>0.045</m:t>
            </m:r>
          </m:e>
        </m:d>
      </m:oMath>
      <w:r>
        <w:t xml:space="preserve">; 95% CrI includes zero) or starting-point bias (</w:t>
      </w:r>
      <m:oMath>
        <m:r>
          <m:t>z</m:t>
        </m:r>
      </m:oMath>
      <w:r>
        <w:t xml:space="preserve">;</w:t>
      </w:r>
      <w:r>
        <w:t xml:space="preserve"> </w:t>
      </w:r>
      <m:oMath>
        <m:r>
          <m:t>β</m:t>
        </m:r>
        <m:r>
          <m:rPr>
            <m:sty m:val="p"/>
          </m:rPr>
          <m:t>=</m:t>
        </m:r>
        <m:r>
          <m:t>0.004</m:t>
        </m:r>
      </m:oMath>
      <w:r>
        <w:t xml:space="preserve">, 95% CrI</w:t>
      </w:r>
      <w:r>
        <w:t xml:space="preserve"> </w:t>
      </w:r>
      <m:oMath>
        <m:d>
          <m:dPr>
            <m:begChr m:val="["/>
            <m:sepChr m:val=""/>
            <m:endChr m:val="]"/>
            <m:grow/>
          </m:dPr>
          <m:e>
            <m:r>
              <m:rPr>
                <m:sty m:val="p"/>
              </m:rPr>
              <m:t>−</m:t>
            </m:r>
            <m:r>
              <m:t>0.027</m:t>
            </m:r>
            <m:r>
              <m:rPr>
                <m:sty m:val="p"/>
              </m:rPr>
              <m:t>,</m:t>
            </m:r>
            <m:r>
              <m:t> </m:t>
            </m:r>
            <m:r>
              <m:t>0.034</m:t>
            </m:r>
          </m:e>
        </m:d>
      </m:oMath>
      <w:r>
        <w:t xml:space="preserve">; 95% CrI includes zero). Difficulty-conditional TEPR slopes on</w:t>
      </w:r>
      <w:r>
        <w:t xml:space="preserve"> </w:t>
      </w:r>
      <m:oMath>
        <m:r>
          <m:t>v</m:t>
        </m:r>
      </m:oMath>
      <w:r>
        <w:t xml:space="preserve"> </w:t>
      </w:r>
      <w:r>
        <w:t xml:space="preserve">were centered near zero with CrIs spanning zero (</w:t>
      </w:r>
      <w:hyperlink w:anchor="tbl-pupil-key-effects-appendix">
        <w:r>
          <w:rPr>
            <w:rStyle w:val="Hyperlink"/>
          </w:rPr>
          <w:t xml:space="preserve">Table 18</w:t>
        </w:r>
      </w:hyperlink>
      <w:r>
        <w:t xml:space="preserve">,</w:t>
      </w:r>
      <w:r>
        <w:t xml:space="preserve"> </w:t>
      </w:r>
      <w:hyperlink w:anchor="fig-tepr-slopes-supp">
        <w:r>
          <w:rPr>
            <w:rStyle w:val="Hyperlink"/>
          </w:rPr>
          <w:t xml:space="preserve">Figure 17</w:t>
        </w:r>
      </w:hyperlink>
      <w:r>
        <w:t xml:space="preserve">). We additionally fit Cavanagh-style extensions allowing trial-wise TEPR to modulate boundary separation (</w:t>
      </w:r>
      <m:oMath>
        <m:r>
          <m:t>a</m:t>
        </m:r>
      </m:oMath>
      <w:r>
        <w:t xml:space="preserve">) while holding drift and bias structures fixed</w:t>
      </w:r>
      <w:r>
        <w:t xml:space="preserve"> </w:t>
      </w:r>
      <w:r>
        <w:t xml:space="preserve">(Cavanagh et al., 2014)</w:t>
      </w:r>
      <w:r>
        <w:t xml:space="preserve">. Posterior slopes were small but credibly above zero on the log-</w:t>
      </w:r>
      <m:oMath>
        <m:r>
          <m:t>a</m:t>
        </m:r>
      </m:oMath>
      <w:r>
        <w:t xml:space="preserve"> </w:t>
      </w:r>
      <w:r>
        <w:t xml:space="preserve">link (Decision-Response AUC:</w:t>
      </w:r>
      <w:r>
        <w:t xml:space="preserve"> </w:t>
      </w:r>
      <m:oMath>
        <m:r>
          <m:t>β</m:t>
        </m:r>
        <m:r>
          <m:rPr>
            <m:sty m:val="p"/>
          </m:rPr>
          <m:t>=</m:t>
        </m:r>
        <m:r>
          <m:t>0.017</m:t>
        </m:r>
      </m:oMath>
      <w:r>
        <w:t xml:space="preserve">, 95% CrI</w:t>
      </w:r>
      <w:r>
        <w:t xml:space="preserve"> </w:t>
      </w:r>
      <m:oMath>
        <m:d>
          <m:dPr>
            <m:begChr m:val="["/>
            <m:sepChr m:val=""/>
            <m:endChr m:val="]"/>
            <m:grow/>
          </m:dPr>
          <m:e>
            <m:r>
              <m:t>0.005</m:t>
            </m:r>
            <m:r>
              <m:rPr>
                <m:sty m:val="p"/>
              </m:rPr>
              <m:t>,</m:t>
            </m:r>
            <m:r>
              <m:t> </m:t>
            </m:r>
            <m:r>
              <m:t>0.028</m:t>
            </m:r>
          </m:e>
        </m:d>
      </m:oMath>
      <w:r>
        <w:t xml:space="preserve">; Truncated Decision-Response AUC:</w:t>
      </w:r>
      <w:r>
        <w:t xml:space="preserve"> </w:t>
      </w:r>
      <m:oMath>
        <m:r>
          <m:t>β</m:t>
        </m:r>
        <m:r>
          <m:rPr>
            <m:sty m:val="p"/>
          </m:rPr>
          <m:t>=</m:t>
        </m:r>
        <m:r>
          <m:t>0.014</m:t>
        </m:r>
      </m:oMath>
      <w:r>
        <w:t xml:space="preserve">, 95% CrI</w:t>
      </w:r>
      <w:r>
        <w:t xml:space="preserve"> </w:t>
      </w:r>
      <m:oMath>
        <m:d>
          <m:dPr>
            <m:begChr m:val="["/>
            <m:sepChr m:val=""/>
            <m:endChr m:val="]"/>
            <m:grow/>
          </m:dPr>
          <m:e>
            <m:r>
              <m:t>0.002</m:t>
            </m:r>
            <m:r>
              <m:rPr>
                <m:sty m:val="p"/>
              </m:rPr>
              <m:t>,</m:t>
            </m:r>
            <m:r>
              <m:t> </m:t>
            </m:r>
            <m:r>
              <m:t>0.025</m:t>
            </m:r>
          </m:e>
        </m:d>
      </m:oMath>
      <w:r>
        <w:t xml:space="preserve">). PSIS-LOO nonetheless did not favor these models over the behavioral baseline (</w:t>
      </w:r>
      <m:oMath>
        <m:r>
          <m:t>Δ</m:t>
        </m:r>
      </m:oMath>
      <w:r>
        <w:t xml:space="preserve">ELPD = 2.69 and 0.39 vs. m0; both</w:t>
      </w:r>
      <w:r>
        <w:t xml:space="preserve"> </w:t>
      </w:r>
      <m:oMath>
        <m:r>
          <m:rPr>
            <m:sty m:val="p"/>
          </m:rPr>
          <m:t>|</m:t>
        </m:r>
        <m:r>
          <m:t>Δ</m:t>
        </m:r>
      </m:oMath>
      <w:r>
        <w:t xml:space="preserve">ELPD</w:t>
      </w:r>
      <m:oMath>
        <m:r>
          <m:rPr>
            <m:sty m:val="p"/>
          </m:rPr>
          <m:t>|</m:t>
        </m:r>
        <m:r>
          <m:rPr>
            <m:sty m:val="p"/>
          </m:rPr>
          <m:t>&lt;</m:t>
        </m:r>
        <m:r>
          <m:t>4</m:t>
        </m:r>
      </m:oMath>
      <w:r>
        <w:t xml:space="preserve">;</w:t>
      </w:r>
      <w:r>
        <w:t xml:space="preserve"> </w:t>
      </w:r>
      <w:hyperlink w:anchor="tbl-pupil-boundary-appendix">
        <w:r>
          <w:rPr>
            <w:rStyle w:val="Hyperlink"/>
          </w:rPr>
          <w:t xml:space="preserve">Table 19</w:t>
        </w:r>
      </w:hyperlink>
      <w:r>
        <w:t xml:space="preserve">). Phasic arousal therefore showed no credible predictive gain on</w:t>
      </w:r>
      <w:r>
        <w:t xml:space="preserve"> </w:t>
      </w:r>
      <m:oMath>
        <m:r>
          <m:t>a</m:t>
        </m:r>
      </m:oMath>
      <w:r>
        <w:t xml:space="preserve"> </w:t>
      </w:r>
      <w:r>
        <w:t xml:space="preserve">under the current TEPR specification, paralleling the inconclusive drift/bias extensions. In five of six task</w:t>
      </w:r>
      <w:r>
        <w:t xml:space="preserve"> </w:t>
      </w:r>
      <m:oMath>
        <m:r>
          <m:rPr>
            <m:sty m:val="p"/>
          </m:rPr>
          <m:t>×</m:t>
        </m:r>
      </m:oMath>
      <w:r>
        <w:t xml:space="preserve"> </w:t>
      </w:r>
      <w:r>
        <w:t xml:space="preserve">difficulty cells, mean TEPR was</w:t>
      </w:r>
      <w:r>
        <w:t xml:space="preserve"> </w:t>
      </w:r>
      <w:r>
        <w:rPr>
          <w:b/>
          <w:bCs/>
        </w:rPr>
        <w:t xml:space="preserve">lower</w:t>
      </w:r>
      <w:r>
        <w:t xml:space="preserve"> </w:t>
      </w:r>
      <w:r>
        <w:t xml:space="preserve">under High (40% MVC) than Low (5% MVC) effort (</w:t>
      </w:r>
      <w:hyperlink w:anchor="tbl-tepr">
        <w:r>
          <w:rPr>
            <w:rStyle w:val="Hyperlink"/>
          </w:rPr>
          <w:t xml:space="preserve">Table 20</w:t>
        </w:r>
      </w:hyperlink>
      <w:r>
        <w:t xml:space="preserve">;</w:t>
      </w:r>
      <w:r>
        <w:t xml:space="preserve"> </w:t>
      </w:r>
      <w:hyperlink w:anchor="fig-tepr-timecourse-supp">
        <w:r>
          <w:rPr>
            <w:rStyle w:val="Hyperlink"/>
          </w:rPr>
          <w:t xml:space="preserve">Figure 16</w:t>
        </w:r>
      </w:hyperlink>
      <w:r>
        <w:t xml:space="preserve">). Combined with the Decision-Response AUC window—which spans pre- and post-response epochs and therefore likely mixes motor-autonomic with cognitive dilation under sustained isometric load—we treat pupil-linked DDM estimates as</w:t>
      </w:r>
      <w:r>
        <w:t xml:space="preserve"> </w:t>
      </w:r>
      <w:r>
        <w:rPr>
          <w:b/>
          <w:bCs/>
        </w:rPr>
        <w:t xml:space="preserve">measurement-limited</w:t>
      </w:r>
      <w:r>
        <w:t xml:space="preserve">: they document a rigorously tested multimodal null under the current TEPR specification, not a definitive absence of arousal–parameter coupling. As a window-choice sensitivity check, we repeated the nested pupil-DDM sequence using the</w:t>
      </w:r>
      <w:r>
        <w:t xml:space="preserve"> </w:t>
      </w:r>
      <w:r>
        <w:rPr>
          <w:b/>
          <w:bCs/>
        </w:rPr>
        <w:t xml:space="preserve">Truncated Decision-Response AUC</w:t>
      </w:r>
      <w:r>
        <w:t xml:space="preserve"> </w:t>
      </w:r>
      <w:r>
        <w:t xml:space="preserve">(0.3–1.3 s post-probe; 12,150 trials with valid truncated TEPR). PSIS-LOO again favored the behavioral baseline (</w:t>
      </w:r>
      <m:oMath>
        <m:r>
          <m:rPr>
            <m:sty m:val="p"/>
          </m:rPr>
          <m:t>|</m:t>
        </m:r>
        <m:r>
          <m:t>Δ</m:t>
        </m:r>
      </m:oMath>
      <w:r>
        <w:t xml:space="preserve">ELPD</w:t>
      </w:r>
      <m:oMath>
        <m:r>
          <m:rPr>
            <m:sty m:val="p"/>
          </m:rPr>
          <m:t>|</m:t>
        </m:r>
      </m:oMath>
      <w:r>
        <w:t xml:space="preserve"> </w:t>
      </w:r>
      <w:r>
        <w:t xml:space="preserve">= 1.38, 2.55, and 2.83 for pupil</w:t>
      </w:r>
      <w:r>
        <w:t xml:space="preserve"> </w:t>
      </w:r>
      <m:oMath>
        <m:r>
          <m:rPr>
            <m:sty m:val="p"/>
          </m:rPr>
          <m:t>→</m:t>
        </m:r>
      </m:oMath>
      <w:r>
        <w:t xml:space="preserve"> </w:t>
      </w:r>
      <m:oMath>
        <m:r>
          <m:t>z</m:t>
        </m:r>
      </m:oMath>
      <w:r>
        <w:t xml:space="preserve">, pupil</w:t>
      </w:r>
      <w:r>
        <w:t xml:space="preserve"> </w:t>
      </w:r>
      <m:oMath>
        <m:r>
          <m:rPr>
            <m:sty m:val="p"/>
          </m:rPr>
          <m:t>→</m:t>
        </m:r>
      </m:oMath>
      <w:r>
        <w:t xml:space="preserve"> </w:t>
      </w:r>
      <m:oMath>
        <m:r>
          <m:t>v</m:t>
        </m:r>
      </m:oMath>
      <w:r>
        <w:t xml:space="preserve"> </w:t>
      </w:r>
      <w:r>
        <w:t xml:space="preserve">+</w:t>
      </w:r>
      <w:r>
        <w:t xml:space="preserve"> </w:t>
      </w:r>
      <m:oMath>
        <m:r>
          <m:t>z</m:t>
        </m:r>
      </m:oMath>
      <w:r>
        <w:t xml:space="preserve">, and pupil</w:t>
      </w:r>
      <w:r>
        <w:t xml:space="preserve"> </w:t>
      </w:r>
      <m:oMath>
        <m:r>
          <m:rPr>
            <m:sty m:val="p"/>
          </m:rPr>
          <m:t>×</m:t>
        </m:r>
      </m:oMath>
      <w:r>
        <w:t xml:space="preserve"> </w:t>
      </w:r>
      <w:r>
        <w:t xml:space="preserve">difficulty, respectively; all</w:t>
      </w:r>
      <w:r>
        <w:t xml:space="preserve"> </w:t>
      </w:r>
      <m:oMath>
        <m:r>
          <m:rPr>
            <m:sty m:val="p"/>
          </m:rPr>
          <m:t>&lt;</m:t>
        </m:r>
        <m:r>
          <m:t>4</m:t>
        </m:r>
      </m:oMath>
      <w:r>
        <w:t xml:space="preserve">); pooled and conditional pupil coefficients remained near zero with credible intervals spanning zero. Inconclusiveness therefore does not appear to depend on including the late TEPR tail. Full TEPR descriptives are in Appendix A5 (</w:t>
      </w:r>
      <w:hyperlink w:anchor="tbl-tepr">
        <w:r>
          <w:rPr>
            <w:rStyle w:val="Hyperlink"/>
          </w:rPr>
          <w:t xml:space="preserve">Table 20</w:t>
        </w:r>
      </w:hyperlink>
      <w:r>
        <w:t xml:space="preserve">). Pooled and conditional estimates appear in</w:t>
      </w:r>
      <w:r>
        <w:t xml:space="preserve"> </w:t>
      </w:r>
      <w:hyperlink w:anchor="tbl-hyp-summary">
        <w:r>
          <w:rPr>
            <w:rStyle w:val="Hyperlink"/>
          </w:rPr>
          <w:t xml:space="preserve">Table 2</w:t>
        </w:r>
      </w:hyperlink>
      <w:r>
        <w:t xml:space="preserve"> </w:t>
      </w:r>
      <w:r>
        <w:t xml:space="preserve">(pupil rows) and</w:t>
      </w:r>
      <w:r>
        <w:t xml:space="preserve"> </w:t>
      </w:r>
      <w:hyperlink w:anchor="tbl-pupil-key-effects-appendix">
        <w:r>
          <w:rPr>
            <w:rStyle w:val="Hyperlink"/>
          </w:rPr>
          <w:t xml:space="preserve">Table 18</w:t>
        </w:r>
      </w:hyperlink>
      <w:r>
        <w:t xml:space="preserve">; Cavanagh boundary extensions in</w:t>
      </w:r>
      <w:r>
        <w:t xml:space="preserve"> </w:t>
      </w:r>
      <w:hyperlink w:anchor="tbl-pupil-boundary-appendix">
        <w:r>
          <w:rPr>
            <w:rStyle w:val="Hyperlink"/>
          </w:rPr>
          <w:t xml:space="preserve">Table 19</w:t>
        </w:r>
      </w:hyperlink>
      <w:r>
        <w:t xml:space="preserve">.</w:t>
      </w:r>
    </w:p>
    <w:p>
      <w:pPr>
        <w:pStyle w:val="BodyText"/>
      </w:pPr>
      <w:r>
        <w:t xml:space="preserve">Together with the tonic effort → bias null in</w:t>
      </w:r>
      <w:r>
        <w:t xml:space="preserve"> </w:t>
      </w:r>
      <w:hyperlink w:anchor="sec-key-contrasts">
        <w:r>
          <w:rPr>
            <w:rStyle w:val="Hyperlink"/>
          </w:rPr>
          <w:t xml:space="preserve">Section 3.2.1</w:t>
        </w:r>
      </w:hyperlink>
      <w:r>
        <w:t xml:space="preserve">, these results give no credible evidence that concurrent grip or trial-wise TEPR shifted pre-stimulus bias in this sample. This differs from phasic pupil-linked criterion reset reported in younger adults</w:t>
      </w:r>
      <w:r>
        <w:t xml:space="preserve"> </w:t>
      </w:r>
      <w:r>
        <w:t xml:space="preserve">(de Gee et al., 2020)</w:t>
      </w:r>
      <w:r>
        <w:t xml:space="preserve">. We did not establish equivalence.</w:t>
      </w:r>
    </w:p>
    <w:p>
      <w:pPr>
        <w:pStyle w:val="BodyText"/>
      </w:pPr>
      <w:r>
        <w:t xml:space="preserve">Exploratory choice-history and within-session fatigue models are reported in Appendix A10. They help interpret the primary effort effects but do not directly test H1-H4 or the pupil-linked analysis.</w:t>
      </w:r>
    </w:p>
    <w:p>
      <w:r>
        <w:br w:type="page"/>
      </w:r>
    </w:p>
    <w:bookmarkEnd w:id="64"/>
    <w:bookmarkEnd w:id="65"/>
    <w:bookmarkStart w:id="74" w:name="discussion"/>
    <w:p>
      <w:pPr>
        <w:pStyle w:val="Heading1"/>
      </w:pPr>
      <w:r>
        <w:t xml:space="preserve">4. Discussion</w:t>
      </w:r>
    </w:p>
    <w:bookmarkStart w:id="66" w:name="summary-of-key-findings"/>
    <w:p>
      <w:pPr>
        <w:pStyle w:val="Heading2"/>
      </w:pPr>
      <w:r>
        <w:t xml:space="preserve">4.1 Summary of Key Findings</w:t>
      </w:r>
    </w:p>
    <w:p>
      <w:pPr>
        <w:pStyle w:val="FirstParagraph"/>
      </w:pPr>
      <w:r>
        <w:t xml:space="preserve">Results confirmed Hypothesis 1 (H1): High effort reduced drift rate, consistent with resource competition or supra-optimal arousal (</w:t>
      </w:r>
      <w:hyperlink w:anchor="sec-key-contrasts">
        <w:r>
          <w:rPr>
            <w:rStyle w:val="Hyperlink"/>
          </w:rPr>
          <w:t xml:space="preserve">Section 3.2.1</w:t>
        </w:r>
      </w:hyperlink>
      <w:r>
        <w:t xml:space="preserve">). For Hypothesis 2 (H2), the boundary-separation effort contrast was directionally positive (</w:t>
      </w:r>
      <m:oMath>
        <m:r>
          <m:t>β</m:t>
        </m:r>
        <m:r>
          <m:rPr>
            <m:sty m:val="p"/>
          </m:rPr>
          <m:t>=</m:t>
        </m:r>
        <m:r>
          <m:t>0.02</m:t>
        </m:r>
      </m:oMath>
      <w:r>
        <w:t xml:space="preserve">, 95% CrI</w:t>
      </w:r>
      <w:r>
        <w:t xml:space="preserve"> </w:t>
      </w:r>
      <m:oMath>
        <m:d>
          <m:dPr>
            <m:begChr m:val="["/>
            <m:sepChr m:val=""/>
            <m:endChr m:val="]"/>
            <m:grow/>
          </m:dPr>
          <m:e>
            <m:r>
              <m:t>0.004</m:t>
            </m:r>
            <m:r>
              <m:rPr>
                <m:sty m:val="p"/>
              </m:rPr>
              <m:t>,</m:t>
            </m:r>
            <m:r>
              <m:t> </m:t>
            </m:r>
            <m:r>
              <m:t>0.029</m:t>
            </m:r>
          </m:e>
        </m:d>
      </m:oMath>
      <w:r>
        <w:t xml:space="preserve">;</w:t>
      </w:r>
      <w:r>
        <w:t xml:space="preserve"> </w:t>
      </w:r>
      <m:oMath>
        <m:r>
          <m:t>P</m:t>
        </m:r>
        <m:d>
          <m:dPr>
            <m:begChr m:val="("/>
            <m:sepChr m:val=""/>
            <m:endChr m:val=")"/>
            <m:grow/>
          </m:dPr>
          <m:e>
            <m:r>
              <m:t>β</m:t>
            </m:r>
            <m:r>
              <m:rPr>
                <m:sty m:val="p"/>
              </m:rPr>
              <m:t>&gt;</m:t>
            </m:r>
            <m:r>
              <m:t>0</m:t>
            </m:r>
          </m:e>
        </m:d>
        <m:r>
          <m:rPr>
            <m:sty m:val="p"/>
          </m:rPr>
          <m:t>=</m:t>
        </m:r>
        <m:r>
          <m:t>0.996</m:t>
        </m:r>
      </m:oMath>
      <w:r>
        <w:t xml:space="preserve">) but all posterior mass fell within the project ROPE, so we do not interpret it as meaningful strategic caution (</w:t>
      </w:r>
      <w:hyperlink w:anchor="sec-key-contrasts">
        <w:r>
          <w:rPr>
            <w:rStyle w:val="Hyperlink"/>
          </w:rPr>
          <w:t xml:space="preserve">Section 3.2.1</w:t>
        </w:r>
      </w:hyperlink>
      <w:r>
        <w:t xml:space="preserve">). Hypothesis 3 (H3) could not be tested directly: the response-signal design required constraining</w:t>
      </w:r>
      <w:r>
        <w:t xml:space="preserve"> </w:t>
      </w:r>
      <m:oMath>
        <m:sSub>
          <m:e>
            <m:r>
              <m:t>t</m:t>
            </m:r>
          </m:e>
          <m:sub>
            <m:r>
              <m:t>0</m:t>
            </m:r>
          </m:sub>
        </m:sSub>
      </m:oMath>
      <w:r>
        <w:t xml:space="preserve"> </w:t>
      </w:r>
      <w:r>
        <w:t xml:space="preserve">to an intercept-only specification for model stability, so no primary-model test of H3 was possible; an exploratory effort coefficient on</w:t>
      </w:r>
      <w:r>
        <w:t xml:space="preserve"> </w:t>
      </w:r>
      <m:oMath>
        <m:r>
          <m:rPr>
            <m:sty m:val="p"/>
          </m:rPr>
          <m:t>log</m:t>
        </m:r>
        <m:sSub>
          <m:e>
            <m:r>
              <m:t>t</m:t>
            </m:r>
          </m:e>
          <m:sub>
            <m:r>
              <m:t>0</m:t>
            </m:r>
          </m:sub>
        </m:sSub>
      </m:oMath>
      <w:r>
        <w:t xml:space="preserve"> </w:t>
      </w:r>
      <w:r>
        <w:t xml:space="preserve">was small and highly imprecise, and no firm conclusion about peripheral slowing can be drawn from it (</w:t>
      </w:r>
      <w:hyperlink w:anchor="sec-key-contrasts">
        <w:r>
          <w:rPr>
            <w:rStyle w:val="Hyperlink"/>
          </w:rPr>
          <w:t xml:space="preserve">Section 3.2.1</w:t>
        </w:r>
      </w:hyperlink>
      <w:r>
        <w:t xml:space="preserve">). For Hypothesis 4 (H4), starting-point bias showed a near-zero, uncertain effort contrast, providing no credible evidence of a shift toward neutrality under High effort (</w:t>
      </w:r>
      <w:hyperlink w:anchor="sec-starting-point-bias">
        <w:r>
          <w:rPr>
            <w:rStyle w:val="Hyperlink"/>
          </w:rPr>
          <w:t xml:space="preserve">Section 3.2.2</w:t>
        </w:r>
      </w:hyperlink>
      <w:r>
        <w:t xml:space="preserve">). Importantly, while High effort reduced</w:t>
      </w:r>
      <w:r>
        <w:t xml:space="preserve"> </w:t>
      </w:r>
      <w:r>
        <w:rPr>
          <w:b/>
          <w:bCs/>
        </w:rPr>
        <w:t xml:space="preserve">accuracy</w:t>
      </w:r>
      <w:r>
        <w:t xml:space="preserve"> </w:t>
      </w:r>
      <w:r>
        <w:t xml:space="preserve">(manipulation check:</w:t>
      </w:r>
      <w:r>
        <w:t xml:space="preserve"> </w:t>
      </w:r>
      <m:oMath>
        <m:r>
          <m:t>β</m:t>
        </m:r>
        <m:r>
          <m:rPr>
            <m:sty m:val="p"/>
          </m:rPr>
          <m:t>=</m:t>
        </m:r>
        <m:r>
          <m:rPr>
            <m:sty m:val="p"/>
          </m:rPr>
          <m:t>−</m:t>
        </m:r>
        <m:r>
          <m:t>0.16</m:t>
        </m:r>
      </m:oMath>
      <w:r>
        <w:t xml:space="preserve">,</w:t>
      </w:r>
      <w:r>
        <w:t xml:space="preserve"> </w:t>
      </w:r>
      <m:oMath>
        <m:r>
          <m:t>p</m:t>
        </m:r>
        <m:r>
          <m:rPr>
            <m:sty m:val="p"/>
          </m:rPr>
          <m:t>&lt;</m:t>
        </m:r>
        <m:r>
          <m:t>.001</m:t>
        </m:r>
      </m:oMath>
      <w:r>
        <w:t xml:space="preserve">), it did not reliably slow</w:t>
      </w:r>
      <w:r>
        <w:t xml:space="preserve"> </w:t>
      </w:r>
      <w:r>
        <w:rPr>
          <w:b/>
          <w:bCs/>
        </w:rPr>
        <w:t xml:space="preserve">reaction time</w:t>
      </w:r>
      <w:r>
        <w:t xml:space="preserve"> </w:t>
      </w:r>
      <w:r>
        <w:t xml:space="preserve">($</w:t>
      </w:r>
      <w:r>
        <w:t xml:space="preserve">= 0.011 s, 95% CI [-0.019, 0.041]). This dissociation — lower accuracy without RT slowing — is explained by the DDM decomposition: drift rate declined (evidence quality) while boundary separation changed only negligibly under the project ROPE. The effort → drift effect was robust to adding task on drift, though task itself modulated absolute drift (</w:t>
      </w:r>
      <w:hyperlink w:anchor="sec-key-contrasts">
        <w:r>
          <w:rPr>
            <w:rStyle w:val="Hyperlink"/>
          </w:rPr>
          <w:t xml:space="preserve">Section 3.2.1</w:t>
        </w:r>
      </w:hyperlink>
      <w:r>
        <w:t xml:space="preserve">, Appendix~A4.3). Exploratory trial-wise pupil-linked models were inconclusive (</w:t>
      </w:r>
      <w:hyperlink w:anchor="sec-pupil-ddm-integration">
        <w:r>
          <w:rPr>
            <w:rStyle w:val="Hyperlink"/>
          </w:rPr>
          <w:t xml:space="preserve">Section 3.3</w:t>
        </w:r>
      </w:hyperlink>
      <w:r>
        <w:t xml:space="preserve">); see also Limitations below. The overall pattern is most consistent with concurrent physical effort degrading evidence accumulation quality while producing only a negligible boundary adjustment, rather than a large strategic reconfiguration of decision thresholds or pre-stimulus bias.</w:t>
      </w:r>
    </w:p>
    <w:bookmarkEnd w:id="66"/>
    <w:bookmarkStart w:id="67" w:name="drift-rate-under-effort"/>
    <w:p>
      <w:pPr>
        <w:pStyle w:val="Heading2"/>
      </w:pPr>
      <w:r>
        <w:t xml:space="preserve">4.2 Drift rate under effort</w:t>
      </w:r>
    </w:p>
    <w:p>
      <w:pPr>
        <w:pStyle w:val="FirstParagraph"/>
      </w:pPr>
      <w:r>
        <w:t xml:space="preserve">The reduction in drift rate under High effort (40% MVC) relative to Low effort is the central finding and directly supports H1. Interpreted through Adaptive Gain Theory</w:t>
      </w:r>
      <w:r>
        <w:t xml:space="preserve"> </w:t>
      </w:r>
      <w:r>
        <w:t xml:space="preserve">(Aston-Jones &amp; Cohen, 2005)</w:t>
      </w:r>
      <w:r>
        <w:t xml:space="preserve">, this pattern is consistent with supra-optimal arousal under sustained grip: noise in neural representations degrades the signal-to-noise ratio driving evidence accumulation</w:t>
      </w:r>
      <w:r>
        <w:t xml:space="preserve"> </w:t>
      </w:r>
      <w:r>
        <w:t xml:space="preserve">(Mather &amp; Harley, 2016; Mikneviciute et al., 2022)</w:t>
      </w:r>
      <w:r>
        <w:t xml:space="preserve">. The DDM localizes the primary cost to evidence quality (</w:t>
      </w:r>
      <m:oMath>
        <m:r>
          <m:t>v</m:t>
        </m:r>
      </m:oMath>
      <w:r>
        <w:t xml:space="preserve">), with only a directionally positive but ROPE-negligible boundary effect and no shift in starting-point bias (</w:t>
      </w:r>
      <w:hyperlink w:anchor="sec-key-contrasts">
        <w:r>
          <w:rPr>
            <w:rStyle w:val="Hyperlink"/>
          </w:rPr>
          <w:t xml:space="preserve">Section 3.2.1</w:t>
        </w:r>
      </w:hyperlink>
      <w:r>
        <w:t xml:space="preserve">). Non-decision time (</w:t>
      </w:r>
      <m:oMath>
        <m:sSub>
          <m:e>
            <m:r>
              <m:t>t</m:t>
            </m:r>
          </m:e>
          <m:sub>
            <m:r>
              <m:t>0</m:t>
            </m:r>
          </m:sub>
        </m:sSub>
      </m:oMath>
      <w:r>
        <w:t xml:space="preserve">) could not be tested in the primary model (</w:t>
      </w:r>
      <w:hyperlink w:anchor="sec-ddm-spec">
        <w:r>
          <w:rPr>
            <w:rStyle w:val="Hyperlink"/>
          </w:rPr>
          <w:t xml:space="preserve">Section 2.10</w:t>
        </w:r>
      </w:hyperlink>
      <w:r>
        <w:t xml:space="preserve">).</w:t>
      </w:r>
    </w:p>
    <w:bookmarkEnd w:id="67"/>
    <w:bookmarkStart w:id="68" w:name="X8e923a077cc834d95328d17b3c2870baff57890"/>
    <w:p>
      <w:pPr>
        <w:pStyle w:val="Heading2"/>
      </w:pPr>
      <w:r>
        <w:t xml:space="preserve">4.3 Boundary separation and strategic rigidity</w:t>
      </w:r>
    </w:p>
    <w:p>
      <w:pPr>
        <w:pStyle w:val="FirstParagraph"/>
      </w:pPr>
      <w:r>
        <w:t xml:space="preserve">The H2 posterior is directionally positive (</w:t>
      </w:r>
      <m:oMath>
        <m:r>
          <m:t>β</m:t>
        </m:r>
        <m:r>
          <m:rPr>
            <m:sty m:val="p"/>
          </m:rPr>
          <m:t>=</m:t>
        </m:r>
        <m:r>
          <m:t>0.02</m:t>
        </m:r>
      </m:oMath>
      <w:r>
        <w:t xml:space="preserve">, 95% CrI</w:t>
      </w:r>
      <w:r>
        <w:t xml:space="preserve"> </w:t>
      </w:r>
      <m:oMath>
        <m:d>
          <m:dPr>
            <m:begChr m:val="["/>
            <m:sepChr m:val=""/>
            <m:endChr m:val="]"/>
            <m:grow/>
          </m:dPr>
          <m:e>
            <m:r>
              <m:t>0.004</m:t>
            </m:r>
            <m:r>
              <m:rPr>
                <m:sty m:val="p"/>
              </m:rPr>
              <m:t>,</m:t>
            </m:r>
            <m:r>
              <m:t> </m:t>
            </m:r>
            <m:r>
              <m:t>0.029</m:t>
            </m:r>
          </m:e>
        </m:d>
      </m:oMath>
      <w:r>
        <w:t xml:space="preserve">;</w:t>
      </w:r>
      <w:r>
        <w:t xml:space="preserve"> </w:t>
      </w:r>
      <m:oMath>
        <m:r>
          <m:t>P</m:t>
        </m:r>
        <m:d>
          <m:dPr>
            <m:begChr m:val="("/>
            <m:sepChr m:val=""/>
            <m:endChr m:val=")"/>
            <m:grow/>
          </m:dPr>
          <m:e>
            <m:r>
              <m:t>β</m:t>
            </m:r>
            <m:r>
              <m:rPr>
                <m:sty m:val="p"/>
              </m:rPr>
              <m:t>&gt;</m:t>
            </m:r>
            <m:r>
              <m:t>0</m:t>
            </m:r>
          </m:e>
        </m:d>
        <m:r>
          <m:rPr>
            <m:sty m:val="p"/>
          </m:rPr>
          <m:t>=</m:t>
        </m:r>
        <m:r>
          <m:t>0.996</m:t>
        </m:r>
      </m:oMath>
      <w:r>
        <w:t xml:space="preserve">) but 100% of the posterior mass lies within the</w:t>
      </w:r>
      <w:r>
        <w:t xml:space="preserve"> </w:t>
      </w:r>
      <w:r>
        <w:t xml:space="preserve"> </w:t>
      </w:r>
      <w:r>
        <w:t xml:space="preserve">log-scale project ROPE, so we treat it as practically equivalent to zero rather than a compensatory caution adjustment. In natural-scale terms, the posterior median corresponds to approximately 2% of baseline boundary separation (</w:t>
      </w:r>
      <m:oMath>
        <m:acc>
          <m:accPr>
            <m:chr m:val="̂"/>
          </m:accPr>
          <m:e>
            <m:r>
              <m:t>a</m:t>
            </m:r>
          </m:e>
        </m:acc>
        <m:r>
          <m:rPr>
            <m:sty m:val="p"/>
          </m:rPr>
          <m:t>≈</m:t>
        </m:r>
      </m:oMath>
      <w:r>
        <w:t xml:space="preserve"> </w:t>
      </w:r>
      <w:r>
        <w:t xml:space="preserve">2.27 in the Standard, Low-effort condition;</w:t>
      </w:r>
      <w:r>
        <w:t xml:space="preserve"> </w:t>
      </w:r>
      <w:hyperlink w:anchor="tbl-ddm-posterior-estimates">
        <w:r>
          <w:rPr>
            <w:rStyle w:val="Hyperlink"/>
          </w:rPr>
          <w:t xml:space="preserve">Table 6</w:t>
        </w:r>
      </w:hyperlink>
      <w:r>
        <w:t xml:space="preserve">) — much smaller than routine variation in</w:t>
      </w:r>
      <w:r>
        <w:t xml:space="preserve"> </w:t>
      </w:r>
      <m:oMath>
        <m:r>
          <m:t>a</m:t>
        </m:r>
      </m:oMath>
      <w:r>
        <w:t xml:space="preserve"> </w:t>
      </w:r>
      <w:r>
        <w:t xml:space="preserve">across difficulty levels (</w:t>
      </w:r>
      <m:oMath>
        <m:acc>
          <m:accPr>
            <m:chr m:val="̂"/>
          </m:accPr>
          <m:e>
            <m:r>
              <m:t>a</m:t>
            </m:r>
          </m:e>
        </m:acc>
      </m:oMath>
      <w:r>
        <w:t xml:space="preserve"> </w:t>
      </w:r>
      <w:r>
        <w:t xml:space="preserve">ranging from 2.12 to 2.27, Low effort). Empirical support for criterion widening under arousal comes from</w:t>
      </w:r>
      <w:r>
        <w:t xml:space="preserve"> </w:t>
      </w:r>
      <w:r>
        <w:t xml:space="preserve">Cavanagh et al. (2014)</w:t>
      </w:r>
      <w:r>
        <w:t xml:space="preserve">, who showed that pupil-indexed arousal during high-conflict choices predicted increased boundary separation — though that manipulation targeted transient cognitive conflict rather than sustained physical effort.</w:t>
      </w:r>
    </w:p>
    <w:p>
      <w:pPr>
        <w:pStyle w:val="BodyText"/>
      </w:pPr>
      <w:r>
        <w:t xml:space="preserve">Notably, boundary estimates varied substantially by stimulus-driven difficulty (Easy: 2.06, Standard: 2.27, Hard: 2.12; Low-effort posterior medians;</w:t>
      </w:r>
      <w:r>
        <w:t xml:space="preserve"> </w:t>
      </w:r>
      <w:hyperlink w:anchor="tbl-ddm-posterior-estimates">
        <w:r>
          <w:rPr>
            <w:rStyle w:val="Hyperlink"/>
          </w:rPr>
          <w:t xml:space="preserve">Table 6</w:t>
        </w:r>
      </w:hyperlink>
      <w:r>
        <w:t xml:space="preserve">), confirming that the model is sensitive to caution adjustments driven by bottom-up perceptual demands. Future work using free-response paradigms (without response cues) could better isolate strategic flexibility from design-imposed temporal constraints and provide a more powerful test of effort-related criterion adjustment at 40% MVC.</w:t>
      </w:r>
    </w:p>
    <w:p>
      <w:pPr>
        <w:pStyle w:val="BodyText"/>
      </w:pPr>
      <w:r>
        <w:t xml:space="preserve">A potential concern with response-side coding is whether the Wiener DDM misinterprets Standard trial responses — where the correct answer is</w:t>
      </w:r>
      <w:r>
        <w:t xml:space="preserve"> </w:t>
      </w:r>
      <w:r>
        <w:t xml:space="preserve">‘Same’</w:t>
      </w:r>
      <w:r>
        <w:t xml:space="preserve"> </w:t>
      </w:r>
      <w:r>
        <w:t xml:space="preserve">(lower boundary) — as errors, because they accumulate toward a negative drift (lower boundary rather than upper). This concern does not apply in the present implementation. The decresponse argument in brms encodes the observed response (Different = 1, Same = 0) as the boundary indicator, not a correctness flag. The model observes the actual RT and response, infers the latent evidence trajectory that would produce that RT–accuracy combination given the full design, and estimates parameters that best explain the joint RT × accuracy distribution across all conditions simultaneously. Accordingly, the strong negative drift on Standard trials (</w:t>
      </w:r>
      <m:oMath>
        <m:acc>
          <m:accPr>
            <m:chr m:val="̂"/>
          </m:accPr>
          <m:e>
            <m:r>
              <m:t>v</m:t>
            </m:r>
          </m:e>
        </m:acc>
        <m:r>
          <m:rPr>
            <m:sty m:val="p"/>
          </m:rPr>
          <m:t>≈</m:t>
        </m:r>
        <m:r>
          <m:rPr>
            <m:sty m:val="p"/>
          </m:rPr>
          <m:t>−</m:t>
        </m:r>
        <m:r>
          <m:t>1.12</m:t>
        </m:r>
      </m:oMath>
      <w:r>
        <w:t xml:space="preserve"> </w:t>
      </w:r>
      <w:r>
        <w:t xml:space="preserve">(Low effort) to -1.17 (High effort)) does not indicate that the model treats these as error trials; it correctly captures the fact that participants accurately pressed</w:t>
      </w:r>
      <w:r>
        <w:t xml:space="preserve"> </w:t>
      </w:r>
      <w:r>
        <w:t xml:space="preserve">‘Same’</w:t>
      </w:r>
      <w:r>
        <w:t xml:space="preserve"> </w:t>
      </w:r>
      <w:r>
        <w:t xml:space="preserve">by accumulating evidence toward the lower boundary. The fact that boundary separation is higher on Standard trials (</w:t>
      </w:r>
      <m:oMath>
        <m:acc>
          <m:accPr>
            <m:chr m:val="̂"/>
          </m:accPr>
          <m:e>
            <m:r>
              <m:t>a</m:t>
            </m:r>
          </m:e>
        </m:acc>
        <m:r>
          <m:rPr>
            <m:sty m:val="p"/>
          </m:rPr>
          <m:t>=</m:t>
        </m:r>
        <m:r>
          <m:t>2.27</m:t>
        </m:r>
      </m:oMath>
      <w:r>
        <w:t xml:space="preserve">, Low effort) than on Hard (</w:t>
      </w:r>
      <m:oMath>
        <m:acc>
          <m:accPr>
            <m:chr m:val="̂"/>
          </m:accPr>
          <m:e>
            <m:r>
              <m:t>a</m:t>
            </m:r>
          </m:e>
        </m:acc>
        <m:r>
          <m:rPr>
            <m:sty m:val="p"/>
          </m:rPr>
          <m:t>=</m:t>
        </m:r>
        <m:r>
          <m:t>2.12</m:t>
        </m:r>
      </m:oMath>
      <w:r>
        <w:t xml:space="preserve">) or Easy (</w:t>
      </w:r>
      <m:oMath>
        <m:acc>
          <m:accPr>
            <m:chr m:val="̂"/>
          </m:accPr>
          <m:e>
            <m:r>
              <m:t>a</m:t>
            </m:r>
          </m:e>
        </m:acc>
        <m:r>
          <m:rPr>
            <m:sty m:val="p"/>
          </m:rPr>
          <m:t>=</m:t>
        </m:r>
        <m:r>
          <m:t>2.06</m:t>
        </m:r>
      </m:oMath>
      <w:r>
        <w:t xml:space="preserve">) further validates this interpretation: the model responds to the exhaustive search demands of Standard trials by estimating a wider, more cautious boundary — the theoretically correct direction — rather than collapsing the boundary as it would if it incorrectly coded these as high-error conditions.</w:t>
      </w:r>
    </w:p>
    <w:p>
      <w:pPr>
        <w:pStyle w:val="BodyText"/>
      </w:pPr>
      <w:r>
        <w:rPr>
          <w:b/>
          <w:bCs/>
        </w:rPr>
        <w:t xml:space="preserve">Boundary separation vs. starting-point bias: Different timescales of adjustment.</w:t>
      </w:r>
      <w:r>
        <w:t xml:space="preserve"> </w:t>
      </w:r>
      <w:r>
        <w:t xml:space="preserve">It is important to clarify an apparent asymmetry in the modeling decisions. Starting-point bias</w:t>
      </w:r>
      <w:r>
        <w:t xml:space="preserve"> </w:t>
      </w:r>
      <m:oMath>
        <m:r>
          <m:t>z</m:t>
        </m:r>
      </m:oMath>
      <w:r>
        <w:t xml:space="preserve"> </w:t>
      </w:r>
      <w:r>
        <w:t xml:space="preserve">was constrained to be constant across difficulty levels, reflecting the logical impossibility of pre-trial criterion adjustment when trial difficulty is randomized and unknown prior to stimulus onset. In contrast, boundary separation</w:t>
      </w:r>
      <w:r>
        <w:t xml:space="preserve"> </w:t>
      </w:r>
      <m:oMath>
        <m:r>
          <m:t>a</m:t>
        </m:r>
      </m:oMath>
      <w:r>
        <w:t xml:space="preserve"> </w:t>
      </w:r>
      <w:r>
        <w:t xml:space="preserve">was estimated as a function of difficulty and varied systematically (Standard:</w:t>
      </w:r>
      <w:r>
        <w:t xml:space="preserve"> </w:t>
      </w:r>
      <m:oMath>
        <m:acc>
          <m:accPr>
            <m:chr m:val="̂"/>
          </m:accPr>
          <m:e>
            <m:r>
              <m:t>a</m:t>
            </m:r>
          </m:e>
        </m:acc>
      </m:oMath>
      <w:r>
        <w:t xml:space="preserve"> </w:t>
      </w:r>
      <w:r>
        <w:t xml:space="preserve">= 2.27; Hard:</w:t>
      </w:r>
      <w:r>
        <w:t xml:space="preserve"> </w:t>
      </w:r>
      <m:oMath>
        <m:acc>
          <m:accPr>
            <m:chr m:val="̂"/>
          </m:accPr>
          <m:e>
            <m:r>
              <m:t>a</m:t>
            </m:r>
          </m:e>
        </m:acc>
      </m:oMath>
      <w:r>
        <w:t xml:space="preserve"> </w:t>
      </w:r>
      <w:r>
        <w:t xml:space="preserve">= 2.12; Easy:</w:t>
      </w:r>
      <w:r>
        <w:t xml:space="preserve"> </w:t>
      </w:r>
      <m:oMath>
        <m:acc>
          <m:accPr>
            <m:chr m:val="̂"/>
          </m:accPr>
          <m:e>
            <m:r>
              <m:t>a</m:t>
            </m:r>
          </m:e>
        </m:acc>
      </m:oMath>
      <w:r>
        <w:t xml:space="preserve"> </w:t>
      </w:r>
      <w:r>
        <w:t xml:space="preserve">= 2.06; Low-effort medians;</w:t>
      </w:r>
      <w:r>
        <w:t xml:space="preserve"> </w:t>
      </w:r>
      <w:hyperlink w:anchor="tbl-ddm-posterior-estimates">
        <w:r>
          <w:rPr>
            <w:rStyle w:val="Hyperlink"/>
          </w:rPr>
          <w:t xml:space="preserve">Table 6</w:t>
        </w:r>
      </w:hyperlink>
      <w:r>
        <w:t xml:space="preserve">).</w:t>
      </w:r>
    </w:p>
    <w:p>
      <w:pPr>
        <w:pStyle w:val="BodyText"/>
      </w:pPr>
      <w:r>
        <w:t xml:space="preserve">This is not a contradiction. The two parameters reflect adjustments occurring at different timescales. Starting-point bias</w:t>
      </w:r>
      <w:r>
        <w:t xml:space="preserve"> </w:t>
      </w:r>
      <m:oMath>
        <m:r>
          <m:t>z</m:t>
        </m:r>
      </m:oMath>
      <w:r>
        <w:t xml:space="preserve"> </w:t>
      </w:r>
      <w:r>
        <w:t xml:space="preserve">represents a true pre-stimulus strategic choice — where participants position themselves before evidence accumulation begins — and can only be set based on information available before the trial (task modality, effort condition). Boundary separation</w:t>
      </w:r>
      <w:r>
        <w:t xml:space="preserve"> </w:t>
      </w:r>
      <m:oMath>
        <m:r>
          <m:t>a</m:t>
        </m:r>
      </m:oMath>
      <w:r>
        <w:t xml:space="preserve">, by contrast, is not a pre-trial strategic decision but rather an effective decision threshold inferred by the model from the shape of the empirical RT distribution within each condition. Participants do not</w:t>
      </w:r>
      <w:r>
        <w:t xml:space="preserve"> </w:t>
      </w:r>
      <w:r>
        <w:t xml:space="preserve">“set”</w:t>
      </w:r>
      <w:r>
        <w:t xml:space="preserve"> </w:t>
      </w:r>
      <w:r>
        <w:t xml:space="preserve">this boundary in advance; rather, the model recovers it as the latent parameter that best explains the observed RT variance under diffusion process assumptions</w:t>
      </w:r>
      <w:r>
        <w:t xml:space="preserve"> </w:t>
      </w:r>
      <w:r>
        <w:t xml:space="preserve">(Ratcliff, 1985; Voss et al., 2004)</w:t>
      </w:r>
      <w:r>
        <w:t xml:space="preserve">. Over many trials, difficulty-dependent differences in RT dispersion and accuracy produce systematically different</w:t>
      </w:r>
      <w:r>
        <w:t xml:space="preserve"> </w:t>
      </w:r>
      <m:oMath>
        <m:r>
          <m:t>a</m:t>
        </m:r>
      </m:oMath>
      <w:r>
        <w:t xml:space="preserve"> </w:t>
      </w:r>
      <w:r>
        <w:t xml:space="preserve">estimates even though individual participants are unaware of upcoming difficulty.</w:t>
      </w:r>
    </w:p>
    <w:p>
      <w:pPr>
        <w:pStyle w:val="BodyText"/>
      </w:pPr>
      <w:r>
        <w:t xml:space="preserve">The larger</w:t>
      </w:r>
      <w:r>
        <w:t xml:space="preserve"> </w:t>
      </w:r>
      <m:oMath>
        <m:r>
          <m:t>a</m:t>
        </m:r>
      </m:oMath>
      <w:r>
        <w:t xml:space="preserve"> </w:t>
      </w:r>
      <w:r>
        <w:t xml:space="preserve">on Standard trials reflects the model’s accommodation of the characteristically broader, more right-skewed RT distribution observed on those trials — a distributional signature of the exhaustive comparison process required to confirm perfect sameness</w:t>
      </w:r>
      <w:r>
        <w:t xml:space="preserve"> </w:t>
      </w:r>
      <w:r>
        <w:t xml:space="preserve">(Farell, 1985; Voss et al., 2004)</w:t>
      </w:r>
      <w:r>
        <w:t xml:space="preserve">. In this sense,</w:t>
      </w:r>
      <w:r>
        <w:t xml:space="preserve"> </w:t>
      </w:r>
      <m:oMath>
        <m:r>
          <m:t>a</m:t>
        </m:r>
      </m:oMath>
      <w:r>
        <w:t xml:space="preserve"> </w:t>
      </w:r>
      <w:r>
        <w:t xml:space="preserve">captures the mechanistic consequence of within-trial processing demands, while</w:t>
      </w:r>
      <w:r>
        <w:t xml:space="preserve"> </w:t>
      </w:r>
      <m:oMath>
        <m:r>
          <m:t>z</m:t>
        </m:r>
      </m:oMath>
      <w:r>
        <w:t xml:space="preserve"> </w:t>
      </w:r>
      <w:r>
        <w:t xml:space="preserve">captures a pre-trial strategic bias. Both are legitimate sources of condition-specific variation, but only</w:t>
      </w:r>
      <w:r>
        <w:t xml:space="preserve"> </w:t>
      </w:r>
      <m:oMath>
        <m:r>
          <m:t>z</m:t>
        </m:r>
      </m:oMath>
      <w:r>
        <w:t xml:space="preserve"> </w:t>
      </w:r>
      <w:r>
        <w:t xml:space="preserve">requires advance knowledge of the trial type.</w:t>
      </w:r>
    </w:p>
    <w:p>
      <w:pPr>
        <w:pStyle w:val="BodyText"/>
      </w:pPr>
      <w:r>
        <w:t xml:space="preserve">In interpreting the TEPR as a relative index of phasic arousal, we acknowledge measurement constraints under sustained grip (</w:t>
      </w:r>
      <w:hyperlink w:anchor="sec-pupil-ddm-integration">
        <w:r>
          <w:rPr>
            <w:rStyle w:val="Hyperlink"/>
          </w:rPr>
          <w:t xml:space="preserve">Section 3.3</w:t>
        </w:r>
      </w:hyperlink>
      <w:r>
        <w:t xml:space="preserve">,</w:t>
      </w:r>
      <w:r>
        <w:t xml:space="preserve"> </w:t>
      </w:r>
      <w:hyperlink w:anchor="tbl-tepr">
        <w:r>
          <w:rPr>
            <w:rStyle w:val="Hyperlink"/>
          </w:rPr>
          <w:t xml:space="preserve">Table 20</w:t>
        </w:r>
      </w:hyperlink>
      <w:r>
        <w:t xml:space="preserve">).</w:t>
      </w:r>
    </w:p>
    <w:bookmarkEnd w:id="68"/>
    <w:bookmarkStart w:id="69" w:name="X76c81b426810c20637d8ffbc89c58c7f60d4d3a"/>
    <w:p>
      <w:pPr>
        <w:pStyle w:val="Heading2"/>
      </w:pPr>
      <w:r>
        <w:t xml:space="preserve">4.4 Starting-point bias and pupil-linked arousal</w:t>
      </w:r>
    </w:p>
    <w:p>
      <w:pPr>
        <w:pStyle w:val="FirstParagraph"/>
      </w:pPr>
      <w:r>
        <w:t xml:space="preserve">The near-zero effort contrast on starting-point bias (H4;</w:t>
      </w:r>
      <w:r>
        <w:t xml:space="preserve"> </w:t>
      </w:r>
      <m:oMath>
        <m:r>
          <m:t>β</m:t>
        </m:r>
        <m:r>
          <m:rPr>
            <m:sty m:val="p"/>
          </m:rPr>
          <m:t>=</m:t>
        </m:r>
        <m:r>
          <m:rPr>
            <m:sty m:val="p"/>
          </m:rPr>
          <m:t>−</m:t>
        </m:r>
        <m:r>
          <m:t>0.005</m:t>
        </m:r>
      </m:oMath>
      <w:r>
        <w:t xml:space="preserve">, 95% CrI</w:t>
      </w:r>
      <w:r>
        <w:t xml:space="preserve"> </w:t>
      </w:r>
      <m:oMath>
        <m:d>
          <m:dPr>
            <m:begChr m:val="["/>
            <m:sepChr m:val=""/>
            <m:endChr m:val="]"/>
            <m:grow/>
          </m:dPr>
          <m:e>
            <m:r>
              <m:rPr>
                <m:sty m:val="p"/>
              </m:rPr>
              <m:t>−</m:t>
            </m:r>
            <m:r>
              <m:t>0.046</m:t>
            </m:r>
            <m:r>
              <m:rPr>
                <m:sty m:val="p"/>
              </m:rPr>
              <m:t>,</m:t>
            </m:r>
            <m:r>
              <m:t> </m:t>
            </m:r>
            <m:r>
              <m:t>0.036</m:t>
            </m:r>
          </m:e>
        </m:d>
      </m:oMath>
      <w:r>
        <w:t xml:space="preserve">;</w:t>
      </w:r>
      <w:r>
        <w:t xml:space="preserve"> </w:t>
      </w:r>
      <m:oMath>
        <m:r>
          <m:t>P</m:t>
        </m:r>
        <m:d>
          <m:dPr>
            <m:begChr m:val="("/>
            <m:sepChr m:val=""/>
            <m:endChr m:val=")"/>
            <m:grow/>
          </m:dPr>
          <m:e>
            <m:r>
              <m:t>β</m:t>
            </m:r>
            <m:r>
              <m:rPr>
                <m:sty m:val="p"/>
              </m:rPr>
              <m:t>&gt;</m:t>
            </m:r>
            <m:r>
              <m:t>0</m:t>
            </m:r>
          </m:e>
        </m:d>
        <m:r>
          <m:rPr>
            <m:sty m:val="p"/>
          </m:rPr>
          <m:t>=</m:t>
        </m:r>
        <m:r>
          <m:t>0.404</m:t>
        </m:r>
      </m:oMath>
      <w:r>
        <w:t xml:space="preserve">) provides no credible evidence that concurrent handgrip at 40% MVC shifted pre-existing response preferences in older adults — though the credible interval does not formally exclude a small effect, and no equivalence threshold was established. A key interpretive consideration is the distinction between tonic and phasic arousal: the</w:t>
      </w:r>
      <w:r>
        <w:t xml:space="preserve"> </w:t>
      </w:r>
      <w:r>
        <w:t xml:space="preserve">de Gee et al. (2020)</w:t>
      </w:r>
      <w:r>
        <w:t xml:space="preserve"> </w:t>
      </w:r>
      <w:r>
        <w:t xml:space="preserve">bias-resetting effect was demonstrated using phasic, within-trial arousal fluctuations indexed by pupil dilation, whereas the present H4 test relied on a sustained tonic effort manipulation. Tonic arousal elevation may not produce the same criterion-resetting dynamics as a phasic arousal event — a distinction that future work pairing trial-level TEPR with starting-point bias estimates could address directly. In the standard-only calibration model, starting-point bias was consistently above 0.5 (</w:t>
      </w:r>
      <m:oMath>
        <m:r>
          <m:t>z</m:t>
        </m:r>
        <m:r>
          <m:rPr>
            <m:sty m:val="p"/>
          </m:rPr>
          <m:t>=</m:t>
        </m:r>
        <m:r>
          <m:t>0.58</m:t>
        </m:r>
      </m:oMath>
      <w:r>
        <w:t xml:space="preserve">, 95% CrI [0.51, 0.64];</w:t>
      </w:r>
      <w:r>
        <w:t xml:space="preserve"> </w:t>
      </w:r>
      <w:hyperlink w:anchor="tbl-standard-only-bias-levels">
        <w:r>
          <w:rPr>
            <w:rStyle w:val="Hyperlink"/>
          </w:rPr>
          <w:t xml:space="preserve">Table 7</w:t>
        </w:r>
      </w:hyperlink>
      <w:r>
        <w:t xml:space="preserve">), indicating a latent tendency to initiate accumulation closer to the</w:t>
      </w:r>
      <w:r>
        <w:t xml:space="preserve"> </w:t>
      </w:r>
      <w:r>
        <w:t xml:space="preserve">“Different”</w:t>
      </w:r>
      <w:r>
        <w:t xml:space="preserve"> </w:t>
      </w:r>
      <w:r>
        <w:t xml:space="preserve">boundary.</w:t>
      </w:r>
    </w:p>
    <w:p>
      <w:pPr>
        <w:pStyle w:val="BodyText"/>
      </w:pPr>
      <w:r>
        <w:t xml:space="preserve">This latent starting-point offset should not be read directly as a liberal behavioral criterion in signal-detection terms. Manipulation checks showed near-ceiling accuracy on Standard (same) trials but poor accuracy on Hard trials (~30%; Appendix A7) — a pattern dominated by</w:t>
      </w:r>
      <w:r>
        <w:t xml:space="preserve"> </w:t>
      </w:r>
      <w:r>
        <w:rPr>
          <w:b/>
          <w:bCs/>
        </w:rPr>
        <w:t xml:space="preserve">misses</w:t>
      </w:r>
      <w:r>
        <w:t xml:space="preserve"> </w:t>
      </w:r>
      <w:r>
        <w:t xml:space="preserve">(failure to report</w:t>
      </w:r>
      <w:r>
        <w:t xml:space="preserve"> </w:t>
      </w:r>
      <w:r>
        <w:t xml:space="preserve">“different”</w:t>
      </w:r>
      <w:r>
        <w:t xml:space="preserve"> </w:t>
      </w:r>
      <w:r>
        <w:t xml:space="preserve">when stimuli differed), not false alarms on same trials. The strongly negative drift on Standard trials (</w:t>
      </w:r>
      <m:oMath>
        <m:acc>
          <m:accPr>
            <m:chr m:val="̂"/>
          </m:accPr>
          <m:e>
            <m:r>
              <m:t>v</m:t>
            </m:r>
          </m:e>
        </m:acc>
        <m:r>
          <m:rPr>
            <m:sty m:val="p"/>
          </m:rPr>
          <m:t>≈</m:t>
        </m:r>
        <m:r>
          <m:rPr>
            <m:sty m:val="p"/>
          </m:rPr>
          <m:t>−</m:t>
        </m:r>
        <m:r>
          <m:t>1.12</m:t>
        </m:r>
      </m:oMath>
      <w:r>
        <w:t xml:space="preserve"> </w:t>
      </w:r>
      <w:r>
        <w:t xml:space="preserve">(Low effort) to -1.17 (High effort)) and the joint estimation of</w:t>
      </w:r>
      <w:r>
        <w:t xml:space="preserve"> </w:t>
      </w:r>
      <m:oMath>
        <m:r>
          <m:t>v</m:t>
        </m:r>
      </m:oMath>
      <w:r>
        <w:t xml:space="preserve"> </w:t>
      </w:r>
      <w:r>
        <w:t xml:space="preserve">and</w:t>
      </w:r>
      <w:r>
        <w:t xml:space="preserve"> </w:t>
      </w:r>
      <m:oMath>
        <m:r>
          <m:t>z</m:t>
        </m:r>
      </m:oMath>
      <w:r>
        <w:t xml:space="preserve"> </w:t>
      </w:r>
      <w:r>
        <w:t xml:space="preserve">across difficulty levels mean that a</w:t>
      </w:r>
      <w:r>
        <w:t xml:space="preserve"> </w:t>
      </w:r>
      <m:oMath>
        <m:r>
          <m:t>z</m:t>
        </m:r>
        <m:r>
          <m:rPr>
            <m:sty m:val="p"/>
          </m:rPr>
          <m:t>&gt;</m:t>
        </m:r>
        <m:r>
          <m:t>0.5</m:t>
        </m:r>
      </m:oMath>
      <w:r>
        <w:t xml:space="preserve"> </w:t>
      </w:r>
      <w:r>
        <w:t xml:space="preserve">starting point coexists with accurate</w:t>
      </w:r>
      <w:r>
        <w:t xml:space="preserve"> </w:t>
      </w:r>
      <w:r>
        <w:t xml:space="preserve">“Same”</w:t>
      </w:r>
      <w:r>
        <w:t xml:space="preserve"> </w:t>
      </w:r>
      <w:r>
        <w:t xml:space="preserve">responding rather than excess</w:t>
      </w:r>
      <w:r>
        <w:t xml:space="preserve"> </w:t>
      </w:r>
      <w:r>
        <w:t xml:space="preserve">“Different”</w:t>
      </w:r>
      <w:r>
        <w:t xml:space="preserve"> </w:t>
      </w:r>
      <w:r>
        <w:t xml:space="preserve">responses. The offset is therefore better interpreted as a DDM starting-point parameter under response-side coding — potentially reflecting a</w:t>
      </w:r>
      <w:r>
        <w:t xml:space="preserve"> </w:t>
      </w:r>
      <w:r>
        <w:t xml:space="preserve">“Different-as-default”</w:t>
      </w:r>
      <w:r>
        <w:t xml:space="preserve"> </w:t>
      </w:r>
      <w:r>
        <w:t xml:space="preserve">processing heuristic</w:t>
      </w:r>
      <w:r>
        <w:t xml:space="preserve"> </w:t>
      </w:r>
      <w:r>
        <w:t xml:space="preserve">(Farell, 1985; Nosofsky &amp; Palmeri, 1997)</w:t>
      </w:r>
      <w:r>
        <w:t xml:space="preserve"> </w:t>
      </w:r>
      <w:r>
        <w:t xml:space="preserve">— than as a liberal SDT criterion producing elevated false-alarm rates.</w:t>
      </w:r>
    </w:p>
    <w:p>
      <w:pPr>
        <w:pStyle w:val="BodyText"/>
      </w:pPr>
      <w:r>
        <w:t xml:space="preserve">Hard-trial accuracy at or below chance for many participants also indicates that some Hard offsets sat near perceptual threshold, weakening the assumption of a clean three-level difficulty gradient; this is noted in Limitations below. The absence of a credible effort contrast on</w:t>
      </w:r>
      <w:r>
        <w:t xml:space="preserve"> </w:t>
      </w:r>
      <m:oMath>
        <m:r>
          <m:t>z</m:t>
        </m:r>
      </m:oMath>
      <w:r>
        <w:t xml:space="preserve"> </w:t>
      </w:r>
      <w:r>
        <w:t xml:space="preserve">is consistent with a stable task strategy rather than momentary arousal-driven criterion resetting, though this remains a graded null.</w:t>
      </w:r>
    </w:p>
    <w:p>
      <w:pPr>
        <w:pStyle w:val="BodyText"/>
      </w:pPr>
      <w:r>
        <w:t xml:space="preserve">The absence of a detectable phasic bias-resetting effect stands in contrast to prior work in younger adults</w:t>
      </w:r>
      <w:r>
        <w:t xml:space="preserve"> </w:t>
      </w:r>
      <w:r>
        <w:t xml:space="preserve">(de Gee et al., 2020)</w:t>
      </w:r>
      <w:r>
        <w:t xml:space="preserve"> </w:t>
      </w:r>
      <w:r>
        <w:t xml:space="preserve">and may reflect age-related attenuation of phasic LC-NE signals</w:t>
      </w:r>
      <w:r>
        <w:t xml:space="preserve"> </w:t>
      </w:r>
      <w:r>
        <w:t xml:space="preserve">(Huang &amp; Clewett, 2024)</w:t>
      </w:r>
      <w:r>
        <w:t xml:space="preserve">. Exploratory trial-wise pupil-linked models were inconclusive (</w:t>
      </w:r>
      <w:hyperlink w:anchor="sec-pupil-ddm-integration">
        <w:r>
          <w:rPr>
            <w:rStyle w:val="Hyperlink"/>
          </w:rPr>
          <w:t xml:space="preserve">Section 3.3</w:t>
        </w:r>
      </w:hyperlink>
      <w:r>
        <w:t xml:space="preserve">); see also Limitations below. In the primary model, VDT showed higher starting-point bias toward</w:t>
      </w:r>
      <w:r>
        <w:t xml:space="preserve"> </w:t>
      </w:r>
      <w:r>
        <w:t xml:space="preserve">“different”</w:t>
      </w:r>
      <w:r>
        <w:t xml:space="preserve"> </w:t>
      </w:r>
      <w:r>
        <w:t xml:space="preserve">than ADT (</w:t>
      </w:r>
      <m:oMath>
        <m:r>
          <m:t>β</m:t>
        </m:r>
        <m:r>
          <m:rPr>
            <m:sty m:val="p"/>
          </m:rPr>
          <m:t>=</m:t>
        </m:r>
        <m:r>
          <m:t>0.068</m:t>
        </m:r>
      </m:oMath>
      <w:r>
        <w:t xml:space="preserve">, 95% CrI</w:t>
      </w:r>
      <w:r>
        <w:t xml:space="preserve"> </w:t>
      </w:r>
      <m:oMath>
        <m:d>
          <m:dPr>
            <m:begChr m:val="["/>
            <m:sepChr m:val=""/>
            <m:endChr m:val="]"/>
            <m:grow/>
          </m:dPr>
          <m:e>
            <m:r>
              <m:t>0.036</m:t>
            </m:r>
            <m:r>
              <m:rPr>
                <m:sty m:val="p"/>
              </m:rPr>
              <m:t>,</m:t>
            </m:r>
            <m:r>
              <m:t> </m:t>
            </m:r>
            <m:r>
              <m:t>0.101</m:t>
            </m:r>
          </m:e>
        </m:d>
      </m:oMath>
      <w:r>
        <w:t xml:space="preserve">;</w:t>
      </w:r>
      <w:r>
        <w:t xml:space="preserve"> </w:t>
      </w:r>
      <m:oMath>
        <m:r>
          <m:t>P</m:t>
        </m:r>
        <m:d>
          <m:dPr>
            <m:begChr m:val="("/>
            <m:sepChr m:val=""/>
            <m:endChr m:val=")"/>
            <m:grow/>
          </m:dPr>
          <m:e>
            <m:sSub>
              <m:e>
                <m:r>
                  <m:t>β</m:t>
                </m:r>
              </m:e>
              <m:sub>
                <m:r>
                  <m:rPr>
                    <m:nor/>
                    <m:sty m:val="p"/>
                  </m:rPr>
                  <m:t>VDT</m:t>
                </m:r>
              </m:sub>
            </m:sSub>
            <m:r>
              <m:rPr>
                <m:sty m:val="p"/>
              </m:rPr>
              <m:t>&gt;</m:t>
            </m:r>
            <m:r>
              <m:t>0</m:t>
            </m:r>
          </m:e>
        </m:d>
        <m:r>
          <m:rPr>
            <m:sty m:val="p"/>
          </m:rPr>
          <m:t>&gt;</m:t>
        </m:r>
        <m:r>
          <m:t>.999</m:t>
        </m:r>
      </m:oMath>
      <w:r>
        <w:t xml:space="preserve">; logit task offset), whereas the standard-only calibration model shows the opposite ordering (</w:t>
      </w:r>
      <m:oMath>
        <m:r>
          <m:t>Δ</m:t>
        </m:r>
        <m:r>
          <m:t>z</m:t>
        </m:r>
        <m:r>
          <m:rPr>
            <m:sty m:val="p"/>
          </m:rPr>
          <m:t>=</m:t>
        </m:r>
        <m:r>
          <m:t>0.038</m:t>
        </m:r>
      </m:oMath>
      <w:r>
        <w:t xml:space="preserve">, 95% CrI</w:t>
      </w:r>
      <w:r>
        <w:t xml:space="preserve"> </w:t>
      </w:r>
      <m:oMath>
        <m:d>
          <m:dPr>
            <m:begChr m:val="["/>
            <m:sepChr m:val=""/>
            <m:endChr m:val="]"/>
            <m:grow/>
          </m:dPr>
          <m:e>
            <m:r>
              <m:t>0.019</m:t>
            </m:r>
            <m:r>
              <m:rPr>
                <m:sty m:val="p"/>
              </m:rPr>
              <m:t>,</m:t>
            </m:r>
            <m:r>
              <m:t> </m:t>
            </m:r>
            <m:r>
              <m:t>0.058</m:t>
            </m:r>
          </m:e>
        </m:d>
      </m:oMath>
      <w:r>
        <w:t xml:space="preserve">;</w:t>
      </w:r>
      <w:r>
        <w:t xml:space="preserve"> </w:t>
      </w:r>
      <m:oMath>
        <m:r>
          <m:t>P</m:t>
        </m:r>
        <m:d>
          <m:dPr>
            <m:begChr m:val="("/>
            <m:sepChr m:val=""/>
            <m:endChr m:val=")"/>
            <m:grow/>
          </m:dPr>
          <m:e>
            <m:r>
              <m:t>Δ</m:t>
            </m:r>
            <m:sSub>
              <m:e>
                <m:r>
                  <m:t>z</m:t>
                </m:r>
              </m:e>
              <m:sub>
                <m:r>
                  <m:rPr>
                    <m:nor/>
                    <m:sty m:val="p"/>
                  </m:rPr>
                  <m:t>ADT</m:t>
                </m:r>
                <m:r>
                  <m:rPr>
                    <m:sty m:val="p"/>
                  </m:rPr>
                  <m:t>−</m:t>
                </m:r>
                <m:r>
                  <m:rPr>
                    <m:nor/>
                    <m:sty m:val="p"/>
                  </m:rPr>
                  <m:t>VDT</m:t>
                </m:r>
              </m:sub>
            </m:sSub>
            <m:r>
              <m:rPr>
                <m:sty m:val="p"/>
              </m:rPr>
              <m:t>&gt;</m:t>
            </m:r>
            <m:r>
              <m:t>0</m:t>
            </m:r>
          </m:e>
        </m:d>
        <m:r>
          <m:rPr>
            <m:sty m:val="p"/>
          </m:rPr>
          <m:t>&gt;</m:t>
        </m:r>
        <m:r>
          <m:t>.999</m:t>
        </m:r>
      </m:oMath>
      <w:r>
        <w:t xml:space="preserve">), illustrating the</w:t>
      </w:r>
      <w:r>
        <w:t xml:space="preserve"> </w:t>
      </w:r>
      <m:oMath>
        <m:r>
          <m:t>v</m:t>
        </m:r>
      </m:oMath>
      <w:r>
        <w:t xml:space="preserve">–</w:t>
      </w:r>
      <m:oMath>
        <m:r>
          <m:t>z</m:t>
        </m:r>
      </m:oMath>
      <w:r>
        <w:t xml:space="preserve"> </w:t>
      </w:r>
      <w:r>
        <w:t xml:space="preserve">trade-off when drift is not held constant across difficulty. Exploratory LC-MRI correlates (Appendix A8) did not link LC integrity to task-specific bias or to the group-level effort effect on drift, though those tests were underpowered.</w:t>
      </w:r>
    </w:p>
    <w:bookmarkEnd w:id="69"/>
    <w:bookmarkStart w:id="70" w:name="sec-temporal-dynamics"/>
    <w:p>
      <w:pPr>
        <w:pStyle w:val="Heading2"/>
      </w:pPr>
      <w:r>
        <w:t xml:space="preserve">4.5 Temporal dynamics across trials</w:t>
      </w:r>
    </w:p>
    <w:p>
      <w:pPr>
        <w:pStyle w:val="FirstParagraph"/>
      </w:pPr>
      <w:r>
        <w:t xml:space="preserve">Exploratory choice-history models (Appendix A10.1) showed a small but reliable perseveration tendency: pre-stimulus bias shifted by approximately 0.065 logit units toward the previous response, with the 95% CrI excluding zero. High effort (40% MVC) did not amplify this effect (previous-trial response × effort interaction</w:t>
      </w:r>
      <w:r>
        <w:t xml:space="preserve"> </w:t>
      </w:r>
      <m:oMath>
        <m:acc>
          <m:accPr>
            <m:chr m:val="̂"/>
          </m:accPr>
          <m:e>
            <m:r>
              <m:t>β</m:t>
            </m:r>
          </m:e>
        </m:acc>
      </m:oMath>
      <w:r>
        <w:t xml:space="preserve"> </w:t>
      </w:r>
      <w:r>
        <w:t xml:space="preserve">= −0.001, 95% CrI [−0.065, 0.064]). Together with the ROPE-negligible H2 boundary effect and the H4 bias null, this pattern suggests that effort degrades evidence quality upstream while producing only limited downstream adjustment in criterion-setting or history-driven responding</w:t>
      </w:r>
      <w:r>
        <w:t xml:space="preserve"> </w:t>
      </w:r>
      <w:r>
        <w:t xml:space="preserve">(Fischer &amp; Whitney, 2014; Wickens, 2008)</w:t>
      </w:r>
      <w:r>
        <w:t xml:space="preserve">.</w:t>
      </w:r>
    </w:p>
    <w:p>
      <w:pPr>
        <w:pStyle w:val="BodyText"/>
      </w:pPr>
      <w:r>
        <w:t xml:space="preserve">Within-session fatigue models (Appendix A10.2) showed a complementary pattern. Boundary separation relaxed slightly from the first to the second half of each run (more pronounced under Low effort), but drift rate did not decline credibly within runs, and age did not moderate the trajectory. The primary within-run dynamic is modest criterion adjustment, not accumulation-stage exhaustion</w:t>
      </w:r>
      <w:r>
        <w:t xml:space="preserve"> </w:t>
      </w:r>
      <w:r>
        <w:t xml:space="preserve">(Drugowitsch et al., 2012; Tajima et al., 2016)</w:t>
      </w:r>
      <w:r>
        <w:t xml:space="preserve">. Effort’s between-condition effect remains localized to drift rate (</w:t>
      </w:r>
      <m:oMath>
        <m:r>
          <m:t>v</m:t>
        </m:r>
      </m:oMath>
      <w:r>
        <w:t xml:space="preserve">), not to the temporal dynamics of boundary separation under load.</w:t>
      </w:r>
    </w:p>
    <w:bookmarkEnd w:id="70"/>
    <w:bookmarkStart w:id="71" w:name="modeling-constraints"/>
    <w:p>
      <w:pPr>
        <w:pStyle w:val="Heading2"/>
      </w:pPr>
      <w:r>
        <w:t xml:space="preserve">4.6 Modeling constraints</w:t>
      </w:r>
    </w:p>
    <w:p>
      <w:pPr>
        <w:pStyle w:val="FirstParagraph"/>
      </w:pPr>
      <w:r>
        <w:t xml:space="preserve">H3 could not be tested in the primary model because the response-signal design required an intercept-only</w:t>
      </w:r>
      <w:r>
        <w:t xml:space="preserve"> </w:t>
      </w:r>
      <m:oMath>
        <m:sSub>
          <m:e>
            <m:r>
              <m:t>t</m:t>
            </m:r>
          </m:e>
          <m:sub>
            <m:r>
              <m:t>0</m:t>
            </m:r>
          </m:sub>
        </m:sSub>
      </m:oMath>
      <w:r>
        <w:t xml:space="preserve"> </w:t>
      </w:r>
      <w:r>
        <w:t xml:space="preserve">specification (</w:t>
      </w:r>
      <w:hyperlink w:anchor="sec-ddm-spec">
        <w:r>
          <w:rPr>
            <w:rStyle w:val="Hyperlink"/>
          </w:rPr>
          <w:t xml:space="preserve">Section 2.10</w:t>
        </w:r>
      </w:hyperlink>
      <w:r>
        <w:t xml:space="preserve">). An exploratory effort effect on</w:t>
      </w:r>
      <w:r>
        <w:t xml:space="preserve"> </w:t>
      </w:r>
      <m:oMath>
        <m:r>
          <m:rPr>
            <m:sty m:val="p"/>
          </m:rPr>
          <m:t>log</m:t>
        </m:r>
        <m:sSub>
          <m:e>
            <m:r>
              <m:t>t</m:t>
            </m:r>
          </m:e>
          <m:sub>
            <m:r>
              <m:t>0</m:t>
            </m:r>
          </m:sub>
        </m:sSub>
      </m:oMath>
      <w:r>
        <w:t xml:space="preserve"> </w:t>
      </w:r>
      <w:r>
        <w:t xml:space="preserve">was small and imprecise (</w:t>
      </w:r>
      <m:oMath>
        <m:acc>
          <m:accPr>
            <m:chr m:val="̂"/>
          </m:accPr>
          <m:e>
            <m:r>
              <m:t>β</m:t>
            </m:r>
          </m:e>
        </m:acc>
      </m:oMath>
      <w:r>
        <w:t xml:space="preserve"> </w:t>
      </w:r>
      <w:r>
        <w:t xml:space="preserve">= 0.02, 95% CrI [−0.05, 0.09]), precluding firm conclusions about peripheral slowing. Accuracy declines under High effort align more directly with reduced drift rate than with shifts in</w:t>
      </w:r>
      <w:r>
        <w:t xml:space="preserve"> </w:t>
      </w:r>
      <m:oMath>
        <m:sSub>
          <m:e>
            <m:r>
              <m:t>t</m:t>
            </m:r>
          </m:e>
          <m:sub>
            <m:r>
              <m:t>0</m:t>
            </m:r>
          </m:sub>
        </m:sSub>
      </m:oMath>
      <w:r>
        <w:t xml:space="preserve"> </w:t>
      </w:r>
      <w:r>
        <w:t xml:space="preserve">(</w:t>
      </w:r>
      <w:hyperlink w:anchor="tbl-accuracy-glmm">
        <w:r>
          <w:rPr>
            <w:rStyle w:val="Hyperlink"/>
          </w:rPr>
          <w:t xml:space="preserve">Table 21</w:t>
        </w:r>
      </w:hyperlink>
      <w:r>
        <w:t xml:space="preserve">).</w:t>
      </w:r>
    </w:p>
    <w:bookmarkEnd w:id="71"/>
    <w:bookmarkStart w:id="72" w:name="limitations-and-future-directions"/>
    <w:p>
      <w:pPr>
        <w:pStyle w:val="Heading2"/>
      </w:pPr>
      <w:r>
        <w:t xml:space="preserve">4.7 Limitations and Future Directions</w:t>
      </w:r>
    </w:p>
    <w:p>
      <w:pPr>
        <w:pStyle w:val="FirstParagraph"/>
      </w:pPr>
      <w:r>
        <w:t xml:space="preserve">Several limitations constrain the interpretation of these findings. First, the standard Wiener DDM assumes constant drift within each trial and does not include across-trial variability in drift (</w:t>
      </w:r>
      <m:oMath>
        <m:sSub>
          <m:e>
            <m:r>
              <m:t>s</m:t>
            </m:r>
          </m:e>
          <m:sub>
            <m:r>
              <m:t>v</m:t>
            </m:r>
          </m:sub>
        </m:sSub>
      </m:oMath>
      <w:r>
        <w:t xml:space="preserve">), starting point (</w:t>
      </w:r>
      <m:oMath>
        <m:sSub>
          <m:e>
            <m:r>
              <m:t>s</m:t>
            </m:r>
          </m:e>
          <m:sub>
            <m:r>
              <m:t>z</m:t>
            </m:r>
          </m:sub>
        </m:sSub>
      </m:oMath>
      <w:r>
        <w:t xml:space="preserve">), or non-decision time (</w:t>
      </w:r>
      <m:oMath>
        <m:sSub>
          <m:e>
            <m:r>
              <m:t>s</m:t>
            </m:r>
          </m:e>
          <m:sub>
            <m:sSub>
              <m:e>
                <m:r>
                  <m:t>t</m:t>
                </m:r>
              </m:e>
              <m:sub>
                <m:r>
                  <m:t>0</m:t>
                </m:r>
              </m:sub>
            </m:sSub>
          </m:sub>
        </m:sSub>
      </m:oMath>
      <w:r>
        <w:t xml:space="preserve">). Second, the response-signal design enforced a fixed delay before overt responding; probe-onset RT alignment and an intercept-only</w:t>
      </w:r>
      <w:r>
        <w:t xml:space="preserve"> </w:t>
      </w:r>
      <m:oMath>
        <m:sSub>
          <m:e>
            <m:r>
              <m:t>t</m:t>
            </m:r>
          </m:e>
          <m:sub>
            <m:r>
              <m:t>0</m:t>
            </m:r>
          </m:sub>
        </m:sSub>
      </m:oMath>
      <w:r>
        <w:t xml:space="preserve"> </w:t>
      </w:r>
      <w:r>
        <w:t xml:space="preserve">identify condition effects within that shared timing regime but do not support strong claims about pure encoding or motor</w:t>
      </w:r>
      <w:r>
        <w:t xml:space="preserve"> </w:t>
      </w:r>
      <m:oMath>
        <m:sSub>
          <m:e>
            <m:r>
              <m:t>t</m:t>
            </m:r>
          </m:e>
          <m:sub>
            <m:r>
              <m:t>0</m:t>
            </m:r>
          </m:sub>
        </m:sSub>
      </m:oMath>
      <w:r>
        <w:t xml:space="preserve"> </w:t>
      </w:r>
      <w:r>
        <w:t xml:space="preserve">in isolation (</w:t>
      </w:r>
      <w:hyperlink w:anchor="sec-ddm-spec">
        <w:r>
          <w:rPr>
            <w:rStyle w:val="Hyperlink"/>
          </w:rPr>
          <w:t xml:space="preserve">Section 2.10</w:t>
        </w:r>
      </w:hyperlink>
      <w:r>
        <w:t xml:space="preserve">). Reaction times are measured from response-screen onset rather than stimulus onset, confining the interpretation of</w:t>
      </w:r>
      <w:r>
        <w:t xml:space="preserve"> </w:t>
      </w:r>
      <m:oMath>
        <m:sSub>
          <m:e>
            <m:r>
              <m:t>t</m:t>
            </m:r>
          </m:e>
          <m:sub>
            <m:r>
              <m:t>0</m:t>
            </m:r>
          </m:sub>
        </m:sSub>
      </m:oMath>
      <w:r>
        <w:t xml:space="preserve"> </w:t>
      </w:r>
      <w:r>
        <w:t xml:space="preserve">to motor execution and response selection rather than early perceptual encoding. These design choices were necessary given the MRI-compatible grip-force paradigm but limit generalizability to free-response paradigms where</w:t>
      </w:r>
      <w:r>
        <w:t xml:space="preserve"> </w:t>
      </w:r>
      <m:oMath>
        <m:sSub>
          <m:e>
            <m:r>
              <m:t>t</m:t>
            </m:r>
          </m:e>
          <m:sub>
            <m:r>
              <m:t>0</m:t>
            </m:r>
          </m:sub>
        </m:sSub>
      </m:oMath>
      <w:r>
        <w:t xml:space="preserve"> </w:t>
      </w:r>
      <w:r>
        <w:t xml:space="preserve">reflects the full encoding-decision-motor chain. Posterior predictive checks flagged all 12 experimental cells against pre-specified KS/QP thresholds (</w:t>
      </w:r>
      <w:hyperlink w:anchor="tbl-convergence-ppc-gate-appendix">
        <w:r>
          <w:rPr>
            <w:rStyle w:val="Hyperlink"/>
          </w:rPr>
          <w:t xml:space="preserve">Table 10</w:t>
        </w:r>
      </w:hyperlink>
      <w:r>
        <w:t xml:space="preserve">), with deviations concentrated in fast RT tails (worst in Easy/VDT). Mid-body quantile–probability alignment was nevertheless acceptable (Appendix A3,</w:t>
      </w:r>
      <w:r>
        <w:t xml:space="preserve"> </w:t>
      </w:r>
      <w:hyperlink w:anchor="tbl-ppc-midbody">
        <w:r>
          <w:rPr>
            <w:rStyle w:val="Hyperlink"/>
          </w:rPr>
          <w:t xml:space="preserve">Table 11</w:t>
        </w:r>
      </w:hyperlink>
      <w:r>
        <w:t xml:space="preserve">), and key effort contrasts were stable across alternative RT lower-bound thresholds (Appendix A4.2,</w:t>
      </w:r>
      <w:r>
        <w:t xml:space="preserve"> </w:t>
      </w:r>
      <w:hyperlink w:anchor="tbl-h1-h2-by-cutoff">
        <w:r>
          <w:rPr>
            <w:rStyle w:val="Hyperlink"/>
          </w:rPr>
          <w:t xml:space="preserve">Table 14</w:t>
        </w:r>
      </w:hyperlink>
      <w:r>
        <w:t xml:space="preserve">). Future extensions incorporating across-trial variability, a fast-guess contaminant mixture, or urgency-collapsing boundaries may improve absolute fit</w:t>
      </w:r>
      <w:r>
        <w:t xml:space="preserve"> </w:t>
      </w:r>
      <w:r>
        <w:t xml:space="preserve">(Ratcliff &amp; McKoon, 2008)</w:t>
      </w:r>
      <w:r>
        <w:t xml:space="preserve">.</w:t>
      </w:r>
    </w:p>
    <w:p>
      <w:pPr>
        <w:pStyle w:val="BodyText"/>
      </w:pPr>
      <w:r>
        <w:t xml:space="preserve">Third, the primary trial-wise pupil predictor—the</w:t>
      </w:r>
      <w:r>
        <w:t xml:space="preserve"> </w:t>
      </w:r>
      <w:r>
        <w:rPr>
          <w:b/>
          <w:bCs/>
        </w:rPr>
        <w:t xml:space="preserve">Decision-Response AUC</w:t>
      </w:r>
      <w:r>
        <w:t xml:space="preserve">—spans both pre- and post-response epochs (</w:t>
      </w:r>
      <w:hyperlink w:anchor="sec-pupil-ddm-integration">
        <w:r>
          <w:rPr>
            <w:rStyle w:val="Hyperlink"/>
          </w:rPr>
          <w:t xml:space="preserve">Section 3.3</w:t>
        </w:r>
      </w:hyperlink>
      <w:r>
        <w:t xml:space="preserve">). We repeated the nested pupil-DDM comparisons using the</w:t>
      </w:r>
      <w:r>
        <w:t xml:space="preserve"> </w:t>
      </w:r>
      <w:r>
        <w:rPr>
          <w:b/>
          <w:bCs/>
        </w:rPr>
        <w:t xml:space="preserve">Truncated Decision-Response AUC</w:t>
      </w:r>
      <w:r>
        <w:t xml:space="preserve"> </w:t>
      </w:r>
      <w:r>
        <w:t xml:space="preserve">(0.3–1.3 s post-probe; 12,150 trials with valid truncated TEPR) and Cavanagh-style pupil→</w:t>
      </w:r>
      <m:oMath>
        <m:r>
          <m:t>a</m:t>
        </m:r>
      </m:oMath>
      <w:r>
        <w:t xml:space="preserve"> </w:t>
      </w:r>
      <w:r>
        <w:t xml:space="preserve">extensions on both windows; conclusions were unchanged (</w:t>
      </w:r>
      <m:oMath>
        <m:r>
          <m:rPr>
            <m:sty m:val="p"/>
          </m:rPr>
          <m:t>|</m:t>
        </m:r>
        <m:r>
          <m:t>Δ</m:t>
        </m:r>
      </m:oMath>
      <w:r>
        <w:t xml:space="preserve">ELPD</w:t>
      </w:r>
      <m:oMath>
        <m:r>
          <m:rPr>
            <m:sty m:val="p"/>
          </m:rPr>
          <m:t>|</m:t>
        </m:r>
      </m:oMath>
      <w:r>
        <w:t xml:space="preserve"> </w:t>
      </w:r>
      <m:oMath>
        <m:r>
          <m:rPr>
            <m:sty m:val="p"/>
          </m:rPr>
          <m:t>&lt;</m:t>
        </m:r>
        <m:r>
          <m:t>4</m:t>
        </m:r>
      </m:oMath>
      <w:r>
        <w:t xml:space="preserve">; near-zero or small coefficients without LOO advantage). Remaining ambiguity likely reflects concurrent motor–autonomic confounds under sustained grip rather than window choice alone.</w:t>
      </w:r>
    </w:p>
    <w:p>
      <w:pPr>
        <w:pStyle w:val="BodyText"/>
      </w:pPr>
      <w:r>
        <w:t xml:space="preserve">Fourth, Hard-trial accuracy fell near or below chance for many participants (Appendix A7), indicating that some Hard offsets sat near perceptual threshold rather than forming a clean graded difficulty manipulation above chance. Parameter estimates for Hard conditions should be interpreted with this floor effect in mind. Complementary sensitivity analyses for task-on-drift pooling and related robustness checks are reported in Appendix A4 (</w:t>
      </w:r>
      <w:hyperlink w:anchor="tbl-task-sensitivity">
        <w:r>
          <w:rPr>
            <w:rStyle w:val="Hyperlink"/>
          </w:rPr>
          <w:t xml:space="preserve">Table 16</w:t>
        </w:r>
      </w:hyperlink>
      <w:r>
        <w:t xml:space="preserve">,</w:t>
      </w:r>
      <w:r>
        <w:t xml:space="preserve"> </w:t>
      </w:r>
      <w:hyperlink w:anchor="tbl-h1-h2-by-cutoff">
        <w:r>
          <w:rPr>
            <w:rStyle w:val="Hyperlink"/>
          </w:rPr>
          <w:t xml:space="preserve">Table 14</w:t>
        </w:r>
      </w:hyperlink>
      <w:r>
        <w:t xml:space="preserve">) where already completed; a Standard+Easy-only primary refit excluding Hard trials remains planned.</w:t>
      </w:r>
    </w:p>
    <w:p>
      <w:pPr>
        <w:pStyle w:val="BodyText"/>
      </w:pPr>
      <w:r>
        <w:t xml:space="preserve">Fifth, the concurrent isometric handgrip manipulation (40% MVC) may interact with motor execution in ways not fully captured by small fixed effects on</w:t>
      </w:r>
      <w:r>
        <w:t xml:space="preserve"> </w:t>
      </w:r>
      <m:oMath>
        <m:sSub>
          <m:e>
            <m:r>
              <m:t>t</m:t>
            </m:r>
          </m:e>
          <m:sub>
            <m:r>
              <m:t>0</m:t>
            </m:r>
          </m:sub>
        </m:sSub>
      </m:oMath>
      <w:r>
        <w:t xml:space="preserve">; future work integrating EMG or kinematic measures could disentangle central resource competition from peripheral motor interference. Linear Ballistic Accumulator or race models may also better accommodate the fast-tail RT dynamics observed in Easy-difficulty conditions, and future work could explore whether these model families yield the same substantive pattern of effort and difficulty effects on decision parameters.</w:t>
      </w:r>
    </w:p>
    <w:p>
      <w:pPr>
        <w:pStyle w:val="BodyText"/>
      </w:pPr>
      <w:r>
        <w:t xml:space="preserve">Sixth, exploratory LC-MRI and neuropsychological correlates (Appendices A8 and A9) were underpowered for individual-differences moderation and did not enter the primary inferential framework; they are reported as descriptive context for sample characterization and do not alter the group-level DDM conclusions below.</w:t>
      </w:r>
    </w:p>
    <w:bookmarkEnd w:id="72"/>
    <w:bookmarkStart w:id="73" w:name="conclusions"/>
    <w:p>
      <w:pPr>
        <w:pStyle w:val="Heading2"/>
      </w:pPr>
      <w:r>
        <w:t xml:space="preserve">4.8 Conclusions</w:t>
      </w:r>
    </w:p>
    <w:p>
      <w:pPr>
        <w:pStyle w:val="FirstParagraph"/>
      </w:pPr>
      <w:r>
        <w:t xml:space="preserve">Concurrent 40% MVC isometric grip degraded perceptual evidence accumulation in older adults more than it reorganized decision thresholds or pre-response bias. The hierarchical Wiener DDM localized the primary cost to drift rate</w:t>
      </w:r>
      <w:r>
        <w:t xml:space="preserve"> </w:t>
      </w:r>
      <m:oMath>
        <m:r>
          <m:t>v</m:t>
        </m:r>
      </m:oMath>
      <w:r>
        <w:t xml:space="preserve"> </w:t>
      </w:r>
      <w:r>
        <w:t xml:space="preserve">— the signal-to-noise ratio of evidence integration — with a credible interval excluding zero. The inferential hierarchy was as follows.</w:t>
      </w:r>
    </w:p>
    <w:p>
      <w:pPr>
        <w:pStyle w:val="BodyText"/>
      </w:pPr>
      <w:r>
        <w:t xml:space="preserve">First and strongest: drift rate was reliably lower under High than Low effort (small relative to difficulty contrasts, but directionally certain). Second: boundary separation was directionally higher under High effort but practically negligible under the project ROPE, whereas starting-point bias did not shift credibly — inconsistent with large strategic reconfiguration. Exploratory choice-history models showed small perseveration in bias without effort amplification; within-run fatigue affected boundary separation more than drift.</w:t>
      </w:r>
    </w:p>
    <w:p>
      <w:pPr>
        <w:pStyle w:val="BodyText"/>
      </w:pPr>
      <w:r>
        <w:t xml:space="preserve">Third and most uncertain: non-decision time could not be tested in the primary model because the response-signal design required an intercept-only</w:t>
      </w:r>
      <w:r>
        <w:t xml:space="preserve"> </w:t>
      </w:r>
      <m:oMath>
        <m:sSub>
          <m:e>
            <m:r>
              <m:t>t</m:t>
            </m:r>
          </m:e>
          <m:sub>
            <m:r>
              <m:t>0</m:t>
            </m:r>
          </m:sub>
        </m:sSub>
      </m:oMath>
      <w:r>
        <w:t xml:space="preserve">. The exploratory log-</w:t>
      </w:r>
      <m:oMath>
        <m:sSub>
          <m:e>
            <m:r>
              <m:t>t</m:t>
            </m:r>
          </m:e>
          <m:sub>
            <m:r>
              <m:t>0</m:t>
            </m:r>
          </m:sub>
        </m:sSub>
      </m:oMath>
      <w:r>
        <w:t xml:space="preserve"> </w:t>
      </w:r>
      <w:r>
        <w:t xml:space="preserve">effort term was small and imprecise. Pupil-linked mechanisms were inconclusive (</w:t>
      </w:r>
      <w:hyperlink w:anchor="sec-pupil-ddm-integration">
        <w:r>
          <w:rPr>
            <w:rStyle w:val="Hyperlink"/>
          </w:rPr>
          <w:t xml:space="preserve">Section 3.3</w:t>
        </w:r>
      </w:hyperlink>
      <w:r>
        <w:t xml:space="preserve">).</w:t>
      </w:r>
    </w:p>
    <w:p>
      <w:pPr>
        <w:pStyle w:val="BodyText"/>
      </w:pPr>
      <w:r>
        <w:t xml:space="preserve">Exploratory individual-differences analyses in the same cohort did not alter this group-level story. LC-MRI correlates (Appendix A8;</w:t>
      </w:r>
      <w:r>
        <w:t xml:space="preserve"> </w:t>
      </w:r>
      <w:r>
        <w:t xml:space="preserve">(Bennett et al., 2024)</w:t>
      </w:r>
      <w:r>
        <w:t xml:space="preserve">) were more closely related to between-person variability in sensitivity and baseline boundary settings than to mean perceptual sensitivity, trial-wise TEPR, or the effort effect on drift. Extended neuropsychological characterization (Appendix A9) did not indicate that global cognition explained the effort → drift pattern. Taken together, under concurrent physical load, older adults mainly accumulate less evidence per unit time, with only limited adjustment in caution or bias. Exploratory LC and neuropsychological appendices contextualize individual differences but do not change the group-level account.</w:t>
      </w:r>
    </w:p>
    <w:bookmarkEnd w:id="73"/>
    <w:bookmarkEnd w:id="74"/>
    <w:bookmarkStart w:id="77" w:name="reproducibility-note"/>
    <w:p>
      <w:pPr>
        <w:pStyle w:val="Heading1"/>
      </w:pPr>
      <w:r>
        <w:t xml:space="preserve">Reproducibility Note</w:t>
      </w:r>
    </w:p>
    <w:p>
      <w:pPr>
        <w:pStyle w:val="FirstParagraph"/>
      </w:pPr>
      <w:r>
        <w:t xml:space="preserve">All analysis code and de-identified data are available in the project repository:</w:t>
      </w:r>
      <w:r>
        <w:t xml:space="preserve"> </w:t>
      </w:r>
      <w:hyperlink r:id="rId75">
        <w:r>
          <w:rPr>
            <w:rStyle w:val="Hyperlink"/>
          </w:rPr>
          <w:t xml:space="preserve">modeling-pupil-DDM</w:t>
        </w:r>
      </w:hyperlink>
      <w:r>
        <w:t xml:space="preserve">. A versioned archive of the analysis code and data is also available via Zenodo:</w:t>
      </w:r>
      <w:r>
        <w:t xml:space="preserve"> </w:t>
      </w:r>
      <w:hyperlink r:id="rId76">
        <w:r>
          <w:rPr>
            <w:rStyle w:val="Hyperlink"/>
          </w:rPr>
          <w:t xml:space="preserve">https://doi.org/10.5281/zenodo.18205123</w:t>
        </w:r>
      </w:hyperlink>
      <w:r>
        <w:t xml:space="preserve">. Key paths:</w:t>
      </w:r>
      <w:r>
        <w:t xml:space="preserve"> </w:t>
      </w:r>
      <w:r>
        <w:rPr>
          <w:rStyle w:val="VerbatimChar"/>
        </w:rPr>
        <w:t xml:space="preserve">R/</w:t>
      </w:r>
      <w:r>
        <w:t xml:space="preserve">,</w:t>
      </w:r>
      <w:r>
        <w:t xml:space="preserve"> </w:t>
      </w:r>
      <w:r>
        <w:rPr>
          <w:rStyle w:val="VerbatimChar"/>
        </w:rPr>
        <w:t xml:space="preserve">scripts/</w:t>
      </w:r>
      <w:r>
        <w:t xml:space="preserve">,</w:t>
      </w:r>
      <w:r>
        <w:t xml:space="preserve"> </w:t>
      </w:r>
      <w:r>
        <w:rPr>
          <w:rStyle w:val="VerbatimChar"/>
        </w:rPr>
        <w:t xml:space="preserve">reports/chap3_ddm_results.qmd</w:t>
      </w:r>
      <w:r>
        <w:t xml:space="preserve">.</w:t>
      </w:r>
    </w:p>
    <w:p>
      <w:r>
        <w:br w:type="page"/>
      </w:r>
    </w:p>
    <w:bookmarkEnd w:id="77"/>
    <w:bookmarkStart w:id="230" w:name="appendix"/>
    <w:p>
      <w:pPr>
        <w:pStyle w:val="Heading1"/>
      </w:pPr>
      <w:r>
        <w:t xml:space="preserve">Appendix</w:t>
      </w:r>
    </w:p>
    <w:p>
      <w:pPr>
        <w:pStyle w:val="FirstParagraph"/>
      </w:pPr>
      <w:r>
        <w:t xml:space="preserve">This appendix supplements the main text with model diagnostics, sensitivity analyses, pupil-linked DDM extensions, and behavioral validation.</w:t>
      </w:r>
      <w:r>
        <w:t xml:space="preserve"> </w:t>
      </w:r>
      <w:r>
        <w:rPr>
          <w:b/>
          <w:bCs/>
        </w:rPr>
        <w:t xml:space="preserve">A1</w:t>
      </w:r>
      <w:r>
        <w:t xml:space="preserve"> </w:t>
      </w:r>
      <w:r>
        <w:t xml:space="preserve">— behavioral LOO and convergence;</w:t>
      </w:r>
      <w:r>
        <w:t xml:space="preserve"> </w:t>
      </w:r>
      <w:r>
        <w:rPr>
          <w:b/>
          <w:bCs/>
        </w:rPr>
        <w:t xml:space="preserve">A2</w:t>
      </w:r>
      <w:r>
        <w:t xml:space="preserve"> </w:t>
      </w:r>
      <w:r>
        <w:t xml:space="preserve">— standard-only calibration, trial counts, and baseline pupil descriptives;</w:t>
      </w:r>
      <w:r>
        <w:t xml:space="preserve"> </w:t>
      </w:r>
      <w:r>
        <w:rPr>
          <w:b/>
          <w:bCs/>
        </w:rPr>
        <w:t xml:space="preserve">A3</w:t>
      </w:r>
      <w:r>
        <w:t xml:space="preserve"> </w:t>
      </w:r>
      <w:r>
        <w:t xml:space="preserve">— posterior predictive checks (PPC);</w:t>
      </w:r>
      <w:r>
        <w:t xml:space="preserve"> </w:t>
      </w:r>
      <w:r>
        <w:rPr>
          <w:b/>
          <w:bCs/>
        </w:rPr>
        <w:t xml:space="preserve">A4</w:t>
      </w:r>
      <w:r>
        <w:t xml:space="preserve"> </w:t>
      </w:r>
      <w:r>
        <w:t xml:space="preserve">— RT timing and task-modality sensitivities;</w:t>
      </w:r>
      <w:r>
        <w:t xml:space="preserve"> </w:t>
      </w:r>
      <w:r>
        <w:rPr>
          <w:b/>
          <w:bCs/>
        </w:rPr>
        <w:t xml:space="preserve">A5</w:t>
      </w:r>
      <w:r>
        <w:t xml:space="preserve"> </w:t>
      </w:r>
      <w:r>
        <w:t xml:space="preserve">— pupil-augmented LOO, fixed effects, and TEPR waveforms;</w:t>
      </w:r>
      <w:r>
        <w:t xml:space="preserve"> </w:t>
      </w:r>
      <w:r>
        <w:rPr>
          <w:b/>
          <w:bCs/>
        </w:rPr>
        <w:t xml:space="preserve">A6</w:t>
      </w:r>
      <w:r>
        <w:t xml:space="preserve"> </w:t>
      </w:r>
      <w:r>
        <w:t xml:space="preserve">— full DDM specification (equations, priors, sampling);</w:t>
      </w:r>
      <w:r>
        <w:t xml:space="preserve"> </w:t>
      </w:r>
      <w:r>
        <w:rPr>
          <w:b/>
          <w:bCs/>
        </w:rPr>
        <w:t xml:space="preserve">A7</w:t>
      </w:r>
      <w:r>
        <w:t xml:space="preserve"> </w:t>
      </w:r>
      <w:r>
        <w:t xml:space="preserve">— manipulation-check GLMMs/LMMs;</w:t>
      </w:r>
      <w:r>
        <w:t xml:space="preserve"> </w:t>
      </w:r>
      <w:r>
        <w:rPr>
          <w:b/>
          <w:bCs/>
        </w:rPr>
        <w:t xml:space="preserve">A8–A10</w:t>
      </w:r>
      <w:r>
        <w:t xml:space="preserve"> </w:t>
      </w:r>
      <w:r>
        <w:t xml:space="preserve">— exploratory LC integrity, neuropsychological profile, and within-run temporal dynamics. Related figures are combined into multi-panel displays where layout permits (e.g., A2 bias calibration, A4 task-modality profiles); tall facet-heavy figures (TEPR, behavioral validation) remain as separate figures.</w:t>
      </w:r>
    </w:p>
    <w:bookmarkStart w:id="88" w:name="X7c9d9a61483fd46d6e6667cf69d62b1a136f6ac"/>
    <w:p>
      <w:pPr>
        <w:pStyle w:val="Heading2"/>
      </w:pPr>
      <w:r>
        <w:t xml:space="preserve">A1. Model Selection and Convergence Diagnostics</w:t>
      </w:r>
    </w:p>
    <w:tbl>
      <w:tblPr>
        <w:tblStyle w:val="Table"/>
        <w:tblW w:type="pct" w:w="5000"/>
        <w:tblLayout w:type="fixed"/>
        <w:tblLook w:firstRow="0" w:lastRow="0" w:firstColumn="0" w:lastColumn="0" w:noHBand="0" w:noVBand="0" w:val="0000"/>
      </w:tblPr>
      <w:tblGrid>
        <w:gridCol w:w="7920"/>
      </w:tblGrid>
      <w:tr>
        <w:tc>
          <w:tcPr/>
          <w:bookmarkStart w:id="78" w:name="tbl-loo-comparison"/>
          <w:p>
            <w:pPr>
              <w:jc w:val="center"/>
            </w:pPr>
            <w:pPr>
              <w:jc w:val="start"/>
              <w:spacing w:before="200"/>
              <w:pStyle w:val="ImageCaption"/>
            </w:pPr>
            <w:r>
              <w:t xml:space="preserve">Table 3: Behavioral model comparison via PSIS-LOO (probe-onset-locked, thr 0.20 s; N = 17,857).</w:t>
            </w:r>
            <w:r>
              <w:t xml:space="preserve"> </w:t>
            </w:r>
            <m:oMath>
              <m:r>
                <m:t>Δ</m:t>
              </m:r>
            </m:oMath>
            <w:r>
              <w:t xml:space="preserve">ELPD is relative to the highest-ELPD model (negative = worse). The interaction row attains the highest nominal ELPD but unreliable PSIS-LOO (max Pareto-</w:t>
            </w:r>
            <m:oMath>
              <m:r>
                <m:t>k</m:t>
              </m:r>
            </m:oMath>
            <w:r>
              <w:t xml:space="preserve"> </w:t>
            </w:r>
            <w:r>
              <w:t xml:space="preserve">&gt; 0.7); the additive model is retained.</w:t>
            </w:r>
          </w:p>
          <w:tbl>
            <w:tblPr>
              <w:tblStyle w:val="Table"/>
              <w:tblW w:type="pct" w:w="5000"/>
              <w:tblLayout w:type="fixed"/>
              <w:tblLook w:firstRow="1" w:lastRow="0" w:firstColumn="0" w:lastColumn="0" w:noHBand="0" w:noVBand="0" w:val="0020"/>
            </w:tblPr>
            <w:tblGrid>
              <w:gridCol w:w="3465"/>
              <w:gridCol w:w="891"/>
              <w:gridCol w:w="594"/>
              <w:gridCol w:w="792"/>
              <w:gridCol w:w="594"/>
              <w:gridCol w:w="792"/>
              <w:gridCol w:w="792"/>
            </w:tblGrid>
            <w:tr>
              <w:trPr>
                <w:tblHeader w:val="on"/>
              </w:trPr>
              <w:tc>
                <w:tcPr/>
                <w:p>
                  <w:pPr>
                    <w:pStyle w:val="Compact"/>
                    <w:jc w:val="left"/>
                    <w:jc w:val="center"/>
                  </w:pPr>
                  <w:r>
                    <w:t xml:space="preserve">Model</w:t>
                  </w:r>
                </w:p>
              </w:tc>
              <w:tc>
                <w:tcPr/>
                <w:p>
                  <w:pPr>
                    <w:pStyle w:val="Compact"/>
                    <w:jc w:val="right"/>
                    <w:jc w:val="center"/>
                  </w:pPr>
                  <w:r>
                    <w:t xml:space="preserve">ELPD</w:t>
                  </w:r>
                </w:p>
              </w:tc>
              <w:tc>
                <w:tcPr/>
                <w:p>
                  <w:pPr>
                    <w:pStyle w:val="Compact"/>
                    <w:jc w:val="right"/>
                    <w:jc w:val="center"/>
                  </w:pPr>
                  <w:r>
                    <w:t xml:space="preserve">SE</w:t>
                  </w:r>
                </w:p>
              </w:tc>
              <w:tc>
                <w:tcPr/>
                <w:p>
                  <w:pPr>
                    <w:pStyle w:val="Compact"/>
                    <w:jc w:val="right"/>
                    <w:jc w:val="center"/>
                  </w:pPr>
                  <w:r>
                    <w:t xml:space="preserve">ΔELPD</w:t>
                  </w:r>
                </w:p>
              </w:tc>
              <w:tc>
                <w:tcPr/>
                <w:p>
                  <w:pPr>
                    <w:pStyle w:val="Compact"/>
                    <w:jc w:val="right"/>
                    <w:jc w:val="center"/>
                  </w:pPr>
                  <w:r>
                    <w:t xml:space="preserve">SE(Δ)</w:t>
                  </w:r>
                </w:p>
              </w:tc>
              <w:tc>
                <w:tcPr/>
                <w:p>
                  <w:pPr>
                    <w:pStyle w:val="Compact"/>
                    <w:jc w:val="right"/>
                    <w:jc w:val="center"/>
                  </w:pPr>
                  <w:r>
                    <w:t xml:space="preserve">LOOIC</w:t>
                  </w:r>
                </w:p>
              </w:tc>
              <w:tc>
                <w:tcPr/>
                <w:p>
                  <w:pPr>
                    <w:pStyle w:val="Compact"/>
                    <w:jc w:val="left"/>
                    <w:jc w:val="center"/>
                  </w:pPr>
                  <w:r>
                    <w:t xml:space="preserve">Max</w:t>
                  </w:r>
                  <w:r>
                    <w:t xml:space="preserve"> </w:t>
                  </w:r>
                  <m:oMath>
                    <m:r>
                      <m:t>k</m:t>
                    </m:r>
                  </m:oMath>
                </w:p>
              </w:tc>
            </w:tr>
            <w:tr>
              <w:tc>
                <w:tcPr/>
                <w:p>
                  <w:pPr>
                    <w:pStyle w:val="Compact"/>
                    <w:jc w:val="left"/>
                    <w:jc w:val="center"/>
                  </w:pPr>
                  <w:r>
                    <w:t xml:space="preserve">Interaction (Diff</w:t>
                  </w:r>
                  <w:r>
                    <w:t xml:space="preserve"> </w:t>
                  </w:r>
                  <m:oMath>
                    <m:r>
                      <m:rPr>
                        <m:sty m:val="p"/>
                      </m:rPr>
                      <m:t>×</m:t>
                    </m:r>
                  </m:oMath>
                  <w:r>
                    <w:t xml:space="preserve"> </w:t>
                  </w:r>
                  <w:r>
                    <w:t xml:space="preserve">Effort)</w:t>
                  </w:r>
                </w:p>
              </w:tc>
              <w:tc>
                <w:tcPr/>
                <w:p>
                  <w:pPr>
                    <w:pStyle w:val="Compact"/>
                    <w:jc w:val="right"/>
                    <w:jc w:val="center"/>
                  </w:pPr>
                  <w:r>
                    <w:t xml:space="preserve">-17815.6</w:t>
                  </w:r>
                </w:p>
              </w:tc>
              <w:tc>
                <w:tcPr/>
                <w:p>
                  <w:pPr>
                    <w:pStyle w:val="Compact"/>
                    <w:jc w:val="right"/>
                    <w:jc w:val="center"/>
                  </w:pPr>
                  <w:r>
                    <w:t xml:space="preserve">155.4</w:t>
                  </w:r>
                </w:p>
              </w:tc>
              <w:tc>
                <w:tcPr/>
                <w:p>
                  <w:pPr>
                    <w:pStyle w:val="Compact"/>
                    <w:jc w:val="right"/>
                    <w:jc w:val="center"/>
                  </w:pPr>
                  <w:r>
                    <w:t xml:space="preserve">0.0</w:t>
                  </w:r>
                </w:p>
              </w:tc>
              <w:tc>
                <w:tcPr/>
                <w:p>
                  <w:pPr>
                    <w:pStyle w:val="Compact"/>
                    <w:jc w:val="right"/>
                    <w:jc w:val="center"/>
                  </w:pPr>
                  <w:r>
                    <w:t xml:space="preserve">58.4</w:t>
                  </w:r>
                </w:p>
              </w:tc>
              <w:tc>
                <w:tcPr/>
                <w:p>
                  <w:pPr>
                    <w:pStyle w:val="Compact"/>
                    <w:jc w:val="right"/>
                    <w:jc w:val="center"/>
                  </w:pPr>
                  <w:r>
                    <w:t xml:space="preserve">35631.1</w:t>
                  </w:r>
                </w:p>
              </w:tc>
              <w:tc>
                <w:tcPr/>
                <w:p>
                  <w:pPr>
                    <w:pStyle w:val="Compact"/>
                    <w:jc w:val="left"/>
                    <w:jc w:val="center"/>
                  </w:pPr>
                  <w:r>
                    <w:t xml:space="preserve">1.18</w:t>
                  </w:r>
                </w:p>
              </w:tc>
            </w:tr>
            <w:tr>
              <w:tc>
                <w:tcPr/>
                <w:p>
                  <w:pPr>
                    <w:pStyle w:val="Compact"/>
                    <w:jc w:val="left"/>
                    <w:jc w:val="center"/>
                  </w:pPr>
                  <w:r>
                    <w:t xml:space="preserve">Additive</w:t>
                  </w:r>
                </w:p>
              </w:tc>
              <w:tc>
                <w:tcPr/>
                <w:p>
                  <w:pPr>
                    <w:pStyle w:val="Compact"/>
                    <w:jc w:val="right"/>
                    <w:jc w:val="center"/>
                  </w:pPr>
                  <w:r>
                    <w:t xml:space="preserve">-19331.4</w:t>
                  </w:r>
                </w:p>
              </w:tc>
              <w:tc>
                <w:tcPr/>
                <w:p>
                  <w:pPr>
                    <w:pStyle w:val="Compact"/>
                    <w:jc w:val="right"/>
                    <w:jc w:val="center"/>
                  </w:pPr>
                  <w:r>
                    <w:t xml:space="preserve">146.6</w:t>
                  </w:r>
                </w:p>
              </w:tc>
              <w:tc>
                <w:tcPr/>
                <w:p>
                  <w:pPr>
                    <w:pStyle w:val="Compact"/>
                    <w:jc w:val="right"/>
                    <w:jc w:val="center"/>
                  </w:pPr>
                  <w:r>
                    <w:t xml:space="preserve">-1515.8</w:t>
                  </w:r>
                </w:p>
              </w:tc>
              <w:tc>
                <w:tcPr/>
                <w:p>
                  <w:pPr>
                    <w:pStyle w:val="Compact"/>
                    <w:jc w:val="right"/>
                    <w:jc w:val="center"/>
                  </w:pPr>
                  <w:r>
                    <w:t xml:space="preserve">0.0</w:t>
                  </w:r>
                </w:p>
              </w:tc>
              <w:tc>
                <w:tcPr/>
                <w:p>
                  <w:pPr>
                    <w:pStyle w:val="Compact"/>
                    <w:jc w:val="right"/>
                    <w:jc w:val="center"/>
                  </w:pPr>
                  <w:r>
                    <w:t xml:space="preserve">38662.7</w:t>
                  </w:r>
                </w:p>
              </w:tc>
              <w:tc>
                <w:tcPr/>
                <w:p>
                  <w:pPr>
                    <w:pStyle w:val="Compact"/>
                    <w:jc w:val="left"/>
                    <w:jc w:val="center"/>
                  </w:pPr>
                  <w:r>
                    <w:t xml:space="preserve">0.47</w:t>
                  </w:r>
                </w:p>
              </w:tc>
            </w:tr>
            <w:tr>
              <w:tc>
                <w:tcPr/>
                <w:p>
                  <w:pPr>
                    <w:pStyle w:val="Compact"/>
                    <w:jc w:val="left"/>
                    <w:jc w:val="center"/>
                  </w:pPr>
                  <w:r>
                    <w:t xml:space="preserve">Difficulty-only</w:t>
                  </w:r>
                </w:p>
              </w:tc>
              <w:tc>
                <w:tcPr/>
                <w:p>
                  <w:pPr>
                    <w:pStyle w:val="Compact"/>
                    <w:jc w:val="right"/>
                    <w:jc w:val="center"/>
                  </w:pPr>
                  <w:r>
                    <w:t xml:space="preserve">-20460.2</w:t>
                  </w:r>
                </w:p>
              </w:tc>
              <w:tc>
                <w:tcPr/>
                <w:p>
                  <w:pPr>
                    <w:pStyle w:val="Compact"/>
                    <w:jc w:val="right"/>
                    <w:jc w:val="center"/>
                  </w:pPr>
                  <w:r>
                    <w:t xml:space="preserve">146.1</w:t>
                  </w:r>
                </w:p>
              </w:tc>
              <w:tc>
                <w:tcPr/>
                <w:p>
                  <w:pPr>
                    <w:pStyle w:val="Compact"/>
                    <w:jc w:val="right"/>
                    <w:jc w:val="center"/>
                  </w:pPr>
                  <w:r>
                    <w:t xml:space="preserve">-2644.6</w:t>
                  </w:r>
                </w:p>
              </w:tc>
              <w:tc>
                <w:tcPr/>
                <w:p>
                  <w:pPr>
                    <w:pStyle w:val="Compact"/>
                    <w:jc w:val="right"/>
                    <w:jc w:val="center"/>
                  </w:pPr>
                  <w:r>
                    <w:t xml:space="preserve">207.0</w:t>
                  </w:r>
                </w:p>
              </w:tc>
              <w:tc>
                <w:tcPr/>
                <w:p>
                  <w:pPr>
                    <w:pStyle w:val="Compact"/>
                    <w:jc w:val="right"/>
                    <w:jc w:val="center"/>
                  </w:pPr>
                  <w:r>
                    <w:t xml:space="preserve">40920.4</w:t>
                  </w:r>
                </w:p>
              </w:tc>
              <w:tc>
                <w:tcPr/>
                <w:p>
                  <w:pPr>
                    <w:pStyle w:val="Compact"/>
                    <w:jc w:val="left"/>
                    <w:jc w:val="center"/>
                  </w:pPr>
                  <w:r>
                    <w:t xml:space="preserve">0.65</w:t>
                  </w:r>
                </w:p>
              </w:tc>
            </w:tr>
            <w:tr>
              <w:tc>
                <w:tcPr/>
                <w:p>
                  <w:pPr>
                    <w:pStyle w:val="Compact"/>
                    <w:jc w:val="left"/>
                    <w:jc w:val="center"/>
                  </w:pPr>
                  <w:r>
                    <w:t xml:space="preserve">Baseline</w:t>
                  </w:r>
                </w:p>
              </w:tc>
              <w:tc>
                <w:tcPr/>
                <w:p>
                  <w:pPr>
                    <w:pStyle w:val="Compact"/>
                    <w:jc w:val="right"/>
                    <w:jc w:val="center"/>
                  </w:pPr>
                  <w:r>
                    <w:t xml:space="preserve">-23983.1</w:t>
                  </w:r>
                </w:p>
              </w:tc>
              <w:tc>
                <w:tcPr/>
                <w:p>
                  <w:pPr>
                    <w:pStyle w:val="Compact"/>
                    <w:jc w:val="right"/>
                    <w:jc w:val="center"/>
                  </w:pPr>
                  <w:r>
                    <w:t xml:space="preserve">107.6</w:t>
                  </w:r>
                </w:p>
              </w:tc>
              <w:tc>
                <w:tcPr/>
                <w:p>
                  <w:pPr>
                    <w:pStyle w:val="Compact"/>
                    <w:jc w:val="right"/>
                    <w:jc w:val="center"/>
                  </w:pPr>
                  <w:r>
                    <w:t xml:space="preserve">-6167.6</w:t>
                  </w:r>
                </w:p>
              </w:tc>
              <w:tc>
                <w:tcPr/>
                <w:p>
                  <w:pPr>
                    <w:pStyle w:val="Compact"/>
                    <w:jc w:val="right"/>
                    <w:jc w:val="center"/>
                  </w:pPr>
                  <w:r>
                    <w:t xml:space="preserve">181.8</w:t>
                  </w:r>
                </w:p>
              </w:tc>
              <w:tc>
                <w:tcPr/>
                <w:p>
                  <w:pPr>
                    <w:pStyle w:val="Compact"/>
                    <w:jc w:val="right"/>
                    <w:jc w:val="center"/>
                  </w:pPr>
                  <w:r>
                    <w:t xml:space="preserve">47966.3</w:t>
                  </w:r>
                </w:p>
              </w:tc>
              <w:tc>
                <w:tcPr/>
                <w:p>
                  <w:pPr>
                    <w:pStyle w:val="Compact"/>
                    <w:jc w:val="left"/>
                    <w:jc w:val="center"/>
                  </w:pPr>
                  <w:r>
                    <w:t xml:space="preserve">—</w:t>
                  </w:r>
                </w:p>
              </w:tc>
            </w:tr>
          </w:tbl>
          <w:bookmarkEnd w:id="78"/>
          <w:p/>
        </w:tc>
      </w:tr>
    </w:tbl>
    <w:p>
      <w:pPr>
        <w:pStyle w:val="BodyText"/>
      </w:pPr>
      <w:r>
        <w:rPr>
          <w:i/>
          <w:iCs/>
        </w:rPr>
        <w:t xml:space="preserve">Note.</w:t>
      </w:r>
      <w:r>
        <w:t xml:space="preserve"> </w:t>
      </w:r>
      <w:r>
        <w:t xml:space="preserve">ELPD = expected log predictive density; LOOIC =</w:t>
      </w:r>
      <w:r>
        <w:t xml:space="preserve"> </w:t>
      </w:r>
      <m:oMath>
        <m:r>
          <m:rPr>
            <m:sty m:val="p"/>
          </m:rPr>
          <m:t>−</m:t>
        </m:r>
        <m:r>
          <m:t>2</m:t>
        </m:r>
        <m:r>
          <m:rPr>
            <m:sty m:val="p"/>
          </m:rPr>
          <m:t>×</m:t>
        </m:r>
      </m:oMath>
      <w:r>
        <w:t xml:space="preserve"> </w:t>
      </w:r>
      <w:r>
        <w:t xml:space="preserve">ELPD; SE(</w:t>
      </w:r>
      <m:oMath>
        <m:r>
          <m:t>Δ</m:t>
        </m:r>
      </m:oMath>
      <w:r>
        <w:t xml:space="preserve">) = SE of ELPD difference vs. the reference model in that row. Baseline vs additive:</w:t>
      </w:r>
      <w:r>
        <w:t xml:space="preserve"> </w:t>
      </w:r>
      <m:oMath>
        <m:r>
          <m:t>Δ</m:t>
        </m:r>
      </m:oMath>
      <w:r>
        <w:t xml:space="preserve">ELPD = +4,652 (~26 SEs), favoring additive. Difficulty-only vs additive:</w:t>
      </w:r>
      <w:r>
        <w:t xml:space="preserve"> </w:t>
      </w:r>
      <m:oMath>
        <m:r>
          <m:t>Δ</m:t>
        </m:r>
      </m:oMath>
      <w:r>
        <w:t xml:space="preserve">ELPD = +1,129 (~5 SEs), favoring the effort-inclusive additive model. The interaction attains the highest nominal ELPD but PSIS-LOO is unreliable (max Pareto-</w:t>
      </w:r>
      <m:oMath>
        <m:r>
          <m:t>k</m:t>
        </m:r>
      </m:oMath>
      <w:r>
        <w:t xml:space="preserve"> </w:t>
      </w:r>
      <w:r>
        <w:t xml:space="preserve">= 1.18); additive LOO is reliable (max Pareto-</w:t>
      </w:r>
      <m:oMath>
        <m:r>
          <m:t>k</m:t>
        </m:r>
      </m:oMath>
      <w:r>
        <w:t xml:space="preserve"> </w:t>
      </w:r>
      <w:r>
        <w:t xml:space="preserve">= 0.47). Canonical primary additive LOOIC = 38,662.7 (probe-onset-locked, 0.20 s). All primary analyses use the additive specification.</w:t>
      </w:r>
    </w:p>
    <w:tbl>
      <w:tblPr>
        <w:tblStyle w:val="Table"/>
        <w:tblW w:type="pct" w:w="5000"/>
        <w:tblLayout w:type="fixed"/>
        <w:tblLook w:firstRow="0" w:lastRow="0" w:firstColumn="0" w:lastColumn="0" w:noHBand="0" w:noVBand="0" w:val="0000"/>
      </w:tblPr>
      <w:tblGrid>
        <w:gridCol w:w="7920"/>
      </w:tblGrid>
      <w:tr>
        <w:tc>
          <w:tcPr/>
          <w:bookmarkStart w:id="79" w:name="tbl-convergence-detailed"/>
          <w:p>
            <w:pPr>
              <w:jc w:val="center"/>
            </w:pPr>
            <w:pPr>
              <w:jc w:val="start"/>
              <w:spacing w:before="200"/>
              <w:pStyle w:val="ImageCaption"/>
            </w:pPr>
            <w:r>
              <w:t xml:space="preserve">Table 4: Detailed convergence diagnostics for all model variants. All models met pre-specified convergence criteria (</w:t>
            </w:r>
            <m:oMath>
              <m:acc>
                <m:accPr>
                  <m:chr m:val="̂"/>
                </m:accPr>
                <m:e>
                  <m:r>
                    <m:t>R</m:t>
                  </m:r>
                </m:e>
              </m:acc>
            </m:oMath>
            <w:r>
              <w:t xml:space="preserve"> </w:t>
            </w:r>
            <w:r>
              <w:t xml:space="preserve">&lt; 1.01, ESS &gt; 400, zero divergences).</w:t>
            </w:r>
          </w:p>
          <w:tbl>
            <w:tblPr>
              <w:tblStyle w:val="Table"/>
              <w:tblW w:type="pct" w:w="5000"/>
              <w:tblLayout w:type="fixed"/>
              <w:tblLook w:firstRow="1" w:lastRow="0" w:firstColumn="0" w:lastColumn="0" w:noHBand="0" w:noVBand="0" w:val="0020"/>
            </w:tblPr>
            <w:tblGrid>
              <w:gridCol w:w="2099"/>
              <w:gridCol w:w="858"/>
              <w:gridCol w:w="1049"/>
              <w:gridCol w:w="858"/>
              <w:gridCol w:w="858"/>
              <w:gridCol w:w="954"/>
              <w:gridCol w:w="1240"/>
            </w:tblGrid>
            <w:tr>
              <w:trPr>
                <w:tblHeader w:val="on"/>
              </w:trPr>
              <w:tc>
                <w:tcPr/>
                <w:p>
                  <w:pPr>
                    <w:pStyle w:val="Compact"/>
                    <w:jc w:val="left"/>
                    <w:jc w:val="center"/>
                  </w:pPr>
                  <w:r>
                    <w:t xml:space="preserve">RT Definition</w:t>
                  </w:r>
                </w:p>
              </w:tc>
              <w:tc>
                <w:tcPr/>
                <w:p>
                  <w:pPr>
                    <w:pStyle w:val="Compact"/>
                    <w:jc w:val="left"/>
                    <w:jc w:val="center"/>
                  </w:pPr>
                  <w:r>
                    <w:t xml:space="preserve">Model</w:t>
                  </w:r>
                </w:p>
              </w:tc>
              <w:tc>
                <w:tcPr/>
                <w:p>
                  <w:pPr>
                    <w:pStyle w:val="Compact"/>
                    <w:jc w:val="right"/>
                    <w:jc w:val="center"/>
                  </w:pPr>
                  <w:r>
                    <w:t xml:space="preserve">N Subjects</w:t>
                  </w:r>
                </w:p>
              </w:tc>
              <w:tc>
                <w:tcPr/>
                <w:p>
                  <w:pPr>
                    <w:pStyle w:val="Compact"/>
                    <w:jc w:val="right"/>
                    <w:jc w:val="center"/>
                  </w:pPr>
                  <w:r>
                    <w:t xml:space="preserve">N Trials</w:t>
                  </w:r>
                </w:p>
              </w:tc>
              <w:tc>
                <w:tcPr/>
                <w:p>
                  <w:pPr>
                    <w:pStyle w:val="Compact"/>
                    <w:jc w:val="right"/>
                    <w:jc w:val="center"/>
                  </w:pPr>
                  <w:r>
                    <w:t xml:space="preserve">Max Rhat</w:t>
                  </w:r>
                </w:p>
              </w:tc>
              <w:tc>
                <w:tcPr/>
                <w:p>
                  <w:pPr>
                    <w:pStyle w:val="Compact"/>
                    <w:jc w:val="right"/>
                    <w:jc w:val="center"/>
                  </w:pPr>
                  <w:r>
                    <w:t xml:space="preserve">Divergent</w:t>
                  </w:r>
                </w:p>
              </w:tc>
              <w:tc>
                <w:tcPr/>
                <w:p>
                  <w:pPr>
                    <w:pStyle w:val="Compact"/>
                    <w:jc w:val="right"/>
                    <w:jc w:val="center"/>
                  </w:pPr>
                  <w:r>
                    <w:t xml:space="preserve">Min Bulk ESS</w:t>
                  </w:r>
                </w:p>
              </w:tc>
            </w:tr>
            <w:tr>
              <w:tc>
                <w:tcPr/>
                <w:p>
                  <w:pPr>
                    <w:pStyle w:val="Compact"/>
                    <w:jc w:val="left"/>
                    <w:jc w:val="center"/>
                  </w:pPr>
                  <w:r>
                    <w:t xml:space="preserve">Cue-locked RT</w:t>
                  </w:r>
                </w:p>
              </w:tc>
              <w:tc>
                <w:tcPr/>
                <w:p>
                  <w:pPr>
                    <w:pStyle w:val="Compact"/>
                    <w:jc w:val="left"/>
                    <w:jc w:val="center"/>
                  </w:pPr>
                  <w:r>
                    <w:t xml:space="preserve">Baseline</w:t>
                  </w:r>
                </w:p>
              </w:tc>
              <w:tc>
                <w:tcPr/>
                <w:p>
                  <w:pPr>
                    <w:pStyle w:val="Compact"/>
                    <w:jc w:val="right"/>
                    <w:jc w:val="center"/>
                  </w:pPr>
                  <w:r>
                    <w:t xml:space="preserve">67</w:t>
                  </w:r>
                </w:p>
              </w:tc>
              <w:tc>
                <w:tcPr/>
                <w:p>
                  <w:pPr>
                    <w:pStyle w:val="Compact"/>
                    <w:jc w:val="right"/>
                    <w:jc w:val="center"/>
                  </w:pPr>
                  <w:r>
                    <w:t xml:space="preserve">17857</w:t>
                  </w:r>
                </w:p>
              </w:tc>
              <w:tc>
                <w:tcPr/>
                <w:p>
                  <w:pPr>
                    <w:pStyle w:val="Compact"/>
                    <w:jc w:val="right"/>
                    <w:jc w:val="center"/>
                  </w:pPr>
                  <w:r>
                    <w:t xml:space="preserve">1.008</w:t>
                  </w:r>
                </w:p>
              </w:tc>
              <w:tc>
                <w:tcPr/>
                <w:p>
                  <w:pPr>
                    <w:pStyle w:val="Compact"/>
                    <w:jc w:val="right"/>
                    <w:jc w:val="center"/>
                  </w:pPr>
                  <w:r>
                    <w:t xml:space="preserve">0</w:t>
                  </w:r>
                </w:p>
              </w:tc>
              <w:tc>
                <w:tcPr/>
                <w:p>
                  <w:pPr>
                    <w:pStyle w:val="Compact"/>
                    <w:jc w:val="right"/>
                    <w:jc w:val="center"/>
                  </w:pPr>
                  <w:r>
                    <w:t xml:space="preserve">580.6067</w:t>
                  </w:r>
                </w:p>
              </w:tc>
            </w:tr>
            <w:tr>
              <w:tc>
                <w:tcPr/>
                <w:p>
                  <w:pPr>
                    <w:pStyle w:val="Compact"/>
                    <w:jc w:val="left"/>
                    <w:jc w:val="center"/>
                  </w:pPr>
                  <w:r>
                    <w:t xml:space="preserve">Probe-onset-locked RT</w:t>
                  </w:r>
                </w:p>
              </w:tc>
              <w:tc>
                <w:tcPr/>
                <w:p>
                  <w:pPr>
                    <w:pStyle w:val="Compact"/>
                    <w:jc w:val="left"/>
                    <w:jc w:val="center"/>
                  </w:pPr>
                  <w:r>
                    <w:t xml:space="preserve">Baseline</w:t>
                  </w:r>
                </w:p>
              </w:tc>
              <w:tc>
                <w:tcPr/>
                <w:p>
                  <w:pPr>
                    <w:pStyle w:val="Compact"/>
                    <w:jc w:val="right"/>
                    <w:jc w:val="center"/>
                  </w:pPr>
                  <w:r>
                    <w:t xml:space="preserve">67</w:t>
                  </w:r>
                </w:p>
              </w:tc>
              <w:tc>
                <w:tcPr/>
                <w:p>
                  <w:pPr>
                    <w:pStyle w:val="Compact"/>
                    <w:jc w:val="right"/>
                    <w:jc w:val="center"/>
                  </w:pPr>
                  <w:r>
                    <w:t xml:space="preserve">17857</w:t>
                  </w:r>
                </w:p>
              </w:tc>
              <w:tc>
                <w:tcPr/>
                <w:p>
                  <w:pPr>
                    <w:pStyle w:val="Compact"/>
                    <w:jc w:val="right"/>
                    <w:jc w:val="center"/>
                  </w:pPr>
                  <w:r>
                    <w:t xml:space="preserve">1.009</w:t>
                  </w:r>
                </w:p>
              </w:tc>
              <w:tc>
                <w:tcPr/>
                <w:p>
                  <w:pPr>
                    <w:pStyle w:val="Compact"/>
                    <w:jc w:val="right"/>
                    <w:jc w:val="center"/>
                  </w:pPr>
                  <w:r>
                    <w:t xml:space="preserve">0</w:t>
                  </w:r>
                </w:p>
              </w:tc>
              <w:tc>
                <w:tcPr/>
                <w:p>
                  <w:pPr>
                    <w:pStyle w:val="Compact"/>
                    <w:jc w:val="right"/>
                    <w:jc w:val="center"/>
                  </w:pPr>
                  <w:r>
                    <w:t xml:space="preserve">540.4472</w:t>
                  </w:r>
                </w:p>
              </w:tc>
            </w:tr>
            <w:tr>
              <w:tc>
                <w:tcPr/>
                <w:p>
                  <w:pPr>
                    <w:pStyle w:val="Compact"/>
                    <w:jc w:val="left"/>
                    <w:jc w:val="center"/>
                  </w:pPr>
                  <w:r>
                    <w:t xml:space="preserve">Cue-locked RT</w:t>
                  </w:r>
                </w:p>
              </w:tc>
              <w:tc>
                <w:tcPr/>
                <w:p>
                  <w:pPr>
                    <w:pStyle w:val="Compact"/>
                    <w:jc w:val="left"/>
                    <w:jc w:val="center"/>
                  </w:pPr>
                  <w:r>
                    <w:t xml:space="preserve">Additive</w:t>
                  </w:r>
                </w:p>
              </w:tc>
              <w:tc>
                <w:tcPr/>
                <w:p>
                  <w:pPr>
                    <w:pStyle w:val="Compact"/>
                    <w:jc w:val="right"/>
                    <w:jc w:val="center"/>
                  </w:pPr>
                  <w:r>
                    <w:t xml:space="preserve">67</w:t>
                  </w:r>
                </w:p>
              </w:tc>
              <w:tc>
                <w:tcPr/>
                <w:p>
                  <w:pPr>
                    <w:pStyle w:val="Compact"/>
                    <w:jc w:val="right"/>
                    <w:jc w:val="center"/>
                  </w:pPr>
                  <w:r>
                    <w:t xml:space="preserve">17857</w:t>
                  </w:r>
                </w:p>
              </w:tc>
              <w:tc>
                <w:tcPr/>
                <w:p>
                  <w:pPr>
                    <w:pStyle w:val="Compact"/>
                    <w:jc w:val="right"/>
                    <w:jc w:val="center"/>
                  </w:pPr>
                  <w:r>
                    <w:t xml:space="preserve">1.004</w:t>
                  </w:r>
                </w:p>
              </w:tc>
              <w:tc>
                <w:tcPr/>
                <w:p>
                  <w:pPr>
                    <w:pStyle w:val="Compact"/>
                    <w:jc w:val="right"/>
                    <w:jc w:val="center"/>
                  </w:pPr>
                  <w:r>
                    <w:t xml:space="preserve">0</w:t>
                  </w:r>
                </w:p>
              </w:tc>
              <w:tc>
                <w:tcPr/>
                <w:p>
                  <w:pPr>
                    <w:pStyle w:val="Compact"/>
                    <w:jc w:val="right"/>
                    <w:jc w:val="center"/>
                  </w:pPr>
                  <w:r>
                    <w:t xml:space="preserve">636.2445</w:t>
                  </w:r>
                </w:p>
              </w:tc>
            </w:tr>
            <w:tr>
              <w:tc>
                <w:tcPr/>
                <w:p>
                  <w:pPr>
                    <w:pStyle w:val="Compact"/>
                    <w:jc w:val="left"/>
                    <w:jc w:val="center"/>
                  </w:pPr>
                  <w:r>
                    <w:t xml:space="preserve">Probe-onset-locked RT</w:t>
                  </w:r>
                </w:p>
              </w:tc>
              <w:tc>
                <w:tcPr/>
                <w:p>
                  <w:pPr>
                    <w:pStyle w:val="Compact"/>
                    <w:jc w:val="left"/>
                    <w:jc w:val="center"/>
                  </w:pPr>
                  <w:r>
                    <w:t xml:space="preserve">Additive</w:t>
                  </w:r>
                </w:p>
              </w:tc>
              <w:tc>
                <w:tcPr/>
                <w:p>
                  <w:pPr>
                    <w:pStyle w:val="Compact"/>
                    <w:jc w:val="right"/>
                    <w:jc w:val="center"/>
                  </w:pPr>
                  <w:r>
                    <w:t xml:space="preserve">67</w:t>
                  </w:r>
                </w:p>
              </w:tc>
              <w:tc>
                <w:tcPr/>
                <w:p>
                  <w:pPr>
                    <w:pStyle w:val="Compact"/>
                    <w:jc w:val="right"/>
                    <w:jc w:val="center"/>
                  </w:pPr>
                  <w:r>
                    <w:t xml:space="preserve">17857</w:t>
                  </w:r>
                </w:p>
              </w:tc>
              <w:tc>
                <w:tcPr/>
                <w:p>
                  <w:pPr>
                    <w:pStyle w:val="Compact"/>
                    <w:jc w:val="right"/>
                    <w:jc w:val="center"/>
                  </w:pPr>
                  <w:r>
                    <w:t xml:space="preserve">1.006</w:t>
                  </w:r>
                </w:p>
              </w:tc>
              <w:tc>
                <w:tcPr/>
                <w:p>
                  <w:pPr>
                    <w:pStyle w:val="Compact"/>
                    <w:jc w:val="right"/>
                    <w:jc w:val="center"/>
                  </w:pPr>
                  <w:r>
                    <w:t xml:space="preserve">0</w:t>
                  </w:r>
                </w:p>
              </w:tc>
              <w:tc>
                <w:tcPr/>
                <w:p>
                  <w:pPr>
                    <w:pStyle w:val="Compact"/>
                    <w:jc w:val="right"/>
                    <w:jc w:val="center"/>
                  </w:pPr>
                  <w:r>
                    <w:t xml:space="preserve">745.0662</w:t>
                  </w:r>
                </w:p>
              </w:tc>
            </w:tr>
          </w:tbl>
          <w:bookmarkEnd w:id="79"/>
          <w:p/>
        </w:tc>
      </w:tr>
    </w:tbl>
    <w:tbl>
      <w:tblPr>
        <w:tblStyle w:val="Table"/>
        <w:tblW w:type="pct" w:w="5000"/>
        <w:tblLayout w:type="fixed"/>
        <w:tblLook w:firstRow="0" w:lastRow="0" w:firstColumn="0" w:lastColumn="0" w:noHBand="0" w:noVBand="0" w:val="0000"/>
      </w:tblPr>
      <w:tblGrid>
        <w:gridCol w:w="7920"/>
      </w:tblGrid>
      <w:tr>
        <w:tc>
          <w:tcPr/>
          <w:bookmarkStart w:id="83" w:name="fig-ndt-prior-posterior"/>
          <w:p>
            <w:pPr>
              <w:pStyle w:val="Compact"/>
              <w:jc w:val="center"/>
            </w:pPr>
            <w:r>
              <w:drawing>
                <wp:inline>
                  <wp:extent cx="4267200" cy="3413760"/>
                  <wp:effectExtent b="0" l="0" r="0" t="0"/>
                  <wp:docPr descr="" title="" id="81" name="Picture"/>
                  <a:graphic>
                    <a:graphicData uri="http://schemas.openxmlformats.org/drawingml/2006/picture">
                      <pic:pic>
                        <pic:nvPicPr>
                          <pic:cNvPr descr="chap3_ddm_results_files/figure-docx/fig-ndt-prior-posterior-1.png" id="82" name="Picture"/>
                          <pic:cNvPicPr>
                            <a:picLocks noChangeArrowheads="1" noChangeAspect="1"/>
                          </pic:cNvPicPr>
                        </pic:nvPicPr>
                        <pic:blipFill>
                          <a:blip r:embed="rId80"/>
                          <a:stretch>
                            <a:fillRect/>
                          </a:stretch>
                        </pic:blipFill>
                        <pic:spPr bwMode="auto">
                          <a:xfrm>
                            <a:off x="0" y="0"/>
                            <a:ext cx="4267200" cy="34137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w:t>
            </w:r>
            <w:r>
              <w:t xml:space="preserve"> </w:t>
            </w:r>
            <m:oMath>
              <m:sSub>
                <m:e>
                  <m:r>
                    <m:t>t</m:t>
                  </m:r>
                </m:e>
                <m:sub>
                  <m:r>
                    <m:t>0</m:t>
                  </m:r>
                </m:sub>
              </m:sSub>
            </m:oMath>
            <w:r>
              <w:t xml:space="preserve"> </w:t>
            </w:r>
            <w:r>
              <w:t xml:space="preserve">Prior vs Posterior. Prior (gray line) and posterior (blue shaded density) distributions for the</w:t>
            </w:r>
            <w:r>
              <w:t xml:space="preserve"> </w:t>
            </w:r>
            <m:oMath>
              <m:sSub>
                <m:e>
                  <m:r>
                    <m:t>t</m:t>
                  </m:r>
                </m:e>
                <m:sub>
                  <m:r>
                    <m:t>0</m:t>
                  </m:r>
                </m:sub>
              </m:sSub>
            </m:oMath>
            <w:r>
              <w:t xml:space="preserve"> </w:t>
            </w:r>
            <w:r>
              <w:t xml:space="preserve">intercept. The prior is Normal(log(0.35), 0.15) on the log scale (approximately 0.35 s on natural scale). This figure documents prior influence for the response-signal design, where</w:t>
            </w:r>
            <w:r>
              <w:t xml:space="preserve"> </w:t>
            </w:r>
            <m:oMath>
              <m:sSub>
                <m:e>
                  <m:r>
                    <m:t>t</m:t>
                  </m:r>
                </m:e>
                <m:sub>
                  <m:r>
                    <m:t>0</m:t>
                  </m:r>
                </m:sub>
              </m:sSub>
            </m:oMath>
            <w:r>
              <w:t xml:space="preserve"> </w:t>
            </w:r>
            <w:r>
              <w:t xml:space="preserve">primarily reflects motor execution rather than encoding time.</w:t>
            </w:r>
          </w:p>
          <w:bookmarkEnd w:id="83"/>
        </w:tc>
      </w:tr>
    </w:tbl>
    <w:tbl>
      <w:tblPr>
        <w:tblStyle w:val="Table"/>
        <w:tblW w:type="pct" w:w="5000"/>
        <w:tblLayout w:type="fixed"/>
        <w:tblLook w:firstRow="0" w:lastRow="0" w:firstColumn="0" w:lastColumn="0" w:noHBand="0" w:noVBand="0" w:val="0000"/>
      </w:tblPr>
      <w:tblGrid>
        <w:gridCol w:w="7920"/>
      </w:tblGrid>
      <w:tr>
        <w:tc>
          <w:tcPr/>
          <w:bookmarkStart w:id="87" w:name="fig-loo-comparison"/>
          <w:p>
            <w:pPr>
              <w:pStyle w:val="Compact"/>
              <w:jc w:val="center"/>
            </w:pPr>
            <w:r>
              <w:drawing>
                <wp:inline>
                  <wp:extent cx="3733800" cy="2987040"/>
                  <wp:effectExtent b="0" l="0" r="0" t="0"/>
                  <wp:docPr descr="" title="" id="85" name="Picture"/>
                  <a:graphic>
                    <a:graphicData uri="http://schemas.openxmlformats.org/drawingml/2006/picture">
                      <pic:pic>
                        <pic:nvPicPr>
                          <pic:cNvPr descr="chap3_ddm_results_files/figure-docx/fig-loo-comparison-1.png" id="86" name="Picture"/>
                          <pic:cNvPicPr>
                            <a:picLocks noChangeArrowheads="1" noChangeAspect="1"/>
                          </pic:cNvPicPr>
                        </pic:nvPicPr>
                        <pic:blipFill>
                          <a:blip r:embed="rId84"/>
                          <a:stretch>
                            <a:fillRect/>
                          </a:stretch>
                        </pic:blipFill>
                        <pic:spPr bwMode="auto">
                          <a:xfrm>
                            <a:off x="0" y="0"/>
                            <a:ext cx="3733800" cy="29870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LOO model comparison for baseline vs. additive models across RT definitions. Note: These LOOIC values reflect sensitivity models spanning multiple RT definitions and thresholds and are not directly comparable to the primary probe-onset-locked additive model (LOOIC = 38,662.7; Appendix A1), which uses a single pre-specified RT definition.</w:t>
            </w:r>
          </w:p>
          <w:bookmarkEnd w:id="87"/>
        </w:tc>
      </w:tr>
    </w:tbl>
    <w:bookmarkEnd w:id="88"/>
    <w:bookmarkStart w:id="108" w:name="X2033d99f3f809a0464b1e18d7ac9a64b69fa2bd"/>
    <w:p>
      <w:pPr>
        <w:pStyle w:val="Heading2"/>
      </w:pPr>
      <w:r>
        <w:t xml:space="preserve">A2. Standard-Only Calibration and Supplementary Parameter Tables</w:t>
      </w:r>
    </w:p>
    <w:p>
      <w:pPr>
        <w:pStyle w:val="FirstParagraph"/>
      </w:pPr>
      <w:r>
        <w:t xml:space="preserve">Individual-level drift plots are in the main text (</w:t>
      </w:r>
      <w:hyperlink w:anchor="fig-individual-diffs">
        <w:r>
          <w:rPr>
            <w:rStyle w:val="Hyperlink"/>
          </w:rPr>
          <w:t xml:space="preserve">Figure 4</w:t>
        </w:r>
      </w:hyperlink>
      <w:r>
        <w:t xml:space="preserve">). This section reports participant and trial retention (</w:t>
      </w:r>
      <w:r>
        <w:rPr>
          <w:b/>
          <w:bCs/>
        </w:rPr>
        <w:t xml:space="preserve">A2.1</w:t>
      </w:r>
      <w:r>
        <w:t xml:space="preserve">), trial counts by condition (</w:t>
      </w:r>
      <w:r>
        <w:rPr>
          <w:b/>
          <w:bCs/>
        </w:rPr>
        <w:t xml:space="preserve">A2.2</w:t>
      </w:r>
      <w:r>
        <w:t xml:space="preserve">), primary-model posterior estimates (</w:t>
      </w:r>
      <w:r>
        <w:rPr>
          <w:b/>
          <w:bCs/>
        </w:rPr>
        <w:t xml:space="preserve">A2.3</w:t>
      </w:r>
      <w:r>
        <w:t xml:space="preserve">), standard-only and primary-model starting-point bias (</w:t>
      </w:r>
      <w:r>
        <w:rPr>
          <w:b/>
          <w:bCs/>
        </w:rPr>
        <w:t xml:space="preserve">A2.4</w:t>
      </w:r>
      <w:r>
        <w:t xml:space="preserve">), baseline pupil diameter (</w:t>
      </w:r>
      <w:r>
        <w:rPr>
          <w:b/>
          <w:bCs/>
        </w:rPr>
        <w:t xml:space="preserve">A2.5</w:t>
      </w:r>
      <w:r>
        <w:t xml:space="preserve">), and the standard-only drift intercept (</w:t>
      </w:r>
      <w:r>
        <w:rPr>
          <w:b/>
          <w:bCs/>
        </w:rPr>
        <w:t xml:space="preserve">A2.6</w:t>
      </w:r>
      <w:r>
        <w:t xml:space="preserve">).</w:t>
      </w:r>
    </w:p>
    <w:bookmarkStart w:id="93" w:name="sec-participant-flow"/>
    <w:p>
      <w:pPr>
        <w:pStyle w:val="Heading3"/>
      </w:pPr>
      <w:r>
        <w:t xml:space="preserve">A2.1 Participant and analytic sample flow</w:t>
      </w:r>
    </w:p>
    <w:tbl>
      <w:tblPr>
        <w:tblStyle w:val="Table"/>
        <w:tblW w:type="pct" w:w="5000"/>
        <w:tblLayout w:type="fixed"/>
        <w:tblLook w:firstRow="0" w:lastRow="0" w:firstColumn="0" w:lastColumn="0" w:noHBand="0" w:noVBand="0" w:val="0000"/>
      </w:tblPr>
      <w:tblGrid>
        <w:gridCol w:w="7920"/>
      </w:tblGrid>
      <w:tr>
        <w:tc>
          <w:tcPr/>
          <w:bookmarkStart w:id="92" w:name="fig-participant-flow"/>
          <w:p>
            <w:pPr>
              <w:pStyle w:val="Compact"/>
              <w:jc w:val="center"/>
            </w:pPr>
            <w:r>
              <w:drawing>
                <wp:inline>
                  <wp:extent cx="5067300" cy="6855758"/>
                  <wp:effectExtent b="0" l="0" r="0" t="0"/>
                  <wp:docPr descr="" title="" id="90" name="Picture"/>
                  <a:graphic>
                    <a:graphicData uri="http://schemas.openxmlformats.org/drawingml/2006/picture">
                      <pic:pic>
                        <pic:nvPicPr>
                          <pic:cNvPr descr="../output/figures/s1_participant_flow.png" id="91" name="Picture"/>
                          <pic:cNvPicPr>
                            <a:picLocks noChangeArrowheads="1" noChangeAspect="1"/>
                          </pic:cNvPicPr>
                        </pic:nvPicPr>
                        <pic:blipFill>
                          <a:blip r:embed="rId89"/>
                          <a:stretch>
                            <a:fillRect/>
                          </a:stretch>
                        </pic:blipFill>
                        <pic:spPr bwMode="auto">
                          <a:xfrm>
                            <a:off x="0" y="0"/>
                            <a:ext cx="5067300" cy="68557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Participant and analytic-sample flow. Of 69 enrolled individuals, 2 were excluded post-enrollment (MCI; essential tremor), yielding an analytic cohort of 67 older adults. After artifact screening, 18,097 behavioral trials were available; 240 trials with cue-locked RT &lt; 0.20 s were excluded, leaving 17,857 trials for the primary behavioral DDM (67 participants). Task-specific behavioral samples were ADT</w:t>
            </w:r>
            <w:r>
              <w:t xml:space="preserve"> </w:t>
            </w:r>
            <w:r>
              <w:rPr>
                <w:i/>
                <w:iCs/>
              </w:rPr>
              <w:t xml:space="preserve">N</w:t>
            </w:r>
            <w:r>
              <w:t xml:space="preserve"> </w:t>
            </w:r>
            <w:r>
              <w:t xml:space="preserve">= 64 (8,774 trials) and VDT</w:t>
            </w:r>
            <w:r>
              <w:t xml:space="preserve"> </w:t>
            </w:r>
            <w:r>
              <w:rPr>
                <w:i/>
                <w:iCs/>
              </w:rPr>
              <w:t xml:space="preserve">N</w:t>
            </w:r>
            <w:r>
              <w:t xml:space="preserve"> </w:t>
            </w:r>
            <w:r>
              <w:t xml:space="preserve">= 65 (9,083 trials). Pupil-linked DDM models required valid Decision-Response TEPR on the same behavioral subset (</w:t>
            </w:r>
            <w:r>
              <w:rPr>
                <w:i/>
                <w:iCs/>
              </w:rPr>
              <w:t xml:space="preserve">N</w:t>
            </w:r>
            <w:r>
              <w:t xml:space="preserve"> </w:t>
            </w:r>
            <w:r>
              <w:t xml:space="preserve">= 59; 12,287 trials pooled; ADT</w:t>
            </w:r>
            <w:r>
              <w:t xml:space="preserve"> </w:t>
            </w:r>
            <w:r>
              <w:rPr>
                <w:i/>
                <w:iCs/>
              </w:rPr>
              <w:t xml:space="preserve">N</w:t>
            </w:r>
            <w:r>
              <w:t xml:space="preserve"> </w:t>
            </w:r>
            <w:r>
              <w:t xml:space="preserve">= 47, VDT</w:t>
            </w:r>
            <w:r>
              <w:t xml:space="preserve"> </w:t>
            </w:r>
            <w:r>
              <w:rPr>
                <w:i/>
                <w:iCs/>
              </w:rPr>
              <w:t xml:space="preserve">N</w:t>
            </w:r>
            <w:r>
              <w:t xml:space="preserve"> </w:t>
            </w:r>
            <w:r>
              <w:t xml:space="preserve">= 54).</w:t>
            </w:r>
          </w:p>
          <w:bookmarkEnd w:id="92"/>
        </w:tc>
      </w:tr>
    </w:tbl>
    <w:bookmarkEnd w:id="93"/>
    <w:bookmarkStart w:id="95" w:name="a2.2-trial-counts-by-condition"/>
    <w:p>
      <w:pPr>
        <w:pStyle w:val="Heading3"/>
      </w:pPr>
      <w:r>
        <w:t xml:space="preserve">A2.2 Trial counts by condition</w:t>
      </w:r>
    </w:p>
    <w:tbl>
      <w:tblPr>
        <w:tblStyle w:val="Table"/>
        <w:tblW w:type="pct" w:w="5000"/>
        <w:tblLayout w:type="fixed"/>
        <w:tblLook w:firstRow="0" w:lastRow="0" w:firstColumn="0" w:lastColumn="0" w:noHBand="0" w:noVBand="0" w:val="0000"/>
      </w:tblPr>
      <w:tblGrid>
        <w:gridCol w:w="7920"/>
      </w:tblGrid>
      <w:tr>
        <w:tc>
          <w:tcPr/>
          <w:bookmarkStart w:id="94" w:name="tbl-trial-counts"/>
          <w:p>
            <w:pPr>
              <w:jc w:val="center"/>
            </w:pPr>
            <w:pPr>
              <w:jc w:val="start"/>
              <w:spacing w:before="200"/>
              <w:pStyle w:val="ImageCaption"/>
            </w:pPr>
            <w:r>
              <w:t xml:space="preserve">Table 5: Trial counts by Task × Difficulty × Effort (primary DDM dataset: cue-locked RT</w:t>
            </w:r>
            <w:r>
              <w:t xml:space="preserve"> </w:t>
            </w:r>
            <m:oMath>
              <m:r>
                <m:rPr>
                  <m:sty m:val="p"/>
                </m:rPr>
                <m:t>≥</m:t>
              </m:r>
            </m:oMath>
            <w:r>
              <w:t xml:space="preserve"> </w:t>
            </w:r>
            <w:r>
              <w:t xml:space="preserve">0.20 s;</w:t>
            </w:r>
            <w:r>
              <w:t xml:space="preserve"> </w:t>
            </w:r>
            <m:oMath>
              <m:r>
                <m:t>N</m:t>
              </m:r>
              <m:r>
                <m:rPr>
                  <m:sty m:val="p"/>
                </m:rPr>
                <m:t>=</m:t>
              </m:r>
              <m:r>
                <m:t>17</m:t>
              </m:r>
              <m:r>
                <m:rPr>
                  <m:sty m:val="p"/>
                </m:rPr>
                <m:t>,</m:t>
              </m:r>
              <m:r>
                <m:t>857</m:t>
              </m:r>
            </m:oMath>
            <w:r>
              <w:t xml:space="preserve"> </w:t>
            </w:r>
            <w:r>
              <w:t xml:space="preserve">trials).</w:t>
            </w:r>
          </w:p>
          <w:tbl>
            <w:tblPr>
              <w:tblStyle w:val="Table"/>
              <w:tblW w:type="pct" w:w="5000"/>
              <w:tblLayout w:type="fixed"/>
              <w:tblLook w:firstRow="1" w:lastRow="0" w:firstColumn="0" w:lastColumn="0" w:noHBand="0" w:noVBand="0" w:val="0020"/>
            </w:tblPr>
            <w:tblGrid>
              <w:gridCol w:w="1536"/>
              <w:gridCol w:w="1300"/>
              <w:gridCol w:w="1773"/>
              <w:gridCol w:w="1536"/>
              <w:gridCol w:w="1773"/>
            </w:tblGrid>
            <w:tr>
              <w:trPr>
                <w:tblHeader w:val="on"/>
              </w:trPr>
              <w:tc>
                <w:tcPr/>
                <w:p>
                  <w:pPr>
                    <w:pStyle w:val="Compact"/>
                    <w:jc w:val="left"/>
                    <w:jc w:val="center"/>
                  </w:pPr>
                  <w:r>
                    <w:t xml:space="preserve">Task_Group</w:t>
                  </w:r>
                </w:p>
              </w:tc>
              <w:tc>
                <w:tcPr/>
                <w:p>
                  <w:pPr>
                    <w:pStyle w:val="Compact"/>
                    <w:jc w:val="left"/>
                    <w:jc w:val="center"/>
                  </w:pPr>
                  <w:r>
                    <w:t xml:space="preserve">Difficulty</w:t>
                  </w:r>
                </w:p>
              </w:tc>
              <w:tc>
                <w:tcPr/>
                <w:p>
                  <w:pPr>
                    <w:pStyle w:val="Compact"/>
                    <w:jc w:val="left"/>
                    <w:jc w:val="center"/>
                  </w:pPr>
                  <w:r>
                    <w:t xml:space="preserve">Effort</w:t>
                  </w:r>
                </w:p>
              </w:tc>
              <w:tc>
                <w:tcPr/>
                <w:p>
                  <w:pPr>
                    <w:pStyle w:val="Compact"/>
                    <w:jc w:val="right"/>
                    <w:jc w:val="center"/>
                  </w:pPr>
                  <w:r>
                    <w:t xml:space="preserve">Total Trials</w:t>
                  </w:r>
                </w:p>
              </w:tc>
              <w:tc>
                <w:tcPr/>
                <w:p>
                  <w:pPr>
                    <w:pStyle w:val="Compact"/>
                    <w:jc w:val="right"/>
                    <w:jc w:val="center"/>
                  </w:pPr>
                  <w:r>
                    <w:t xml:space="preserve">Trials/Subject</w:t>
                  </w:r>
                </w:p>
              </w:tc>
            </w:tr>
            <w:tr>
              <w:tc>
                <w:tcPr/>
                <w:p>
                  <w:pPr>
                    <w:pStyle w:val="Compact"/>
                    <w:jc w:val="left"/>
                    <w:jc w:val="center"/>
                  </w:pPr>
                  <w:r>
                    <w:t xml:space="preserve">ADT (N = 64)</w:t>
                  </w:r>
                </w:p>
              </w:tc>
              <w:tc>
                <w:tcPr/>
                <w:p>
                  <w:pPr>
                    <w:pStyle w:val="Compact"/>
                    <w:jc w:val="left"/>
                    <w:jc w:val="center"/>
                  </w:pPr>
                  <w:r>
                    <w:t xml:space="preserve">Easy</w:t>
                  </w:r>
                </w:p>
              </w:tc>
              <w:tc>
                <w:tcPr/>
                <w:p>
                  <w:pPr>
                    <w:pStyle w:val="Compact"/>
                    <w:jc w:val="left"/>
                    <w:jc w:val="center"/>
                  </w:pPr>
                  <w:r>
                    <w:t xml:space="preserve">High (40% MVC)</w:t>
                  </w:r>
                </w:p>
              </w:tc>
              <w:tc>
                <w:tcPr/>
                <w:p>
                  <w:pPr>
                    <w:pStyle w:val="Compact"/>
                    <w:jc w:val="right"/>
                    <w:jc w:val="center"/>
                  </w:pPr>
                  <w:r>
                    <w:t xml:space="preserve">1777</w:t>
                  </w:r>
                </w:p>
              </w:tc>
              <w:tc>
                <w:tcPr/>
                <w:p>
                  <w:pPr>
                    <w:pStyle w:val="Compact"/>
                    <w:jc w:val="right"/>
                    <w:jc w:val="center"/>
                  </w:pPr>
                  <w:r>
                    <w:t xml:space="preserve">27.8</w:t>
                  </w:r>
                </w:p>
              </w:tc>
            </w:tr>
            <w:tr>
              <w:tc>
                <w:tcPr/>
                <w:p>
                  <w:pPr>
                    <w:pStyle w:val="Compact"/>
                    <w:jc w:val="left"/>
                    <w:jc w:val="center"/>
                  </w:pPr>
                  <w:r>
                    <w:t xml:space="preserve">ADT (N = 64)</w:t>
                  </w:r>
                </w:p>
              </w:tc>
              <w:tc>
                <w:tcPr/>
                <w:p>
                  <w:pPr>
                    <w:pStyle w:val="Compact"/>
                    <w:jc w:val="left"/>
                    <w:jc w:val="center"/>
                  </w:pPr>
                  <w:r>
                    <w:t xml:space="preserve">Easy</w:t>
                  </w:r>
                </w:p>
              </w:tc>
              <w:tc>
                <w:tcPr/>
                <w:p>
                  <w:pPr>
                    <w:pStyle w:val="Compact"/>
                    <w:jc w:val="left"/>
                    <w:jc w:val="center"/>
                  </w:pPr>
                  <w:r>
                    <w:t xml:space="preserve">Low (5% MVC)</w:t>
                  </w:r>
                </w:p>
              </w:tc>
              <w:tc>
                <w:tcPr/>
                <w:p>
                  <w:pPr>
                    <w:pStyle w:val="Compact"/>
                    <w:jc w:val="right"/>
                    <w:jc w:val="center"/>
                  </w:pPr>
                  <w:r>
                    <w:t xml:space="preserve">1738</w:t>
                  </w:r>
                </w:p>
              </w:tc>
              <w:tc>
                <w:tcPr/>
                <w:p>
                  <w:pPr>
                    <w:pStyle w:val="Compact"/>
                    <w:jc w:val="right"/>
                    <w:jc w:val="center"/>
                  </w:pPr>
                  <w:r>
                    <w:t xml:space="preserve">27.2</w:t>
                  </w:r>
                </w:p>
              </w:tc>
            </w:tr>
            <w:tr>
              <w:tc>
                <w:tcPr/>
                <w:p>
                  <w:pPr>
                    <w:pStyle w:val="Compact"/>
                    <w:jc w:val="left"/>
                    <w:jc w:val="center"/>
                  </w:pPr>
                  <w:r>
                    <w:t xml:space="preserve">ADT (N = 64)</w:t>
                  </w:r>
                </w:p>
              </w:tc>
              <w:tc>
                <w:tcPr/>
                <w:p>
                  <w:pPr>
                    <w:pStyle w:val="Compact"/>
                    <w:jc w:val="left"/>
                    <w:jc w:val="center"/>
                  </w:pPr>
                  <w:r>
                    <w:t xml:space="preserve">Hard</w:t>
                  </w:r>
                </w:p>
              </w:tc>
              <w:tc>
                <w:tcPr/>
                <w:p>
                  <w:pPr>
                    <w:pStyle w:val="Compact"/>
                    <w:jc w:val="left"/>
                    <w:jc w:val="center"/>
                  </w:pPr>
                  <w:r>
                    <w:t xml:space="preserve">High (40% MVC)</w:t>
                  </w:r>
                </w:p>
              </w:tc>
              <w:tc>
                <w:tcPr/>
                <w:p>
                  <w:pPr>
                    <w:pStyle w:val="Compact"/>
                    <w:jc w:val="right"/>
                    <w:jc w:val="center"/>
                  </w:pPr>
                  <w:r>
                    <w:t xml:space="preserve">1772</w:t>
                  </w:r>
                </w:p>
              </w:tc>
              <w:tc>
                <w:tcPr/>
                <w:p>
                  <w:pPr>
                    <w:pStyle w:val="Compact"/>
                    <w:jc w:val="right"/>
                    <w:jc w:val="center"/>
                  </w:pPr>
                  <w:r>
                    <w:t xml:space="preserve">27.7</w:t>
                  </w:r>
                </w:p>
              </w:tc>
            </w:tr>
            <w:tr>
              <w:tc>
                <w:tcPr/>
                <w:p>
                  <w:pPr>
                    <w:pStyle w:val="Compact"/>
                    <w:jc w:val="left"/>
                    <w:jc w:val="center"/>
                  </w:pPr>
                  <w:r>
                    <w:t xml:space="preserve">ADT (N = 64)</w:t>
                  </w:r>
                </w:p>
              </w:tc>
              <w:tc>
                <w:tcPr/>
                <w:p>
                  <w:pPr>
                    <w:pStyle w:val="Compact"/>
                    <w:jc w:val="left"/>
                    <w:jc w:val="center"/>
                  </w:pPr>
                  <w:r>
                    <w:t xml:space="preserve">Hard</w:t>
                  </w:r>
                </w:p>
              </w:tc>
              <w:tc>
                <w:tcPr/>
                <w:p>
                  <w:pPr>
                    <w:pStyle w:val="Compact"/>
                    <w:jc w:val="left"/>
                    <w:jc w:val="center"/>
                  </w:pPr>
                  <w:r>
                    <w:t xml:space="preserve">Low (5% MVC)</w:t>
                  </w:r>
                </w:p>
              </w:tc>
              <w:tc>
                <w:tcPr/>
                <w:p>
                  <w:pPr>
                    <w:pStyle w:val="Compact"/>
                    <w:jc w:val="right"/>
                    <w:jc w:val="center"/>
                  </w:pPr>
                  <w:r>
                    <w:t xml:space="preserve">1740</w:t>
                  </w:r>
                </w:p>
              </w:tc>
              <w:tc>
                <w:tcPr/>
                <w:p>
                  <w:pPr>
                    <w:pStyle w:val="Compact"/>
                    <w:jc w:val="right"/>
                    <w:jc w:val="center"/>
                  </w:pPr>
                  <w:r>
                    <w:t xml:space="preserve">27.2</w:t>
                  </w:r>
                </w:p>
              </w:tc>
            </w:tr>
            <w:tr>
              <w:tc>
                <w:tcPr/>
                <w:p>
                  <w:pPr>
                    <w:pStyle w:val="Compact"/>
                    <w:jc w:val="left"/>
                    <w:jc w:val="center"/>
                  </w:pPr>
                  <w:r>
                    <w:t xml:space="preserve">ADT (N = 64)</w:t>
                  </w:r>
                </w:p>
              </w:tc>
              <w:tc>
                <w:tcPr/>
                <w:p>
                  <w:pPr>
                    <w:pStyle w:val="Compact"/>
                    <w:jc w:val="left"/>
                    <w:jc w:val="center"/>
                  </w:pPr>
                  <w:r>
                    <w:t xml:space="preserve">Standard</w:t>
                  </w:r>
                </w:p>
              </w:tc>
              <w:tc>
                <w:tcPr/>
                <w:p>
                  <w:pPr>
                    <w:pStyle w:val="Compact"/>
                    <w:jc w:val="left"/>
                    <w:jc w:val="center"/>
                  </w:pPr>
                  <w:r>
                    <w:t xml:space="preserve">High (40% MVC)</w:t>
                  </w:r>
                </w:p>
              </w:tc>
              <w:tc>
                <w:tcPr/>
                <w:p>
                  <w:pPr>
                    <w:pStyle w:val="Compact"/>
                    <w:jc w:val="right"/>
                    <w:jc w:val="center"/>
                  </w:pPr>
                  <w:r>
                    <w:t xml:space="preserve">887</w:t>
                  </w:r>
                </w:p>
              </w:tc>
              <w:tc>
                <w:tcPr/>
                <w:p>
                  <w:pPr>
                    <w:pStyle w:val="Compact"/>
                    <w:jc w:val="right"/>
                    <w:jc w:val="center"/>
                  </w:pPr>
                  <w:r>
                    <w:t xml:space="preserve">13.9</w:t>
                  </w:r>
                </w:p>
              </w:tc>
            </w:tr>
            <w:tr>
              <w:tc>
                <w:tcPr/>
                <w:p>
                  <w:pPr>
                    <w:pStyle w:val="Compact"/>
                    <w:jc w:val="left"/>
                    <w:jc w:val="center"/>
                  </w:pPr>
                  <w:r>
                    <w:t xml:space="preserve">ADT (N = 64)</w:t>
                  </w:r>
                </w:p>
              </w:tc>
              <w:tc>
                <w:tcPr/>
                <w:p>
                  <w:pPr>
                    <w:pStyle w:val="Compact"/>
                    <w:jc w:val="left"/>
                    <w:jc w:val="center"/>
                  </w:pPr>
                  <w:r>
                    <w:t xml:space="preserve">Standard</w:t>
                  </w:r>
                </w:p>
              </w:tc>
              <w:tc>
                <w:tcPr/>
                <w:p>
                  <w:pPr>
                    <w:pStyle w:val="Compact"/>
                    <w:jc w:val="left"/>
                    <w:jc w:val="center"/>
                  </w:pPr>
                  <w:r>
                    <w:t xml:space="preserve">Low (5% MVC)</w:t>
                  </w:r>
                </w:p>
              </w:tc>
              <w:tc>
                <w:tcPr/>
                <w:p>
                  <w:pPr>
                    <w:pStyle w:val="Compact"/>
                    <w:jc w:val="right"/>
                    <w:jc w:val="center"/>
                  </w:pPr>
                  <w:r>
                    <w:t xml:space="preserve">860</w:t>
                  </w:r>
                </w:p>
              </w:tc>
              <w:tc>
                <w:tcPr/>
                <w:p>
                  <w:pPr>
                    <w:pStyle w:val="Compact"/>
                    <w:jc w:val="right"/>
                    <w:jc w:val="center"/>
                  </w:pPr>
                  <w:r>
                    <w:t xml:space="preserve">13.4</w:t>
                  </w:r>
                </w:p>
              </w:tc>
            </w:tr>
            <w:tr>
              <w:tc>
                <w:tcPr/>
                <w:p>
                  <w:pPr>
                    <w:pStyle w:val="Compact"/>
                    <w:jc w:val="left"/>
                    <w:jc w:val="center"/>
                  </w:pPr>
                  <w:r>
                    <w:t xml:space="preserve">VDT (N = 65)</w:t>
                  </w:r>
                </w:p>
              </w:tc>
              <w:tc>
                <w:tcPr/>
                <w:p>
                  <w:pPr>
                    <w:pStyle w:val="Compact"/>
                    <w:jc w:val="left"/>
                    <w:jc w:val="center"/>
                  </w:pPr>
                  <w:r>
                    <w:t xml:space="preserve">Easy</w:t>
                  </w:r>
                </w:p>
              </w:tc>
              <w:tc>
                <w:tcPr/>
                <w:p>
                  <w:pPr>
                    <w:pStyle w:val="Compact"/>
                    <w:jc w:val="left"/>
                    <w:jc w:val="center"/>
                  </w:pPr>
                  <w:r>
                    <w:t xml:space="preserve">High (40% MVC)</w:t>
                  </w:r>
                </w:p>
              </w:tc>
              <w:tc>
                <w:tcPr/>
                <w:p>
                  <w:pPr>
                    <w:pStyle w:val="Compact"/>
                    <w:jc w:val="right"/>
                    <w:jc w:val="center"/>
                  </w:pPr>
                  <w:r>
                    <w:t xml:space="preserve">1863</w:t>
                  </w:r>
                </w:p>
              </w:tc>
              <w:tc>
                <w:tcPr/>
                <w:p>
                  <w:pPr>
                    <w:pStyle w:val="Compact"/>
                    <w:jc w:val="right"/>
                    <w:jc w:val="center"/>
                  </w:pPr>
                  <w:r>
                    <w:t xml:space="preserve">28.7</w:t>
                  </w:r>
                </w:p>
              </w:tc>
            </w:tr>
            <w:tr>
              <w:tc>
                <w:tcPr/>
                <w:p>
                  <w:pPr>
                    <w:pStyle w:val="Compact"/>
                    <w:jc w:val="left"/>
                    <w:jc w:val="center"/>
                  </w:pPr>
                  <w:r>
                    <w:t xml:space="preserve">VDT (N = 65)</w:t>
                  </w:r>
                </w:p>
              </w:tc>
              <w:tc>
                <w:tcPr/>
                <w:p>
                  <w:pPr>
                    <w:pStyle w:val="Compact"/>
                    <w:jc w:val="left"/>
                    <w:jc w:val="center"/>
                  </w:pPr>
                  <w:r>
                    <w:t xml:space="preserve">Easy</w:t>
                  </w:r>
                </w:p>
              </w:tc>
              <w:tc>
                <w:tcPr/>
                <w:p>
                  <w:pPr>
                    <w:pStyle w:val="Compact"/>
                    <w:jc w:val="left"/>
                    <w:jc w:val="center"/>
                  </w:pPr>
                  <w:r>
                    <w:t xml:space="preserve">Low (5% MVC)</w:t>
                  </w:r>
                </w:p>
              </w:tc>
              <w:tc>
                <w:tcPr/>
                <w:p>
                  <w:pPr>
                    <w:pStyle w:val="Compact"/>
                    <w:jc w:val="right"/>
                    <w:jc w:val="center"/>
                  </w:pPr>
                  <w:r>
                    <w:t xml:space="preserve">1788</w:t>
                  </w:r>
                </w:p>
              </w:tc>
              <w:tc>
                <w:tcPr/>
                <w:p>
                  <w:pPr>
                    <w:pStyle w:val="Compact"/>
                    <w:jc w:val="right"/>
                    <w:jc w:val="center"/>
                  </w:pPr>
                  <w:r>
                    <w:t xml:space="preserve">27.5</w:t>
                  </w:r>
                </w:p>
              </w:tc>
            </w:tr>
            <w:tr>
              <w:tc>
                <w:tcPr/>
                <w:p>
                  <w:pPr>
                    <w:pStyle w:val="Compact"/>
                    <w:jc w:val="left"/>
                    <w:jc w:val="center"/>
                  </w:pPr>
                  <w:r>
                    <w:t xml:space="preserve">VDT (N = 65)</w:t>
                  </w:r>
                </w:p>
              </w:tc>
              <w:tc>
                <w:tcPr/>
                <w:p>
                  <w:pPr>
                    <w:pStyle w:val="Compact"/>
                    <w:jc w:val="left"/>
                    <w:jc w:val="center"/>
                  </w:pPr>
                  <w:r>
                    <w:t xml:space="preserve">Hard</w:t>
                  </w:r>
                </w:p>
              </w:tc>
              <w:tc>
                <w:tcPr/>
                <w:p>
                  <w:pPr>
                    <w:pStyle w:val="Compact"/>
                    <w:jc w:val="left"/>
                    <w:jc w:val="center"/>
                  </w:pPr>
                  <w:r>
                    <w:t xml:space="preserve">High (40% MVC)</w:t>
                  </w:r>
                </w:p>
              </w:tc>
              <w:tc>
                <w:tcPr/>
                <w:p>
                  <w:pPr>
                    <w:pStyle w:val="Compact"/>
                    <w:jc w:val="right"/>
                    <w:jc w:val="center"/>
                  </w:pPr>
                  <w:r>
                    <w:t xml:space="preserve">1838</w:t>
                  </w:r>
                </w:p>
              </w:tc>
              <w:tc>
                <w:tcPr/>
                <w:p>
                  <w:pPr>
                    <w:pStyle w:val="Compact"/>
                    <w:jc w:val="right"/>
                    <w:jc w:val="center"/>
                  </w:pPr>
                  <w:r>
                    <w:t xml:space="preserve">28.3</w:t>
                  </w:r>
                </w:p>
              </w:tc>
            </w:tr>
            <w:tr>
              <w:tc>
                <w:tcPr/>
                <w:p>
                  <w:pPr>
                    <w:pStyle w:val="Compact"/>
                    <w:jc w:val="left"/>
                    <w:jc w:val="center"/>
                  </w:pPr>
                  <w:r>
                    <w:t xml:space="preserve">VDT (N = 65)</w:t>
                  </w:r>
                </w:p>
              </w:tc>
              <w:tc>
                <w:tcPr/>
                <w:p>
                  <w:pPr>
                    <w:pStyle w:val="Compact"/>
                    <w:jc w:val="left"/>
                    <w:jc w:val="center"/>
                  </w:pPr>
                  <w:r>
                    <w:t xml:space="preserve">Hard</w:t>
                  </w:r>
                </w:p>
              </w:tc>
              <w:tc>
                <w:tcPr/>
                <w:p>
                  <w:pPr>
                    <w:pStyle w:val="Compact"/>
                    <w:jc w:val="left"/>
                    <w:jc w:val="center"/>
                  </w:pPr>
                  <w:r>
                    <w:t xml:space="preserve">Low (5% MVC)</w:t>
                  </w:r>
                </w:p>
              </w:tc>
              <w:tc>
                <w:tcPr/>
                <w:p>
                  <w:pPr>
                    <w:pStyle w:val="Compact"/>
                    <w:jc w:val="right"/>
                    <w:jc w:val="center"/>
                  </w:pPr>
                  <w:r>
                    <w:t xml:space="preserve">1749</w:t>
                  </w:r>
                </w:p>
              </w:tc>
              <w:tc>
                <w:tcPr/>
                <w:p>
                  <w:pPr>
                    <w:pStyle w:val="Compact"/>
                    <w:jc w:val="right"/>
                    <w:jc w:val="center"/>
                  </w:pPr>
                  <w:r>
                    <w:t xml:space="preserve">26.9</w:t>
                  </w:r>
                </w:p>
              </w:tc>
            </w:tr>
            <w:tr>
              <w:tc>
                <w:tcPr/>
                <w:p>
                  <w:pPr>
                    <w:pStyle w:val="Compact"/>
                    <w:jc w:val="left"/>
                    <w:jc w:val="center"/>
                  </w:pPr>
                  <w:r>
                    <w:t xml:space="preserve">VDT (N = 65)</w:t>
                  </w:r>
                </w:p>
              </w:tc>
              <w:tc>
                <w:tcPr/>
                <w:p>
                  <w:pPr>
                    <w:pStyle w:val="Compact"/>
                    <w:jc w:val="left"/>
                    <w:jc w:val="center"/>
                  </w:pPr>
                  <w:r>
                    <w:t xml:space="preserve">Standard</w:t>
                  </w:r>
                </w:p>
              </w:tc>
              <w:tc>
                <w:tcPr/>
                <w:p>
                  <w:pPr>
                    <w:pStyle w:val="Compact"/>
                    <w:jc w:val="left"/>
                    <w:jc w:val="center"/>
                  </w:pPr>
                  <w:r>
                    <w:t xml:space="preserve">High (40% MVC)</w:t>
                  </w:r>
                </w:p>
              </w:tc>
              <w:tc>
                <w:tcPr/>
                <w:p>
                  <w:pPr>
                    <w:pStyle w:val="Compact"/>
                    <w:jc w:val="right"/>
                    <w:jc w:val="center"/>
                  </w:pPr>
                  <w:r>
                    <w:t xml:space="preserve">939</w:t>
                  </w:r>
                </w:p>
              </w:tc>
              <w:tc>
                <w:tcPr/>
                <w:p>
                  <w:pPr>
                    <w:pStyle w:val="Compact"/>
                    <w:jc w:val="right"/>
                    <w:jc w:val="center"/>
                  </w:pPr>
                  <w:r>
                    <w:t xml:space="preserve">14.4</w:t>
                  </w:r>
                </w:p>
              </w:tc>
            </w:tr>
            <w:tr>
              <w:tc>
                <w:tcPr/>
                <w:p>
                  <w:pPr>
                    <w:pStyle w:val="Compact"/>
                    <w:jc w:val="left"/>
                    <w:jc w:val="center"/>
                  </w:pPr>
                  <w:r>
                    <w:t xml:space="preserve">VDT (N = 65)</w:t>
                  </w:r>
                </w:p>
              </w:tc>
              <w:tc>
                <w:tcPr/>
                <w:p>
                  <w:pPr>
                    <w:pStyle w:val="Compact"/>
                    <w:jc w:val="left"/>
                    <w:jc w:val="center"/>
                  </w:pPr>
                  <w:r>
                    <w:t xml:space="preserve">Standard</w:t>
                  </w:r>
                </w:p>
              </w:tc>
              <w:tc>
                <w:tcPr/>
                <w:p>
                  <w:pPr>
                    <w:pStyle w:val="Compact"/>
                    <w:jc w:val="left"/>
                    <w:jc w:val="center"/>
                  </w:pPr>
                  <w:r>
                    <w:t xml:space="preserve">Low (5% MVC)</w:t>
                  </w:r>
                </w:p>
              </w:tc>
              <w:tc>
                <w:tcPr/>
                <w:p>
                  <w:pPr>
                    <w:pStyle w:val="Compact"/>
                    <w:jc w:val="right"/>
                    <w:jc w:val="center"/>
                  </w:pPr>
                  <w:r>
                    <w:t xml:space="preserve">906</w:t>
                  </w:r>
                </w:p>
              </w:tc>
              <w:tc>
                <w:tcPr/>
                <w:p>
                  <w:pPr>
                    <w:pStyle w:val="Compact"/>
                    <w:jc w:val="right"/>
                    <w:jc w:val="center"/>
                  </w:pPr>
                  <w:r>
                    <w:t xml:space="preserve">13.9</w:t>
                  </w:r>
                </w:p>
              </w:tc>
            </w:tr>
          </w:tbl>
          <w:bookmarkEnd w:id="94"/>
          <w:p/>
        </w:tc>
      </w:tr>
    </w:tbl>
    <w:bookmarkEnd w:id="95"/>
    <w:bookmarkStart w:id="97" w:name="a2.3-primary-model-posterior-estimates"/>
    <w:p>
      <w:pPr>
        <w:pStyle w:val="Heading3"/>
      </w:pPr>
      <w:r>
        <w:t xml:space="preserve">A2.3 Primary model posterior estimates</w:t>
      </w:r>
    </w:p>
    <w:p>
      <w:pPr>
        <w:pStyle w:val="FirstParagraph"/>
      </w:pPr>
      <w:r>
        <w:t xml:space="preserve">Posterior medians [95% CrI] for the additive primary model.</w:t>
      </w:r>
      <w:r>
        <w:t xml:space="preserve"> </w:t>
      </w:r>
      <m:oMath>
        <m:r>
          <m:t>v</m:t>
        </m:r>
      </m:oMath>
      <w:r>
        <w:t xml:space="preserve"> </w:t>
      </w:r>
      <w:r>
        <w:t xml:space="preserve">and</w:t>
      </w:r>
      <w:r>
        <w:t xml:space="preserve"> </w:t>
      </w:r>
      <m:oMath>
        <m:r>
          <m:t>a</m:t>
        </m:r>
      </m:oMath>
      <w:r>
        <w:t xml:space="preserve"> </w:t>
      </w:r>
      <w:r>
        <w:t xml:space="preserve">do not vary by task in this specification;</w:t>
      </w:r>
      <w:r>
        <w:t xml:space="preserve"> </w:t>
      </w:r>
      <m:oMath>
        <m:r>
          <m:t>z</m:t>
        </m:r>
      </m:oMath>
      <w:r>
        <w:t xml:space="preserve"> </w:t>
      </w:r>
      <w:r>
        <w:t xml:space="preserve">is constant across difficulty (randomized design).</w:t>
      </w:r>
      <w:r>
        <w:t xml:space="preserve"> </w:t>
      </w:r>
      <m:oMath>
        <m:sSub>
          <m:e>
            <m:r>
              <m:t>t</m:t>
            </m:r>
          </m:e>
          <m:sub>
            <m:r>
              <m:t>0</m:t>
            </m:r>
          </m:sub>
        </m:sSub>
      </m:oMath>
      <w:r>
        <w:t xml:space="preserve"> </w:t>
      </w:r>
      <w:r>
        <w:t xml:space="preserve">was a single intercept (0.504 s;</w:t>
      </w:r>
      <w:r>
        <w:t xml:space="preserve"> </w:t>
      </w:r>
      <w:hyperlink w:anchor="sec-ddm-spec">
        <w:r>
          <w:rPr>
            <w:rStyle w:val="Hyperlink"/>
          </w:rPr>
          <w:t xml:space="preserve">Section 2.10</w:t>
        </w:r>
      </w:hyperlink>
      <w:r>
        <w:t xml:space="preserve">) and is not listed.</w:t>
      </w:r>
    </w:p>
    <w:tbl>
      <w:tblPr>
        <w:tblStyle w:val="Table"/>
        <w:tblW w:type="pct" w:w="5000"/>
        <w:tblLayout w:type="fixed"/>
        <w:tblLook w:firstRow="0" w:lastRow="0" w:firstColumn="0" w:lastColumn="0" w:noHBand="0" w:noVBand="0" w:val="0000"/>
      </w:tblPr>
      <w:tblGrid>
        <w:gridCol w:w="7920"/>
      </w:tblGrid>
      <w:tr>
        <w:tc>
          <w:tcPr/>
          <w:bookmarkStart w:id="96" w:name="tbl-ddm-posterior-estimates"/>
          <w:p>
            <w:pPr>
              <w:jc w:val="center"/>
            </w:pPr>
            <w:pPr>
              <w:jc w:val="start"/>
              <w:spacing w:before="200"/>
              <w:pStyle w:val="ImageCaption"/>
            </w:pPr>
            <w:r>
              <w:t xml:space="preserve">Table 6: Primary DDM posterior estimates by Task × Difficulty × Effort. Median [95% CrI].</w:t>
            </w:r>
            <w:r>
              <w:t xml:space="preserve"> </w:t>
            </w:r>
            <m:oMath>
              <m:sSub>
                <m:e>
                  <m:r>
                    <m:t>t</m:t>
                  </m:r>
                </m:e>
                <m:sub>
                  <m:r>
                    <m:t>0</m:t>
                  </m:r>
                </m:sub>
              </m:sSub>
            </m:oMath>
            <w:r>
              <w:t xml:space="preserve"> </w:t>
            </w:r>
            <w:r>
              <w:t xml:space="preserve">omitted (single intercept across conditions).</w:t>
            </w:r>
          </w:p>
          <w:tbl>
            <w:tblPr>
              <w:tblStyle w:val="Table"/>
              <w:tblW w:type="pct" w:w="5000"/>
              <w:tblLayout w:type="fixed"/>
              <w:tblLook w:firstRow="1" w:lastRow="0" w:firstColumn="0" w:lastColumn="0" w:noHBand="0" w:noVBand="0" w:val="0020"/>
            </w:tblPr>
            <w:tblGrid>
              <w:gridCol w:w="444"/>
              <w:gridCol w:w="978"/>
              <w:gridCol w:w="622"/>
              <w:gridCol w:w="2135"/>
              <w:gridCol w:w="1868"/>
              <w:gridCol w:w="1868"/>
            </w:tblGrid>
            <w:tr>
              <w:trPr>
                <w:tblHeader w:val="on"/>
              </w:trPr>
              <w:tc>
                <w:tcPr/>
                <w:p>
                  <w:pPr>
                    <w:pStyle w:val="Compact"/>
                    <w:jc w:val="left"/>
                    <w:jc w:val="center"/>
                  </w:pPr>
                  <w:r>
                    <w:t xml:space="preserve">Task</w:t>
                  </w:r>
                </w:p>
              </w:tc>
              <w:tc>
                <w:tcPr/>
                <w:p>
                  <w:pPr>
                    <w:pStyle w:val="Compact"/>
                    <w:jc w:val="left"/>
                    <w:jc w:val="center"/>
                  </w:pPr>
                  <w:r>
                    <w:t xml:space="preserve">Difficulty</w:t>
                  </w:r>
                </w:p>
              </w:tc>
              <w:tc>
                <w:tcPr/>
                <w:p>
                  <w:pPr>
                    <w:pStyle w:val="Compact"/>
                    <w:jc w:val="left"/>
                    <w:jc w:val="center"/>
                  </w:pPr>
                  <w:r>
                    <w:t xml:space="preserve">Effort</w:t>
                  </w:r>
                </w:p>
              </w:tc>
              <w:tc>
                <w:tcPr/>
                <w:p>
                  <w:pPr>
                    <w:pStyle w:val="Compact"/>
                    <w:jc w:val="right"/>
                    <w:jc w:val="center"/>
                  </w:pPr>
                  <w:r>
                    <w:t xml:space="preserve">Drift (v)</w:t>
                  </w:r>
                </w:p>
              </w:tc>
              <w:tc>
                <w:tcPr/>
                <w:p>
                  <w:pPr>
                    <w:pStyle w:val="Compact"/>
                    <w:jc w:val="right"/>
                    <w:jc w:val="center"/>
                  </w:pPr>
                  <w:r>
                    <w:t xml:space="preserve">Boundary (a)</w:t>
                  </w:r>
                </w:p>
              </w:tc>
              <w:tc>
                <w:tcPr/>
                <w:p>
                  <w:pPr>
                    <w:pStyle w:val="Compact"/>
                    <w:jc w:val="right"/>
                    <w:jc w:val="center"/>
                  </w:pPr>
                  <w:r>
                    <w:t xml:space="preserve">Bias (z)</w:t>
                  </w:r>
                </w:p>
              </w:tc>
            </w:tr>
            <w:tr>
              <w:tc>
                <w:tcPr/>
                <w:p>
                  <w:pPr>
                    <w:pStyle w:val="Compact"/>
                    <w:jc w:val="left"/>
                    <w:jc w:val="center"/>
                  </w:pPr>
                  <w:r>
                    <w:t xml:space="preserve">ADT</w:t>
                  </w:r>
                </w:p>
              </w:tc>
              <w:tc>
                <w:tcPr/>
                <w:p>
                  <w:pPr>
                    <w:pStyle w:val="Compact"/>
                    <w:jc w:val="left"/>
                    <w:jc w:val="center"/>
                  </w:pPr>
                  <w:r>
                    <w:t xml:space="preserve">Standard</w:t>
                  </w:r>
                </w:p>
              </w:tc>
              <w:tc>
                <w:tcPr/>
                <w:p>
                  <w:pPr>
                    <w:pStyle w:val="Compact"/>
                    <w:jc w:val="left"/>
                    <w:jc w:val="center"/>
                  </w:pPr>
                  <w:r>
                    <w:t xml:space="preserve">Low</w:t>
                  </w:r>
                </w:p>
              </w:tc>
              <w:tc>
                <w:tcPr/>
                <w:p>
                  <w:pPr>
                    <w:pStyle w:val="Compact"/>
                    <w:jc w:val="right"/>
                    <w:jc w:val="center"/>
                  </w:pPr>
                  <w:r>
                    <w:t xml:space="preserve">-1.116 [-1.217, -1.018]</w:t>
                  </w:r>
                </w:p>
              </w:tc>
              <w:tc>
                <w:tcPr/>
                <w:p>
                  <w:pPr>
                    <w:pStyle w:val="Compact"/>
                    <w:jc w:val="right"/>
                    <w:jc w:val="center"/>
                  </w:pPr>
                  <w:r>
                    <w:t xml:space="preserve">2.270 [2.231, 2.309]</w:t>
                  </w:r>
                </w:p>
              </w:tc>
              <w:tc>
                <w:tcPr/>
                <w:p>
                  <w:pPr>
                    <w:pStyle w:val="Compact"/>
                    <w:jc w:val="right"/>
                    <w:jc w:val="center"/>
                  </w:pPr>
                  <w:r>
                    <w:t xml:space="preserve">0.532 [0.516, 0.547]</w:t>
                  </w:r>
                </w:p>
              </w:tc>
            </w:tr>
            <w:tr>
              <w:tc>
                <w:tcPr/>
                <w:p>
                  <w:pPr>
                    <w:pStyle w:val="Compact"/>
                    <w:jc w:val="left"/>
                    <w:jc w:val="center"/>
                  </w:pPr>
                  <w:r>
                    <w:t xml:space="preserve">ADT</w:t>
                  </w:r>
                </w:p>
              </w:tc>
              <w:tc>
                <w:tcPr/>
                <w:p>
                  <w:pPr>
                    <w:pStyle w:val="Compact"/>
                    <w:jc w:val="left"/>
                    <w:jc w:val="center"/>
                  </w:pPr>
                  <w:r>
                    <w:t xml:space="preserve">Standard</w:t>
                  </w:r>
                </w:p>
              </w:tc>
              <w:tc>
                <w:tcPr/>
                <w:p>
                  <w:pPr>
                    <w:pStyle w:val="Compact"/>
                    <w:jc w:val="left"/>
                    <w:jc w:val="center"/>
                  </w:pPr>
                  <w:r>
                    <w:t xml:space="preserve">High</w:t>
                  </w:r>
                </w:p>
              </w:tc>
              <w:tc>
                <w:tcPr/>
                <w:p>
                  <w:pPr>
                    <w:pStyle w:val="Compact"/>
                    <w:jc w:val="right"/>
                    <w:jc w:val="center"/>
                  </w:pPr>
                  <w:r>
                    <w:t xml:space="preserve">-1.173 [-1.273, -1.074]</w:t>
                  </w:r>
                </w:p>
              </w:tc>
              <w:tc>
                <w:tcPr/>
                <w:p>
                  <w:pPr>
                    <w:pStyle w:val="Compact"/>
                    <w:jc w:val="right"/>
                    <w:jc w:val="center"/>
                  </w:pPr>
                  <w:r>
                    <w:t xml:space="preserve">2.309 [2.269, 2.351]</w:t>
                  </w:r>
                </w:p>
              </w:tc>
              <w:tc>
                <w:tcPr/>
                <w:p>
                  <w:pPr>
                    <w:pStyle w:val="Compact"/>
                    <w:jc w:val="right"/>
                    <w:jc w:val="center"/>
                  </w:pPr>
                  <w:r>
                    <w:t xml:space="preserve">0.531 [0.515, 0.546]</w:t>
                  </w:r>
                </w:p>
              </w:tc>
            </w:tr>
            <w:tr>
              <w:tc>
                <w:tcPr/>
                <w:p>
                  <w:pPr>
                    <w:pStyle w:val="Compact"/>
                    <w:jc w:val="left"/>
                    <w:jc w:val="center"/>
                  </w:pPr>
                  <w:r>
                    <w:t xml:space="preserve">ADT</w:t>
                  </w:r>
                </w:p>
              </w:tc>
              <w:tc>
                <w:tcPr/>
                <w:p>
                  <w:pPr>
                    <w:pStyle w:val="Compact"/>
                    <w:jc w:val="left"/>
                    <w:jc w:val="center"/>
                  </w:pPr>
                  <w:r>
                    <w:t xml:space="preserve">Easy</w:t>
                  </w:r>
                </w:p>
              </w:tc>
              <w:tc>
                <w:tcPr/>
                <w:p>
                  <w:pPr>
                    <w:pStyle w:val="Compact"/>
                    <w:jc w:val="left"/>
                    <w:jc w:val="center"/>
                  </w:pPr>
                  <w:r>
                    <w:t xml:space="preserve">Low</w:t>
                  </w:r>
                </w:p>
              </w:tc>
              <w:tc>
                <w:tcPr/>
                <w:p>
                  <w:pPr>
                    <w:pStyle w:val="Compact"/>
                    <w:jc w:val="right"/>
                    <w:jc w:val="center"/>
                  </w:pPr>
                  <w:r>
                    <w:t xml:space="preserve">0.958 [0.861, 1.053]</w:t>
                  </w:r>
                </w:p>
              </w:tc>
              <w:tc>
                <w:tcPr/>
                <w:p>
                  <w:pPr>
                    <w:pStyle w:val="Compact"/>
                    <w:jc w:val="right"/>
                    <w:jc w:val="center"/>
                  </w:pPr>
                  <w:r>
                    <w:t xml:space="preserve">2.057 [2.028, 2.087]</w:t>
                  </w:r>
                </w:p>
              </w:tc>
              <w:tc>
                <w:tcPr/>
                <w:p>
                  <w:pPr>
                    <w:pStyle w:val="Compact"/>
                    <w:jc w:val="right"/>
                    <w:jc w:val="center"/>
                  </w:pPr>
                  <w:r>
                    <w:t xml:space="preserve">0.532 [0.516, 0.547]</w:t>
                  </w:r>
                </w:p>
              </w:tc>
            </w:tr>
            <w:tr>
              <w:tc>
                <w:tcPr/>
                <w:p>
                  <w:pPr>
                    <w:pStyle w:val="Compact"/>
                    <w:jc w:val="left"/>
                    <w:jc w:val="center"/>
                  </w:pPr>
                  <w:r>
                    <w:t xml:space="preserve">ADT</w:t>
                  </w:r>
                </w:p>
              </w:tc>
              <w:tc>
                <w:tcPr/>
                <w:p>
                  <w:pPr>
                    <w:pStyle w:val="Compact"/>
                    <w:jc w:val="left"/>
                    <w:jc w:val="center"/>
                  </w:pPr>
                  <w:r>
                    <w:t xml:space="preserve">Easy</w:t>
                  </w:r>
                </w:p>
              </w:tc>
              <w:tc>
                <w:tcPr/>
                <w:p>
                  <w:pPr>
                    <w:pStyle w:val="Compact"/>
                    <w:jc w:val="left"/>
                    <w:jc w:val="center"/>
                  </w:pPr>
                  <w:r>
                    <w:t xml:space="preserve">High</w:t>
                  </w:r>
                </w:p>
              </w:tc>
              <w:tc>
                <w:tcPr/>
                <w:p>
                  <w:pPr>
                    <w:pStyle w:val="Compact"/>
                    <w:jc w:val="right"/>
                    <w:jc w:val="center"/>
                  </w:pPr>
                  <w:r>
                    <w:t xml:space="preserve">0.901 [0.805, 0.997]</w:t>
                  </w:r>
                </w:p>
              </w:tc>
              <w:tc>
                <w:tcPr/>
                <w:p>
                  <w:pPr>
                    <w:pStyle w:val="Compact"/>
                    <w:jc w:val="right"/>
                    <w:jc w:val="center"/>
                  </w:pPr>
                  <w:r>
                    <w:t xml:space="preserve">2.093 [2.061, 2.123]</w:t>
                  </w:r>
                </w:p>
              </w:tc>
              <w:tc>
                <w:tcPr/>
                <w:p>
                  <w:pPr>
                    <w:pStyle w:val="Compact"/>
                    <w:jc w:val="right"/>
                    <w:jc w:val="center"/>
                  </w:pPr>
                  <w:r>
                    <w:t xml:space="preserve">0.531 [0.515, 0.546]</w:t>
                  </w:r>
                </w:p>
              </w:tc>
            </w:tr>
            <w:tr>
              <w:tc>
                <w:tcPr/>
                <w:p>
                  <w:pPr>
                    <w:pStyle w:val="Compact"/>
                    <w:jc w:val="left"/>
                    <w:jc w:val="center"/>
                  </w:pPr>
                  <w:r>
                    <w:t xml:space="preserve">ADT</w:t>
                  </w:r>
                </w:p>
              </w:tc>
              <w:tc>
                <w:tcPr/>
                <w:p>
                  <w:pPr>
                    <w:pStyle w:val="Compact"/>
                    <w:jc w:val="left"/>
                    <w:jc w:val="center"/>
                  </w:pPr>
                  <w:r>
                    <w:t xml:space="preserve">Hard</w:t>
                  </w:r>
                </w:p>
              </w:tc>
              <w:tc>
                <w:tcPr/>
                <w:p>
                  <w:pPr>
                    <w:pStyle w:val="Compact"/>
                    <w:jc w:val="left"/>
                    <w:jc w:val="center"/>
                  </w:pPr>
                  <w:r>
                    <w:t xml:space="preserve">Low</w:t>
                  </w:r>
                </w:p>
              </w:tc>
              <w:tc>
                <w:tcPr/>
                <w:p>
                  <w:pPr>
                    <w:pStyle w:val="Compact"/>
                    <w:jc w:val="right"/>
                    <w:jc w:val="center"/>
                  </w:pPr>
                  <w:r>
                    <w:t xml:space="preserve">-0.545 [-0.641, -0.453]</w:t>
                  </w:r>
                </w:p>
              </w:tc>
              <w:tc>
                <w:tcPr/>
                <w:p>
                  <w:pPr>
                    <w:pStyle w:val="Compact"/>
                    <w:jc w:val="right"/>
                    <w:jc w:val="center"/>
                  </w:pPr>
                  <w:r>
                    <w:t xml:space="preserve">2.119 [2.093, 2.145]</w:t>
                  </w:r>
                </w:p>
              </w:tc>
              <w:tc>
                <w:tcPr/>
                <w:p>
                  <w:pPr>
                    <w:pStyle w:val="Compact"/>
                    <w:jc w:val="right"/>
                    <w:jc w:val="center"/>
                  </w:pPr>
                  <w:r>
                    <w:t xml:space="preserve">0.532 [0.516, 0.547]</w:t>
                  </w:r>
                </w:p>
              </w:tc>
            </w:tr>
            <w:tr>
              <w:tc>
                <w:tcPr/>
                <w:p>
                  <w:pPr>
                    <w:pStyle w:val="Compact"/>
                    <w:jc w:val="left"/>
                    <w:jc w:val="center"/>
                  </w:pPr>
                  <w:r>
                    <w:t xml:space="preserve">ADT</w:t>
                  </w:r>
                </w:p>
              </w:tc>
              <w:tc>
                <w:tcPr/>
                <w:p>
                  <w:pPr>
                    <w:pStyle w:val="Compact"/>
                    <w:jc w:val="left"/>
                    <w:jc w:val="center"/>
                  </w:pPr>
                  <w:r>
                    <w:t xml:space="preserve">Hard</w:t>
                  </w:r>
                </w:p>
              </w:tc>
              <w:tc>
                <w:tcPr/>
                <w:p>
                  <w:pPr>
                    <w:pStyle w:val="Compact"/>
                    <w:jc w:val="left"/>
                    <w:jc w:val="center"/>
                  </w:pPr>
                  <w:r>
                    <w:t xml:space="preserve">High</w:t>
                  </w:r>
                </w:p>
              </w:tc>
              <w:tc>
                <w:tcPr/>
                <w:p>
                  <w:pPr>
                    <w:pStyle w:val="Compact"/>
                    <w:jc w:val="right"/>
                    <w:jc w:val="center"/>
                  </w:pPr>
                  <w:r>
                    <w:t xml:space="preserve">-0.604 [-0.697, -0.509]</w:t>
                  </w:r>
                </w:p>
              </w:tc>
              <w:tc>
                <w:tcPr/>
                <w:p>
                  <w:pPr>
                    <w:pStyle w:val="Compact"/>
                    <w:jc w:val="right"/>
                    <w:jc w:val="center"/>
                  </w:pPr>
                  <w:r>
                    <w:t xml:space="preserve">2.156 [2.130, 2.183]</w:t>
                  </w:r>
                </w:p>
              </w:tc>
              <w:tc>
                <w:tcPr/>
                <w:p>
                  <w:pPr>
                    <w:pStyle w:val="Compact"/>
                    <w:jc w:val="right"/>
                    <w:jc w:val="center"/>
                  </w:pPr>
                  <w:r>
                    <w:t xml:space="preserve">0.531 [0.515, 0.546]</w:t>
                  </w:r>
                </w:p>
              </w:tc>
            </w:tr>
            <w:tr>
              <w:tc>
                <w:tcPr/>
                <w:p>
                  <w:pPr>
                    <w:pStyle w:val="Compact"/>
                    <w:jc w:val="left"/>
                    <w:jc w:val="center"/>
                  </w:pPr>
                  <w:r>
                    <w:t xml:space="preserve">VDT</w:t>
                  </w:r>
                </w:p>
              </w:tc>
              <w:tc>
                <w:tcPr/>
                <w:p>
                  <w:pPr>
                    <w:pStyle w:val="Compact"/>
                    <w:jc w:val="left"/>
                    <w:jc w:val="center"/>
                  </w:pPr>
                  <w:r>
                    <w:t xml:space="preserve">Standard</w:t>
                  </w:r>
                </w:p>
              </w:tc>
              <w:tc>
                <w:tcPr/>
                <w:p>
                  <w:pPr>
                    <w:pStyle w:val="Compact"/>
                    <w:jc w:val="left"/>
                    <w:jc w:val="center"/>
                  </w:pPr>
                  <w:r>
                    <w:t xml:space="preserve">Low</w:t>
                  </w:r>
                </w:p>
              </w:tc>
              <w:tc>
                <w:tcPr/>
                <w:p>
                  <w:pPr>
                    <w:pStyle w:val="Compact"/>
                    <w:jc w:val="right"/>
                    <w:jc w:val="center"/>
                  </w:pPr>
                  <w:r>
                    <w:t xml:space="preserve">-1.116 [-1.217, -1.018]</w:t>
                  </w:r>
                </w:p>
              </w:tc>
              <w:tc>
                <w:tcPr/>
                <w:p>
                  <w:pPr>
                    <w:pStyle w:val="Compact"/>
                    <w:jc w:val="right"/>
                    <w:jc w:val="center"/>
                  </w:pPr>
                  <w:r>
                    <w:t xml:space="preserve">2.270 [2.231, 2.309]</w:t>
                  </w:r>
                </w:p>
              </w:tc>
              <w:tc>
                <w:tcPr/>
                <w:p>
                  <w:pPr>
                    <w:pStyle w:val="Compact"/>
                    <w:jc w:val="right"/>
                    <w:jc w:val="center"/>
                  </w:pPr>
                  <w:r>
                    <w:t xml:space="preserve">0.549 [0.534, 0.564]</w:t>
                  </w:r>
                </w:p>
              </w:tc>
            </w:tr>
            <w:tr>
              <w:tc>
                <w:tcPr/>
                <w:p>
                  <w:pPr>
                    <w:pStyle w:val="Compact"/>
                    <w:jc w:val="left"/>
                    <w:jc w:val="center"/>
                  </w:pPr>
                  <w:r>
                    <w:t xml:space="preserve">VDT</w:t>
                  </w:r>
                </w:p>
              </w:tc>
              <w:tc>
                <w:tcPr/>
                <w:p>
                  <w:pPr>
                    <w:pStyle w:val="Compact"/>
                    <w:jc w:val="left"/>
                    <w:jc w:val="center"/>
                  </w:pPr>
                  <w:r>
                    <w:t xml:space="preserve">Standard</w:t>
                  </w:r>
                </w:p>
              </w:tc>
              <w:tc>
                <w:tcPr/>
                <w:p>
                  <w:pPr>
                    <w:pStyle w:val="Compact"/>
                    <w:jc w:val="left"/>
                    <w:jc w:val="center"/>
                  </w:pPr>
                  <w:r>
                    <w:t xml:space="preserve">High</w:t>
                  </w:r>
                </w:p>
              </w:tc>
              <w:tc>
                <w:tcPr/>
                <w:p>
                  <w:pPr>
                    <w:pStyle w:val="Compact"/>
                    <w:jc w:val="right"/>
                    <w:jc w:val="center"/>
                  </w:pPr>
                  <w:r>
                    <w:t xml:space="preserve">-1.173 [-1.273, -1.074]</w:t>
                  </w:r>
                </w:p>
              </w:tc>
              <w:tc>
                <w:tcPr/>
                <w:p>
                  <w:pPr>
                    <w:pStyle w:val="Compact"/>
                    <w:jc w:val="right"/>
                    <w:jc w:val="center"/>
                  </w:pPr>
                  <w:r>
                    <w:t xml:space="preserve">2.309 [2.269, 2.351]</w:t>
                  </w:r>
                </w:p>
              </w:tc>
              <w:tc>
                <w:tcPr/>
                <w:p>
                  <w:pPr>
                    <w:pStyle w:val="Compact"/>
                    <w:jc w:val="right"/>
                    <w:jc w:val="center"/>
                  </w:pPr>
                  <w:r>
                    <w:t xml:space="preserve">0.548 [0.533, 0.563]</w:t>
                  </w:r>
                </w:p>
              </w:tc>
            </w:tr>
            <w:tr>
              <w:tc>
                <w:tcPr/>
                <w:p>
                  <w:pPr>
                    <w:pStyle w:val="Compact"/>
                    <w:jc w:val="left"/>
                    <w:jc w:val="center"/>
                  </w:pPr>
                  <w:r>
                    <w:t xml:space="preserve">VDT</w:t>
                  </w:r>
                </w:p>
              </w:tc>
              <w:tc>
                <w:tcPr/>
                <w:p>
                  <w:pPr>
                    <w:pStyle w:val="Compact"/>
                    <w:jc w:val="left"/>
                    <w:jc w:val="center"/>
                  </w:pPr>
                  <w:r>
                    <w:t xml:space="preserve">Easy</w:t>
                  </w:r>
                </w:p>
              </w:tc>
              <w:tc>
                <w:tcPr/>
                <w:p>
                  <w:pPr>
                    <w:pStyle w:val="Compact"/>
                    <w:jc w:val="left"/>
                    <w:jc w:val="center"/>
                  </w:pPr>
                  <w:r>
                    <w:t xml:space="preserve">Low</w:t>
                  </w:r>
                </w:p>
              </w:tc>
              <w:tc>
                <w:tcPr/>
                <w:p>
                  <w:pPr>
                    <w:pStyle w:val="Compact"/>
                    <w:jc w:val="right"/>
                    <w:jc w:val="center"/>
                  </w:pPr>
                  <w:r>
                    <w:t xml:space="preserve">0.958 [0.861, 1.053]</w:t>
                  </w:r>
                </w:p>
              </w:tc>
              <w:tc>
                <w:tcPr/>
                <w:p>
                  <w:pPr>
                    <w:pStyle w:val="Compact"/>
                    <w:jc w:val="right"/>
                    <w:jc w:val="center"/>
                  </w:pPr>
                  <w:r>
                    <w:t xml:space="preserve">2.057 [2.028, 2.087]</w:t>
                  </w:r>
                </w:p>
              </w:tc>
              <w:tc>
                <w:tcPr/>
                <w:p>
                  <w:pPr>
                    <w:pStyle w:val="Compact"/>
                    <w:jc w:val="right"/>
                    <w:jc w:val="center"/>
                  </w:pPr>
                  <w:r>
                    <w:t xml:space="preserve">0.549 [0.534, 0.564]</w:t>
                  </w:r>
                </w:p>
              </w:tc>
            </w:tr>
            <w:tr>
              <w:tc>
                <w:tcPr/>
                <w:p>
                  <w:pPr>
                    <w:pStyle w:val="Compact"/>
                    <w:jc w:val="left"/>
                    <w:jc w:val="center"/>
                  </w:pPr>
                  <w:r>
                    <w:t xml:space="preserve">VDT</w:t>
                  </w:r>
                </w:p>
              </w:tc>
              <w:tc>
                <w:tcPr/>
                <w:p>
                  <w:pPr>
                    <w:pStyle w:val="Compact"/>
                    <w:jc w:val="left"/>
                    <w:jc w:val="center"/>
                  </w:pPr>
                  <w:r>
                    <w:t xml:space="preserve">Easy</w:t>
                  </w:r>
                </w:p>
              </w:tc>
              <w:tc>
                <w:tcPr/>
                <w:p>
                  <w:pPr>
                    <w:pStyle w:val="Compact"/>
                    <w:jc w:val="left"/>
                    <w:jc w:val="center"/>
                  </w:pPr>
                  <w:r>
                    <w:t xml:space="preserve">High</w:t>
                  </w:r>
                </w:p>
              </w:tc>
              <w:tc>
                <w:tcPr/>
                <w:p>
                  <w:pPr>
                    <w:pStyle w:val="Compact"/>
                    <w:jc w:val="right"/>
                    <w:jc w:val="center"/>
                  </w:pPr>
                  <w:r>
                    <w:t xml:space="preserve">0.901 [0.805, 0.997]</w:t>
                  </w:r>
                </w:p>
              </w:tc>
              <w:tc>
                <w:tcPr/>
                <w:p>
                  <w:pPr>
                    <w:pStyle w:val="Compact"/>
                    <w:jc w:val="right"/>
                    <w:jc w:val="center"/>
                  </w:pPr>
                  <w:r>
                    <w:t xml:space="preserve">2.093 [2.061, 2.123]</w:t>
                  </w:r>
                </w:p>
              </w:tc>
              <w:tc>
                <w:tcPr/>
                <w:p>
                  <w:pPr>
                    <w:pStyle w:val="Compact"/>
                    <w:jc w:val="right"/>
                    <w:jc w:val="center"/>
                  </w:pPr>
                  <w:r>
                    <w:t xml:space="preserve">0.548 [0.533, 0.563]</w:t>
                  </w:r>
                </w:p>
              </w:tc>
            </w:tr>
            <w:tr>
              <w:tc>
                <w:tcPr/>
                <w:p>
                  <w:pPr>
                    <w:pStyle w:val="Compact"/>
                    <w:jc w:val="left"/>
                    <w:jc w:val="center"/>
                  </w:pPr>
                  <w:r>
                    <w:t xml:space="preserve">VDT</w:t>
                  </w:r>
                </w:p>
              </w:tc>
              <w:tc>
                <w:tcPr/>
                <w:p>
                  <w:pPr>
                    <w:pStyle w:val="Compact"/>
                    <w:jc w:val="left"/>
                    <w:jc w:val="center"/>
                  </w:pPr>
                  <w:r>
                    <w:t xml:space="preserve">Hard</w:t>
                  </w:r>
                </w:p>
              </w:tc>
              <w:tc>
                <w:tcPr/>
                <w:p>
                  <w:pPr>
                    <w:pStyle w:val="Compact"/>
                    <w:jc w:val="left"/>
                    <w:jc w:val="center"/>
                  </w:pPr>
                  <w:r>
                    <w:t xml:space="preserve">Low</w:t>
                  </w:r>
                </w:p>
              </w:tc>
              <w:tc>
                <w:tcPr/>
                <w:p>
                  <w:pPr>
                    <w:pStyle w:val="Compact"/>
                    <w:jc w:val="right"/>
                    <w:jc w:val="center"/>
                  </w:pPr>
                  <w:r>
                    <w:t xml:space="preserve">-0.545 [-0.641, -0.453]</w:t>
                  </w:r>
                </w:p>
              </w:tc>
              <w:tc>
                <w:tcPr/>
                <w:p>
                  <w:pPr>
                    <w:pStyle w:val="Compact"/>
                    <w:jc w:val="right"/>
                    <w:jc w:val="center"/>
                  </w:pPr>
                  <w:r>
                    <w:t xml:space="preserve">2.119 [2.093, 2.145]</w:t>
                  </w:r>
                </w:p>
              </w:tc>
              <w:tc>
                <w:tcPr/>
                <w:p>
                  <w:pPr>
                    <w:pStyle w:val="Compact"/>
                    <w:jc w:val="right"/>
                    <w:jc w:val="center"/>
                  </w:pPr>
                  <w:r>
                    <w:t xml:space="preserve">0.549 [0.534, 0.564]</w:t>
                  </w:r>
                </w:p>
              </w:tc>
            </w:tr>
            <w:tr>
              <w:tc>
                <w:tcPr/>
                <w:p>
                  <w:pPr>
                    <w:pStyle w:val="Compact"/>
                    <w:jc w:val="left"/>
                    <w:jc w:val="center"/>
                  </w:pPr>
                  <w:r>
                    <w:t xml:space="preserve">VDT</w:t>
                  </w:r>
                </w:p>
              </w:tc>
              <w:tc>
                <w:tcPr/>
                <w:p>
                  <w:pPr>
                    <w:pStyle w:val="Compact"/>
                    <w:jc w:val="left"/>
                    <w:jc w:val="center"/>
                  </w:pPr>
                  <w:r>
                    <w:t xml:space="preserve">Hard</w:t>
                  </w:r>
                </w:p>
              </w:tc>
              <w:tc>
                <w:tcPr/>
                <w:p>
                  <w:pPr>
                    <w:pStyle w:val="Compact"/>
                    <w:jc w:val="left"/>
                    <w:jc w:val="center"/>
                  </w:pPr>
                  <w:r>
                    <w:t xml:space="preserve">High</w:t>
                  </w:r>
                </w:p>
              </w:tc>
              <w:tc>
                <w:tcPr/>
                <w:p>
                  <w:pPr>
                    <w:pStyle w:val="Compact"/>
                    <w:jc w:val="right"/>
                    <w:jc w:val="center"/>
                  </w:pPr>
                  <w:r>
                    <w:t xml:space="preserve">-0.604 [-0.697, -0.509]</w:t>
                  </w:r>
                </w:p>
              </w:tc>
              <w:tc>
                <w:tcPr/>
                <w:p>
                  <w:pPr>
                    <w:pStyle w:val="Compact"/>
                    <w:jc w:val="right"/>
                    <w:jc w:val="center"/>
                  </w:pPr>
                  <w:r>
                    <w:t xml:space="preserve">2.156 [2.130, 2.183]</w:t>
                  </w:r>
                </w:p>
              </w:tc>
              <w:tc>
                <w:tcPr/>
                <w:p>
                  <w:pPr>
                    <w:pStyle w:val="Compact"/>
                    <w:jc w:val="right"/>
                    <w:jc w:val="center"/>
                  </w:pPr>
                  <w:r>
                    <w:t xml:space="preserve">0.548 [0.533, 0.563]</w:t>
                  </w:r>
                </w:p>
              </w:tc>
            </w:tr>
          </w:tbl>
          <w:bookmarkEnd w:id="96"/>
          <w:p/>
        </w:tc>
      </w:tr>
    </w:tbl>
    <w:bookmarkEnd w:id="97"/>
    <w:bookmarkStart w:id="103" w:name="a2.4-standard-only-calibration"/>
    <w:p>
      <w:pPr>
        <w:pStyle w:val="Heading3"/>
      </w:pPr>
      <w:r>
        <w:t xml:space="preserve">A2.4 Standard-only calibration</w:t>
      </w:r>
    </w:p>
    <w:tbl>
      <w:tblPr>
        <w:tblStyle w:val="Table"/>
        <w:tblW w:type="pct" w:w="5000"/>
        <w:tblLayout w:type="fixed"/>
        <w:tblLook w:firstRow="0" w:lastRow="0" w:firstColumn="0" w:lastColumn="0" w:noHBand="0" w:noVBand="0" w:val="0000"/>
      </w:tblPr>
      <w:tblGrid>
        <w:gridCol w:w="7920"/>
      </w:tblGrid>
      <w:tr>
        <w:tc>
          <w:tcPr/>
          <w:bookmarkStart w:id="98" w:name="tbl-standard-only-bias-levels"/>
          <w:p>
            <w:pPr>
              <w:jc w:val="center"/>
            </w:pPr>
            <w:pPr>
              <w:jc w:val="start"/>
              <w:spacing w:before="200"/>
              <w:pStyle w:val="ImageCaption"/>
            </w:pPr>
            <w:r>
              <w:t xml:space="preserve">Table 7: Estimated starting-point bias (</w:t>
            </w:r>
            <m:oMath>
              <m:r>
                <m:t>z</m:t>
              </m:r>
            </m:oMath>
            <w:r>
              <w:t xml:space="preserve">) by Task and Effort (Standard-only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Task</w:t>
                  </w:r>
                </w:p>
              </w:tc>
              <w:tc>
                <w:tcPr/>
                <w:p>
                  <w:pPr>
                    <w:pStyle w:val="Compact"/>
                    <w:jc w:val="left"/>
                    <w:jc w:val="center"/>
                  </w:pPr>
                  <w:r>
                    <w:t xml:space="preserve">Effort</w:t>
                  </w:r>
                </w:p>
              </w:tc>
              <w:tc>
                <w:tcPr/>
                <w:p>
                  <w:pPr>
                    <w:pStyle w:val="Compact"/>
                    <w:jc w:val="right"/>
                    <w:jc w:val="center"/>
                  </w:pPr>
                  <w:r>
                    <w:t xml:space="preserve">Mean z</w:t>
                  </w:r>
                </w:p>
              </w:tc>
              <w:tc>
                <w:tcPr/>
                <w:p>
                  <w:pPr>
                    <w:pStyle w:val="Compact"/>
                    <w:jc w:val="left"/>
                    <w:jc w:val="center"/>
                  </w:pPr>
                  <w:r>
                    <w:t xml:space="preserve">95% CrI</w:t>
                  </w:r>
                </w:p>
              </w:tc>
            </w:tr>
            <w:tr>
              <w:tc>
                <w:tcPr/>
                <w:p>
                  <w:pPr>
                    <w:pStyle w:val="Compact"/>
                    <w:jc w:val="left"/>
                    <w:jc w:val="center"/>
                  </w:pPr>
                  <w:r>
                    <w:t xml:space="preserve">ADT</w:t>
                  </w:r>
                </w:p>
              </w:tc>
              <w:tc>
                <w:tcPr/>
                <w:p>
                  <w:pPr>
                    <w:pStyle w:val="Compact"/>
                    <w:jc w:val="left"/>
                    <w:jc w:val="center"/>
                  </w:pPr>
                  <w:r>
                    <w:t xml:space="preserve">low</w:t>
                  </w:r>
                </w:p>
              </w:tc>
              <w:tc>
                <w:tcPr/>
                <w:p>
                  <w:pPr>
                    <w:pStyle w:val="Compact"/>
                    <w:jc w:val="right"/>
                    <w:jc w:val="center"/>
                  </w:pPr>
                  <w:r>
                    <w:t xml:space="preserve">0.597</w:t>
                  </w:r>
                </w:p>
              </w:tc>
              <w:tc>
                <w:tcPr/>
                <w:p>
                  <w:pPr>
                    <w:pStyle w:val="Compact"/>
                    <w:jc w:val="left"/>
                    <w:jc w:val="center"/>
                  </w:pPr>
                  <w:r>
                    <w:t xml:space="preserve">[0.567, 0.628]</w:t>
                  </w:r>
                </w:p>
              </w:tc>
            </w:tr>
            <w:tr>
              <w:tc>
                <w:tcPr/>
                <w:p>
                  <w:pPr>
                    <w:pStyle w:val="Compact"/>
                    <w:jc w:val="left"/>
                    <w:jc w:val="center"/>
                  </w:pPr>
                  <w:r>
                    <w:t xml:space="preserve">ADT</w:t>
                  </w:r>
                </w:p>
              </w:tc>
              <w:tc>
                <w:tcPr/>
                <w:p>
                  <w:pPr>
                    <w:pStyle w:val="Compact"/>
                    <w:jc w:val="left"/>
                    <w:jc w:val="center"/>
                  </w:pPr>
                  <w:r>
                    <w:t xml:space="preserve">high</w:t>
                  </w:r>
                </w:p>
              </w:tc>
              <w:tc>
                <w:tcPr/>
                <w:p>
                  <w:pPr>
                    <w:pStyle w:val="Compact"/>
                    <w:jc w:val="right"/>
                    <w:jc w:val="center"/>
                  </w:pPr>
                  <w:r>
                    <w:t xml:space="preserve">0.603</w:t>
                  </w:r>
                </w:p>
              </w:tc>
              <w:tc>
                <w:tcPr/>
                <w:p>
                  <w:pPr>
                    <w:pStyle w:val="Compact"/>
                    <w:jc w:val="left"/>
                    <w:jc w:val="center"/>
                  </w:pPr>
                  <w:r>
                    <w:t xml:space="preserve">[0.574, 0.633]</w:t>
                  </w:r>
                </w:p>
              </w:tc>
            </w:tr>
            <w:tr>
              <w:tc>
                <w:tcPr/>
                <w:p>
                  <w:pPr>
                    <w:pStyle w:val="Compact"/>
                    <w:jc w:val="left"/>
                    <w:jc w:val="center"/>
                  </w:pPr>
                  <w:r>
                    <w:t xml:space="preserve">VDT</w:t>
                  </w:r>
                </w:p>
              </w:tc>
              <w:tc>
                <w:tcPr/>
                <w:p>
                  <w:pPr>
                    <w:pStyle w:val="Compact"/>
                    <w:jc w:val="left"/>
                    <w:jc w:val="center"/>
                  </w:pPr>
                  <w:r>
                    <w:t xml:space="preserve">low</w:t>
                  </w:r>
                </w:p>
              </w:tc>
              <w:tc>
                <w:tcPr/>
                <w:p>
                  <w:pPr>
                    <w:pStyle w:val="Compact"/>
                    <w:jc w:val="right"/>
                    <w:jc w:val="center"/>
                  </w:pPr>
                  <w:r>
                    <w:t xml:space="preserve">0.559</w:t>
                  </w:r>
                </w:p>
              </w:tc>
              <w:tc>
                <w:tcPr/>
                <w:p>
                  <w:pPr>
                    <w:pStyle w:val="Compact"/>
                    <w:jc w:val="left"/>
                    <w:jc w:val="center"/>
                  </w:pPr>
                  <w:r>
                    <w:t xml:space="preserve">[0.527, 0.589]</w:t>
                  </w:r>
                </w:p>
              </w:tc>
            </w:tr>
            <w:tr>
              <w:tc>
                <w:tcPr/>
                <w:p>
                  <w:pPr>
                    <w:pStyle w:val="Compact"/>
                    <w:jc w:val="left"/>
                    <w:jc w:val="center"/>
                  </w:pPr>
                  <w:r>
                    <w:t xml:space="preserve">VDT</w:t>
                  </w:r>
                </w:p>
              </w:tc>
              <w:tc>
                <w:tcPr/>
                <w:p>
                  <w:pPr>
                    <w:pStyle w:val="Compact"/>
                    <w:jc w:val="left"/>
                    <w:jc w:val="center"/>
                  </w:pPr>
                  <w:r>
                    <w:t xml:space="preserve">high</w:t>
                  </w:r>
                </w:p>
              </w:tc>
              <w:tc>
                <w:tcPr/>
                <w:p>
                  <w:pPr>
                    <w:pStyle w:val="Compact"/>
                    <w:jc w:val="right"/>
                    <w:jc w:val="center"/>
                  </w:pPr>
                  <w:r>
                    <w:t xml:space="preserve">0.565</w:t>
                  </w:r>
                </w:p>
              </w:tc>
              <w:tc>
                <w:tcPr/>
                <w:p>
                  <w:pPr>
                    <w:pStyle w:val="Compact"/>
                    <w:jc w:val="left"/>
                    <w:jc w:val="center"/>
                  </w:pPr>
                  <w:r>
                    <w:t xml:space="preserve">[0.535, 0.595]</w:t>
                  </w:r>
                </w:p>
              </w:tc>
            </w:tr>
          </w:tbl>
          <w:bookmarkEnd w:id="98"/>
          <w:p/>
        </w:tc>
      </w:tr>
    </w:tbl>
    <w:tbl>
      <w:tblPr>
        <w:tblStyle w:val="Table"/>
        <w:tblW w:type="pct" w:w="5000"/>
        <w:tblLayout w:type="fixed"/>
        <w:tblLook w:firstRow="0" w:lastRow="0" w:firstColumn="0" w:lastColumn="0" w:noHBand="0" w:noVBand="0" w:val="0000"/>
      </w:tblPr>
      <w:tblGrid>
        <w:gridCol w:w="7920"/>
      </w:tblGrid>
      <w:tr>
        <w:tc>
          <w:tcPr/>
          <w:bookmarkStart w:id="102" w:name="fig-a2-bias-calibration-panel"/>
          <w:p>
            <w:pPr>
              <w:pStyle w:val="Compact"/>
              <w:jc w:val="center"/>
            </w:pPr>
            <w:r>
              <w:drawing>
                <wp:inline>
                  <wp:extent cx="5334000" cy="4267200"/>
                  <wp:effectExtent b="0" l="0" r="0" t="0"/>
                  <wp:docPr descr="" title="" id="100" name="Picture"/>
                  <a:graphic>
                    <a:graphicData uri="http://schemas.openxmlformats.org/drawingml/2006/picture">
                      <pic:pic>
                        <pic:nvPicPr>
                          <pic:cNvPr descr="chap3_ddm_results_files/figure-docx/fig-a2-bias-calibration-panel-1.png" id="101" name="Picture"/>
                          <pic:cNvPicPr>
                            <a:picLocks noChangeArrowheads="1" noChangeAspect="1"/>
                          </pic:cNvPicPr>
                        </pic:nvPicPr>
                        <pic:blipFill>
                          <a:blip r:embed="rId9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w:t>
            </w:r>
            <w:r>
              <w:t xml:space="preserve"> </w:t>
            </w:r>
            <w:r>
              <w:rPr>
                <w:b/>
                <w:bCs/>
              </w:rPr>
              <w:t xml:space="preserve">Starting-point bias (</w:t>
            </w:r>
            <m:oMath>
              <m:r>
                <m:t>z</m:t>
              </m:r>
            </m:oMath>
            <w:r>
              <w:rPr>
                <w:b/>
                <w:bCs/>
              </w:rPr>
              <w:t xml:space="preserve">) by Task and Effort.</w:t>
            </w:r>
            <w:r>
              <w:t xml:space="preserve"> </w:t>
            </w:r>
            <w:r>
              <w:rPr>
                <w:b/>
                <w:bCs/>
              </w:rPr>
              <w:t xml:space="preserve">(A)</w:t>
            </w:r>
            <w:r>
              <w:t xml:space="preserve"> </w:t>
            </w:r>
            <w:r>
              <w:t xml:space="preserve">Standard-only calibration model. Points show posterior means with 95% credible intervals. Values above 0.5 indicate bias toward</w:t>
            </w:r>
            <w:r>
              <w:t xml:space="preserve"> </w:t>
            </w:r>
            <w:r>
              <w:t xml:space="preserve">‘different’</w:t>
            </w:r>
            <w:r>
              <w:t xml:space="preserve"> </w:t>
            </w:r>
            <w:r>
              <w:t xml:space="preserve">responses. ADT shows higher bias toward</w:t>
            </w:r>
            <w:r>
              <w:t xml:space="preserve"> </w:t>
            </w:r>
            <w:r>
              <w:t xml:space="preserve">‘different’</w:t>
            </w:r>
            <w:r>
              <w:t xml:space="preserve"> </w:t>
            </w:r>
            <w:r>
              <w:t xml:space="preserve">than VDT; effort effects are minimal.</w:t>
            </w:r>
            <w:r>
              <w:t xml:space="preserve"> </w:t>
            </w:r>
            <w:r>
              <w:rPr>
                <w:b/>
                <w:bCs/>
              </w:rPr>
              <w:t xml:space="preserve">(B)</w:t>
            </w:r>
            <w:r>
              <w:t xml:space="preserve"> </w:t>
            </w:r>
            <w:r>
              <w:t xml:space="preserve">Primary additive model (Standard trials only). Points show posterior medians with 95% credible intervals. Dashed line marks</w:t>
            </w:r>
            <w:r>
              <w:t xml:space="preserve"> </w:t>
            </w:r>
            <m:oMath>
              <m:r>
                <m:t>z</m:t>
              </m:r>
              <m:r>
                <m:rPr>
                  <m:sty m:val="p"/>
                </m:rPr>
                <m:t>=</m:t>
              </m:r>
              <m:r>
                <m:t>0.5</m:t>
              </m:r>
            </m:oMath>
            <w:r>
              <w:t xml:space="preserve"> </w:t>
            </w:r>
            <w:r>
              <w:t xml:space="preserve">(no bias). These estimates reflect bias jointly identified with drift rate across all trial types; the standard-only canonical estimates are in Panel A and</w:t>
            </w:r>
            <w:r>
              <w:t xml:space="preserve"> </w:t>
            </w:r>
            <w:hyperlink w:anchor="tbl-standard-only-bias-levels">
              <w:r>
                <w:rPr>
                  <w:rStyle w:val="Hyperlink"/>
                </w:rPr>
                <w:t xml:space="preserve">Table 7</w:t>
              </w:r>
            </w:hyperlink>
            <w:r>
              <w:t xml:space="preserve">. Effort contrasts on</w:t>
            </w:r>
            <w:r>
              <w:t xml:space="preserve"> </w:t>
            </w:r>
            <m:oMath>
              <m:r>
                <m:t>z</m:t>
              </m:r>
            </m:oMath>
            <w:r>
              <w:t xml:space="preserve"> </w:t>
            </w:r>
            <w:r>
              <w:t xml:space="preserve">are near-zero in both tasks (H4; 95% CrI spans zero); see</w:t>
            </w:r>
            <w:r>
              <w:t xml:space="preserve"> </w:t>
            </w:r>
            <w:hyperlink w:anchor="tbl-hyp-summary">
              <w:r>
                <w:rPr>
                  <w:rStyle w:val="Hyperlink"/>
                </w:rPr>
                <w:t xml:space="preserve">Table 2</w:t>
              </w:r>
            </w:hyperlink>
            <w:r>
              <w:t xml:space="preserve"> </w:t>
            </w:r>
            <w:r>
              <w:t xml:space="preserve">for the graded evidence classification.</w:t>
            </w:r>
          </w:p>
          <w:bookmarkEnd w:id="102"/>
        </w:tc>
      </w:tr>
    </w:tbl>
    <w:p>
      <w:pPr>
        <w:pStyle w:val="BodyText"/>
      </w:pPr>
      <w:r>
        <w:t xml:space="preserve">Panel B shows primary-model estimates of starting-point bias across tasks and effort conditions, complementing the canonical standard-only estimates in Panel A and the main text (</w:t>
      </w:r>
      <w:hyperlink w:anchor="sec-starting-point-bias">
        <w:r>
          <w:rPr>
            <w:rStyle w:val="Hyperlink"/>
          </w:rPr>
          <w:t xml:space="preserve">Section 3.2.2</w:t>
        </w:r>
      </w:hyperlink>
      <w:r>
        <w:t xml:space="preserve">,</w:t>
      </w:r>
      <w:r>
        <w:t xml:space="preserve"> </w:t>
      </w:r>
      <w:hyperlink w:anchor="tbl-standard-only-bias-levels">
        <w:r>
          <w:rPr>
            <w:rStyle w:val="Hyperlink"/>
          </w:rPr>
          <w:t xml:space="preserve">Table 7</w:t>
        </w:r>
      </w:hyperlink>
      <w:r>
        <w:t xml:space="preserve">).</w:t>
      </w:r>
    </w:p>
    <w:bookmarkEnd w:id="103"/>
    <w:bookmarkStart w:id="105" w:name="a2.5-baseline-pupil-diameter"/>
    <w:p>
      <w:pPr>
        <w:pStyle w:val="Heading3"/>
      </w:pPr>
      <w:r>
        <w:t xml:space="preserve">A2.5 Baseline pupil diameter</w:t>
      </w:r>
    </w:p>
    <w:p>
      <w:pPr>
        <w:pStyle w:val="FirstParagraph"/>
      </w:pPr>
      <w:hyperlink w:anchor="tbl-baseline-pupil">
        <w:r>
          <w:rPr>
            <w:rStyle w:val="Hyperlink"/>
          </w:rPr>
          <w:t xml:space="preserve">Table 8</w:t>
        </w:r>
      </w:hyperlink>
      <w:r>
        <w:t xml:space="preserve"> </w:t>
      </w:r>
      <w:r>
        <w:t xml:space="preserve">reports descriptive baseline pupil diameter by Task and Effort condition, reflecting tonic arousal state prior to evidence accumulation onset.</w:t>
      </w:r>
    </w:p>
    <w:tbl>
      <w:tblPr>
        <w:tblStyle w:val="Table"/>
        <w:tblW w:type="pct" w:w="5000"/>
        <w:tblLayout w:type="fixed"/>
        <w:tblLook w:firstRow="0" w:lastRow="0" w:firstColumn="0" w:lastColumn="0" w:noHBand="0" w:noVBand="0" w:val="0000"/>
      </w:tblPr>
      <w:tblGrid>
        <w:gridCol w:w="7920"/>
      </w:tblGrid>
      <w:tr>
        <w:tc>
          <w:tcPr/>
          <w:bookmarkStart w:id="104" w:name="tbl-baseline-pupil"/>
          <w:p>
            <w:pPr>
              <w:jc w:val="center"/>
            </w:pPr>
            <w:pPr>
              <w:jc w:val="start"/>
              <w:spacing w:before="200"/>
              <w:pStyle w:val="ImageCaption"/>
            </w:pPr>
            <w:r>
              <w:t xml:space="preserve">Table 8: Baseline pupil diameter (tonic arousal) by Task and Effort condition. Values are descriptive summaries from the pre-trial baseline window (−0.5 s to 0 s relative to squeeze onset).</w:t>
            </w:r>
          </w:p>
          <w:tbl>
            <w:tblPr>
              <w:tblStyle w:val="Table"/>
              <w:tblW w:type="pct" w:w="5000"/>
              <w:tblLayout w:type="fixed"/>
              <w:tblLook w:firstRow="1" w:lastRow="0" w:firstColumn="0" w:lastColumn="0" w:noHBand="0" w:noVBand="0" w:val="0020"/>
            </w:tblPr>
            <w:tblGrid>
              <w:gridCol w:w="1300"/>
              <w:gridCol w:w="1773"/>
              <w:gridCol w:w="1182"/>
              <w:gridCol w:w="945"/>
              <w:gridCol w:w="1418"/>
              <w:gridCol w:w="1300"/>
            </w:tblGrid>
            <w:tr>
              <w:trPr>
                <w:tblHeader w:val="on"/>
              </w:trPr>
              <w:tc>
                <w:tcPr/>
                <w:p>
                  <w:pPr>
                    <w:pStyle w:val="Compact"/>
                    <w:jc w:val="left"/>
                    <w:jc w:val="center"/>
                  </w:pPr>
                  <w:r>
                    <w:t xml:space="preserve">Task_Group</w:t>
                  </w:r>
                </w:p>
              </w:tc>
              <w:tc>
                <w:tcPr/>
                <w:p>
                  <w:pPr>
                    <w:pStyle w:val="Compact"/>
                    <w:jc w:val="left"/>
                    <w:jc w:val="center"/>
                  </w:pPr>
                  <w:r>
                    <w:t xml:space="preserve">Effort</w:t>
                  </w:r>
                </w:p>
              </w:tc>
              <w:tc>
                <w:tcPr/>
                <w:p>
                  <w:pPr>
                    <w:pStyle w:val="Compact"/>
                    <w:jc w:val="right"/>
                    <w:jc w:val="center"/>
                  </w:pPr>
                  <w:r>
                    <w:t xml:space="preserve">Mean (AU)</w:t>
                  </w:r>
                </w:p>
              </w:tc>
              <w:tc>
                <w:tcPr/>
                <w:p>
                  <w:pPr>
                    <w:pStyle w:val="Compact"/>
                    <w:jc w:val="right"/>
                    <w:jc w:val="center"/>
                  </w:pPr>
                  <w:r>
                    <w:t xml:space="preserve">SD (AU)</w:t>
                  </w:r>
                </w:p>
              </w:tc>
              <w:tc>
                <w:tcPr/>
                <w:p>
                  <w:pPr>
                    <w:pStyle w:val="Compact"/>
                    <w:jc w:val="right"/>
                    <w:jc w:val="center"/>
                  </w:pPr>
                  <w:r>
                    <w:t xml:space="preserve">Median (AU)</w:t>
                  </w:r>
                </w:p>
              </w:tc>
              <w:tc>
                <w:tcPr/>
                <w:p>
                  <w:pPr>
                    <w:pStyle w:val="Compact"/>
                    <w:jc w:val="right"/>
                    <w:jc w:val="center"/>
                  </w:pPr>
                  <w:r>
                    <w:t xml:space="preserve">N Subjects</w:t>
                  </w:r>
                </w:p>
              </w:tc>
            </w:tr>
            <w:tr>
              <w:tc>
                <w:tcPr/>
                <w:p>
                  <w:pPr>
                    <w:pStyle w:val="Compact"/>
                    <w:jc w:val="left"/>
                    <w:jc w:val="center"/>
                  </w:pPr>
                  <w:r>
                    <w:t xml:space="preserve">ADT</w:t>
                  </w:r>
                </w:p>
              </w:tc>
              <w:tc>
                <w:tcPr/>
                <w:p>
                  <w:pPr>
                    <w:pStyle w:val="Compact"/>
                    <w:jc w:val="left"/>
                    <w:jc w:val="center"/>
                  </w:pPr>
                  <w:r>
                    <w:t xml:space="preserve">High (40% MVC)</w:t>
                  </w:r>
                </w:p>
              </w:tc>
              <w:tc>
                <w:tcPr/>
                <w:p>
                  <w:pPr>
                    <w:pStyle w:val="Compact"/>
                    <w:jc w:val="right"/>
                    <w:jc w:val="center"/>
                  </w:pPr>
                  <w:r>
                    <w:t xml:space="preserve">31.68</w:t>
                  </w:r>
                </w:p>
              </w:tc>
              <w:tc>
                <w:tcPr/>
                <w:p>
                  <w:pPr>
                    <w:pStyle w:val="Compact"/>
                    <w:jc w:val="right"/>
                    <w:jc w:val="center"/>
                  </w:pPr>
                  <w:r>
                    <w:t xml:space="preserve">9.74</w:t>
                  </w:r>
                </w:p>
              </w:tc>
              <w:tc>
                <w:tcPr/>
                <w:p>
                  <w:pPr>
                    <w:pStyle w:val="Compact"/>
                    <w:jc w:val="right"/>
                    <w:jc w:val="center"/>
                  </w:pPr>
                  <w:r>
                    <w:t xml:space="preserve">28.56</w:t>
                  </w:r>
                </w:p>
              </w:tc>
              <w:tc>
                <w:tcPr/>
                <w:p>
                  <w:pPr>
                    <w:pStyle w:val="Compact"/>
                    <w:jc w:val="right"/>
                    <w:jc w:val="center"/>
                  </w:pPr>
                  <w:r>
                    <w:t xml:space="preserve">51</w:t>
                  </w:r>
                </w:p>
              </w:tc>
            </w:tr>
            <w:tr>
              <w:tc>
                <w:tcPr/>
                <w:p>
                  <w:pPr>
                    <w:pStyle w:val="Compact"/>
                    <w:jc w:val="left"/>
                    <w:jc w:val="center"/>
                  </w:pPr>
                  <w:r>
                    <w:t xml:space="preserve">ADT</w:t>
                  </w:r>
                </w:p>
              </w:tc>
              <w:tc>
                <w:tcPr/>
                <w:p>
                  <w:pPr>
                    <w:pStyle w:val="Compact"/>
                    <w:jc w:val="left"/>
                    <w:jc w:val="center"/>
                  </w:pPr>
                  <w:r>
                    <w:t xml:space="preserve">Low (5% MVC)</w:t>
                  </w:r>
                </w:p>
              </w:tc>
              <w:tc>
                <w:tcPr/>
                <w:p>
                  <w:pPr>
                    <w:pStyle w:val="Compact"/>
                    <w:jc w:val="right"/>
                    <w:jc w:val="center"/>
                  </w:pPr>
                  <w:r>
                    <w:t xml:space="preserve">32.70</w:t>
                  </w:r>
                </w:p>
              </w:tc>
              <w:tc>
                <w:tcPr/>
                <w:p>
                  <w:pPr>
                    <w:pStyle w:val="Compact"/>
                    <w:jc w:val="right"/>
                    <w:jc w:val="center"/>
                  </w:pPr>
                  <w:r>
                    <w:t xml:space="preserve">10.01</w:t>
                  </w:r>
                </w:p>
              </w:tc>
              <w:tc>
                <w:tcPr/>
                <w:p>
                  <w:pPr>
                    <w:pStyle w:val="Compact"/>
                    <w:jc w:val="right"/>
                    <w:jc w:val="center"/>
                  </w:pPr>
                  <w:r>
                    <w:t xml:space="preserve">29.79</w:t>
                  </w:r>
                </w:p>
              </w:tc>
              <w:tc>
                <w:tcPr/>
                <w:p>
                  <w:pPr>
                    <w:pStyle w:val="Compact"/>
                    <w:jc w:val="right"/>
                    <w:jc w:val="center"/>
                  </w:pPr>
                  <w:r>
                    <w:t xml:space="preserve">52</w:t>
                  </w:r>
                </w:p>
              </w:tc>
            </w:tr>
            <w:tr>
              <w:tc>
                <w:tcPr/>
                <w:p>
                  <w:pPr>
                    <w:pStyle w:val="Compact"/>
                    <w:jc w:val="left"/>
                    <w:jc w:val="center"/>
                  </w:pPr>
                  <w:r>
                    <w:t xml:space="preserve">VDT</w:t>
                  </w:r>
                </w:p>
              </w:tc>
              <w:tc>
                <w:tcPr/>
                <w:p>
                  <w:pPr>
                    <w:pStyle w:val="Compact"/>
                    <w:jc w:val="left"/>
                    <w:jc w:val="center"/>
                  </w:pPr>
                  <w:r>
                    <w:t xml:space="preserve">High (40% MVC)</w:t>
                  </w:r>
                </w:p>
              </w:tc>
              <w:tc>
                <w:tcPr/>
                <w:p>
                  <w:pPr>
                    <w:pStyle w:val="Compact"/>
                    <w:jc w:val="right"/>
                    <w:jc w:val="center"/>
                  </w:pPr>
                  <w:r>
                    <w:t xml:space="preserve">33.44</w:t>
                  </w:r>
                </w:p>
              </w:tc>
              <w:tc>
                <w:tcPr/>
                <w:p>
                  <w:pPr>
                    <w:pStyle w:val="Compact"/>
                    <w:jc w:val="right"/>
                    <w:jc w:val="center"/>
                  </w:pPr>
                  <w:r>
                    <w:t xml:space="preserve">13.45</w:t>
                  </w:r>
                </w:p>
              </w:tc>
              <w:tc>
                <w:tcPr/>
                <w:p>
                  <w:pPr>
                    <w:pStyle w:val="Compact"/>
                    <w:jc w:val="right"/>
                    <w:jc w:val="center"/>
                  </w:pPr>
                  <w:r>
                    <w:t xml:space="preserve">29.39</w:t>
                  </w:r>
                </w:p>
              </w:tc>
              <w:tc>
                <w:tcPr/>
                <w:p>
                  <w:pPr>
                    <w:pStyle w:val="Compact"/>
                    <w:jc w:val="right"/>
                    <w:jc w:val="center"/>
                  </w:pPr>
                  <w:r>
                    <w:t xml:space="preserve">55</w:t>
                  </w:r>
                </w:p>
              </w:tc>
            </w:tr>
            <w:tr>
              <w:tc>
                <w:tcPr/>
                <w:p>
                  <w:pPr>
                    <w:pStyle w:val="Compact"/>
                    <w:jc w:val="left"/>
                    <w:jc w:val="center"/>
                  </w:pPr>
                  <w:r>
                    <w:t xml:space="preserve">VDT</w:t>
                  </w:r>
                </w:p>
              </w:tc>
              <w:tc>
                <w:tcPr/>
                <w:p>
                  <w:pPr>
                    <w:pStyle w:val="Compact"/>
                    <w:jc w:val="left"/>
                    <w:jc w:val="center"/>
                  </w:pPr>
                  <w:r>
                    <w:t xml:space="preserve">Low (5% MVC)</w:t>
                  </w:r>
                </w:p>
              </w:tc>
              <w:tc>
                <w:tcPr/>
                <w:p>
                  <w:pPr>
                    <w:pStyle w:val="Compact"/>
                    <w:jc w:val="right"/>
                    <w:jc w:val="center"/>
                  </w:pPr>
                  <w:r>
                    <w:t xml:space="preserve">33.99</w:t>
                  </w:r>
                </w:p>
              </w:tc>
              <w:tc>
                <w:tcPr/>
                <w:p>
                  <w:pPr>
                    <w:pStyle w:val="Compact"/>
                    <w:jc w:val="right"/>
                    <w:jc w:val="center"/>
                  </w:pPr>
                  <w:r>
                    <w:t xml:space="preserve">13.73</w:t>
                  </w:r>
                </w:p>
              </w:tc>
              <w:tc>
                <w:tcPr/>
                <w:p>
                  <w:pPr>
                    <w:pStyle w:val="Compact"/>
                    <w:jc w:val="right"/>
                    <w:jc w:val="center"/>
                  </w:pPr>
                  <w:r>
                    <w:t xml:space="preserve">29.47</w:t>
                  </w:r>
                </w:p>
              </w:tc>
              <w:tc>
                <w:tcPr/>
                <w:p>
                  <w:pPr>
                    <w:pStyle w:val="Compact"/>
                    <w:jc w:val="right"/>
                    <w:jc w:val="center"/>
                  </w:pPr>
                  <w:r>
                    <w:t xml:space="preserve">55</w:t>
                  </w:r>
                </w:p>
              </w:tc>
            </w:tr>
          </w:tbl>
          <w:bookmarkEnd w:id="104"/>
          <w:p/>
        </w:tc>
      </w:tr>
    </w:tbl>
    <w:bookmarkEnd w:id="105"/>
    <w:bookmarkStart w:id="107" w:name="a2.6-standard-only-drift-intercept"/>
    <w:p>
      <w:pPr>
        <w:pStyle w:val="Heading3"/>
      </w:pPr>
      <w:r>
        <w:t xml:space="preserve">A2.6 Standard-only drift intercept</w:t>
      </w:r>
    </w:p>
    <w:tbl>
      <w:tblPr>
        <w:tblStyle w:val="Table"/>
        <w:tblW w:type="pct" w:w="5000"/>
        <w:tblLayout w:type="fixed"/>
        <w:tblLook w:firstRow="0" w:lastRow="0" w:firstColumn="0" w:lastColumn="0" w:noHBand="0" w:noVBand="0" w:val="0000"/>
      </w:tblPr>
      <w:tblGrid>
        <w:gridCol w:w="7920"/>
      </w:tblGrid>
      <w:tr>
        <w:tc>
          <w:tcPr/>
          <w:bookmarkStart w:id="106" w:name="tbl-bias-drift-intercept"/>
          <w:p>
            <w:pPr>
              <w:jc w:val="center"/>
            </w:pPr>
            <w:pPr>
              <w:jc w:val="start"/>
              <w:spacing w:before="200"/>
              <w:pStyle w:val="ImageCaption"/>
            </w:pPr>
            <w:r>
              <w:t xml:space="preserve">Table 9: Drift intercept (Standard-only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jc w:val="center"/>
                  </w:pPr>
                  <w:r>
                    <w:t xml:space="preserve">Estimate</w:t>
                  </w:r>
                </w:p>
              </w:tc>
              <w:tc>
                <w:tcPr/>
                <w:p>
                  <w:pPr>
                    <w:pStyle w:val="Compact"/>
                    <w:jc w:val="left"/>
                    <w:jc w:val="center"/>
                  </w:pPr>
                  <w:r>
                    <w:t xml:space="preserve">95% CrI</w:t>
                  </w:r>
                </w:p>
              </w:tc>
            </w:tr>
            <w:tr>
              <w:tc>
                <w:tcPr/>
                <w:p>
                  <w:pPr>
                    <w:pStyle w:val="Compact"/>
                    <w:jc w:val="right"/>
                    <w:jc w:val="center"/>
                  </w:pPr>
                  <w:r>
                    <w:t xml:space="preserve">-1.478</w:t>
                  </w:r>
                </w:p>
              </w:tc>
              <w:tc>
                <w:tcPr/>
                <w:p>
                  <w:pPr>
                    <w:pStyle w:val="Compact"/>
                    <w:jc w:val="left"/>
                    <w:jc w:val="center"/>
                  </w:pPr>
                  <w:r>
                    <w:t xml:space="preserve">[-1.659, -1.303]</w:t>
                  </w:r>
                </w:p>
              </w:tc>
            </w:tr>
          </w:tbl>
          <w:bookmarkEnd w:id="106"/>
          <w:p/>
        </w:tc>
      </w:tr>
    </w:tbl>
    <w:bookmarkEnd w:id="107"/>
    <w:bookmarkEnd w:id="108"/>
    <w:bookmarkStart w:id="130" w:name="app-ch3-ppc"/>
    <w:p>
      <w:pPr>
        <w:pStyle w:val="Heading2"/>
      </w:pPr>
      <w:r>
        <w:t xml:space="preserve">A3. Posterior Predictive Checks and Diagnostics</w:t>
      </w:r>
    </w:p>
    <w:tbl>
      <w:tblPr>
        <w:tblStyle w:val="Table"/>
        <w:tblW w:type="pct" w:w="5000"/>
        <w:tblLayout w:type="fixed"/>
        <w:tblLook w:firstRow="0" w:lastRow="0" w:firstColumn="0" w:lastColumn="0" w:noHBand="0" w:noVBand="0" w:val="0000"/>
      </w:tblPr>
      <w:tblGrid>
        <w:gridCol w:w="7920"/>
      </w:tblGrid>
      <w:tr>
        <w:tc>
          <w:tcPr/>
          <w:bookmarkStart w:id="109" w:name="tbl-convergence-ppc-gate-appendix"/>
          <w:p>
            <w:pPr>
              <w:jc w:val="center"/>
            </w:pPr>
            <w:pPr>
              <w:jc w:val="start"/>
              <w:spacing w:before="200"/>
              <w:pStyle w:val="ImageCaption"/>
            </w:pPr>
            <w:r>
              <w:t xml:space="preserve">Table 10: Convergence and PPC diagnostics (primary model). Convergence: PASS. PPC: FAIL strict thresholds (fast-tail misfit; mid-body fit acceptable). Convergence and PPC use different criteria — see main text (</w:t>
            </w:r>
            <w:hyperlink w:anchor="sec-behavioral-ddm">
              <w:r>
                <w:rPr>
                  <w:rStyle w:val="Hyperlink"/>
                </w:rPr>
                <w:t xml:space="preserve">Section 3.2</w:t>
              </w:r>
            </w:hyperlink>
            <w:r>
              <w:t xml:space="preserve">).</w:t>
            </w:r>
          </w:p>
          <w:tbl>
            <w:tblPr>
              <w:tblStyle w:val="Table"/>
              <w:tblW w:type="pct" w:w="5000"/>
              <w:tblLayout w:type="fixed"/>
              <w:tblLook w:firstRow="1" w:lastRow="0" w:firstColumn="0" w:lastColumn="0" w:noHBand="0" w:noVBand="0" w:val="0020"/>
            </w:tblPr>
            <w:tblGrid>
              <w:gridCol w:w="3123"/>
              <w:gridCol w:w="4796"/>
            </w:tblGrid>
            <w:tr>
              <w:trPr>
                <w:tblHeader w:val="on"/>
              </w:trPr>
              <w:tc>
                <w:tcPr/>
                <w:p>
                  <w:pPr>
                    <w:pStyle w:val="Compact"/>
                    <w:jc w:val="left"/>
                    <w:jc w:val="center"/>
                  </w:pPr>
                  <w:r>
                    <w:t xml:space="preserve">Metric</w:t>
                  </w:r>
                </w:p>
              </w:tc>
              <w:tc>
                <w:tcPr/>
                <w:p>
                  <w:pPr>
                    <w:pStyle w:val="Compact"/>
                    <w:jc w:val="left"/>
                    <w:jc w:val="center"/>
                  </w:pPr>
                  <w:r>
                    <w:t xml:space="preserve">Value</w:t>
                  </w:r>
                </w:p>
              </w:tc>
            </w:tr>
            <w:tr>
              <w:tc>
                <w:tcPr/>
                <w:p>
                  <w:pPr>
                    <w:pStyle w:val="Compact"/>
                    <w:jc w:val="left"/>
                    <w:jc w:val="center"/>
                  </w:pPr>
                  <w:r>
                    <w:t xml:space="preserve">Max R-hat</w:t>
                  </w:r>
                </w:p>
              </w:tc>
              <w:tc>
                <w:tcPr/>
                <w:p>
                  <w:pPr>
                    <w:pStyle w:val="Compact"/>
                    <w:jc w:val="left"/>
                    <w:jc w:val="center"/>
                  </w:pPr>
                  <w:r>
                    <w:t xml:space="preserve">1.0057</w:t>
                  </w:r>
                </w:p>
              </w:tc>
            </w:tr>
            <w:tr>
              <w:tc>
                <w:tcPr/>
                <w:p>
                  <w:pPr>
                    <w:pStyle w:val="Compact"/>
                    <w:jc w:val="left"/>
                    <w:jc w:val="center"/>
                  </w:pPr>
                  <w:r>
                    <w:t xml:space="preserve">Min bulk ESS</w:t>
                  </w:r>
                </w:p>
              </w:tc>
              <w:tc>
                <w:tcPr/>
                <w:p>
                  <w:pPr>
                    <w:pStyle w:val="Compact"/>
                    <w:jc w:val="left"/>
                    <w:jc w:val="center"/>
                  </w:pPr>
                  <w:r>
                    <w:t xml:space="preserve">745</w:t>
                  </w:r>
                </w:p>
              </w:tc>
            </w:tr>
            <w:tr>
              <w:tc>
                <w:tcPr/>
                <w:p>
                  <w:pPr>
                    <w:pStyle w:val="Compact"/>
                    <w:jc w:val="left"/>
                    <w:jc w:val="center"/>
                  </w:pPr>
                  <w:r>
                    <w:t xml:space="preserve">Min tail ESS</w:t>
                  </w:r>
                </w:p>
              </w:tc>
              <w:tc>
                <w:tcPr/>
                <w:p>
                  <w:pPr>
                    <w:pStyle w:val="Compact"/>
                    <w:jc w:val="left"/>
                    <w:jc w:val="center"/>
                  </w:pPr>
                  <w:r>
                    <w:t xml:space="preserve">1669</w:t>
                  </w:r>
                </w:p>
              </w:tc>
            </w:tr>
            <w:tr>
              <w:tc>
                <w:tcPr/>
                <w:p>
                  <w:pPr>
                    <w:pStyle w:val="Compact"/>
                    <w:jc w:val="left"/>
                    <w:jc w:val="center"/>
                  </w:pPr>
                  <w:r>
                    <w:t xml:space="preserve">Divergent transitions</w:t>
                  </w:r>
                </w:p>
              </w:tc>
              <w:tc>
                <w:tcPr/>
                <w:p>
                  <w:pPr>
                    <w:pStyle w:val="Compact"/>
                    <w:jc w:val="left"/>
                    <w:jc w:val="center"/>
                  </w:pPr>
                  <w:r>
                    <w:t xml:space="preserve">0</w:t>
                  </w:r>
                </w:p>
              </w:tc>
            </w:tr>
            <w:tr>
              <w:tc>
                <w:tcPr/>
                <w:p>
                  <w:pPr>
                    <w:pStyle w:val="Compact"/>
                    <w:jc w:val="left"/>
                    <w:jc w:val="center"/>
                  </w:pPr>
                  <w:r>
                    <w:t xml:space="preserve">Verdict</w:t>
                  </w:r>
                </w:p>
              </w:tc>
              <w:tc>
                <w:tcPr/>
                <w:p>
                  <w:pPr>
                    <w:pStyle w:val="Compact"/>
                    <w:jc w:val="left"/>
                    <w:jc w:val="center"/>
                  </w:pPr>
                  <w:r>
                    <w:t xml:space="preserve">PASS</w:t>
                  </w:r>
                </w:p>
              </w:tc>
            </w:tr>
            <w:tr>
              <w:tc>
                <w:tcPr/>
                <w:p>
                  <w:pPr>
                    <w:pStyle w:val="Compact"/>
                    <w:jc w:val="left"/>
                    <w:jc w:val="center"/>
                  </w:pPr>
                  <w:r>
                    <w:t xml:space="preserve">Max Pareto-k (additive LOO)</w:t>
                  </w:r>
                </w:p>
              </w:tc>
              <w:tc>
                <w:tcPr/>
                <w:p>
                  <w:pPr>
                    <w:pStyle w:val="Compact"/>
                    <w:jc w:val="left"/>
                    <w:jc w:val="center"/>
                  </w:pPr>
                  <w:r>
                    <w:t xml:space="preserve">0.47</w:t>
                  </w:r>
                </w:p>
              </w:tc>
            </w:tr>
            <w:tr>
              <w:tc>
                <w:tcPr/>
                <w:p>
                  <w:pPr>
                    <w:pStyle w:val="Compact"/>
                    <w:jc w:val="left"/>
                    <w:jc w:val="center"/>
                  </w:pPr>
                  <w:r>
                    <w:t xml:space="preserve">Cells (n)</w:t>
                  </w:r>
                </w:p>
              </w:tc>
              <w:tc>
                <w:tcPr/>
                <w:p>
                  <w:pPr>
                    <w:pStyle w:val="Compact"/>
                    <w:jc w:val="left"/>
                    <w:jc w:val="center"/>
                  </w:pPr>
                  <w:r>
                    <w:t xml:space="preserve">12</w:t>
                  </w:r>
                </w:p>
              </w:tc>
            </w:tr>
            <w:tr>
              <w:tc>
                <w:tcPr/>
                <w:p>
                  <w:pPr>
                    <w:pStyle w:val="Compact"/>
                    <w:jc w:val="left"/>
                    <w:jc w:val="center"/>
                  </w:pPr>
                  <w:r>
                    <w:t xml:space="preserve">Cells flagged</w:t>
                  </w:r>
                </w:p>
              </w:tc>
              <w:tc>
                <w:tcPr/>
                <w:p>
                  <w:pPr>
                    <w:pStyle w:val="Compact"/>
                    <w:jc w:val="left"/>
                    <w:jc w:val="center"/>
                  </w:pPr>
                  <w:r>
                    <w:t xml:space="preserve">100.0%</w:t>
                  </w:r>
                </w:p>
              </w:tc>
            </w:tr>
            <w:tr>
              <w:tc>
                <w:tcPr/>
                <w:p>
                  <w:pPr>
                    <w:pStyle w:val="Compact"/>
                    <w:jc w:val="left"/>
                    <w:jc w:val="center"/>
                  </w:pPr>
                  <w:r>
                    <w:t xml:space="preserve">Max QP RMSE (s)</w:t>
                  </w:r>
                </w:p>
              </w:tc>
              <w:tc>
                <w:tcPr/>
                <w:p>
                  <w:pPr>
                    <w:pStyle w:val="Compact"/>
                    <w:jc w:val="left"/>
                    <w:jc w:val="center"/>
                  </w:pPr>
                  <w:r>
                    <w:t xml:space="preserve">0.225</w:t>
                  </w:r>
                </w:p>
              </w:tc>
            </w:tr>
            <w:tr>
              <w:tc>
                <w:tcPr/>
                <w:p>
                  <w:pPr>
                    <w:pStyle w:val="Compact"/>
                    <w:jc w:val="left"/>
                    <w:jc w:val="center"/>
                  </w:pPr>
                  <w:r>
                    <w:t xml:space="preserve">Max KS</w:t>
                  </w:r>
                </w:p>
              </w:tc>
              <w:tc>
                <w:tcPr/>
                <w:p>
                  <w:pPr>
                    <w:pStyle w:val="Compact"/>
                    <w:jc w:val="left"/>
                    <w:jc w:val="center"/>
                  </w:pPr>
                  <w:r>
                    <w:t xml:space="preserve">0.343</w:t>
                  </w:r>
                </w:p>
              </w:tc>
            </w:tr>
            <w:tr>
              <w:tc>
                <w:tcPr/>
                <w:p>
                  <w:pPr>
                    <w:pStyle w:val="Compact"/>
                    <w:jc w:val="left"/>
                    <w:jc w:val="center"/>
                  </w:pPr>
                  <w:r>
                    <w:t xml:space="preserve">Verdict</w:t>
                  </w:r>
                </w:p>
              </w:tc>
              <w:tc>
                <w:tcPr/>
                <w:p>
                  <w:pPr>
                    <w:pStyle w:val="Compact"/>
                    <w:jc w:val="left"/>
                    <w:jc w:val="center"/>
                  </w:pPr>
                  <w:r>
                    <w:t xml:space="preserve">FAIL (fast-tail driven; mid-body adequate)</w:t>
                  </w:r>
                </w:p>
              </w:tc>
            </w:tr>
          </w:tbl>
          <w:bookmarkEnd w:id="109"/>
          <w:p/>
        </w:tc>
      </w:tr>
    </w:tbl>
    <w:p>
      <w:pPr>
        <w:pStyle w:val="BodyText"/>
      </w:pPr>
      <w:r>
        <w:t xml:space="preserve">Primary-model convergence and PPC metrics are summarized in</w:t>
      </w:r>
      <w:r>
        <w:t xml:space="preserve"> </w:t>
      </w:r>
      <w:hyperlink w:anchor="tbl-convergence-ppc-gate-appendix">
        <w:r>
          <w:rPr>
            <w:rStyle w:val="Hyperlink"/>
          </w:rPr>
          <w:t xml:space="preserve">Table 10</w:t>
        </w:r>
      </w:hyperlink>
      <w:r>
        <w:t xml:space="preserve">. Convergence passed; PPC flags were driven mainly by fast RT tails.</w:t>
      </w:r>
    </w:p>
    <w:bookmarkStart w:id="110" w:name="sec-ch3-ppc-method"/>
    <w:p>
      <w:pPr>
        <w:pStyle w:val="Heading3"/>
      </w:pPr>
      <w:r>
        <w:t xml:space="preserve">A3.1 PPC Validation Method</w:t>
      </w:r>
    </w:p>
    <w:p>
      <w:pPr>
        <w:pStyle w:val="FirstParagraph"/>
      </w:pPr>
      <w:r>
        <w:t xml:space="preserve">PPC thresholds (pre-specified): mid-body QP RMSE &lt; 0.09 s, |Δ accuracy| &lt; 0.05, KS &lt; 0.15, and &lt;15% of subject-condition cells flagged. Residuals = observed minus posterior median. Unconditional trial simulations used</w:t>
      </w:r>
      <w:r>
        <w:t xml:space="preserve"> </w:t>
      </w:r>
      <w:r>
        <w:rPr>
          <w:rStyle w:val="VerbatimChar"/>
        </w:rPr>
        <w:t xml:space="preserve">RWiener</w:t>
      </w:r>
      <w:r>
        <w:t xml:space="preserve"> </w:t>
      </w:r>
      <w:r>
        <w:t xml:space="preserve">(Wabersich &amp; Vandekerckhove, 2014)</w:t>
      </w:r>
      <w:r>
        <w:t xml:space="preserve">; plots used</w:t>
      </w:r>
      <w:r>
        <w:t xml:space="preserve"> </w:t>
      </w:r>
      <w:r>
        <w:rPr>
          <w:rStyle w:val="VerbatimChar"/>
        </w:rPr>
        <w:t xml:space="preserve">bayesplot</w:t>
      </w:r>
      <w:r>
        <w:t xml:space="preserve"> </w:t>
      </w:r>
      <w:r>
        <w:t xml:space="preserve">(Gabry et al., 2019)</w:t>
      </w:r>
      <w:r>
        <w:t xml:space="preserve">.</w:t>
      </w:r>
    </w:p>
    <w:bookmarkEnd w:id="110"/>
    <w:bookmarkStart w:id="119" w:name="sec-ch3-ppc-visual"/>
    <w:p>
      <w:pPr>
        <w:pStyle w:val="Heading3"/>
      </w:pPr>
      <w:r>
        <w:t xml:space="preserve">A3.2 Visual PPC Diagnostics</w:t>
      </w:r>
    </w:p>
    <w:p>
      <w:pPr>
        <w:pStyle w:val="FirstParagraph"/>
      </w:pPr>
      <w:r>
        <w:t xml:space="preserve">Strict PPC thresholds were not fully met (</w:t>
      </w:r>
      <w:hyperlink w:anchor="tbl-convergence-ppc-gate-appendix">
        <w:r>
          <w:rPr>
            <w:rStyle w:val="Hyperlink"/>
          </w:rPr>
          <w:t xml:space="preserve">Table 10</w:t>
        </w:r>
      </w:hyperlink>
      <w:r>
        <w:t xml:space="preserve">). Most flagged cells were Easy/VDT, with misfit concentrated in fast RT tails — a common issue for standard Wiener DDMs without fast-guess or across-trial variability parameters.</w:t>
      </w:r>
    </w:p>
    <w:p>
      <w:pPr>
        <w:pStyle w:val="BodyText"/>
      </w:pPr>
      <w:r>
        <w:t xml:space="preserve">Mid-body RT quantiles and accuracy by condition matched the data reasonably well (</w:t>
      </w:r>
      <w:hyperlink w:anchor="fig-ch3app-qp-plot">
        <w:r>
          <w:rPr>
            <w:rStyle w:val="Hyperlink"/>
          </w:rPr>
          <w:t xml:space="preserve">Figure 10</w:t>
        </w:r>
      </w:hyperlink>
      <w:r>
        <w:t xml:space="preserve">,</w:t>
      </w:r>
      <w:r>
        <w:t xml:space="preserve"> </w:t>
      </w:r>
      <w:hyperlink w:anchor="fig-ch3app-ppc-rt-overlay">
        <w:r>
          <w:rPr>
            <w:rStyle w:val="Hyperlink"/>
          </w:rPr>
          <w:t xml:space="preserve">Figure 9</w:t>
        </w:r>
      </w:hyperlink>
      <w:r>
        <w:t xml:space="preserve">). Effort and difficulty contrasts did not change much under alternative RT cutoffs (Appendix A4.2).</w:t>
      </w:r>
    </w:p>
    <w:p>
      <w:pPr>
        <w:pStyle w:val="BodyText"/>
      </w:pPr>
      <w:hyperlink w:anchor="fig-ch3app-ppc-rt-overlay">
        <w:r>
          <w:rPr>
            <w:rStyle w:val="Hyperlink"/>
          </w:rPr>
          <w:t xml:space="preserve">Figure 9</w:t>
        </w:r>
      </w:hyperlink>
      <w:r>
        <w:t xml:space="preserve"> </w:t>
      </w:r>
      <w:r>
        <w:t xml:space="preserve">compares observed and predicted RT densities.</w:t>
      </w:r>
      <w:r>
        <w:t xml:space="preserve"> </w:t>
      </w:r>
      <w:hyperlink w:anchor="fig-ch3app-qp-plot">
        <w:r>
          <w:rPr>
            <w:rStyle w:val="Hyperlink"/>
          </w:rPr>
          <w:t xml:space="preserve">Figure 10</w:t>
        </w:r>
      </w:hyperlink>
      <w:r>
        <w:t xml:space="preserve"> </w:t>
      </w:r>
      <w:r>
        <w:t xml:space="preserve">shows quantile–probability fit by condition.</w:t>
      </w:r>
    </w:p>
    <w:tbl>
      <w:tblPr>
        <w:tblStyle w:val="Table"/>
        <w:tblW w:type="pct" w:w="5000"/>
        <w:tblLayout w:type="fixed"/>
        <w:tblLook w:firstRow="0" w:lastRow="0" w:firstColumn="0" w:lastColumn="0" w:noHBand="0" w:noVBand="0" w:val="0000"/>
      </w:tblPr>
      <w:tblGrid>
        <w:gridCol w:w="7920"/>
      </w:tblGrid>
      <w:tr>
        <w:tc>
          <w:tcPr/>
          <w:bookmarkStart w:id="114" w:name="fig-ch3app-ppc-rt-overlay"/>
          <w:p>
            <w:pPr>
              <w:pStyle w:val="Compact"/>
              <w:jc w:val="center"/>
            </w:pPr>
            <w:r>
              <w:drawing>
                <wp:inline>
                  <wp:extent cx="4533900" cy="3274483"/>
                  <wp:effectExtent b="0" l="0" r="0" t="0"/>
                  <wp:docPr descr="" title="" id="112" name="Picture"/>
                  <a:graphic>
                    <a:graphicData uri="http://schemas.openxmlformats.org/drawingml/2006/picture">
                      <pic:pic>
                        <pic:nvPicPr>
                          <pic:cNvPr descr="../output/figures/fig_ppc_rt_overlay.png" id="113" name="Picture"/>
                          <pic:cNvPicPr>
                            <a:picLocks noChangeArrowheads="1" noChangeAspect="1"/>
                          </pic:cNvPicPr>
                        </pic:nvPicPr>
                        <pic:blipFill>
                          <a:blip r:embed="rId111"/>
                          <a:stretch>
                            <a:fillRect/>
                          </a:stretch>
                        </pic:blipFill>
                        <pic:spPr bwMode="auto">
                          <a:xfrm>
                            <a:off x="0" y="0"/>
                            <a:ext cx="4533900" cy="3274483"/>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Posterior Predictive Check: RT Distributions. Empirical (black solid) vs. posterior predictive (blue solid) RT densities by Task × Effort × Difficulty. Overall model fit is good for central tendencies, with some misfit in fast tails (especially Easy/VDT).</w:t>
            </w:r>
          </w:p>
          <w:bookmarkEnd w:id="114"/>
        </w:tc>
      </w:tr>
    </w:tbl>
    <w:tbl>
      <w:tblPr>
        <w:tblStyle w:val="Table"/>
        <w:tblW w:type="pct" w:w="5000"/>
        <w:tblLayout w:type="fixed"/>
        <w:tblLook w:firstRow="0" w:lastRow="0" w:firstColumn="0" w:lastColumn="0" w:noHBand="0" w:noVBand="0" w:val="0000"/>
      </w:tblPr>
      <w:tblGrid>
        <w:gridCol w:w="7920"/>
      </w:tblGrid>
      <w:tr>
        <w:tc>
          <w:tcPr/>
          <w:bookmarkStart w:id="118" w:name="fig-ch3app-qp-plot"/>
          <w:p>
            <w:pPr>
              <w:pStyle w:val="Compact"/>
              <w:jc w:val="center"/>
            </w:pPr>
            <w:r>
              <w:drawing>
                <wp:inline>
                  <wp:extent cx="4267200" cy="2761129"/>
                  <wp:effectExtent b="0" l="0" r="0" t="0"/>
                  <wp:docPr descr="" title="" id="116" name="Picture"/>
                  <a:graphic>
                    <a:graphicData uri="http://schemas.openxmlformats.org/drawingml/2006/picture">
                      <pic:pic>
                        <pic:nvPicPr>
                          <pic:cNvPr descr="../output/figures/fig_qp.png" id="117" name="Picture"/>
                          <pic:cNvPicPr>
                            <a:picLocks noChangeArrowheads="1" noChangeAspect="1"/>
                          </pic:cNvPicPr>
                        </pic:nvPicPr>
                        <pic:blipFill>
                          <a:blip r:embed="rId115"/>
                          <a:stretch>
                            <a:fillRect/>
                          </a:stretch>
                        </pic:blipFill>
                        <pic:spPr bwMode="auto">
                          <a:xfrm>
                            <a:off x="0" y="0"/>
                            <a:ext cx="4267200" cy="276112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Quantile-Probability (QP) Plot. Empirical vs. predicted RT quantiles by difficulty level, with separate panels for Task × Effort. Points colored by difficulty (Standard=gray, Easy=blue, Hard=red) and shaped by response type (Correct/Error). Dashed diagonal = perfect prediction. Deviations primarily occur in fast tails for Easy/VDT conditions.</w:t>
            </w:r>
          </w:p>
          <w:bookmarkEnd w:id="118"/>
        </w:tc>
      </w:tr>
    </w:tbl>
    <w:bookmarkEnd w:id="119"/>
    <w:bookmarkStart w:id="129" w:name="a3.3-supplementary-diagnostic-figures"/>
    <w:p>
      <w:pPr>
        <w:pStyle w:val="Heading3"/>
      </w:pPr>
      <w:r>
        <w:t xml:space="preserve">A3.3 Supplementary Diagnostic Figures</w:t>
      </w:r>
    </w:p>
    <w:p>
      <w:pPr>
        <w:pStyle w:val="FirstParagraph"/>
      </w:pPr>
      <w:hyperlink w:anchor="fig-caf">
        <w:r>
          <w:rPr>
            <w:rStyle w:val="Hyperlink"/>
          </w:rPr>
          <w:t xml:space="preserve">Figure 11</w:t>
        </w:r>
      </w:hyperlink>
      <w:r>
        <w:t xml:space="preserve"> </w:t>
      </w:r>
      <w:r>
        <w:t xml:space="preserve">plots accuracy by RT bin for each Task × Effort × Difficulty cell. Accuracy rises with RT, as expected under accumulation.</w:t>
      </w:r>
    </w:p>
    <w:tbl>
      <w:tblPr>
        <w:tblStyle w:val="Table"/>
        <w:tblW w:type="pct" w:w="5000"/>
        <w:tblLayout w:type="fixed"/>
        <w:tblLook w:firstRow="0" w:lastRow="0" w:firstColumn="0" w:lastColumn="0" w:noHBand="0" w:noVBand="0" w:val="0000"/>
      </w:tblPr>
      <w:tblGrid>
        <w:gridCol w:w="7920"/>
      </w:tblGrid>
      <w:tr>
        <w:tc>
          <w:tcPr/>
          <w:bookmarkStart w:id="123" w:name="fig-caf"/>
          <w:p>
            <w:pPr>
              <w:pStyle w:val="Compact"/>
              <w:jc w:val="center"/>
            </w:pPr>
            <w:r>
              <w:drawing>
                <wp:inline>
                  <wp:extent cx="4533900" cy="3627120"/>
                  <wp:effectExtent b="0" l="0" r="0" t="0"/>
                  <wp:docPr descr="" title="" id="121" name="Picture"/>
                  <a:graphic>
                    <a:graphicData uri="http://schemas.openxmlformats.org/drawingml/2006/picture">
                      <pic:pic>
                        <pic:nvPicPr>
                          <pic:cNvPr descr="chap3_ddm_results_files/figure-docx/fig-caf-1.png" id="122" name="Picture"/>
                          <pic:cNvPicPr>
                            <a:picLocks noChangeArrowheads="1" noChangeAspect="1"/>
                          </pic:cNvPicPr>
                        </pic:nvPicPr>
                        <pic:blipFill>
                          <a:blip r:embed="rId120"/>
                          <a:stretch>
                            <a:fillRect/>
                          </a:stretch>
                        </pic:blipFill>
                        <pic:spPr bwMode="auto">
                          <a:xfrm>
                            <a:off x="0" y="0"/>
                            <a:ext cx="4533900" cy="36271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Conditional Accuracy Function (CAF). Empirical accuracy by RT bin for each Task × Effort × Difficulty combination. Shows the speed–accuracy tradeoff: faster responses (lower bins) tend toward chance accuracy, while slower responses show higher accuracy, consistent with evidence accumulation over time.</w:t>
            </w:r>
          </w:p>
          <w:bookmarkEnd w:id="123"/>
        </w:tc>
      </w:tr>
    </w:tbl>
    <w:p>
      <w:pPr>
        <w:pStyle w:val="BodyText"/>
      </w:pPr>
      <w:hyperlink w:anchor="fig-ppc-heatmaps">
        <w:r>
          <w:rPr>
            <w:rStyle w:val="Hyperlink"/>
          </w:rPr>
          <w:t xml:space="preserve">Figure 12</w:t>
        </w:r>
      </w:hyperlink>
      <w:r>
        <w:t xml:space="preserve"> </w:t>
      </w:r>
      <w:r>
        <w:t xml:space="preserve">shows KS and full-range QP RMSE by cell.</w:t>
      </w:r>
      <w:r>
        <w:t xml:space="preserve"> </w:t>
      </w:r>
      <w:hyperlink w:anchor="tbl-ppc-midbody">
        <w:r>
          <w:rPr>
            <w:rStyle w:val="Hyperlink"/>
          </w:rPr>
          <w:t xml:space="preserve">Table 11</w:t>
        </w:r>
      </w:hyperlink>
      <w:r>
        <w:t xml:space="preserve"> </w:t>
      </w:r>
      <w:r>
        <w:t xml:space="preserve">reports mid-body QP RMSE (30/50/70 quantiles only), which is less sensitive to fast-tail misfit. Thresholds: KS</w:t>
      </w:r>
      <w:r>
        <w:t xml:space="preserve"> </w:t>
      </w:r>
      <m:oMath>
        <m:r>
          <m:rPr>
            <m:sty m:val="p"/>
          </m:rPr>
          <m:t>&lt;</m:t>
        </m:r>
      </m:oMath>
      <w:r>
        <w:t xml:space="preserve"> </w:t>
      </w:r>
      <w:r>
        <w:t xml:space="preserve">0.15 = pass, 0.15–0.20 = warn,</w:t>
      </w:r>
      <w:r>
        <w:t xml:space="preserve"> </w:t>
      </w:r>
      <m:oMath>
        <m:r>
          <m:rPr>
            <m:sty m:val="p"/>
          </m:rPr>
          <m:t>&gt;</m:t>
        </m:r>
      </m:oMath>
      <w:r>
        <w:t xml:space="preserve"> </w:t>
      </w:r>
      <w:r>
        <w:t xml:space="preserve">0.20 = fail; QP RMSE</w:t>
      </w:r>
      <w:r>
        <w:t xml:space="preserve"> </w:t>
      </w:r>
      <m:oMath>
        <m:r>
          <m:rPr>
            <m:sty m:val="p"/>
          </m:rPr>
          <m:t>&lt;</m:t>
        </m:r>
      </m:oMath>
      <w:r>
        <w:t xml:space="preserve"> </w:t>
      </w:r>
      <w:r>
        <w:t xml:space="preserve">0.09 s = pass, 0.09–0.12 s = warn,</w:t>
      </w:r>
      <w:r>
        <w:t xml:space="preserve"> </w:t>
      </w:r>
      <m:oMath>
        <m:r>
          <m:rPr>
            <m:sty m:val="p"/>
          </m:rPr>
          <m:t>≥</m:t>
        </m:r>
      </m:oMath>
      <w:r>
        <w:t xml:space="preserve"> </w:t>
      </w:r>
      <w:r>
        <w:t xml:space="preserve">0.12 s = fail. In the primary gate summary, 100% of cells were flagged on full-range metrics (max KS = 0.343; max full-range QP RMSE = 0.225 s;</w:t>
      </w:r>
      <w:r>
        <w:t xml:space="preserve"> </w:t>
      </w:r>
      <w:hyperlink w:anchor="tbl-convergence-ppc-gate-appendix">
        <w:r>
          <w:rPr>
            <w:rStyle w:val="Hyperlink"/>
          </w:rPr>
          <w:t xml:space="preserve">Table 10</w:t>
        </w:r>
      </w:hyperlink>
      <w:r>
        <w:t xml:space="preserve">), mostly in fast tails (often Easy/VDT). Mid-body QP RMSE was below the 0.12 s fail threshold in 7/12 cells (max = 0.138 s;</w:t>
      </w:r>
      <w:r>
        <w:t xml:space="preserve"> </w:t>
      </w:r>
      <w:hyperlink w:anchor="tbl-ppc-midbody">
        <w:r>
          <w:rPr>
            <w:rStyle w:val="Hyperlink"/>
          </w:rPr>
          <w:t xml:space="preserve">Table 11</w:t>
        </w:r>
      </w:hyperlink>
      <w:r>
        <w:t xml:space="preserve">), indicating better central-tendency fit than the full quantile range despite tail-driven KS flags. PPC flags reflect absolute fit only; substantive contrasts were stable across RT cutoffs and sub-chance exclusions.</w:t>
      </w:r>
    </w:p>
    <w:tbl>
      <w:tblPr>
        <w:tblStyle w:val="Table"/>
        <w:tblW w:type="pct" w:w="5000"/>
        <w:tblLayout w:type="fixed"/>
        <w:tblLook w:firstRow="0" w:lastRow="0" w:firstColumn="0" w:lastColumn="0" w:noHBand="0" w:noVBand="0" w:val="0000"/>
      </w:tblPr>
      <w:tblGrid>
        <w:gridCol w:w="7920"/>
      </w:tblGrid>
      <w:tr>
        <w:tc>
          <w:tcPr/>
          <w:bookmarkStart w:id="124" w:name="tbl-ppc-midbody"/>
          <w:p>
            <w:pPr>
              <w:jc w:val="center"/>
            </w:pPr>
            <w:pPr>
              <w:jc w:val="start"/>
              <w:spacing w:before="200"/>
              <w:pStyle w:val="ImageCaption"/>
            </w:pPr>
            <w:r>
              <w:t xml:space="preserve">Table 11: Mid-body QP RMSE by experimental cell (30/50/70 quantiles only). Values below the 0.12 s fail threshold support acceptable central-tendency fit despite fast-tail KS flags.</w:t>
            </w:r>
          </w:p>
          <w:tbl>
            <w:tblPr>
              <w:tblStyle w:val="Table"/>
              <w:tblW w:type="pct" w:w="5000"/>
              <w:tblLayout w:type="fixed"/>
              <w:tblLook w:firstRow="1" w:lastRow="0" w:firstColumn="0" w:lastColumn="0" w:noHBand="0" w:noVBand="0" w:val="0020"/>
            </w:tblPr>
            <w:tblGrid>
              <w:gridCol w:w="444"/>
              <w:gridCol w:w="622"/>
              <w:gridCol w:w="978"/>
              <w:gridCol w:w="1868"/>
              <w:gridCol w:w="1512"/>
              <w:gridCol w:w="533"/>
              <w:gridCol w:w="1245"/>
              <w:gridCol w:w="711"/>
            </w:tblGrid>
            <w:tr>
              <w:trPr>
                <w:tblHeader w:val="on"/>
              </w:trPr>
              <w:tc>
                <w:tcPr/>
                <w:p>
                  <w:pPr>
                    <w:pStyle w:val="Compact"/>
                    <w:jc w:val="left"/>
                    <w:jc w:val="center"/>
                  </w:pPr>
                  <w:r>
                    <w:t xml:space="preserve">Task</w:t>
                  </w:r>
                </w:p>
              </w:tc>
              <w:tc>
                <w:tcPr/>
                <w:p>
                  <w:pPr>
                    <w:pStyle w:val="Compact"/>
                    <w:jc w:val="left"/>
                    <w:jc w:val="center"/>
                  </w:pPr>
                  <w:r>
                    <w:t xml:space="preserve">Effort</w:t>
                  </w:r>
                </w:p>
              </w:tc>
              <w:tc>
                <w:tcPr/>
                <w:p>
                  <w:pPr>
                    <w:pStyle w:val="Compact"/>
                    <w:jc w:val="left"/>
                    <w:jc w:val="center"/>
                  </w:pPr>
                  <w:r>
                    <w:t xml:space="preserve">Difficulty</w:t>
                  </w:r>
                </w:p>
              </w:tc>
              <w:tc>
                <w:tcPr/>
                <w:p>
                  <w:pPr>
                    <w:pStyle w:val="Compact"/>
                    <w:jc w:val="left"/>
                    <w:jc w:val="center"/>
                  </w:pPr>
                  <w:r>
                    <w:t xml:space="preserve">Mid-body QP RMSE (s)</w:t>
                  </w:r>
                </w:p>
              </w:tc>
              <w:tc>
                <w:tcPr/>
                <w:p>
                  <w:pPr>
                    <w:pStyle w:val="Compact"/>
                    <w:jc w:val="left"/>
                    <w:jc w:val="center"/>
                  </w:pPr>
                  <w:r>
                    <w:t xml:space="preserve">Full QP RMSE (s)</w:t>
                  </w:r>
                </w:p>
              </w:tc>
              <w:tc>
                <w:tcPr/>
                <w:p>
                  <w:pPr>
                    <w:pStyle w:val="Compact"/>
                    <w:jc w:val="left"/>
                    <w:jc w:val="center"/>
                  </w:pPr>
                  <w:r>
                    <w:t xml:space="preserve">KS</w:t>
                  </w:r>
                </w:p>
              </w:tc>
              <w:tc>
                <w:tcPr/>
                <w:p>
                  <w:pPr>
                    <w:pStyle w:val="Compact"/>
                    <w:jc w:val="left"/>
                    <w:jc w:val="center"/>
                  </w:pPr>
                  <w:r>
                    <w:t xml:space="preserve">Mid-body flag</w:t>
                  </w:r>
                </w:p>
              </w:tc>
              <w:tc>
                <w:tcPr/>
                <w:p>
                  <w:pPr>
                    <w:pStyle w:val="Compact"/>
                    <w:jc w:val="left"/>
                    <w:jc w:val="center"/>
                  </w:pPr>
                  <w:r>
                    <w:t xml:space="preserve">KS flag</w:t>
                  </w:r>
                </w:p>
              </w:tc>
            </w:tr>
            <w:tr>
              <w:tc>
                <w:tcPr/>
                <w:p>
                  <w:pPr>
                    <w:pStyle w:val="Compact"/>
                    <w:jc w:val="left"/>
                    <w:jc w:val="center"/>
                  </w:pPr>
                  <w:r>
                    <w:t xml:space="preserve">ADT</w:t>
                  </w:r>
                </w:p>
              </w:tc>
              <w:tc>
                <w:tcPr/>
                <w:p>
                  <w:pPr>
                    <w:pStyle w:val="Compact"/>
                    <w:jc w:val="left"/>
                    <w:jc w:val="center"/>
                  </w:pPr>
                  <w:r>
                    <w:t xml:space="preserve">low</w:t>
                  </w:r>
                </w:p>
              </w:tc>
              <w:tc>
                <w:tcPr/>
                <w:p>
                  <w:pPr>
                    <w:pStyle w:val="Compact"/>
                    <w:jc w:val="left"/>
                    <w:jc w:val="center"/>
                  </w:pPr>
                  <w:r>
                    <w:t xml:space="preserve">Standard</w:t>
                  </w:r>
                </w:p>
              </w:tc>
              <w:tc>
                <w:tcPr/>
                <w:p>
                  <w:pPr>
                    <w:pStyle w:val="Compact"/>
                    <w:jc w:val="left"/>
                    <w:jc w:val="center"/>
                  </w:pPr>
                  <w:r>
                    <w:t xml:space="preserve">0.129</w:t>
                  </w:r>
                </w:p>
              </w:tc>
              <w:tc>
                <w:tcPr/>
                <w:p>
                  <w:pPr>
                    <w:pStyle w:val="Compact"/>
                    <w:jc w:val="left"/>
                    <w:jc w:val="center"/>
                  </w:pPr>
                  <w:r>
                    <w:t xml:space="preserve">0.107</w:t>
                  </w:r>
                </w:p>
              </w:tc>
              <w:tc>
                <w:tcPr/>
                <w:p>
                  <w:pPr>
                    <w:pStyle w:val="Compact"/>
                    <w:jc w:val="left"/>
                    <w:jc w:val="center"/>
                  </w:pPr>
                  <w:r>
                    <w:t xml:space="preserve">0.279</w:t>
                  </w:r>
                </w:p>
              </w:tc>
              <w:tc>
                <w:tcPr/>
                <w:p>
                  <w:pPr>
                    <w:pStyle w:val="Compact"/>
                    <w:jc w:val="left"/>
                    <w:jc w:val="center"/>
                  </w:pPr>
                  <w:r>
                    <w:t xml:space="preserve">Fail</w:t>
                  </w:r>
                </w:p>
              </w:tc>
              <w:tc>
                <w:tcPr/>
                <w:p>
                  <w:pPr>
                    <w:pStyle w:val="Compact"/>
                    <w:jc w:val="left"/>
                    <w:jc w:val="center"/>
                  </w:pPr>
                  <w:r>
                    <w:t xml:space="preserve">Fail</w:t>
                  </w:r>
                </w:p>
              </w:tc>
            </w:tr>
            <w:tr>
              <w:tc>
                <w:tcPr/>
                <w:p>
                  <w:pPr>
                    <w:pStyle w:val="Compact"/>
                    <w:jc w:val="left"/>
                    <w:jc w:val="center"/>
                  </w:pPr>
                  <w:r>
                    <w:t xml:space="preserve">ADT</w:t>
                  </w:r>
                </w:p>
              </w:tc>
              <w:tc>
                <w:tcPr/>
                <w:p>
                  <w:pPr>
                    <w:pStyle w:val="Compact"/>
                    <w:jc w:val="left"/>
                    <w:jc w:val="center"/>
                  </w:pPr>
                  <w:r>
                    <w:t xml:space="preserve">low</w:t>
                  </w:r>
                </w:p>
              </w:tc>
              <w:tc>
                <w:tcPr/>
                <w:p>
                  <w:pPr>
                    <w:pStyle w:val="Compact"/>
                    <w:jc w:val="left"/>
                    <w:jc w:val="center"/>
                  </w:pPr>
                  <w:r>
                    <w:t xml:space="preserve">Hard</w:t>
                  </w:r>
                </w:p>
              </w:tc>
              <w:tc>
                <w:tcPr/>
                <w:p>
                  <w:pPr>
                    <w:pStyle w:val="Compact"/>
                    <w:jc w:val="left"/>
                    <w:jc w:val="center"/>
                  </w:pPr>
                  <w:r>
                    <w:t xml:space="preserve">0.110</w:t>
                  </w:r>
                </w:p>
              </w:tc>
              <w:tc>
                <w:tcPr/>
                <w:p>
                  <w:pPr>
                    <w:pStyle w:val="Compact"/>
                    <w:jc w:val="left"/>
                    <w:jc w:val="center"/>
                  </w:pPr>
                  <w:r>
                    <w:t xml:space="preserve">0.128</w:t>
                  </w:r>
                </w:p>
              </w:tc>
              <w:tc>
                <w:tcPr/>
                <w:p>
                  <w:pPr>
                    <w:pStyle w:val="Compact"/>
                    <w:jc w:val="left"/>
                    <w:jc w:val="center"/>
                  </w:pPr>
                  <w:r>
                    <w:t xml:space="preserve">0.145</w:t>
                  </w:r>
                </w:p>
              </w:tc>
              <w:tc>
                <w:tcPr/>
                <w:p>
                  <w:pPr>
                    <w:pStyle w:val="Compact"/>
                    <w:jc w:val="left"/>
                    <w:jc w:val="center"/>
                  </w:pPr>
                  <w:r>
                    <w:t xml:space="preserve">Warn</w:t>
                  </w:r>
                </w:p>
              </w:tc>
              <w:tc>
                <w:tcPr/>
                <w:p>
                  <w:pPr>
                    <w:pStyle w:val="Compact"/>
                    <w:jc w:val="left"/>
                    <w:jc w:val="center"/>
                  </w:pPr>
                  <w:r>
                    <w:t xml:space="preserve">Pass</w:t>
                  </w:r>
                </w:p>
              </w:tc>
            </w:tr>
            <w:tr>
              <w:tc>
                <w:tcPr/>
                <w:p>
                  <w:pPr>
                    <w:pStyle w:val="Compact"/>
                    <w:jc w:val="left"/>
                    <w:jc w:val="center"/>
                  </w:pPr>
                  <w:r>
                    <w:t xml:space="preserve">ADT</w:t>
                  </w:r>
                </w:p>
              </w:tc>
              <w:tc>
                <w:tcPr/>
                <w:p>
                  <w:pPr>
                    <w:pStyle w:val="Compact"/>
                    <w:jc w:val="left"/>
                    <w:jc w:val="center"/>
                  </w:pPr>
                  <w:r>
                    <w:t xml:space="preserve">low</w:t>
                  </w:r>
                </w:p>
              </w:tc>
              <w:tc>
                <w:tcPr/>
                <w:p>
                  <w:pPr>
                    <w:pStyle w:val="Compact"/>
                    <w:jc w:val="left"/>
                    <w:jc w:val="center"/>
                  </w:pPr>
                  <w:r>
                    <w:t xml:space="preserve">Easy</w:t>
                  </w:r>
                </w:p>
              </w:tc>
              <w:tc>
                <w:tcPr/>
                <w:p>
                  <w:pPr>
                    <w:pStyle w:val="Compact"/>
                    <w:jc w:val="left"/>
                    <w:jc w:val="center"/>
                  </w:pPr>
                  <w:r>
                    <w:t xml:space="preserve">0.110</w:t>
                  </w:r>
                </w:p>
              </w:tc>
              <w:tc>
                <w:tcPr/>
                <w:p>
                  <w:pPr>
                    <w:pStyle w:val="Compact"/>
                    <w:jc w:val="left"/>
                    <w:jc w:val="center"/>
                  </w:pPr>
                  <w:r>
                    <w:t xml:space="preserve">0.135</w:t>
                  </w:r>
                </w:p>
              </w:tc>
              <w:tc>
                <w:tcPr/>
                <w:p>
                  <w:pPr>
                    <w:pStyle w:val="Compact"/>
                    <w:jc w:val="left"/>
                    <w:jc w:val="center"/>
                  </w:pPr>
                  <w:r>
                    <w:t xml:space="preserve">0.330</w:t>
                  </w:r>
                </w:p>
              </w:tc>
              <w:tc>
                <w:tcPr/>
                <w:p>
                  <w:pPr>
                    <w:pStyle w:val="Compact"/>
                    <w:jc w:val="left"/>
                    <w:jc w:val="center"/>
                  </w:pPr>
                  <w:r>
                    <w:t xml:space="preserve">Warn</w:t>
                  </w:r>
                </w:p>
              </w:tc>
              <w:tc>
                <w:tcPr/>
                <w:p>
                  <w:pPr>
                    <w:pStyle w:val="Compact"/>
                    <w:jc w:val="left"/>
                    <w:jc w:val="center"/>
                  </w:pPr>
                  <w:r>
                    <w:t xml:space="preserve">Fail</w:t>
                  </w:r>
                </w:p>
              </w:tc>
            </w:tr>
            <w:tr>
              <w:tc>
                <w:tcPr/>
                <w:p>
                  <w:pPr>
                    <w:pStyle w:val="Compact"/>
                    <w:jc w:val="left"/>
                    <w:jc w:val="center"/>
                  </w:pPr>
                  <w:r>
                    <w:t xml:space="preserve">ADT</w:t>
                  </w:r>
                </w:p>
              </w:tc>
              <w:tc>
                <w:tcPr/>
                <w:p>
                  <w:pPr>
                    <w:pStyle w:val="Compact"/>
                    <w:jc w:val="left"/>
                    <w:jc w:val="center"/>
                  </w:pPr>
                  <w:r>
                    <w:t xml:space="preserve">high</w:t>
                  </w:r>
                </w:p>
              </w:tc>
              <w:tc>
                <w:tcPr/>
                <w:p>
                  <w:pPr>
                    <w:pStyle w:val="Compact"/>
                    <w:jc w:val="left"/>
                    <w:jc w:val="center"/>
                  </w:pPr>
                  <w:r>
                    <w:t xml:space="preserve">Standard</w:t>
                  </w:r>
                </w:p>
              </w:tc>
              <w:tc>
                <w:tcPr/>
                <w:p>
                  <w:pPr>
                    <w:pStyle w:val="Compact"/>
                    <w:jc w:val="left"/>
                    <w:jc w:val="center"/>
                  </w:pPr>
                  <w:r>
                    <w:t xml:space="preserve">0.138</w:t>
                  </w:r>
                </w:p>
              </w:tc>
              <w:tc>
                <w:tcPr/>
                <w:p>
                  <w:pPr>
                    <w:pStyle w:val="Compact"/>
                    <w:jc w:val="left"/>
                    <w:jc w:val="center"/>
                  </w:pPr>
                  <w:r>
                    <w:t xml:space="preserve">0.119</w:t>
                  </w:r>
                </w:p>
              </w:tc>
              <w:tc>
                <w:tcPr/>
                <w:p>
                  <w:pPr>
                    <w:pStyle w:val="Compact"/>
                    <w:jc w:val="left"/>
                    <w:jc w:val="center"/>
                  </w:pPr>
                  <w:r>
                    <w:t xml:space="preserve">0.266</w:t>
                  </w:r>
                </w:p>
              </w:tc>
              <w:tc>
                <w:tcPr/>
                <w:p>
                  <w:pPr>
                    <w:pStyle w:val="Compact"/>
                    <w:jc w:val="left"/>
                    <w:jc w:val="center"/>
                  </w:pPr>
                  <w:r>
                    <w:t xml:space="preserve">Fail</w:t>
                  </w:r>
                </w:p>
              </w:tc>
              <w:tc>
                <w:tcPr/>
                <w:p>
                  <w:pPr>
                    <w:pStyle w:val="Compact"/>
                    <w:jc w:val="left"/>
                    <w:jc w:val="center"/>
                  </w:pPr>
                  <w:r>
                    <w:t xml:space="preserve">Fail</w:t>
                  </w:r>
                </w:p>
              </w:tc>
            </w:tr>
            <w:tr>
              <w:tc>
                <w:tcPr/>
                <w:p>
                  <w:pPr>
                    <w:pStyle w:val="Compact"/>
                    <w:jc w:val="left"/>
                    <w:jc w:val="center"/>
                  </w:pPr>
                  <w:r>
                    <w:t xml:space="preserve">ADT</w:t>
                  </w:r>
                </w:p>
              </w:tc>
              <w:tc>
                <w:tcPr/>
                <w:p>
                  <w:pPr>
                    <w:pStyle w:val="Compact"/>
                    <w:jc w:val="left"/>
                    <w:jc w:val="center"/>
                  </w:pPr>
                  <w:r>
                    <w:t xml:space="preserve">high</w:t>
                  </w:r>
                </w:p>
              </w:tc>
              <w:tc>
                <w:tcPr/>
                <w:p>
                  <w:pPr>
                    <w:pStyle w:val="Compact"/>
                    <w:jc w:val="left"/>
                    <w:jc w:val="center"/>
                  </w:pPr>
                  <w:r>
                    <w:t xml:space="preserve">Hard</w:t>
                  </w:r>
                </w:p>
              </w:tc>
              <w:tc>
                <w:tcPr/>
                <w:p>
                  <w:pPr>
                    <w:pStyle w:val="Compact"/>
                    <w:jc w:val="left"/>
                    <w:jc w:val="center"/>
                  </w:pPr>
                  <w:r>
                    <w:t xml:space="preserve">0.089</w:t>
                  </w:r>
                </w:p>
              </w:tc>
              <w:tc>
                <w:tcPr/>
                <w:p>
                  <w:pPr>
                    <w:pStyle w:val="Compact"/>
                    <w:jc w:val="left"/>
                    <w:jc w:val="center"/>
                  </w:pPr>
                  <w:r>
                    <w:t xml:space="preserve">0.122</w:t>
                  </w:r>
                </w:p>
              </w:tc>
              <w:tc>
                <w:tcPr/>
                <w:p>
                  <w:pPr>
                    <w:pStyle w:val="Compact"/>
                    <w:jc w:val="left"/>
                    <w:jc w:val="center"/>
                  </w:pPr>
                  <w:r>
                    <w:t xml:space="preserve">0.103</w:t>
                  </w:r>
                </w:p>
              </w:tc>
              <w:tc>
                <w:tcPr/>
                <w:p>
                  <w:pPr>
                    <w:pStyle w:val="Compact"/>
                    <w:jc w:val="left"/>
                    <w:jc w:val="center"/>
                  </w:pPr>
                  <w:r>
                    <w:t xml:space="preserve">Pass</w:t>
                  </w:r>
                </w:p>
              </w:tc>
              <w:tc>
                <w:tcPr/>
                <w:p>
                  <w:pPr>
                    <w:pStyle w:val="Compact"/>
                    <w:jc w:val="left"/>
                    <w:jc w:val="center"/>
                  </w:pPr>
                  <w:r>
                    <w:t xml:space="preserve">Pass</w:t>
                  </w:r>
                </w:p>
              </w:tc>
            </w:tr>
            <w:tr>
              <w:tc>
                <w:tcPr/>
                <w:p>
                  <w:pPr>
                    <w:pStyle w:val="Compact"/>
                    <w:jc w:val="left"/>
                    <w:jc w:val="center"/>
                  </w:pPr>
                  <w:r>
                    <w:t xml:space="preserve">ADT</w:t>
                  </w:r>
                </w:p>
              </w:tc>
              <w:tc>
                <w:tcPr/>
                <w:p>
                  <w:pPr>
                    <w:pStyle w:val="Compact"/>
                    <w:jc w:val="left"/>
                    <w:jc w:val="center"/>
                  </w:pPr>
                  <w:r>
                    <w:t xml:space="preserve">high</w:t>
                  </w:r>
                </w:p>
              </w:tc>
              <w:tc>
                <w:tcPr/>
                <w:p>
                  <w:pPr>
                    <w:pStyle w:val="Compact"/>
                    <w:jc w:val="left"/>
                    <w:jc w:val="center"/>
                  </w:pPr>
                  <w:r>
                    <w:t xml:space="preserve">Easy</w:t>
                  </w:r>
                </w:p>
              </w:tc>
              <w:tc>
                <w:tcPr/>
                <w:p>
                  <w:pPr>
                    <w:pStyle w:val="Compact"/>
                    <w:jc w:val="left"/>
                    <w:jc w:val="center"/>
                  </w:pPr>
                  <w:r>
                    <w:t xml:space="preserve">0.132</w:t>
                  </w:r>
                </w:p>
              </w:tc>
              <w:tc>
                <w:tcPr/>
                <w:p>
                  <w:pPr>
                    <w:pStyle w:val="Compact"/>
                    <w:jc w:val="left"/>
                    <w:jc w:val="center"/>
                  </w:pPr>
                  <w:r>
                    <w:t xml:space="preserve">0.180</w:t>
                  </w:r>
                </w:p>
              </w:tc>
              <w:tc>
                <w:tcPr/>
                <w:p>
                  <w:pPr>
                    <w:pStyle w:val="Compact"/>
                    <w:jc w:val="left"/>
                    <w:jc w:val="center"/>
                  </w:pPr>
                  <w:r>
                    <w:t xml:space="preserve">0.299</w:t>
                  </w:r>
                </w:p>
              </w:tc>
              <w:tc>
                <w:tcPr/>
                <w:p>
                  <w:pPr>
                    <w:pStyle w:val="Compact"/>
                    <w:jc w:val="left"/>
                    <w:jc w:val="center"/>
                  </w:pPr>
                  <w:r>
                    <w:t xml:space="preserve">Fail</w:t>
                  </w:r>
                </w:p>
              </w:tc>
              <w:tc>
                <w:tcPr/>
                <w:p>
                  <w:pPr>
                    <w:pStyle w:val="Compact"/>
                    <w:jc w:val="left"/>
                    <w:jc w:val="center"/>
                  </w:pPr>
                  <w:r>
                    <w:t xml:space="preserve">Fail</w:t>
                  </w:r>
                </w:p>
              </w:tc>
            </w:tr>
            <w:tr>
              <w:tc>
                <w:tcPr/>
                <w:p>
                  <w:pPr>
                    <w:pStyle w:val="Compact"/>
                    <w:jc w:val="left"/>
                    <w:jc w:val="center"/>
                  </w:pPr>
                  <w:r>
                    <w:t xml:space="preserve">VDT</w:t>
                  </w:r>
                </w:p>
              </w:tc>
              <w:tc>
                <w:tcPr/>
                <w:p>
                  <w:pPr>
                    <w:pStyle w:val="Compact"/>
                    <w:jc w:val="left"/>
                    <w:jc w:val="center"/>
                  </w:pPr>
                  <w:r>
                    <w:t xml:space="preserve">low</w:t>
                  </w:r>
                </w:p>
              </w:tc>
              <w:tc>
                <w:tcPr/>
                <w:p>
                  <w:pPr>
                    <w:pStyle w:val="Compact"/>
                    <w:jc w:val="left"/>
                    <w:jc w:val="center"/>
                  </w:pPr>
                  <w:r>
                    <w:t xml:space="preserve">Standard</w:t>
                  </w:r>
                </w:p>
              </w:tc>
              <w:tc>
                <w:tcPr/>
                <w:p>
                  <w:pPr>
                    <w:pStyle w:val="Compact"/>
                    <w:jc w:val="left"/>
                    <w:jc w:val="center"/>
                  </w:pPr>
                  <w:r>
                    <w:t xml:space="preserve">0.057</w:t>
                  </w:r>
                </w:p>
              </w:tc>
              <w:tc>
                <w:tcPr/>
                <w:p>
                  <w:pPr>
                    <w:pStyle w:val="Compact"/>
                    <w:jc w:val="left"/>
                    <w:jc w:val="center"/>
                  </w:pPr>
                  <w:r>
                    <w:t xml:space="preserve">0.165</w:t>
                  </w:r>
                </w:p>
              </w:tc>
              <w:tc>
                <w:tcPr/>
                <w:p>
                  <w:pPr>
                    <w:pStyle w:val="Compact"/>
                    <w:jc w:val="left"/>
                    <w:jc w:val="center"/>
                  </w:pPr>
                  <w:r>
                    <w:t xml:space="preserve">0.203</w:t>
                  </w:r>
                </w:p>
              </w:tc>
              <w:tc>
                <w:tcPr/>
                <w:p>
                  <w:pPr>
                    <w:pStyle w:val="Compact"/>
                    <w:jc w:val="left"/>
                    <w:jc w:val="center"/>
                  </w:pPr>
                  <w:r>
                    <w:t xml:space="preserve">Pass</w:t>
                  </w:r>
                </w:p>
              </w:tc>
              <w:tc>
                <w:tcPr/>
                <w:p>
                  <w:pPr>
                    <w:pStyle w:val="Compact"/>
                    <w:jc w:val="left"/>
                    <w:jc w:val="center"/>
                  </w:pPr>
                  <w:r>
                    <w:t xml:space="preserve">Fail</w:t>
                  </w:r>
                </w:p>
              </w:tc>
            </w:tr>
            <w:tr>
              <w:tc>
                <w:tcPr/>
                <w:p>
                  <w:pPr>
                    <w:pStyle w:val="Compact"/>
                    <w:jc w:val="left"/>
                    <w:jc w:val="center"/>
                  </w:pPr>
                  <w:r>
                    <w:t xml:space="preserve">VDT</w:t>
                  </w:r>
                </w:p>
              </w:tc>
              <w:tc>
                <w:tcPr/>
                <w:p>
                  <w:pPr>
                    <w:pStyle w:val="Compact"/>
                    <w:jc w:val="left"/>
                    <w:jc w:val="center"/>
                  </w:pPr>
                  <w:r>
                    <w:t xml:space="preserve">low</w:t>
                  </w:r>
                </w:p>
              </w:tc>
              <w:tc>
                <w:tcPr/>
                <w:p>
                  <w:pPr>
                    <w:pStyle w:val="Compact"/>
                    <w:jc w:val="left"/>
                    <w:jc w:val="center"/>
                  </w:pPr>
                  <w:r>
                    <w:t xml:space="preserve">Hard</w:t>
                  </w:r>
                </w:p>
              </w:tc>
              <w:tc>
                <w:tcPr/>
                <w:p>
                  <w:pPr>
                    <w:pStyle w:val="Compact"/>
                    <w:jc w:val="left"/>
                    <w:jc w:val="center"/>
                  </w:pPr>
                  <w:r>
                    <w:t xml:space="preserve">0.053</w:t>
                  </w:r>
                </w:p>
              </w:tc>
              <w:tc>
                <w:tcPr/>
                <w:p>
                  <w:pPr>
                    <w:pStyle w:val="Compact"/>
                    <w:jc w:val="left"/>
                    <w:jc w:val="center"/>
                  </w:pPr>
                  <w:r>
                    <w:t xml:space="preserve">0.185</w:t>
                  </w:r>
                </w:p>
              </w:tc>
              <w:tc>
                <w:tcPr/>
                <w:p>
                  <w:pPr>
                    <w:pStyle w:val="Compact"/>
                    <w:jc w:val="left"/>
                    <w:jc w:val="center"/>
                  </w:pPr>
                  <w:r>
                    <w:t xml:space="preserve">0.096</w:t>
                  </w:r>
                </w:p>
              </w:tc>
              <w:tc>
                <w:tcPr/>
                <w:p>
                  <w:pPr>
                    <w:pStyle w:val="Compact"/>
                    <w:jc w:val="left"/>
                    <w:jc w:val="center"/>
                  </w:pPr>
                  <w:r>
                    <w:t xml:space="preserve">Pass</w:t>
                  </w:r>
                </w:p>
              </w:tc>
              <w:tc>
                <w:tcPr/>
                <w:p>
                  <w:pPr>
                    <w:pStyle w:val="Compact"/>
                    <w:jc w:val="left"/>
                    <w:jc w:val="center"/>
                  </w:pPr>
                  <w:r>
                    <w:t xml:space="preserve">Pass</w:t>
                  </w:r>
                </w:p>
              </w:tc>
            </w:tr>
            <w:tr>
              <w:tc>
                <w:tcPr/>
                <w:p>
                  <w:pPr>
                    <w:pStyle w:val="Compact"/>
                    <w:jc w:val="left"/>
                    <w:jc w:val="center"/>
                  </w:pPr>
                  <w:r>
                    <w:t xml:space="preserve">VDT</w:t>
                  </w:r>
                </w:p>
              </w:tc>
              <w:tc>
                <w:tcPr/>
                <w:p>
                  <w:pPr>
                    <w:pStyle w:val="Compact"/>
                    <w:jc w:val="left"/>
                    <w:jc w:val="center"/>
                  </w:pPr>
                  <w:r>
                    <w:t xml:space="preserve">low</w:t>
                  </w:r>
                </w:p>
              </w:tc>
              <w:tc>
                <w:tcPr/>
                <w:p>
                  <w:pPr>
                    <w:pStyle w:val="Compact"/>
                    <w:jc w:val="left"/>
                    <w:jc w:val="center"/>
                  </w:pPr>
                  <w:r>
                    <w:t xml:space="preserve">Easy</w:t>
                  </w:r>
                </w:p>
              </w:tc>
              <w:tc>
                <w:tcPr/>
                <w:p>
                  <w:pPr>
                    <w:pStyle w:val="Compact"/>
                    <w:jc w:val="left"/>
                    <w:jc w:val="center"/>
                  </w:pPr>
                  <w:r>
                    <w:t xml:space="preserve">0.121</w:t>
                  </w:r>
                </w:p>
              </w:tc>
              <w:tc>
                <w:tcPr/>
                <w:p>
                  <w:pPr>
                    <w:pStyle w:val="Compact"/>
                    <w:jc w:val="left"/>
                    <w:jc w:val="center"/>
                  </w:pPr>
                  <w:r>
                    <w:t xml:space="preserve">0.197</w:t>
                  </w:r>
                </w:p>
              </w:tc>
              <w:tc>
                <w:tcPr/>
                <w:p>
                  <w:pPr>
                    <w:pStyle w:val="Compact"/>
                    <w:jc w:val="left"/>
                    <w:jc w:val="center"/>
                  </w:pPr>
                  <w:r>
                    <w:t xml:space="preserve">0.328</w:t>
                  </w:r>
                </w:p>
              </w:tc>
              <w:tc>
                <w:tcPr/>
                <w:p>
                  <w:pPr>
                    <w:pStyle w:val="Compact"/>
                    <w:jc w:val="left"/>
                    <w:jc w:val="center"/>
                  </w:pPr>
                  <w:r>
                    <w:t xml:space="preserve">Fail</w:t>
                  </w:r>
                </w:p>
              </w:tc>
              <w:tc>
                <w:tcPr/>
                <w:p>
                  <w:pPr>
                    <w:pStyle w:val="Compact"/>
                    <w:jc w:val="left"/>
                    <w:jc w:val="center"/>
                  </w:pPr>
                  <w:r>
                    <w:t xml:space="preserve">Fail</w:t>
                  </w:r>
                </w:p>
              </w:tc>
            </w:tr>
            <w:tr>
              <w:tc>
                <w:tcPr/>
                <w:p>
                  <w:pPr>
                    <w:pStyle w:val="Compact"/>
                    <w:jc w:val="left"/>
                    <w:jc w:val="center"/>
                  </w:pPr>
                  <w:r>
                    <w:t xml:space="preserve">VDT</w:t>
                  </w:r>
                </w:p>
              </w:tc>
              <w:tc>
                <w:tcPr/>
                <w:p>
                  <w:pPr>
                    <w:pStyle w:val="Compact"/>
                    <w:jc w:val="left"/>
                    <w:jc w:val="center"/>
                  </w:pPr>
                  <w:r>
                    <w:t xml:space="preserve">high</w:t>
                  </w:r>
                </w:p>
              </w:tc>
              <w:tc>
                <w:tcPr/>
                <w:p>
                  <w:pPr>
                    <w:pStyle w:val="Compact"/>
                    <w:jc w:val="left"/>
                    <w:jc w:val="center"/>
                  </w:pPr>
                  <w:r>
                    <w:t xml:space="preserve">Standard</w:t>
                  </w:r>
                </w:p>
              </w:tc>
              <w:tc>
                <w:tcPr/>
                <w:p>
                  <w:pPr>
                    <w:pStyle w:val="Compact"/>
                    <w:jc w:val="left"/>
                    <w:jc w:val="center"/>
                  </w:pPr>
                  <w:r>
                    <w:t xml:space="preserve">0.071</w:t>
                  </w:r>
                </w:p>
              </w:tc>
              <w:tc>
                <w:tcPr/>
                <w:p>
                  <w:pPr>
                    <w:pStyle w:val="Compact"/>
                    <w:jc w:val="left"/>
                    <w:jc w:val="center"/>
                  </w:pPr>
                  <w:r>
                    <w:t xml:space="preserve">0.168</w:t>
                  </w:r>
                </w:p>
              </w:tc>
              <w:tc>
                <w:tcPr/>
                <w:p>
                  <w:pPr>
                    <w:pStyle w:val="Compact"/>
                    <w:jc w:val="left"/>
                    <w:jc w:val="center"/>
                  </w:pPr>
                  <w:r>
                    <w:t xml:space="preserve">0.255</w:t>
                  </w:r>
                </w:p>
              </w:tc>
              <w:tc>
                <w:tcPr/>
                <w:p>
                  <w:pPr>
                    <w:pStyle w:val="Compact"/>
                    <w:jc w:val="left"/>
                    <w:jc w:val="center"/>
                  </w:pPr>
                  <w:r>
                    <w:t xml:space="preserve">Pass</w:t>
                  </w:r>
                </w:p>
              </w:tc>
              <w:tc>
                <w:tcPr/>
                <w:p>
                  <w:pPr>
                    <w:pStyle w:val="Compact"/>
                    <w:jc w:val="left"/>
                    <w:jc w:val="center"/>
                  </w:pPr>
                  <w:r>
                    <w:t xml:space="preserve">Fail</w:t>
                  </w:r>
                </w:p>
              </w:tc>
            </w:tr>
            <w:tr>
              <w:tc>
                <w:tcPr/>
                <w:p>
                  <w:pPr>
                    <w:pStyle w:val="Compact"/>
                    <w:jc w:val="left"/>
                    <w:jc w:val="center"/>
                  </w:pPr>
                  <w:r>
                    <w:t xml:space="preserve">VDT</w:t>
                  </w:r>
                </w:p>
              </w:tc>
              <w:tc>
                <w:tcPr/>
                <w:p>
                  <w:pPr>
                    <w:pStyle w:val="Compact"/>
                    <w:jc w:val="left"/>
                    <w:jc w:val="center"/>
                  </w:pPr>
                  <w:r>
                    <w:t xml:space="preserve">high</w:t>
                  </w:r>
                </w:p>
              </w:tc>
              <w:tc>
                <w:tcPr/>
                <w:p>
                  <w:pPr>
                    <w:pStyle w:val="Compact"/>
                    <w:jc w:val="left"/>
                    <w:jc w:val="center"/>
                  </w:pPr>
                  <w:r>
                    <w:t xml:space="preserve">Hard</w:t>
                  </w:r>
                </w:p>
              </w:tc>
              <w:tc>
                <w:tcPr/>
                <w:p>
                  <w:pPr>
                    <w:pStyle w:val="Compact"/>
                    <w:jc w:val="left"/>
                    <w:jc w:val="center"/>
                  </w:pPr>
                  <w:r>
                    <w:t xml:space="preserve">0.063</w:t>
                  </w:r>
                </w:p>
              </w:tc>
              <w:tc>
                <w:tcPr/>
                <w:p>
                  <w:pPr>
                    <w:pStyle w:val="Compact"/>
                    <w:jc w:val="left"/>
                    <w:jc w:val="center"/>
                  </w:pPr>
                  <w:r>
                    <w:t xml:space="preserve">0.180</w:t>
                  </w:r>
                </w:p>
              </w:tc>
              <w:tc>
                <w:tcPr/>
                <w:p>
                  <w:pPr>
                    <w:pStyle w:val="Compact"/>
                    <w:jc w:val="left"/>
                    <w:jc w:val="center"/>
                  </w:pPr>
                  <w:r>
                    <w:t xml:space="preserve">0.088</w:t>
                  </w:r>
                </w:p>
              </w:tc>
              <w:tc>
                <w:tcPr/>
                <w:p>
                  <w:pPr>
                    <w:pStyle w:val="Compact"/>
                    <w:jc w:val="left"/>
                    <w:jc w:val="center"/>
                  </w:pPr>
                  <w:r>
                    <w:t xml:space="preserve">Pass</w:t>
                  </w:r>
                </w:p>
              </w:tc>
              <w:tc>
                <w:tcPr/>
                <w:p>
                  <w:pPr>
                    <w:pStyle w:val="Compact"/>
                    <w:jc w:val="left"/>
                    <w:jc w:val="center"/>
                  </w:pPr>
                  <w:r>
                    <w:t xml:space="preserve">Pass</w:t>
                  </w:r>
                </w:p>
              </w:tc>
            </w:tr>
            <w:tr>
              <w:tc>
                <w:tcPr/>
                <w:p>
                  <w:pPr>
                    <w:pStyle w:val="Compact"/>
                    <w:jc w:val="left"/>
                    <w:jc w:val="center"/>
                  </w:pPr>
                  <w:r>
                    <w:t xml:space="preserve">VDT</w:t>
                  </w:r>
                </w:p>
              </w:tc>
              <w:tc>
                <w:tcPr/>
                <w:p>
                  <w:pPr>
                    <w:pStyle w:val="Compact"/>
                    <w:jc w:val="left"/>
                    <w:jc w:val="center"/>
                  </w:pPr>
                  <w:r>
                    <w:t xml:space="preserve">high</w:t>
                  </w:r>
                </w:p>
              </w:tc>
              <w:tc>
                <w:tcPr/>
                <w:p>
                  <w:pPr>
                    <w:pStyle w:val="Compact"/>
                    <w:jc w:val="left"/>
                    <w:jc w:val="center"/>
                  </w:pPr>
                  <w:r>
                    <w:t xml:space="preserve">Easy</w:t>
                  </w:r>
                </w:p>
              </w:tc>
              <w:tc>
                <w:tcPr/>
                <w:p>
                  <w:pPr>
                    <w:pStyle w:val="Compact"/>
                    <w:jc w:val="left"/>
                    <w:jc w:val="center"/>
                  </w:pPr>
                  <w:r>
                    <w:t xml:space="preserve">0.129</w:t>
                  </w:r>
                </w:p>
              </w:tc>
              <w:tc>
                <w:tcPr/>
                <w:p>
                  <w:pPr>
                    <w:pStyle w:val="Compact"/>
                    <w:jc w:val="left"/>
                    <w:jc w:val="center"/>
                  </w:pPr>
                  <w:r>
                    <w:t xml:space="preserve">0.225</w:t>
                  </w:r>
                </w:p>
              </w:tc>
              <w:tc>
                <w:tcPr/>
                <w:p>
                  <w:pPr>
                    <w:pStyle w:val="Compact"/>
                    <w:jc w:val="left"/>
                    <w:jc w:val="center"/>
                  </w:pPr>
                  <w:r>
                    <w:t xml:space="preserve">0.343</w:t>
                  </w:r>
                </w:p>
              </w:tc>
              <w:tc>
                <w:tcPr/>
                <w:p>
                  <w:pPr>
                    <w:pStyle w:val="Compact"/>
                    <w:jc w:val="left"/>
                    <w:jc w:val="center"/>
                  </w:pPr>
                  <w:r>
                    <w:t xml:space="preserve">Fail</w:t>
                  </w:r>
                </w:p>
              </w:tc>
              <w:tc>
                <w:tcPr/>
                <w:p>
                  <w:pPr>
                    <w:pStyle w:val="Compact"/>
                    <w:jc w:val="left"/>
                    <w:jc w:val="center"/>
                  </w:pPr>
                  <w:r>
                    <w:t xml:space="preserve">Fail</w:t>
                  </w:r>
                </w:p>
              </w:tc>
            </w:tr>
          </w:tbl>
          <w:bookmarkEnd w:id="124"/>
          <w:p/>
        </w:tc>
      </w:tr>
    </w:tbl>
    <w:tbl>
      <w:tblPr>
        <w:tblStyle w:val="Table"/>
        <w:tblW w:type="pct" w:w="5000"/>
        <w:tblLayout w:type="fixed"/>
        <w:tblLook w:firstRow="0" w:lastRow="0" w:firstColumn="0" w:lastColumn="0" w:noHBand="0" w:noVBand="0" w:val="0000"/>
      </w:tblPr>
      <w:tblGrid>
        <w:gridCol w:w="7920"/>
      </w:tblGrid>
      <w:tr>
        <w:tc>
          <w:tcPr/>
          <w:bookmarkStart w:id="128" w:name="fig-ppc-heatmaps"/>
          <w:p>
            <w:pPr>
              <w:pStyle w:val="Compact"/>
              <w:jc w:val="center"/>
            </w:pPr>
            <w:r>
              <w:drawing>
                <wp:inline>
                  <wp:extent cx="4267200" cy="3556000"/>
                  <wp:effectExtent b="0" l="0" r="0" t="0"/>
                  <wp:docPr descr="" title="" id="126" name="Picture"/>
                  <a:graphic>
                    <a:graphicData uri="http://schemas.openxmlformats.org/drawingml/2006/picture">
                      <pic:pic>
                        <pic:nvPicPr>
                          <pic:cNvPr descr="../output/figures/fig_ppc_heatmaps.png" id="127" name="Picture"/>
                          <pic:cNvPicPr>
                            <a:picLocks noChangeArrowheads="1" noChangeAspect="1"/>
                          </pic:cNvPicPr>
                        </pic:nvPicPr>
                        <pic:blipFill>
                          <a:blip r:embed="rId125"/>
                          <a:stretch>
                            <a:fillRect/>
                          </a:stretch>
                        </pic:blipFill>
                        <pic:spPr bwMode="auto">
                          <a:xfrm>
                            <a:off x="0" y="0"/>
                            <a:ext cx="42672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PPC Residual Heatmaps. KS statistic and QP RMSE by Task × Effort × Difficulty for all models (top panel) and primary model only (bottom panel). Darker red indicates larger residuals. All cells exceed at least one pre-specified strict threshold; deviations are concentrated in fast RT tails.</w:t>
            </w:r>
          </w:p>
          <w:bookmarkEnd w:id="128"/>
        </w:tc>
      </w:tr>
    </w:tbl>
    <w:bookmarkEnd w:id="129"/>
    <w:bookmarkEnd w:id="130"/>
    <w:bookmarkStart w:id="152" w:name="a4.-sensitivity-analyses"/>
    <w:p>
      <w:pPr>
        <w:pStyle w:val="Heading2"/>
      </w:pPr>
      <w:r>
        <w:t xml:space="preserve">A4. Sensitivity Analyses</w:t>
      </w:r>
    </w:p>
    <w:bookmarkStart w:id="132" w:name="X4c06544ab073e3148bfc63df5d6ea1bec867eb9"/>
    <w:p>
      <w:pPr>
        <w:pStyle w:val="Heading3"/>
      </w:pPr>
      <w:r>
        <w:t xml:space="preserve">A4.1 Exclusion of Sub-Chance Participants</w:t>
      </w:r>
    </w:p>
    <w:p>
      <w:pPr>
        <w:pStyle w:val="FirstParagraph"/>
      </w:pPr>
      <w:r>
        <w:t xml:space="preserve">Twelve participants were at or near chance ($</w:t>
      </w:r>
      <w:r>
        <w:t xml:space="preserve">$55% accuracy in some conditions). We refit the primary model on the full sample (N = 67) and after excluding them (N = 55).</w:t>
      </w:r>
    </w:p>
    <w:p>
      <w:pPr>
        <w:pStyle w:val="BodyText"/>
      </w:pPr>
      <w:r>
        <w:rPr>
          <w:b/>
          <w:bCs/>
        </w:rPr>
        <w:t xml:space="preserve">Method.</w:t>
      </w:r>
      <w:r>
        <w:t xml:space="preserve"> </w:t>
      </w:r>
      <w:r>
        <w:t xml:space="preserve">Model3_Difficulty and Model4_Additive were refit on the reduced sample. We compared sensitivity − baseline (Δ) with 95% CrIs. Overlapping CIs and a Δ CI including zero indicate little change.</w:t>
      </w:r>
    </w:p>
    <w:tbl>
      <w:tblPr>
        <w:tblStyle w:val="Table"/>
        <w:tblW w:type="pct" w:w="5000"/>
        <w:tblLayout w:type="fixed"/>
        <w:tblLook w:firstRow="0" w:lastRow="0" w:firstColumn="0" w:lastColumn="0" w:noHBand="0" w:noVBand="0" w:val="0000"/>
      </w:tblPr>
      <w:tblGrid>
        <w:gridCol w:w="7920"/>
      </w:tblGrid>
      <w:tr>
        <w:tc>
          <w:tcPr/>
          <w:bookmarkStart w:id="131" w:name="tbl-sensitivity-subchance"/>
          <w:p>
            <w:pPr>
              <w:jc w:val="center"/>
            </w:pPr>
            <w:pPr>
              <w:jc w:val="start"/>
              <w:spacing w:before="200"/>
              <w:pStyle w:val="ImageCaption"/>
            </w:pPr>
            <w:r>
              <w:t xml:space="preserve">Table 12: Sensitivity Analysis: Excluding Sub-Chance Participants</w:t>
            </w:r>
          </w:p>
          <w:tbl>
            <w:tblPr>
              <w:tblStyle w:val="Table"/>
              <w:tblW w:type="pct" w:w="5000"/>
              <w:tblLayout w:type="fixed"/>
              <w:tblLook w:firstRow="1" w:lastRow="0" w:firstColumn="0" w:lastColumn="0" w:noHBand="0" w:noVBand="0" w:val="0020"/>
            </w:tblPr>
            <w:tblGrid>
              <w:gridCol w:w="1152"/>
              <w:gridCol w:w="1403"/>
              <w:gridCol w:w="902"/>
              <w:gridCol w:w="1052"/>
              <w:gridCol w:w="350"/>
              <w:gridCol w:w="751"/>
              <w:gridCol w:w="751"/>
              <w:gridCol w:w="551"/>
              <w:gridCol w:w="1002"/>
            </w:tblGrid>
            <w:tr>
              <w:trPr>
                <w:tblHeader w:val="on"/>
              </w:trPr>
              <w:tc>
                <w:tcPr/>
                <w:p>
                  <w:pPr>
                    <w:pStyle w:val="Compact"/>
                    <w:jc w:val="left"/>
                    <w:jc w:val="center"/>
                  </w:pPr>
                  <w:r>
                    <w:t xml:space="preserve">model</w:t>
                  </w:r>
                </w:p>
              </w:tc>
              <w:tc>
                <w:tcPr/>
                <w:p>
                  <w:pPr>
                    <w:pStyle w:val="Compact"/>
                    <w:jc w:val="left"/>
                    <w:jc w:val="center"/>
                  </w:pPr>
                  <w:r>
                    <w:t xml:space="preserve">parameter</w:t>
                  </w:r>
                </w:p>
              </w:tc>
              <w:tc>
                <w:tcPr/>
                <w:p>
                  <w:pPr>
                    <w:pStyle w:val="Compact"/>
                    <w:jc w:val="right"/>
                    <w:jc w:val="center"/>
                  </w:pPr>
                  <w:r>
                    <w:t xml:space="preserve">baseline_estimate</w:t>
                  </w:r>
                </w:p>
              </w:tc>
              <w:tc>
                <w:tcPr/>
                <w:p>
                  <w:pPr>
                    <w:pStyle w:val="Compact"/>
                    <w:jc w:val="right"/>
                    <w:jc w:val="center"/>
                  </w:pPr>
                  <w:r>
                    <w:t xml:space="preserve">sensitivity_estimate</w:t>
                  </w:r>
                </w:p>
              </w:tc>
              <w:tc>
                <w:tcPr/>
                <w:p>
                  <w:pPr>
                    <w:pStyle w:val="Compact"/>
                    <w:jc w:val="right"/>
                    <w:jc w:val="center"/>
                  </w:pPr>
                  <w:r>
                    <w:t xml:space="preserve">delta</w:t>
                  </w:r>
                </w:p>
              </w:tc>
              <w:tc>
                <w:tcPr/>
                <w:p>
                  <w:pPr>
                    <w:pStyle w:val="Compact"/>
                    <w:jc w:val="right"/>
                    <w:jc w:val="center"/>
                  </w:pPr>
                  <w:r>
                    <w:t xml:space="preserve">delta_ci_lower</w:t>
                  </w:r>
                </w:p>
              </w:tc>
              <w:tc>
                <w:tcPr/>
                <w:p>
                  <w:pPr>
                    <w:pStyle w:val="Compact"/>
                    <w:jc w:val="right"/>
                    <w:jc w:val="center"/>
                  </w:pPr>
                  <w:r>
                    <w:t xml:space="preserve">delta_ci_upper</w:t>
                  </w:r>
                </w:p>
              </w:tc>
              <w:tc>
                <w:tcPr/>
                <w:p>
                  <w:pPr>
                    <w:pStyle w:val="Compact"/>
                    <w:jc w:val="left"/>
                    <w:jc w:val="center"/>
                  </w:pPr>
                  <w:r>
                    <w:t xml:space="preserve">ci_overlap</w:t>
                  </w:r>
                </w:p>
              </w:tc>
              <w:tc>
                <w:tcPr/>
                <w:p>
                  <w:pPr>
                    <w:pStyle w:val="Compact"/>
                    <w:jc w:val="left"/>
                    <w:jc w:val="center"/>
                  </w:pPr>
                  <w:r>
                    <w:t xml:space="preserve">delta_contains_zero</w:t>
                  </w:r>
                </w:p>
              </w:tc>
            </w:tr>
            <w:tr>
              <w:tc>
                <w:tcPr/>
                <w:p>
                  <w:pPr>
                    <w:pStyle w:val="Compact"/>
                    <w:jc w:val="left"/>
                    <w:jc w:val="center"/>
                  </w:pPr>
                  <w:r>
                    <w:t xml:space="preserve">Additive (v + a + z)</w:t>
                  </w:r>
                </w:p>
              </w:tc>
              <w:tc>
                <w:tcPr/>
                <w:p>
                  <w:pPr>
                    <w:pStyle w:val="Compact"/>
                    <w:jc w:val="left"/>
                    <w:jc w:val="center"/>
                  </w:pPr>
                  <w:r>
                    <w:t xml:space="preserve">Boundary (a): Intercept</w:t>
                  </w:r>
                </w:p>
              </w:tc>
              <w:tc>
                <w:tcPr/>
                <w:p>
                  <w:pPr>
                    <w:pStyle w:val="Compact"/>
                    <w:jc w:val="right"/>
                    <w:jc w:val="center"/>
                  </w:pPr>
                  <w:r>
                    <w:t xml:space="preserve">0.705</w:t>
                  </w:r>
                </w:p>
              </w:tc>
              <w:tc>
                <w:tcPr/>
                <w:p>
                  <w:pPr>
                    <w:pStyle w:val="Compact"/>
                    <w:jc w:val="right"/>
                    <w:jc w:val="center"/>
                  </w:pPr>
                  <w:r>
                    <w:t xml:space="preserve">0.711</w:t>
                  </w:r>
                </w:p>
              </w:tc>
              <w:tc>
                <w:tcPr/>
                <w:p>
                  <w:pPr>
                    <w:pStyle w:val="Compact"/>
                    <w:jc w:val="right"/>
                    <w:jc w:val="center"/>
                  </w:pPr>
                  <w:r>
                    <w:t xml:space="preserve">0.006</w:t>
                  </w:r>
                </w:p>
              </w:tc>
              <w:tc>
                <w:tcPr/>
                <w:p>
                  <w:pPr>
                    <w:pStyle w:val="Compact"/>
                    <w:jc w:val="right"/>
                    <w:jc w:val="center"/>
                  </w:pPr>
                  <w:r>
                    <w:t xml:space="preserve">-0.091</w:t>
                  </w:r>
                </w:p>
              </w:tc>
              <w:tc>
                <w:tcPr/>
                <w:p>
                  <w:pPr>
                    <w:pStyle w:val="Compact"/>
                    <w:jc w:val="right"/>
                    <w:jc w:val="center"/>
                  </w:pPr>
                  <w:r>
                    <w:t xml:space="preserve">0.103</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Additive (v + a + z)</w:t>
                  </w:r>
                </w:p>
              </w:tc>
              <w:tc>
                <w:tcPr/>
                <w:p>
                  <w:pPr>
                    <w:pStyle w:val="Compact"/>
                    <w:jc w:val="left"/>
                    <w:jc w:val="center"/>
                  </w:pPr>
                  <w:r>
                    <w:t xml:space="preserve">Drift (v): Difficulty: Hard</w:t>
                  </w:r>
                </w:p>
              </w:tc>
              <w:tc>
                <w:tcPr/>
                <w:p>
                  <w:pPr>
                    <w:pStyle w:val="Compact"/>
                    <w:jc w:val="right"/>
                    <w:jc w:val="center"/>
                  </w:pPr>
                  <w:r>
                    <w:t xml:space="preserve">-1.534</w:t>
                  </w:r>
                </w:p>
              </w:tc>
              <w:tc>
                <w:tcPr/>
                <w:p>
                  <w:pPr>
                    <w:pStyle w:val="Compact"/>
                    <w:jc w:val="right"/>
                    <w:jc w:val="center"/>
                  </w:pPr>
                  <w:r>
                    <w:t xml:space="preserve">-1.582</w:t>
                  </w:r>
                </w:p>
              </w:tc>
              <w:tc>
                <w:tcPr/>
                <w:p>
                  <w:pPr>
                    <w:pStyle w:val="Compact"/>
                    <w:jc w:val="right"/>
                    <w:jc w:val="center"/>
                  </w:pPr>
                  <w:r>
                    <w:t xml:space="preserve">-0.049</w:t>
                  </w:r>
                </w:p>
              </w:tc>
              <w:tc>
                <w:tcPr/>
                <w:p>
                  <w:pPr>
                    <w:pStyle w:val="Compact"/>
                    <w:jc w:val="right"/>
                    <w:jc w:val="center"/>
                  </w:pPr>
                  <w:r>
                    <w:t xml:space="preserve">-0.195</w:t>
                  </w:r>
                </w:p>
              </w:tc>
              <w:tc>
                <w:tcPr/>
                <w:p>
                  <w:pPr>
                    <w:pStyle w:val="Compact"/>
                    <w:jc w:val="right"/>
                    <w:jc w:val="center"/>
                  </w:pPr>
                  <w:r>
                    <w:t xml:space="preserve">0.096</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Additive (v + a + z)</w:t>
                  </w:r>
                </w:p>
              </w:tc>
              <w:tc>
                <w:tcPr/>
                <w:p>
                  <w:pPr>
                    <w:pStyle w:val="Compact"/>
                    <w:jc w:val="left"/>
                    <w:jc w:val="center"/>
                  </w:pPr>
                  <w:r>
                    <w:t xml:space="preserve">Drift (v): Intercept</w:t>
                  </w:r>
                </w:p>
              </w:tc>
              <w:tc>
                <w:tcPr/>
                <w:p>
                  <w:pPr>
                    <w:pStyle w:val="Compact"/>
                    <w:jc w:val="right"/>
                    <w:jc w:val="center"/>
                  </w:pPr>
                  <w:r>
                    <w:t xml:space="preserve">0.996</w:t>
                  </w:r>
                </w:p>
              </w:tc>
              <w:tc>
                <w:tcPr/>
                <w:p>
                  <w:pPr>
                    <w:pStyle w:val="Compact"/>
                    <w:jc w:val="right"/>
                    <w:jc w:val="center"/>
                  </w:pPr>
                  <w:r>
                    <w:t xml:space="preserve">1.041</w:t>
                  </w:r>
                </w:p>
              </w:tc>
              <w:tc>
                <w:tcPr/>
                <w:p>
                  <w:pPr>
                    <w:pStyle w:val="Compact"/>
                    <w:jc w:val="right"/>
                    <w:jc w:val="center"/>
                  </w:pPr>
                  <w:r>
                    <w:t xml:space="preserve">0.044</w:t>
                  </w:r>
                </w:p>
              </w:tc>
              <w:tc>
                <w:tcPr/>
                <w:p>
                  <w:pPr>
                    <w:pStyle w:val="Compact"/>
                    <w:jc w:val="right"/>
                    <w:jc w:val="center"/>
                  </w:pPr>
                  <w:r>
                    <w:t xml:space="preserve">-0.170</w:t>
                  </w:r>
                </w:p>
              </w:tc>
              <w:tc>
                <w:tcPr/>
                <w:p>
                  <w:pPr>
                    <w:pStyle w:val="Compact"/>
                    <w:jc w:val="right"/>
                    <w:jc w:val="center"/>
                  </w:pPr>
                  <w:r>
                    <w:t xml:space="preserve">0.259</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Difficulty → v (drift)</w:t>
                  </w:r>
                </w:p>
              </w:tc>
              <w:tc>
                <w:tcPr/>
                <w:p>
                  <w:pPr>
                    <w:pStyle w:val="Compact"/>
                    <w:jc w:val="left"/>
                    <w:jc w:val="center"/>
                  </w:pPr>
                  <w:r>
                    <w:t xml:space="preserve">Boundary (a): Intercept</w:t>
                  </w:r>
                </w:p>
              </w:tc>
              <w:tc>
                <w:tcPr/>
                <w:p>
                  <w:pPr>
                    <w:pStyle w:val="Compact"/>
                    <w:jc w:val="right"/>
                    <w:jc w:val="center"/>
                  </w:pPr>
                  <w:r>
                    <w:t xml:space="preserve">0.705</w:t>
                  </w:r>
                </w:p>
              </w:tc>
              <w:tc>
                <w:tcPr/>
                <w:p>
                  <w:pPr>
                    <w:pStyle w:val="Compact"/>
                    <w:jc w:val="right"/>
                    <w:jc w:val="center"/>
                  </w:pPr>
                  <w:r>
                    <w:t xml:space="preserve">0.710</w:t>
                  </w:r>
                </w:p>
              </w:tc>
              <w:tc>
                <w:tcPr/>
                <w:p>
                  <w:pPr>
                    <w:pStyle w:val="Compact"/>
                    <w:jc w:val="right"/>
                    <w:jc w:val="center"/>
                  </w:pPr>
                  <w:r>
                    <w:t xml:space="preserve">0.005</w:t>
                  </w:r>
                </w:p>
              </w:tc>
              <w:tc>
                <w:tcPr/>
                <w:p>
                  <w:pPr>
                    <w:pStyle w:val="Compact"/>
                    <w:jc w:val="right"/>
                    <w:jc w:val="center"/>
                  </w:pPr>
                  <w:r>
                    <w:t xml:space="preserve">-0.094</w:t>
                  </w:r>
                </w:p>
              </w:tc>
              <w:tc>
                <w:tcPr/>
                <w:p>
                  <w:pPr>
                    <w:pStyle w:val="Compact"/>
                    <w:jc w:val="right"/>
                    <w:jc w:val="center"/>
                  </w:pPr>
                  <w:r>
                    <w:t xml:space="preserve">0.104</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Difficulty → v (drift)</w:t>
                  </w:r>
                </w:p>
              </w:tc>
              <w:tc>
                <w:tcPr/>
                <w:p>
                  <w:pPr>
                    <w:pStyle w:val="Compact"/>
                    <w:jc w:val="left"/>
                    <w:jc w:val="center"/>
                  </w:pPr>
                  <w:r>
                    <w:t xml:space="preserve">Drift (v): Difficulty: Hard</w:t>
                  </w:r>
                </w:p>
              </w:tc>
              <w:tc>
                <w:tcPr/>
                <w:p>
                  <w:pPr>
                    <w:pStyle w:val="Compact"/>
                    <w:jc w:val="right"/>
                    <w:jc w:val="center"/>
                  </w:pPr>
                  <w:r>
                    <w:t xml:space="preserve">-1.534</w:t>
                  </w:r>
                </w:p>
              </w:tc>
              <w:tc>
                <w:tcPr/>
                <w:p>
                  <w:pPr>
                    <w:pStyle w:val="Compact"/>
                    <w:jc w:val="right"/>
                    <w:jc w:val="center"/>
                  </w:pPr>
                  <w:r>
                    <w:t xml:space="preserve">-1.582</w:t>
                  </w:r>
                </w:p>
              </w:tc>
              <w:tc>
                <w:tcPr/>
                <w:p>
                  <w:pPr>
                    <w:pStyle w:val="Compact"/>
                    <w:jc w:val="right"/>
                    <w:jc w:val="center"/>
                  </w:pPr>
                  <w:r>
                    <w:t xml:space="preserve">-0.048</w:t>
                  </w:r>
                </w:p>
              </w:tc>
              <w:tc>
                <w:tcPr/>
                <w:p>
                  <w:pPr>
                    <w:pStyle w:val="Compact"/>
                    <w:jc w:val="right"/>
                    <w:jc w:val="center"/>
                  </w:pPr>
                  <w:r>
                    <w:t xml:space="preserve">-0.195</w:t>
                  </w:r>
                </w:p>
              </w:tc>
              <w:tc>
                <w:tcPr/>
                <w:p>
                  <w:pPr>
                    <w:pStyle w:val="Compact"/>
                    <w:jc w:val="right"/>
                    <w:jc w:val="center"/>
                  </w:pPr>
                  <w:r>
                    <w:t xml:space="preserve">0.100</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Difficulty → v (drift)</w:t>
                  </w:r>
                </w:p>
              </w:tc>
              <w:tc>
                <w:tcPr/>
                <w:p>
                  <w:pPr>
                    <w:pStyle w:val="Compact"/>
                    <w:jc w:val="left"/>
                    <w:jc w:val="center"/>
                  </w:pPr>
                  <w:r>
                    <w:t xml:space="preserve">Drift (v): Intercept</w:t>
                  </w:r>
                </w:p>
              </w:tc>
              <w:tc>
                <w:tcPr/>
                <w:p>
                  <w:pPr>
                    <w:pStyle w:val="Compact"/>
                    <w:jc w:val="right"/>
                    <w:jc w:val="center"/>
                  </w:pPr>
                  <w:r>
                    <w:t xml:space="preserve">1.020</w:t>
                  </w:r>
                </w:p>
              </w:tc>
              <w:tc>
                <w:tcPr/>
                <w:p>
                  <w:pPr>
                    <w:pStyle w:val="Compact"/>
                    <w:jc w:val="right"/>
                    <w:jc w:val="center"/>
                  </w:pPr>
                  <w:r>
                    <w:t xml:space="preserve">1.117</w:t>
                  </w:r>
                </w:p>
              </w:tc>
              <w:tc>
                <w:tcPr/>
                <w:p>
                  <w:pPr>
                    <w:pStyle w:val="Compact"/>
                    <w:jc w:val="right"/>
                    <w:jc w:val="center"/>
                  </w:pPr>
                  <w:r>
                    <w:t xml:space="preserve">0.097</w:t>
                  </w:r>
                </w:p>
              </w:tc>
              <w:tc>
                <w:tcPr/>
                <w:p>
                  <w:pPr>
                    <w:pStyle w:val="Compact"/>
                    <w:jc w:val="right"/>
                    <w:jc w:val="center"/>
                  </w:pPr>
                  <w:r>
                    <w:t xml:space="preserve">-0.106</w:t>
                  </w:r>
                </w:p>
              </w:tc>
              <w:tc>
                <w:tcPr/>
                <w:p>
                  <w:pPr>
                    <w:pStyle w:val="Compact"/>
                    <w:jc w:val="right"/>
                    <w:jc w:val="center"/>
                  </w:pPr>
                  <w:r>
                    <w:t xml:space="preserve">0.301</w:t>
                  </w:r>
                </w:p>
              </w:tc>
              <w:tc>
                <w:tcPr/>
                <w:p>
                  <w:pPr>
                    <w:pStyle w:val="Compact"/>
                    <w:jc w:val="left"/>
                    <w:jc w:val="center"/>
                  </w:pPr>
                  <w:r>
                    <w:t xml:space="preserve">TRUE</w:t>
                  </w:r>
                </w:p>
              </w:tc>
              <w:tc>
                <w:tcPr/>
                <w:p>
                  <w:pPr>
                    <w:pStyle w:val="Compact"/>
                    <w:jc w:val="left"/>
                    <w:jc w:val="center"/>
                  </w:pPr>
                  <w:r>
                    <w:t xml:space="preserve">TRUE</w:t>
                  </w:r>
                </w:p>
              </w:tc>
            </w:tr>
          </w:tbl>
          <w:bookmarkEnd w:id="131"/>
          <w:p/>
        </w:tc>
      </w:tr>
    </w:tbl>
    <w:p>
      <w:pPr>
        <w:pStyle w:val="BodyText"/>
      </w:pPr>
      <w:r>
        <w:rPr>
          <w:b/>
          <w:bCs/>
        </w:rPr>
        <w:t xml:space="preserve">Results.</w:t>
      </w:r>
      <w:r>
        <w:t xml:space="preserve"> </w:t>
      </w:r>
      <w:r>
        <w:t xml:space="preserve">Drift intercept, boundary separation, and the Easy difficulty effect changed little. Hard difficulty shifted slightly (</w:t>
      </w:r>
      <m:oMath>
        <m:r>
          <m:t>Δ</m:t>
        </m:r>
        <m:r>
          <m:rPr>
            <m:sty m:val="p"/>
          </m:rPr>
          <m:t>≈</m:t>
        </m:r>
        <m:r>
          <m:rPr>
            <m:sty m:val="p"/>
          </m:rPr>
          <m:t>−</m:t>
        </m:r>
        <m:r>
          <m:t>0.10</m:t>
        </m:r>
      </m:oMath>
      <w:r>
        <w:t xml:space="preserve">; ~6.5% of baseline) but remained negative relative to Standard.</w:t>
      </w:r>
    </w:p>
    <w:p>
      <w:pPr>
        <w:pStyle w:val="BodyText"/>
      </w:pPr>
      <w:r>
        <w:rPr>
          <w:b/>
          <w:bCs/>
        </w:rPr>
        <w:t xml:space="preserve">Conclusion.</w:t>
      </w:r>
      <w:r>
        <w:t xml:space="preserve"> </w:t>
      </w:r>
      <w:r>
        <w:t xml:space="preserve">Main effects were unchanged. We kept all 67 participants for the primary analysis.</w:t>
      </w:r>
    </w:p>
    <w:bookmarkEnd w:id="132"/>
    <w:bookmarkStart w:id="140" w:name="a4.2-rt-cutoff-thresholds"/>
    <w:p>
      <w:pPr>
        <w:pStyle w:val="Heading3"/>
      </w:pPr>
      <w:r>
        <w:t xml:space="preserve">A4.2 RT Cutoff Thresholds</w:t>
      </w:r>
    </w:p>
    <w:p>
      <w:pPr>
        <w:pStyle w:val="FirstParagraph"/>
      </w:pPr>
      <w:r>
        <w:t xml:space="preserve">The difficulty gradient and effort effect on drift were similar at RT cutoffs of 0.15, 0.20, and 0.25 s (</w:t>
      </w:r>
      <w:hyperlink w:anchor="tbl-h1-h2-by-cutoff">
        <w:r>
          <w:rPr>
            <w:rStyle w:val="Hyperlink"/>
          </w:rPr>
          <w:t xml:space="preserve">Table 14</w:t>
        </w:r>
      </w:hyperlink>
      <w:r>
        <w:t xml:space="preserve"> </w:t>
      </w:r>
      <w:r>
        <w:t xml:space="preserve">and figures below).</w:t>
      </w:r>
    </w:p>
    <w:p>
      <w:pPr>
        <w:pStyle w:val="BodyText"/>
      </w:pPr>
      <w:r>
        <w:t xml:space="preserve">LOOIC is not comparable across cutoffs because trial counts differ; we therefore compare parameter estimates and effect direction only (</w:t>
      </w:r>
      <w:hyperlink w:anchor="tbl-h1-h2-by-cutoff">
        <w:r>
          <w:rPr>
            <w:rStyle w:val="Hyperlink"/>
          </w:rPr>
          <w:t xml:space="preserve">Table 14</w:t>
        </w:r>
      </w:hyperlink>
      <w:r>
        <w:t xml:space="preserve">).</w:t>
      </w:r>
      <w:r>
        <w:t xml:space="preserve"> </w:t>
      </w:r>
      <w:hyperlink w:anchor="tbl-h1-h2-by-cutoff">
        <w:r>
          <w:rPr>
            <w:rStyle w:val="Hyperlink"/>
          </w:rPr>
          <w:t xml:space="preserve">Table 14</w:t>
        </w:r>
      </w:hyperlink>
      <w:r>
        <w:t xml:space="preserve"> </w:t>
      </w:r>
      <w:r>
        <w:t xml:space="preserve">reports H1 (effort on drift) and H2 (effort on boundary) contrasts from additive probe-onset-locked models refit at each cutoff (0.15 / 0.20 / 0.25 s). Coefficients at 0.20 s match the canonical primary model (max</w:t>
      </w:r>
      <w:r>
        <w:t xml:space="preserve"> </w:t>
      </w:r>
      <m:oMath>
        <m:acc>
          <m:accPr>
            <m:chr m:val="̂"/>
          </m:accPr>
          <m:e>
            <m:r>
              <m:t>R</m:t>
            </m:r>
          </m:e>
        </m:acc>
      </m:oMath>
      <w:r>
        <w:t xml:space="preserve"> </w:t>
      </w:r>
      <w:r>
        <w:t xml:space="preserve">= 1.006 in the primary fit; Appendix A1). Cutoff-sweep refits are reported for directional stability only.</w:t>
      </w:r>
    </w:p>
    <w:tbl>
      <w:tblPr>
        <w:tblStyle w:val="Table"/>
        <w:tblW w:type="pct" w:w="5000"/>
        <w:tblLayout w:type="fixed"/>
        <w:tblLook w:firstRow="0" w:lastRow="0" w:firstColumn="0" w:lastColumn="0" w:noHBand="0" w:noVBand="0" w:val="0000"/>
      </w:tblPr>
      <w:tblGrid>
        <w:gridCol w:w="7920"/>
      </w:tblGrid>
      <w:tr>
        <w:tc>
          <w:tcPr/>
          <w:bookmarkStart w:id="133" w:name="tbl-sensitivity-thresholds"/>
          <w:p>
            <w:pPr>
              <w:jc w:val="center"/>
            </w:pPr>
            <w:pPr>
              <w:jc w:val="start"/>
              <w:spacing w:before="200"/>
              <w:pStyle w:val="ImageCaption"/>
            </w:pPr>
            <w:r>
              <w:t xml:space="preserve">Table 13: Sensitivity to minimum cue-locked RT cutoff (0.15/0.20/0.25 s). LOOIC is omitted because trial counts differ across cutoffs; effect-direction comparisons appear in</w:t>
            </w:r>
            <w:r>
              <w:t xml:space="preserve"> </w:t>
            </w:r>
            <w:hyperlink w:anchor="tbl-h1-h2-by-cutoff">
              <w:r>
                <w:rPr>
                  <w:rStyle w:val="Hyperlink"/>
                </w:rPr>
                <w:t xml:space="preserve">Table 14</w:t>
              </w:r>
            </w:hyperlink>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Threshold (s)</w:t>
                  </w:r>
                </w:p>
              </w:tc>
              <w:tc>
                <w:tcPr/>
                <w:p>
                  <w:pPr>
                    <w:pStyle w:val="Compact"/>
                    <w:jc w:val="left"/>
                    <w:jc w:val="center"/>
                  </w:pPr>
                  <w:r>
                    <w:t xml:space="preserve">N trials</w:t>
                  </w:r>
                </w:p>
              </w:tc>
              <w:tc>
                <w:tcPr/>
                <w:p>
                  <w:pPr>
                    <w:pStyle w:val="Compact"/>
                    <w:jc w:val="right"/>
                    <w:jc w:val="center"/>
                  </w:pPr>
                  <w:r>
                    <w:t xml:space="preserve">N subjects</w:t>
                  </w:r>
                </w:p>
              </w:tc>
              <w:tc>
                <w:tcPr/>
                <w:p>
                  <w:pPr>
                    <w:pStyle w:val="Compact"/>
                    <w:jc w:val="right"/>
                    <w:jc w:val="center"/>
                  </w:pPr>
                  <w:r>
                    <w:t xml:space="preserve">min_rt</w:t>
                  </w:r>
                </w:p>
              </w:tc>
              <w:tc>
                <w:tcPr/>
                <w:p>
                  <w:pPr>
                    <w:pStyle w:val="Compact"/>
                    <w:jc w:val="right"/>
                    <w:jc w:val="center"/>
                  </w:pPr>
                  <w:r>
                    <w:t xml:space="preserve">median_rt</w:t>
                  </w:r>
                </w:p>
              </w:tc>
            </w:tr>
            <w:tr>
              <w:tc>
                <w:tcPr/>
                <w:p>
                  <w:pPr>
                    <w:pStyle w:val="Compact"/>
                    <w:jc w:val="right"/>
                    <w:jc w:val="center"/>
                  </w:pPr>
                  <w:r>
                    <w:t xml:space="preserve">0.15</w:t>
                  </w:r>
                </w:p>
              </w:tc>
              <w:tc>
                <w:tcPr/>
                <w:p>
                  <w:pPr>
                    <w:pStyle w:val="Compact"/>
                    <w:jc w:val="left"/>
                    <w:jc w:val="center"/>
                  </w:pPr>
                  <w:r>
                    <w:t xml:space="preserve">17,981</w:t>
                  </w:r>
                </w:p>
              </w:tc>
              <w:tc>
                <w:tcPr/>
                <w:p>
                  <w:pPr>
                    <w:pStyle w:val="Compact"/>
                    <w:jc w:val="right"/>
                    <w:jc w:val="center"/>
                  </w:pPr>
                  <w:r>
                    <w:t xml:space="preserve">67</w:t>
                  </w:r>
                </w:p>
              </w:tc>
              <w:tc>
                <w:tcPr/>
                <w:p>
                  <w:pPr>
                    <w:pStyle w:val="Compact"/>
                    <w:jc w:val="right"/>
                    <w:jc w:val="center"/>
                  </w:pPr>
                  <w:r>
                    <w:t xml:space="preserve">0.1505</w:t>
                  </w:r>
                </w:p>
              </w:tc>
              <w:tc>
                <w:tcPr/>
                <w:p>
                  <w:pPr>
                    <w:pStyle w:val="Compact"/>
                    <w:jc w:val="right"/>
                    <w:jc w:val="center"/>
                  </w:pPr>
                  <w:r>
                    <w:t xml:space="preserve">0.8774</w:t>
                  </w:r>
                </w:p>
              </w:tc>
            </w:tr>
            <w:tr>
              <w:tc>
                <w:tcPr/>
                <w:p>
                  <w:pPr>
                    <w:pStyle w:val="Compact"/>
                    <w:jc w:val="right"/>
                    <w:jc w:val="center"/>
                  </w:pPr>
                  <w:r>
                    <w:t xml:space="preserve">0.20</w:t>
                  </w:r>
                </w:p>
              </w:tc>
              <w:tc>
                <w:tcPr/>
                <w:p>
                  <w:pPr>
                    <w:pStyle w:val="Compact"/>
                    <w:jc w:val="left"/>
                    <w:jc w:val="center"/>
                  </w:pPr>
                  <w:r>
                    <w:t xml:space="preserve">17,857</w:t>
                  </w:r>
                </w:p>
              </w:tc>
              <w:tc>
                <w:tcPr/>
                <w:p>
                  <w:pPr>
                    <w:pStyle w:val="Compact"/>
                    <w:jc w:val="right"/>
                    <w:jc w:val="center"/>
                  </w:pPr>
                  <w:r>
                    <w:t xml:space="preserve">67</w:t>
                  </w:r>
                </w:p>
              </w:tc>
              <w:tc>
                <w:tcPr/>
                <w:p>
                  <w:pPr>
                    <w:pStyle w:val="Compact"/>
                    <w:jc w:val="right"/>
                    <w:jc w:val="center"/>
                  </w:pPr>
                  <w:r>
                    <w:t xml:space="preserve">0.2004</w:t>
                  </w:r>
                </w:p>
              </w:tc>
              <w:tc>
                <w:tcPr/>
                <w:p>
                  <w:pPr>
                    <w:pStyle w:val="Compact"/>
                    <w:jc w:val="right"/>
                    <w:jc w:val="center"/>
                  </w:pPr>
                  <w:r>
                    <w:t xml:space="preserve">0.8823</w:t>
                  </w:r>
                </w:p>
              </w:tc>
            </w:tr>
            <w:tr>
              <w:tc>
                <w:tcPr/>
                <w:p>
                  <w:pPr>
                    <w:pStyle w:val="Compact"/>
                    <w:jc w:val="right"/>
                    <w:jc w:val="center"/>
                  </w:pPr>
                  <w:r>
                    <w:t xml:space="preserve">0.25</w:t>
                  </w:r>
                </w:p>
              </w:tc>
              <w:tc>
                <w:tcPr/>
                <w:p>
                  <w:pPr>
                    <w:pStyle w:val="Compact"/>
                    <w:jc w:val="left"/>
                    <w:jc w:val="center"/>
                  </w:pPr>
                  <w:r>
                    <w:t xml:space="preserve">17,720</w:t>
                  </w:r>
                </w:p>
              </w:tc>
              <w:tc>
                <w:tcPr/>
                <w:p>
                  <w:pPr>
                    <w:pStyle w:val="Compact"/>
                    <w:jc w:val="right"/>
                    <w:jc w:val="center"/>
                  </w:pPr>
                  <w:r>
                    <w:t xml:space="preserve">67</w:t>
                  </w:r>
                </w:p>
              </w:tc>
              <w:tc>
                <w:tcPr/>
                <w:p>
                  <w:pPr>
                    <w:pStyle w:val="Compact"/>
                    <w:jc w:val="right"/>
                    <w:jc w:val="center"/>
                  </w:pPr>
                  <w:r>
                    <w:t xml:space="preserve">0.2505</w:t>
                  </w:r>
                </w:p>
              </w:tc>
              <w:tc>
                <w:tcPr/>
                <w:p>
                  <w:pPr>
                    <w:pStyle w:val="Compact"/>
                    <w:jc w:val="right"/>
                    <w:jc w:val="center"/>
                  </w:pPr>
                  <w:r>
                    <w:t xml:space="preserve">0.8887</w:t>
                  </w:r>
                </w:p>
              </w:tc>
            </w:tr>
          </w:tbl>
          <w:bookmarkEnd w:id="133"/>
          <w:p/>
        </w:tc>
      </w:tr>
    </w:tbl>
    <w:p>
      <w:pPr>
        <w:pStyle w:val="BodyText"/>
      </w:pPr>
      <w:r>
        <w:t xml:space="preserve">Primary cutoff: 0.20 s cue-locked (</w:t>
      </w:r>
      <w:hyperlink w:anchor="tbl-sensitivity-thresholds">
        <w:r>
          <w:rPr>
            <w:rStyle w:val="Hyperlink"/>
          </w:rPr>
          <w:t xml:space="preserve">Table 13</w:t>
        </w:r>
      </w:hyperlink>
      <w:r>
        <w:t xml:space="preserve">). All reported effects use this threshold.</w:t>
      </w:r>
    </w:p>
    <w:tbl>
      <w:tblPr>
        <w:tblStyle w:val="Table"/>
        <w:tblW w:type="pct" w:w="5000"/>
        <w:tblLayout w:type="fixed"/>
        <w:tblLook w:firstRow="0" w:lastRow="0" w:firstColumn="0" w:lastColumn="0" w:noHBand="0" w:noVBand="0" w:val="0000"/>
      </w:tblPr>
      <w:tblGrid>
        <w:gridCol w:w="7920"/>
      </w:tblGrid>
      <w:tr>
        <w:tc>
          <w:tcPr/>
          <w:bookmarkStart w:id="134" w:name="tbl-h1-h2-by-cutoff"/>
          <w:p>
            <w:pPr>
              <w:jc w:val="center"/>
            </w:pPr>
            <w:pPr>
              <w:jc w:val="start"/>
              <w:spacing w:before="200"/>
              <w:pStyle w:val="ImageCaption"/>
            </w:pPr>
            <w:r>
              <w:t xml:space="preserve">Table 14: H1 (effort on drift) and H2 (effort on boundary) contrasts by cue-locked RT cutoff. High minus Low effort; additive probe-onset-locked models.</w:t>
            </w:r>
          </w:p>
          <w:tbl>
            <w:tblPr>
              <w:tblStyle w:val="Table"/>
              <w:tblW w:type="pct" w:w="5000"/>
              <w:tblLayout w:type="fixed"/>
              <w:tblLook w:firstRow="1" w:lastRow="0" w:firstColumn="0" w:lastColumn="0" w:noHBand="0" w:noVBand="0" w:val="0020"/>
            </w:tblPr>
            <w:tblGrid>
              <w:gridCol w:w="1335"/>
              <w:gridCol w:w="858"/>
              <w:gridCol w:w="2958"/>
              <w:gridCol w:w="2767"/>
            </w:tblGrid>
            <w:tr>
              <w:trPr>
                <w:tblHeader w:val="on"/>
              </w:trPr>
              <w:tc>
                <w:tcPr/>
                <w:p>
                  <w:pPr>
                    <w:pStyle w:val="Compact"/>
                    <w:jc w:val="right"/>
                    <w:jc w:val="center"/>
                  </w:pPr>
                  <w:r>
                    <w:t xml:space="preserve">Threshold (s)</w:t>
                  </w:r>
                </w:p>
              </w:tc>
              <w:tc>
                <w:tcPr/>
                <w:p>
                  <w:pPr>
                    <w:pStyle w:val="Compact"/>
                    <w:jc w:val="left"/>
                    <w:jc w:val="center"/>
                  </w:pPr>
                  <w:r>
                    <w:t xml:space="preserve">N trials</w:t>
                  </w:r>
                </w:p>
              </w:tc>
              <w:tc>
                <w:tcPr/>
                <w:p>
                  <w:pPr>
                    <w:pStyle w:val="Compact"/>
                    <w:jc w:val="left"/>
                    <w:jc w:val="center"/>
                  </w:pPr>
                  <w:r>
                    <w:t xml:space="preserve">H1: Effort on drift</w:t>
                  </w:r>
                </w:p>
              </w:tc>
              <w:tc>
                <w:tcPr/>
                <w:p>
                  <w:pPr>
                    <w:pStyle w:val="Compact"/>
                    <w:jc w:val="left"/>
                    <w:jc w:val="center"/>
                  </w:pPr>
                  <w:r>
                    <w:t xml:space="preserve">H2: Effort on boundary</w:t>
                  </w:r>
                </w:p>
              </w:tc>
            </w:tr>
            <w:tr>
              <w:tc>
                <w:tcPr/>
                <w:p>
                  <w:pPr>
                    <w:pStyle w:val="Compact"/>
                    <w:jc w:val="right"/>
                    <w:jc w:val="center"/>
                  </w:pPr>
                  <w:r>
                    <w:t xml:space="preserve">0.15</w:t>
                  </w:r>
                </w:p>
              </w:tc>
              <w:tc>
                <w:tcPr/>
                <w:p>
                  <w:pPr>
                    <w:pStyle w:val="Compact"/>
                    <w:jc w:val="left"/>
                    <w:jc w:val="center"/>
                  </w:pPr>
                  <w:r>
                    <w:t xml:space="preserve">17,981</w:t>
                  </w:r>
                </w:p>
              </w:tc>
              <w:tc>
                <w:tcPr/>
                <w:p>
                  <w:pPr>
                    <w:pStyle w:val="Compact"/>
                    <w:jc w:val="left"/>
                    <w:jc w:val="center"/>
                  </w:pPr>
                  <w:r>
                    <w:t xml:space="preserve">beta = -0.066 [-0.108, -0.025]</w:t>
                  </w:r>
                </w:p>
              </w:tc>
              <w:tc>
                <w:tcPr/>
                <w:p>
                  <w:pPr>
                    <w:pStyle w:val="Compact"/>
                    <w:jc w:val="left"/>
                    <w:jc w:val="center"/>
                  </w:pPr>
                  <w:r>
                    <w:t xml:space="preserve">beta = 0.012 [-0.001, 0.026]</w:t>
                  </w:r>
                </w:p>
              </w:tc>
            </w:tr>
            <w:tr>
              <w:tc>
                <w:tcPr/>
                <w:p>
                  <w:pPr>
                    <w:pStyle w:val="Compact"/>
                    <w:jc w:val="right"/>
                    <w:jc w:val="center"/>
                  </w:pPr>
                  <w:r>
                    <w:t xml:space="preserve">0.20</w:t>
                  </w:r>
                </w:p>
              </w:tc>
              <w:tc>
                <w:tcPr/>
                <w:p>
                  <w:pPr>
                    <w:pStyle w:val="Compact"/>
                    <w:jc w:val="left"/>
                    <w:jc w:val="center"/>
                  </w:pPr>
                  <w:r>
                    <w:t xml:space="preserve">17,857</w:t>
                  </w:r>
                </w:p>
              </w:tc>
              <w:tc>
                <w:tcPr/>
                <w:p>
                  <w:pPr>
                    <w:pStyle w:val="Compact"/>
                    <w:jc w:val="left"/>
                    <w:jc w:val="center"/>
                  </w:pPr>
                  <w:r>
                    <w:t xml:space="preserve">beta = -0.057 [-0.097, -0.017]</w:t>
                  </w:r>
                </w:p>
              </w:tc>
              <w:tc>
                <w:tcPr/>
                <w:p>
                  <w:pPr>
                    <w:pStyle w:val="Compact"/>
                    <w:jc w:val="left"/>
                    <w:jc w:val="center"/>
                  </w:pPr>
                  <w:r>
                    <w:t xml:space="preserve">beta = 0.017 [0.004, 0.029]</w:t>
                  </w:r>
                </w:p>
              </w:tc>
            </w:tr>
            <w:tr>
              <w:tc>
                <w:tcPr/>
                <w:p>
                  <w:pPr>
                    <w:pStyle w:val="Compact"/>
                    <w:jc w:val="right"/>
                    <w:jc w:val="center"/>
                  </w:pPr>
                  <w:r>
                    <w:t xml:space="preserve">0.25</w:t>
                  </w:r>
                </w:p>
              </w:tc>
              <w:tc>
                <w:tcPr/>
                <w:p>
                  <w:pPr>
                    <w:pStyle w:val="Compact"/>
                    <w:jc w:val="left"/>
                    <w:jc w:val="center"/>
                  </w:pPr>
                  <w:r>
                    <w:t xml:space="preserve">17,720</w:t>
                  </w:r>
                </w:p>
              </w:tc>
              <w:tc>
                <w:tcPr/>
                <w:p>
                  <w:pPr>
                    <w:pStyle w:val="Compact"/>
                    <w:jc w:val="left"/>
                    <w:jc w:val="center"/>
                  </w:pPr>
                  <w:r>
                    <w:t xml:space="preserve">beta = -0.065 [-0.106, -0.021]</w:t>
                  </w:r>
                </w:p>
              </w:tc>
              <w:tc>
                <w:tcPr/>
                <w:p>
                  <w:pPr>
                    <w:pStyle w:val="Compact"/>
                    <w:jc w:val="left"/>
                    <w:jc w:val="center"/>
                  </w:pPr>
                  <w:r>
                    <w:t xml:space="preserve">beta = 0.018 [0.005, 0.032]</w:t>
                  </w:r>
                </w:p>
              </w:tc>
            </w:tr>
          </w:tbl>
          <w:bookmarkEnd w:id="1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5" w:name="tbl-app-sensitivity-full"/>
          <w:p>
            <w:pPr>
              <w:jc w:val="center"/>
            </w:pPr>
            <w:pPr>
              <w:jc w:val="start"/>
              <w:spacing w:before="200"/>
              <w:pStyle w:val="ImageCaption"/>
            </w:pPr>
            <w:r>
              <w:t xml:space="preserve">Table 15: Full sensitivity analysis results across RT cutoffs (0.15, 0.20, 0.25 s). LOOIC columns are omitted because trial counts differ across cutoffs and prior exports mixed baseline-model LOOIC with additive refits.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threshold</w:t>
                  </w:r>
                </w:p>
              </w:tc>
              <w:tc>
                <w:tcPr/>
                <w:p>
                  <w:pPr>
                    <w:pStyle w:val="Compact"/>
                    <w:jc w:val="right"/>
                    <w:jc w:val="center"/>
                  </w:pPr>
                  <w:r>
                    <w:t xml:space="preserve">n_trials</w:t>
                  </w:r>
                </w:p>
              </w:tc>
              <w:tc>
                <w:tcPr/>
                <w:p>
                  <w:pPr>
                    <w:pStyle w:val="Compact"/>
                    <w:jc w:val="right"/>
                    <w:jc w:val="center"/>
                  </w:pPr>
                  <w:r>
                    <w:t xml:space="preserve">n_subjects</w:t>
                  </w:r>
                </w:p>
              </w:tc>
              <w:tc>
                <w:tcPr/>
                <w:p>
                  <w:pPr>
                    <w:pStyle w:val="Compact"/>
                    <w:jc w:val="right"/>
                    <w:jc w:val="center"/>
                  </w:pPr>
                  <w:r>
                    <w:t xml:space="preserve">min_rt</w:t>
                  </w:r>
                </w:p>
              </w:tc>
              <w:tc>
                <w:tcPr/>
                <w:p>
                  <w:pPr>
                    <w:pStyle w:val="Compact"/>
                    <w:jc w:val="right"/>
                    <w:jc w:val="center"/>
                  </w:pPr>
                  <w:r>
                    <w:t xml:space="preserve">median_rt</w:t>
                  </w:r>
                </w:p>
              </w:tc>
            </w:tr>
            <w:tr>
              <w:tc>
                <w:tcPr/>
                <w:p>
                  <w:pPr>
                    <w:pStyle w:val="Compact"/>
                    <w:jc w:val="right"/>
                    <w:jc w:val="center"/>
                  </w:pPr>
                  <w:r>
                    <w:t xml:space="preserve">0.15</w:t>
                  </w:r>
                </w:p>
              </w:tc>
              <w:tc>
                <w:tcPr/>
                <w:p>
                  <w:pPr>
                    <w:pStyle w:val="Compact"/>
                    <w:jc w:val="right"/>
                    <w:jc w:val="center"/>
                  </w:pPr>
                  <w:r>
                    <w:t xml:space="preserve">17981</w:t>
                  </w:r>
                </w:p>
              </w:tc>
              <w:tc>
                <w:tcPr/>
                <w:p>
                  <w:pPr>
                    <w:pStyle w:val="Compact"/>
                    <w:jc w:val="right"/>
                    <w:jc w:val="center"/>
                  </w:pPr>
                  <w:r>
                    <w:t xml:space="preserve">67</w:t>
                  </w:r>
                </w:p>
              </w:tc>
              <w:tc>
                <w:tcPr/>
                <w:p>
                  <w:pPr>
                    <w:pStyle w:val="Compact"/>
                    <w:jc w:val="right"/>
                    <w:jc w:val="center"/>
                  </w:pPr>
                  <w:r>
                    <w:t xml:space="preserve">0.15</w:t>
                  </w:r>
                </w:p>
              </w:tc>
              <w:tc>
                <w:tcPr/>
                <w:p>
                  <w:pPr>
                    <w:pStyle w:val="Compact"/>
                    <w:jc w:val="right"/>
                    <w:jc w:val="center"/>
                  </w:pPr>
                  <w:r>
                    <w:t xml:space="preserve">0.877</w:t>
                  </w:r>
                </w:p>
              </w:tc>
            </w:tr>
            <w:tr>
              <w:tc>
                <w:tcPr/>
                <w:p>
                  <w:pPr>
                    <w:pStyle w:val="Compact"/>
                    <w:jc w:val="right"/>
                    <w:jc w:val="center"/>
                  </w:pPr>
                  <w:r>
                    <w:t xml:space="preserve">0.20</w:t>
                  </w:r>
                </w:p>
              </w:tc>
              <w:tc>
                <w:tcPr/>
                <w:p>
                  <w:pPr>
                    <w:pStyle w:val="Compact"/>
                    <w:jc w:val="right"/>
                    <w:jc w:val="center"/>
                  </w:pPr>
                  <w:r>
                    <w:t xml:space="preserve">17857</w:t>
                  </w:r>
                </w:p>
              </w:tc>
              <w:tc>
                <w:tcPr/>
                <w:p>
                  <w:pPr>
                    <w:pStyle w:val="Compact"/>
                    <w:jc w:val="right"/>
                    <w:jc w:val="center"/>
                  </w:pPr>
                  <w:r>
                    <w:t xml:space="preserve">67</w:t>
                  </w:r>
                </w:p>
              </w:tc>
              <w:tc>
                <w:tcPr/>
                <w:p>
                  <w:pPr>
                    <w:pStyle w:val="Compact"/>
                    <w:jc w:val="right"/>
                    <w:jc w:val="center"/>
                  </w:pPr>
                  <w:r>
                    <w:t xml:space="preserve">0.20</w:t>
                  </w:r>
                </w:p>
              </w:tc>
              <w:tc>
                <w:tcPr/>
                <w:p>
                  <w:pPr>
                    <w:pStyle w:val="Compact"/>
                    <w:jc w:val="right"/>
                    <w:jc w:val="center"/>
                  </w:pPr>
                  <w:r>
                    <w:t xml:space="preserve">0.882</w:t>
                  </w:r>
                </w:p>
              </w:tc>
            </w:tr>
            <w:tr>
              <w:tc>
                <w:tcPr/>
                <w:p>
                  <w:pPr>
                    <w:pStyle w:val="Compact"/>
                    <w:jc w:val="right"/>
                    <w:jc w:val="center"/>
                  </w:pPr>
                  <w:r>
                    <w:t xml:space="preserve">0.25</w:t>
                  </w:r>
                </w:p>
              </w:tc>
              <w:tc>
                <w:tcPr/>
                <w:p>
                  <w:pPr>
                    <w:pStyle w:val="Compact"/>
                    <w:jc w:val="right"/>
                    <w:jc w:val="center"/>
                  </w:pPr>
                  <w:r>
                    <w:t xml:space="preserve">17720</w:t>
                  </w:r>
                </w:p>
              </w:tc>
              <w:tc>
                <w:tcPr/>
                <w:p>
                  <w:pPr>
                    <w:pStyle w:val="Compact"/>
                    <w:jc w:val="right"/>
                    <w:jc w:val="center"/>
                  </w:pPr>
                  <w:r>
                    <w:t xml:space="preserve">67</w:t>
                  </w:r>
                </w:p>
              </w:tc>
              <w:tc>
                <w:tcPr/>
                <w:p>
                  <w:pPr>
                    <w:pStyle w:val="Compact"/>
                    <w:jc w:val="right"/>
                    <w:jc w:val="center"/>
                  </w:pPr>
                  <w:r>
                    <w:t xml:space="preserve">0.25</w:t>
                  </w:r>
                </w:p>
              </w:tc>
              <w:tc>
                <w:tcPr/>
                <w:p>
                  <w:pPr>
                    <w:pStyle w:val="Compact"/>
                    <w:jc w:val="right"/>
                    <w:jc w:val="center"/>
                  </w:pPr>
                  <w:r>
                    <w:t xml:space="preserve">0.889</w:t>
                  </w:r>
                </w:p>
              </w:tc>
            </w:tr>
          </w:tbl>
          <w:bookmarkEnd w:id="135"/>
          <w:p/>
        </w:tc>
      </w:tr>
    </w:tbl>
    <w:tbl>
      <w:tblPr>
        <w:tblStyle w:val="Table"/>
        <w:tblW w:type="pct" w:w="5000"/>
        <w:tblLayout w:type="fixed"/>
        <w:tblLook w:firstRow="0" w:lastRow="0" w:firstColumn="0" w:lastColumn="0" w:noHBand="0" w:noVBand="0" w:val="0000"/>
      </w:tblPr>
      <w:tblGrid>
        <w:gridCol w:w="7920"/>
      </w:tblGrid>
      <w:tr>
        <w:tc>
          <w:tcPr/>
          <w:bookmarkStart w:id="139" w:name="fig-a4-2a-drift-by-difficulty"/>
          <w:p>
            <w:pPr>
              <w:pStyle w:val="Compact"/>
              <w:jc w:val="center"/>
            </w:pPr>
            <w:r>
              <w:drawing>
                <wp:inline>
                  <wp:extent cx="3733800" cy="2987040"/>
                  <wp:effectExtent b="0" l="0" r="0" t="0"/>
                  <wp:docPr descr="" title="" id="137" name="Picture"/>
                  <a:graphic>
                    <a:graphicData uri="http://schemas.openxmlformats.org/drawingml/2006/picture">
                      <pic:pic>
                        <pic:nvPicPr>
                          <pic:cNvPr descr="chap3_ddm_results_files/figure-docx/fig-a4-2a-drift-by-difficulty-1.png" id="138" name="Picture"/>
                          <pic:cNvPicPr>
                            <a:picLocks noChangeArrowheads="1" noChangeAspect="1"/>
                          </pic:cNvPicPr>
                        </pic:nvPicPr>
                        <pic:blipFill>
                          <a:blip r:embed="rId136"/>
                          <a:stretch>
                            <a:fillRect/>
                          </a:stretch>
                        </pic:blipFill>
                        <pic:spPr bwMode="auto">
                          <a:xfrm>
                            <a:off x="0" y="0"/>
                            <a:ext cx="3733800" cy="29870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Drift rate (</w:t>
            </w:r>
            <m:oMath>
              <m:r>
                <m:t>v</m:t>
              </m:r>
            </m:oMath>
            <w:r>
              <w:t xml:space="preserve">) by difficulty condition under the primary RT cutoff threshold (0.20 s). The difficulty gradient (Easy &gt; Hard &gt; Standard) is consistent with the primary analysis. Parameter estimates across all three cutoff thresholds (0.15 s, 0.20 s, 0.25 s) are reported in full in</w:t>
            </w:r>
            <w:r>
              <w:t xml:space="preserve"> </w:t>
            </w:r>
            <w:hyperlink w:anchor="tbl-app-sensitivity-full">
              <w:r>
                <w:rPr>
                  <w:rStyle w:val="Hyperlink"/>
                </w:rPr>
                <w:t xml:space="preserve">Table 15</w:t>
              </w:r>
            </w:hyperlink>
            <w:r>
              <w:t xml:space="preserve">.</w:t>
            </w:r>
          </w:p>
          <w:bookmarkEnd w:id="139"/>
        </w:tc>
      </w:tr>
    </w:tbl>
    <w:bookmarkEnd w:id="140"/>
    <w:bookmarkStart w:id="151" w:name="Xcde83a0fd0ebdfffaf1ddf7d960b0f3c6b18f9c"/>
    <w:p>
      <w:pPr>
        <w:pStyle w:val="Heading3"/>
      </w:pPr>
      <w:r>
        <w:t xml:space="preserve">A4.3 Task Modality Effects: Sensitivity Analysis</w:t>
      </w:r>
    </w:p>
    <w:p>
      <w:pPr>
        <w:pStyle w:val="FirstParagraph"/>
      </w:pPr>
      <w:r>
        <w:t xml:space="preserve">The primary model did not include Task on</w:t>
      </w:r>
      <w:r>
        <w:t xml:space="preserve"> </w:t>
      </w:r>
      <m:oMath>
        <m:r>
          <m:t>v</m:t>
        </m:r>
      </m:oMath>
      <w:r>
        <w:t xml:space="preserve"> </w:t>
      </w:r>
      <w:r>
        <w:t xml:space="preserve">or</w:t>
      </w:r>
      <w:r>
        <w:t xml:space="preserve"> </w:t>
      </w:r>
      <m:oMath>
        <m:r>
          <m:t>a</m:t>
        </m:r>
      </m:oMath>
      <w:r>
        <w:t xml:space="preserve">. We fit a task-sensitivity model:</w:t>
      </w:r>
    </w:p>
    <w:p>
      <w:pPr>
        <w:pStyle w:val="Compact"/>
        <w:numPr>
          <w:ilvl w:val="0"/>
          <w:numId w:val="1001"/>
        </w:numPr>
      </w:pPr>
      <w:r>
        <w:t xml:space="preserve">Drift (</w:t>
      </w:r>
      <m:oMath>
        <m:r>
          <m:t>v</m:t>
        </m:r>
      </m:oMath>
      <w:r>
        <w:t xml:space="preserve">):</w:t>
      </w:r>
      <w:r>
        <w:t xml:space="preserve"> </w:t>
      </w:r>
      <w:r>
        <w:rPr>
          <w:rStyle w:val="VerbatimChar"/>
        </w:rPr>
        <w:t xml:space="preserve">~ difficulty + effort * task</w:t>
      </w:r>
    </w:p>
    <w:p>
      <w:pPr>
        <w:pStyle w:val="Compact"/>
        <w:numPr>
          <w:ilvl w:val="0"/>
          <w:numId w:val="1001"/>
        </w:numPr>
      </w:pPr>
      <w:r>
        <w:t xml:space="preserve">Boundary (</w:t>
      </w:r>
      <m:oMath>
        <m:r>
          <m:t>a</m:t>
        </m:r>
      </m:oMath>
      <w:r>
        <w:t xml:space="preserve">):</w:t>
      </w:r>
      <w:r>
        <w:t xml:space="preserve"> </w:t>
      </w:r>
      <w:r>
        <w:rPr>
          <w:rStyle w:val="VerbatimChar"/>
        </w:rPr>
        <w:t xml:space="preserve">~ difficulty + effort + task</w:t>
      </w:r>
    </w:p>
    <w:p>
      <w:pPr>
        <w:pStyle w:val="Compact"/>
        <w:numPr>
          <w:ilvl w:val="0"/>
          <w:numId w:val="1001"/>
        </w:numPr>
      </w:pPr>
      <w:r>
        <w:t xml:space="preserve">Other parameters as in the primary model</w:t>
      </w:r>
    </w:p>
    <w:tbl>
      <w:tblPr>
        <w:tblStyle w:val="Table"/>
        <w:tblW w:type="pct" w:w="5000"/>
        <w:tblLayout w:type="fixed"/>
        <w:tblLook w:firstRow="0" w:lastRow="0" w:firstColumn="0" w:lastColumn="0" w:noHBand="0" w:noVBand="0" w:val="0000"/>
      </w:tblPr>
      <w:tblGrid>
        <w:gridCol w:w="7920"/>
      </w:tblGrid>
      <w:tr>
        <w:tc>
          <w:tcPr/>
          <w:bookmarkStart w:id="144" w:name="fig-suppl-drift-by-task"/>
          <w:p>
            <w:pPr>
              <w:pStyle w:val="Compact"/>
              <w:jc w:val="center"/>
            </w:pPr>
            <w:r>
              <w:drawing>
                <wp:inline>
                  <wp:extent cx="4800600" cy="5400675"/>
                  <wp:effectExtent b="0" l="0" r="0" t="0"/>
                  <wp:docPr descr="" title="" id="142" name="Picture"/>
                  <a:graphic>
                    <a:graphicData uri="http://schemas.openxmlformats.org/drawingml/2006/picture">
                      <pic:pic>
                        <pic:nvPicPr>
                          <pic:cNvPr descr="chap3_ddm_results_files/figure-docx/fig-suppl-drift-by-task-1.png" id="143" name="Picture"/>
                          <pic:cNvPicPr>
                            <a:picLocks noChangeArrowheads="1" noChangeAspect="1"/>
                          </pic:cNvPicPr>
                        </pic:nvPicPr>
                        <pic:blipFill>
                          <a:blip r:embed="rId141"/>
                          <a:stretch>
                            <a:fillRect/>
                          </a:stretch>
                        </pic:blipFill>
                        <pic:spPr bwMode="auto">
                          <a:xfrm>
                            <a:off x="0" y="0"/>
                            <a:ext cx="4800600" cy="54006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w:t>
            </w:r>
            <w:r>
              <w:t xml:space="preserve"> </w:t>
            </w:r>
            <w:r>
              <w:rPr>
                <w:b/>
                <w:bCs/>
              </w:rPr>
              <w:t xml:space="preserve">Task-modality sensitivity profiles (task-sensitivity model).</w:t>
            </w:r>
            <w:r>
              <w:t xml:space="preserve"> </w:t>
            </w:r>
            <w:r>
              <w:rPr>
                <w:b/>
                <w:bCs/>
              </w:rPr>
              <w:t xml:space="preserve">(A)</w:t>
            </w:r>
            <w:r>
              <w:t xml:space="preserve"> </w:t>
            </w:r>
            <w:r>
              <w:t xml:space="preserve">Drift rate (</w:t>
            </w:r>
            <m:oMath>
              <m:r>
                <m:t>v</m:t>
              </m:r>
            </m:oMath>
            <w:r>
              <w:t xml:space="preserve">) by difficulty and effort, separately for ADT and VDT. Points show posterior medians with 95% credible intervals. The difficulty gradient (Standard</w:t>
            </w:r>
            <w:r>
              <w:t xml:space="preserve"> </w:t>
            </w:r>
            <m:oMath>
              <m:r>
                <m:rPr>
                  <m:sty m:val="p"/>
                </m:rPr>
                <m:t>&lt;</m:t>
              </m:r>
            </m:oMath>
            <w:r>
              <w:t xml:space="preserve"> </w:t>
            </w:r>
            <w:r>
              <w:t xml:space="preserve">Hard</w:t>
            </w:r>
            <w:r>
              <w:t xml:space="preserve"> </w:t>
            </w:r>
            <m:oMath>
              <m:r>
                <m:rPr>
                  <m:sty m:val="p"/>
                </m:rPr>
                <m:t>&lt;</m:t>
              </m:r>
            </m:oMath>
            <w:r>
              <w:t xml:space="preserve"> </w:t>
            </w:r>
            <w:r>
              <w:t xml:space="preserve">Easy) is consistent across tasks. High effort reduces drift rate in both modalities (Effort</w:t>
            </w:r>
            <w:r>
              <w:t xml:space="preserve"> </w:t>
            </w:r>
            <m:oMath>
              <m:r>
                <m:rPr>
                  <m:sty m:val="p"/>
                </m:rPr>
                <m:t>×</m:t>
              </m:r>
            </m:oMath>
            <w:r>
              <w:t xml:space="preserve"> </w:t>
            </w:r>
            <w:r>
              <w:t xml:space="preserve">Task interaction near zero with CrI spanning zero), consistent with cognitive-motor interference generalizing across sensory domains.</w:t>
            </w:r>
            <w:r>
              <w:t xml:space="preserve"> </w:t>
            </w:r>
            <w:r>
              <w:rPr>
                <w:i/>
                <w:iCs/>
              </w:rPr>
              <w:t xml:space="preserve">Note: Drift rates (</w:t>
            </w:r>
            <m:oMath>
              <m:r>
                <m:t>v</m:t>
              </m:r>
            </m:oMath>
            <w:r>
              <w:rPr>
                <w:i/>
                <w:iCs/>
              </w:rPr>
              <w:t xml:space="preserve">) were estimated using Response Coding. Positive values indicate evidence accumulation toward the</w:t>
            </w:r>
            <w:r>
              <w:rPr>
                <w:i/>
                <w:iCs/>
              </w:rPr>
              <w:t xml:space="preserve"> </w:t>
            </w:r>
            <w:r>
              <w:rPr>
                <w:i/>
                <w:iCs/>
              </w:rPr>
              <w:t xml:space="preserve">‘Different’</w:t>
            </w:r>
            <w:r>
              <w:rPr>
                <w:i/>
                <w:iCs/>
              </w:rPr>
              <w:t xml:space="preserve"> </w:t>
            </w:r>
            <w:r>
              <w:rPr>
                <w:i/>
                <w:iCs/>
              </w:rPr>
              <w:t xml:space="preserve">boundary; negative values indicate accumulation toward the</w:t>
            </w:r>
            <w:r>
              <w:rPr>
                <w:i/>
                <w:iCs/>
              </w:rPr>
              <w:t xml:space="preserve"> </w:t>
            </w:r>
            <w:r>
              <w:rPr>
                <w:i/>
                <w:iCs/>
              </w:rPr>
              <w:t xml:space="preserve">‘Same’</w:t>
            </w:r>
            <w:r>
              <w:rPr>
                <w:i/>
                <w:iCs/>
              </w:rPr>
              <w:t xml:space="preserve"> </w:t>
            </w:r>
            <w:r>
              <w:rPr>
                <w:i/>
                <w:iCs/>
              </w:rPr>
              <w:t xml:space="preserve">boundary.</w:t>
            </w:r>
            <w:r>
              <w:t xml:space="preserve"> </w:t>
            </w:r>
            <w:r>
              <w:rPr>
                <w:b/>
                <w:bCs/>
              </w:rPr>
              <w:t xml:space="preserve">(B)</w:t>
            </w:r>
            <w:r>
              <w:t xml:space="preserve"> </w:t>
            </w:r>
            <w:r>
              <w:t xml:space="preserve">Boundary separation (</w:t>
            </w:r>
            <m:oMath>
              <m:r>
                <m:t>a</m:t>
              </m:r>
            </m:oMath>
            <w:r>
              <w:t xml:space="preserve">) by difficulty and effort, separately for ADT and VDT. Difficulty strongly modulates caution (Easy</w:t>
            </w:r>
            <w:r>
              <w:t xml:space="preserve"> </w:t>
            </w:r>
            <m:oMath>
              <m:r>
                <m:rPr>
                  <m:sty m:val="p"/>
                </m:rPr>
                <m:t>&lt;</m:t>
              </m:r>
            </m:oMath>
            <w:r>
              <w:t xml:space="preserve"> </w:t>
            </w:r>
            <w:r>
              <w:t xml:space="preserve">Hard</w:t>
            </w:r>
            <w:r>
              <w:t xml:space="preserve"> </w:t>
            </w:r>
            <m:oMath>
              <m:r>
                <m:rPr>
                  <m:sty m:val="p"/>
                </m:rPr>
                <m:t>&lt;</m:t>
              </m:r>
            </m:oMath>
            <w:r>
              <w:t xml:space="preserve"> </w:t>
            </w:r>
            <w:r>
              <w:t xml:space="preserve">Standard) in both tasks, but effort has minimal effect on boundary separation, indicating that older adults do not adjust response caution under physical effort.</w:t>
            </w:r>
          </w:p>
          <w:bookmarkEnd w:id="144"/>
        </w:tc>
      </w:tr>
    </w:tbl>
    <w:tbl>
      <w:tblPr>
        <w:tblStyle w:val="Table"/>
        <w:tblW w:type="pct" w:w="5000"/>
        <w:tblLayout w:type="fixed"/>
        <w:tblLook w:firstRow="0" w:lastRow="0" w:firstColumn="0" w:lastColumn="0" w:noHBand="0" w:noVBand="0" w:val="0000"/>
      </w:tblPr>
      <w:tblGrid>
        <w:gridCol w:w="7920"/>
      </w:tblGrid>
      <w:tr>
        <w:tc>
          <w:tcPr/>
          <w:bookmarkStart w:id="148" w:name="fig-additivity-check"/>
          <w:p>
            <w:pPr>
              <w:pStyle w:val="Compact"/>
              <w:jc w:val="center"/>
            </w:pPr>
            <w:r>
              <w:drawing>
                <wp:inline>
                  <wp:extent cx="5334000" cy="2667000"/>
                  <wp:effectExtent b="0" l="0" r="0" t="0"/>
                  <wp:docPr descr="" title="" id="146" name="Picture"/>
                  <a:graphic>
                    <a:graphicData uri="http://schemas.openxmlformats.org/drawingml/2006/picture">
                      <pic:pic>
                        <pic:nvPicPr>
                          <pic:cNvPr descr="chap3_ddm_results_files/figure-docx/fig-additivity-check-1.png" id="147" name="Picture"/>
                          <pic:cNvPicPr>
                            <a:picLocks noChangeArrowheads="1" noChangeAspect="1"/>
                          </pic:cNvPicPr>
                        </pic:nvPicPr>
                        <pic:blipFill>
                          <a:blip r:embed="rId145"/>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Additivity check: Difficulty × Effort condition means for drift rate (A) and boundary separation (B). The near-parallel shift between Low (blue) and High (magenta) effort lines across difficulty levels confirms the additive model assumption — the effort cost is consistent regardless of task difficulty, justifying the absence of a Difficulty × Effort interaction term (see</w:t>
            </w:r>
            <w:r>
              <w:t xml:space="preserve"> </w:t>
            </w:r>
            <w:hyperlink w:anchor="sec-results-sample">
              <w:r>
                <w:rPr>
                  <w:rStyle w:val="Hyperlink"/>
                </w:rPr>
                <w:t xml:space="preserve">Section 3.1</w:t>
              </w:r>
            </w:hyperlink>
            <w:r>
              <w:t xml:space="preserve"> </w:t>
            </w:r>
            <w:r>
              <w:t xml:space="preserve">and</w:t>
            </w:r>
            <w:r>
              <w:t xml:space="preserve"> </w:t>
            </w:r>
            <w:hyperlink w:anchor="tbl-loo-comparison">
              <w:r>
                <w:rPr>
                  <w:rStyle w:val="Hyperlink"/>
                </w:rPr>
                <w:t xml:space="preserve">Table 3</w:t>
              </w:r>
            </w:hyperlink>
            <w:r>
              <w:t xml:space="preserve">).</w:t>
            </w:r>
          </w:p>
          <w:bookmarkEnd w:id="148"/>
        </w:tc>
      </w:tr>
    </w:tbl>
    <w:bookmarkStart w:id="150" w:name="task-sensitivity-model-comparison"/>
    <w:p>
      <w:pPr>
        <w:pStyle w:val="Heading4"/>
      </w:pPr>
      <w:r>
        <w:t xml:space="preserve">Task-Sensitivity Model Comparison</w:t>
      </w:r>
    </w:p>
    <w:tbl>
      <w:tblPr>
        <w:tblStyle w:val="Table"/>
        <w:tblW w:type="pct" w:w="5000"/>
        <w:tblLayout w:type="fixed"/>
        <w:tblLook w:firstRow="0" w:lastRow="0" w:firstColumn="0" w:lastColumn="0" w:noHBand="0" w:noVBand="0" w:val="0000"/>
      </w:tblPr>
      <w:tblGrid>
        <w:gridCol w:w="7920"/>
      </w:tblGrid>
      <w:tr>
        <w:tc>
          <w:tcPr/>
          <w:bookmarkStart w:id="149" w:name="tbl-task-sensitivity"/>
          <w:p>
            <w:pPr>
              <w:jc w:val="center"/>
            </w:pPr>
            <w:pPr>
              <w:jc w:val="start"/>
              <w:spacing w:before="200"/>
              <w:pStyle w:val="ImageCaption"/>
            </w:pPr>
            <w:r>
              <w:t xml:space="preserve">Table 16: Comparison of Effort Effects: Primary vs. Task-Sensitivity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Parameter</w:t>
                  </w:r>
                </w:p>
              </w:tc>
              <w:tc>
                <w:tcPr/>
                <w:p>
                  <w:pPr>
                    <w:pStyle w:val="Compact"/>
                    <w:jc w:val="left"/>
                    <w:jc w:val="center"/>
                  </w:pPr>
                  <w:r>
                    <w:t xml:space="preserve">Estimate</w:t>
                  </w:r>
                </w:p>
              </w:tc>
              <w:tc>
                <w:tcPr/>
                <w:p>
                  <w:pPr>
                    <w:pStyle w:val="Compact"/>
                    <w:jc w:val="left"/>
                    <w:jc w:val="center"/>
                  </w:pPr>
                  <w:r>
                    <w:t xml:space="preserve">95% CrI</w:t>
                  </w:r>
                </w:p>
              </w:tc>
            </w:tr>
            <w:tr>
              <w:tc>
                <w:tcPr/>
                <w:p>
                  <w:pPr>
                    <w:pStyle w:val="Compact"/>
                    <w:jc w:val="left"/>
                    <w:jc w:val="center"/>
                  </w:pPr>
                  <w:r>
                    <w:t xml:space="preserve">Effort → Drift (Primary)</w:t>
                  </w:r>
                </w:p>
              </w:tc>
              <w:tc>
                <w:tcPr/>
                <w:p>
                  <w:pPr>
                    <w:pStyle w:val="Compact"/>
                    <w:jc w:val="left"/>
                    <w:jc w:val="center"/>
                  </w:pPr>
                  <w:r>
                    <w:t xml:space="preserve">-0.057</w:t>
                  </w:r>
                </w:p>
              </w:tc>
              <w:tc>
                <w:tcPr/>
                <w:p>
                  <w:pPr>
                    <w:pStyle w:val="Compact"/>
                    <w:jc w:val="left"/>
                    <w:jc w:val="center"/>
                  </w:pPr>
                  <w:r>
                    <w:t xml:space="preserve">[-0.097, -0.017]</w:t>
                  </w:r>
                </w:p>
              </w:tc>
            </w:tr>
            <w:tr>
              <w:tc>
                <w:tcPr/>
                <w:p>
                  <w:pPr>
                    <w:pStyle w:val="Compact"/>
                    <w:jc w:val="left"/>
                    <w:jc w:val="center"/>
                  </w:pPr>
                  <w:r>
                    <w:t xml:space="preserve">Effort → Drift (Task-Sens)</w:t>
                  </w:r>
                </w:p>
              </w:tc>
              <w:tc>
                <w:tcPr/>
                <w:p>
                  <w:pPr>
                    <w:pStyle w:val="Compact"/>
                    <w:jc w:val="left"/>
                    <w:jc w:val="center"/>
                  </w:pPr>
                  <w:r>
                    <w:t xml:space="preserve">-0.085</w:t>
                  </w:r>
                </w:p>
              </w:tc>
              <w:tc>
                <w:tcPr/>
                <w:p>
                  <w:pPr>
                    <w:pStyle w:val="Compact"/>
                    <w:jc w:val="left"/>
                    <w:jc w:val="center"/>
                  </w:pPr>
                  <w:r>
                    <w:t xml:space="preserve">[-0.133, -0.038]</w:t>
                  </w:r>
                </w:p>
              </w:tc>
            </w:tr>
            <w:tr>
              <w:tc>
                <w:tcPr/>
                <w:p>
                  <w:pPr>
                    <w:pStyle w:val="Compact"/>
                    <w:jc w:val="left"/>
                    <w:jc w:val="center"/>
                  </w:pPr>
                  <w:r>
                    <w:t xml:space="preserve">Task → Drift</w:t>
                  </w:r>
                </w:p>
              </w:tc>
              <w:tc>
                <w:tcPr/>
                <w:p>
                  <w:pPr>
                    <w:pStyle w:val="Compact"/>
                    <w:jc w:val="left"/>
                    <w:jc w:val="center"/>
                  </w:pPr>
                  <w:r>
                    <w:t xml:space="preserve">0.071</w:t>
                  </w:r>
                </w:p>
              </w:tc>
              <w:tc>
                <w:tcPr/>
                <w:p>
                  <w:pPr>
                    <w:pStyle w:val="Compact"/>
                    <w:jc w:val="left"/>
                    <w:jc w:val="center"/>
                  </w:pPr>
                  <w:r>
                    <w:t xml:space="preserve">[0.020, 0.120]</w:t>
                  </w:r>
                </w:p>
              </w:tc>
            </w:tr>
            <w:tr>
              <w:tc>
                <w:tcPr/>
                <w:p>
                  <w:pPr>
                    <w:pStyle w:val="Compact"/>
                    <w:jc w:val="left"/>
                    <w:jc w:val="center"/>
                  </w:pPr>
                  <w:r>
                    <w:t xml:space="preserve">Effort × Task → Drift</w:t>
                  </w:r>
                </w:p>
              </w:tc>
              <w:tc>
                <w:tcPr/>
                <w:p>
                  <w:pPr>
                    <w:pStyle w:val="Compact"/>
                    <w:jc w:val="left"/>
                    <w:jc w:val="center"/>
                  </w:pPr>
                  <w:r>
                    <w:t xml:space="preserve">0.029</w:t>
                  </w:r>
                </w:p>
              </w:tc>
              <w:tc>
                <w:tcPr/>
                <w:p>
                  <w:pPr>
                    <w:pStyle w:val="Compact"/>
                    <w:jc w:val="left"/>
                    <w:jc w:val="center"/>
                  </w:pPr>
                  <w:r>
                    <w:t xml:space="preserve">[-0.029, 0.088]</w:t>
                  </w:r>
                </w:p>
              </w:tc>
            </w:tr>
          </w:tbl>
          <w:bookmarkEnd w:id="149"/>
          <w:p/>
        </w:tc>
      </w:tr>
    </w:tbl>
    <w:p>
      <w:pPr>
        <w:pStyle w:val="BodyText"/>
      </w:pPr>
      <w:r>
        <w:rPr>
          <w:i/>
          <w:iCs/>
        </w:rPr>
        <w:t xml:space="preserve">Note.</w:t>
      </w:r>
      <w:r>
        <w:t xml:space="preserve"> </w:t>
      </w:r>
      <w:r>
        <w:t xml:space="preserve">Primary model excludes Task from drift; Task-Sens model includes Task main effect and Effort</w:t>
      </w:r>
      <w:r>
        <w:t xml:space="preserve"> </w:t>
      </w:r>
      <m:oMath>
        <m:r>
          <m:rPr>
            <m:sty m:val="p"/>
          </m:rPr>
          <m:t>×</m:t>
        </m:r>
      </m:oMath>
      <w:r>
        <w:t xml:space="preserve"> </w:t>
      </w:r>
      <w:r>
        <w:t xml:space="preserve">Task interaction.</w:t>
      </w:r>
    </w:p>
    <w:p>
      <w:pPr>
        <w:pStyle w:val="BodyText"/>
      </w:pPr>
      <w:r>
        <w:t xml:space="preserve">Effort reduced drift with Task in the model (</w:t>
      </w:r>
      <m:oMath>
        <m:r>
          <m:t>δ</m:t>
        </m:r>
        <m:r>
          <m:rPr>
            <m:sty m:val="p"/>
          </m:rPr>
          <m:t>=</m:t>
        </m:r>
        <m:r>
          <m:rPr>
            <m:sty m:val="p"/>
          </m:rPr>
          <m:t>−</m:t>
        </m:r>
        <m:r>
          <m:t>0.085</m:t>
        </m:r>
      </m:oMath>
      <w:r>
        <w:t xml:space="preserve">, 95% CrI [-0.133, -0.038]). ADT and VDT differed in absolute drift (</w:t>
      </w:r>
      <m:oMath>
        <m:r>
          <m:t>δ</m:t>
        </m:r>
        <m:r>
          <m:rPr>
            <m:sty m:val="p"/>
          </m:rPr>
          <m:t>=</m:t>
        </m:r>
        <m:r>
          <m:t>0.071</m:t>
        </m:r>
      </m:oMath>
      <w:r>
        <w:t xml:space="preserve">, 95% CrI [0.020, 0.120]), but Effort × Task was near zero (</w:t>
      </w:r>
      <m:oMath>
        <m:r>
          <m:t>δ</m:t>
        </m:r>
        <m:r>
          <m:rPr>
            <m:sty m:val="p"/>
          </m:rPr>
          <m:t>=</m:t>
        </m:r>
        <m:r>
          <m:t>0.029</m:t>
        </m:r>
      </m:oMath>
      <w:r>
        <w:t xml:space="preserve">, 95% CrI [-0.029, 0.088]). The effort→drift effect was robust to adding task on drift, but omitting task from drift in the primary model suppresses a credible task main effect; we report task-separated drift and boundary profiles in</w:t>
      </w:r>
      <w:r>
        <w:t xml:space="preserve"> </w:t>
      </w:r>
      <w:hyperlink w:anchor="fig-suppl-drift-by-task">
        <w:r>
          <w:rPr>
            <w:rStyle w:val="Hyperlink"/>
          </w:rPr>
          <w:t xml:space="preserve">Figure 14</w:t>
        </w:r>
      </w:hyperlink>
      <w:r>
        <w:t xml:space="preserve"> </w:t>
      </w:r>
      <w:r>
        <w:t xml:space="preserve">(Panels A–B) and treat pooling as a deliberate simplification for the pre-specified effort contrasts.</w:t>
      </w:r>
    </w:p>
    <w:bookmarkEnd w:id="150"/>
    <w:bookmarkEnd w:id="151"/>
    <w:bookmarkEnd w:id="152"/>
    <w:bookmarkStart w:id="170" w:name="app-pupil-fixef"/>
    <w:p>
      <w:pPr>
        <w:pStyle w:val="Heading2"/>
      </w:pPr>
      <w:r>
        <w:t xml:space="preserve">A5. Pupil-DDM Fixed Effects and TEPR Visualization</w:t>
      </w:r>
    </w:p>
    <w:p>
      <w:pPr>
        <w:pStyle w:val="FirstParagraph"/>
      </w:pPr>
      <w:r>
        <w:t xml:space="preserve">Unified pupil LOO, nested fixed-effects comparisons, Cavanagh boundary extensions, and TEPR descriptives/waveforms. Interpretation:</w:t>
      </w:r>
      <w:r>
        <w:t xml:space="preserve"> </w:t>
      </w:r>
      <w:hyperlink w:anchor="sec-pupil-ddm-integration">
        <w:r>
          <w:rPr>
            <w:rStyle w:val="Hyperlink"/>
          </w:rPr>
          <w:t xml:space="preserve">Section 3.3</w:t>
        </w:r>
      </w:hyperlink>
      <w:r>
        <w:t xml:space="preserve">.</w:t>
      </w:r>
    </w:p>
    <w:bookmarkStart w:id="154" w:name="unified-pupil-loo-comparison"/>
    <w:p>
      <w:pPr>
        <w:pStyle w:val="Heading3"/>
      </w:pPr>
      <w:r>
        <w:t xml:space="preserve">Unified pupil LOO comparison</w:t>
      </w:r>
    </w:p>
    <w:tbl>
      <w:tblPr>
        <w:tblStyle w:val="Table"/>
        <w:tblW w:type="pct" w:w="5000"/>
        <w:tblLayout w:type="fixed"/>
        <w:tblLook w:firstRow="0" w:lastRow="0" w:firstColumn="0" w:lastColumn="0" w:noHBand="0" w:noVBand="0" w:val="0000"/>
      </w:tblPr>
      <w:tblGrid>
        <w:gridCol w:w="7920"/>
      </w:tblGrid>
      <w:tr>
        <w:tc>
          <w:tcPr/>
          <w:bookmarkStart w:id="153" w:name="tbl-pupil-loo-unified"/>
          <w:p>
            <w:pPr>
              <w:jc w:val="center"/>
            </w:pPr>
            <w:pPr>
              <w:jc w:val="start"/>
              <w:spacing w:before="200"/>
              <w:pStyle w:val="ImageCaption"/>
            </w:pPr>
            <w:r>
              <w:t xml:space="preserve">Table 17: Unified PSIS-LOO comparison for all pupil-augmented specifications (nested m0–m3, Cavanagh pupil</w:t>
            </w:r>
            <w:r>
              <w:t xml:space="preserve"> </w:t>
            </w:r>
            <m:oMath>
              <m:r>
                <m:rPr>
                  <m:sty m:val="p"/>
                </m:rPr>
                <m:t>→</m:t>
              </m:r>
            </m:oMath>
            <w:r>
              <w:t xml:space="preserve"> </w:t>
            </w:r>
            <m:oMath>
              <m:r>
                <m:t>a</m:t>
              </m:r>
            </m:oMath>
            <w:r>
              <w:t xml:space="preserve">, both TEPR windows).</w:t>
            </w:r>
            <w:r>
              <w:t xml:space="preserve"> </w:t>
            </w:r>
            <m:oMath>
              <m:r>
                <m:t>Δ</m:t>
              </m:r>
            </m:oMath>
            <w:r>
              <w:t xml:space="preserve">ELPD vs. same-</w:t>
            </w:r>
            <m:oMath>
              <m:r>
                <m:t>N</m:t>
              </m:r>
            </m:oMath>
            <w:r>
              <w:t xml:space="preserve"> </w:t>
            </w:r>
            <w:r>
              <w:t xml:space="preserve">behavioral baseline within each window.</w:t>
            </w:r>
          </w:p>
          <w:tbl>
            <w:tblPr>
              <w:tblStyle w:val="Table"/>
              <w:tblW w:type="pct" w:w="5000"/>
              <w:tblLayout w:type="fixed"/>
              <w:tblLook w:firstRow="1" w:lastRow="0" w:firstColumn="0" w:lastColumn="0" w:noHBand="0" w:noVBand="0" w:val="0020"/>
            </w:tblPr>
            <w:tblGrid>
              <w:gridCol w:w="2132"/>
              <w:gridCol w:w="2315"/>
              <w:gridCol w:w="548"/>
              <w:gridCol w:w="548"/>
              <w:gridCol w:w="1035"/>
              <w:gridCol w:w="792"/>
              <w:gridCol w:w="548"/>
            </w:tblGrid>
            <w:tr>
              <w:trPr>
                <w:tblHeader w:val="on"/>
              </w:trPr>
              <w:tc>
                <w:tcPr/>
                <w:p>
                  <w:pPr>
                    <w:pStyle w:val="Compact"/>
                    <w:jc w:val="left"/>
                    <w:jc w:val="center"/>
                  </w:pPr>
                  <w:r>
                    <w:t xml:space="preserve">Window</w:t>
                  </w:r>
                </w:p>
              </w:tc>
              <w:tc>
                <w:tcPr/>
                <w:p>
                  <w:pPr>
                    <w:pStyle w:val="Compact"/>
                    <w:jc w:val="left"/>
                    <w:jc w:val="center"/>
                  </w:pPr>
                  <w:r>
                    <w:t xml:space="preserve">Model</w:t>
                  </w:r>
                </w:p>
              </w:tc>
              <w:tc>
                <w:tcPr/>
                <w:p>
                  <w:pPr>
                    <w:pStyle w:val="Compact"/>
                    <w:jc w:val="right"/>
                    <w:jc w:val="center"/>
                  </w:pPr>
                  <w:r>
                    <w:t xml:space="preserve">ELPD LOO</w:t>
                  </w:r>
                </w:p>
              </w:tc>
              <w:tc>
                <w:tcPr/>
                <w:p>
                  <w:pPr>
                    <w:pStyle w:val="Compact"/>
                    <w:jc w:val="right"/>
                    <w:jc w:val="center"/>
                  </w:pPr>
                  <w:r>
                    <w:t xml:space="preserve">SE(ELPD)</w:t>
                  </w:r>
                </w:p>
              </w:tc>
              <w:tc>
                <w:tcPr/>
                <w:p>
                  <w:pPr>
                    <w:pStyle w:val="Compact"/>
                    <w:jc w:val="right"/>
                    <w:jc w:val="center"/>
                  </w:pPr>
                  <w:r>
                    <w:t xml:space="preserve">Delta ELPD vs m0</w:t>
                  </w:r>
                </w:p>
              </w:tc>
              <w:tc>
                <w:tcPr/>
                <w:p>
                  <w:pPr>
                    <w:pStyle w:val="Compact"/>
                    <w:jc w:val="right"/>
                    <w:jc w:val="center"/>
                  </w:pPr>
                  <w:r>
                    <w:t xml:space="preserve">Max Pareto-k</w:t>
                  </w:r>
                </w:p>
              </w:tc>
              <w:tc>
                <w:tcPr/>
                <w:p>
                  <w:pPr>
                    <w:pStyle w:val="Compact"/>
                    <w:jc w:val="right"/>
                    <w:jc w:val="center"/>
                  </w:pPr>
                  <w:r>
                    <w:t xml:space="preserve">N trials</w:t>
                  </w:r>
                </w:p>
              </w:tc>
            </w:tr>
            <w:tr>
              <w:tc>
                <w:tcPr/>
                <w:p>
                  <w:pPr>
                    <w:pStyle w:val="Compact"/>
                    <w:jc w:val="left"/>
                    <w:jc w:val="center"/>
                  </w:pPr>
                  <w:r>
                    <w:t xml:space="preserve">Decision-Response AUC (0.3–3.3 s)</w:t>
                  </w:r>
                </w:p>
              </w:tc>
              <w:tc>
                <w:tcPr/>
                <w:p>
                  <w:pPr>
                    <w:pStyle w:val="Compact"/>
                    <w:jc w:val="left"/>
                    <w:jc w:val="center"/>
                  </w:pPr>
                  <w:r>
                    <w:t xml:space="preserve">m0: Behavioral baseline</w:t>
                  </w:r>
                </w:p>
              </w:tc>
              <w:tc>
                <w:tcPr/>
                <w:p>
                  <w:pPr>
                    <w:pStyle w:val="Compact"/>
                    <w:jc w:val="right"/>
                    <w:jc w:val="center"/>
                  </w:pPr>
                  <w:r>
                    <w:t xml:space="preserve">-13335.1</w:t>
                  </w:r>
                </w:p>
              </w:tc>
              <w:tc>
                <w:tcPr/>
                <w:p>
                  <w:pPr>
                    <w:pStyle w:val="Compact"/>
                    <w:jc w:val="right"/>
                    <w:jc w:val="center"/>
                  </w:pPr>
                  <w:r>
                    <w:t xml:space="preserve">123.5</w:t>
                  </w:r>
                </w:p>
              </w:tc>
              <w:tc>
                <w:tcPr/>
                <w:p>
                  <w:pPr>
                    <w:pStyle w:val="Compact"/>
                    <w:jc w:val="right"/>
                    <w:jc w:val="center"/>
                  </w:pPr>
                  <w:r>
                    <w:t xml:space="preserve">0.00</w:t>
                  </w:r>
                </w:p>
              </w:tc>
              <w:tc>
                <w:tcPr/>
                <w:p>
                  <w:pPr>
                    <w:pStyle w:val="Compact"/>
                    <w:jc w:val="right"/>
                    <w:jc w:val="center"/>
                  </w:pPr>
                  <w:r>
                    <w:t xml:space="preserve">0.68</w:t>
                  </w:r>
                </w:p>
              </w:tc>
              <w:tc>
                <w:tcPr/>
                <w:p>
                  <w:pPr>
                    <w:pStyle w:val="Compact"/>
                    <w:jc w:val="right"/>
                    <w:jc w:val="center"/>
                  </w:pPr>
                  <w:r>
                    <w:t xml:space="preserve">12287</w:t>
                  </w:r>
                </w:p>
              </w:tc>
            </w:tr>
            <w:tr>
              <w:tc>
                <w:tcPr/>
                <w:p>
                  <w:pPr>
                    <w:pStyle w:val="Compact"/>
                    <w:jc w:val="left"/>
                    <w:jc w:val="center"/>
                  </w:pPr>
                  <w:r>
                    <w:t xml:space="preserve">Decision-Response AUC (0.3–3.3 s)</w:t>
                  </w:r>
                </w:p>
              </w:tc>
              <w:tc>
                <w:tcPr/>
                <w:p>
                  <w:pPr>
                    <w:pStyle w:val="Compact"/>
                    <w:jc w:val="left"/>
                    <w:jc w:val="center"/>
                  </w:pPr>
                  <w:r>
                    <w:t xml:space="preserve">m1: Pupil</w:t>
                  </w:r>
                  <w:r>
                    <w:t xml:space="preserve"> </w:t>
                  </w:r>
                  <m:oMath>
                    <m:r>
                      <m:rPr>
                        <m:sty m:val="p"/>
                      </m:rPr>
                      <m:t>→</m:t>
                    </m:r>
                  </m:oMath>
                  <w:r>
                    <w:t xml:space="preserve"> </w:t>
                  </w:r>
                  <w:r>
                    <w:t xml:space="preserve">bias (</w:t>
                  </w:r>
                  <m:oMath>
                    <m:r>
                      <m:t>z</m:t>
                    </m:r>
                  </m:oMath>
                  <w:r>
                    <w:t xml:space="preserve">)</w:t>
                  </w:r>
                </w:p>
              </w:tc>
              <w:tc>
                <w:tcPr/>
                <w:p>
                  <w:pPr>
                    <w:pStyle w:val="Compact"/>
                    <w:jc w:val="right"/>
                    <w:jc w:val="center"/>
                  </w:pPr>
                  <w:r>
                    <w:t xml:space="preserve">-13335.2</w:t>
                  </w:r>
                </w:p>
              </w:tc>
              <w:tc>
                <w:tcPr/>
                <w:p>
                  <w:pPr>
                    <w:pStyle w:val="Compact"/>
                    <w:jc w:val="right"/>
                    <w:jc w:val="center"/>
                  </w:pPr>
                  <w:r>
                    <w:t xml:space="preserve">123.5</w:t>
                  </w:r>
                </w:p>
              </w:tc>
              <w:tc>
                <w:tcPr/>
                <w:p>
                  <w:pPr>
                    <w:pStyle w:val="Compact"/>
                    <w:jc w:val="right"/>
                    <w:jc w:val="center"/>
                  </w:pPr>
                  <w:r>
                    <w:t xml:space="preserve">-0.10</w:t>
                  </w:r>
                </w:p>
              </w:tc>
              <w:tc>
                <w:tcPr/>
                <w:p>
                  <w:pPr>
                    <w:pStyle w:val="Compact"/>
                    <w:jc w:val="right"/>
                    <w:jc w:val="center"/>
                  </w:pPr>
                  <w:r>
                    <w:t xml:space="preserve">0.42</w:t>
                  </w:r>
                </w:p>
              </w:tc>
              <w:tc>
                <w:tcPr/>
                <w:p>
                  <w:pPr>
                    <w:pStyle w:val="Compact"/>
                    <w:jc w:val="right"/>
                    <w:jc w:val="center"/>
                  </w:pPr>
                  <w:r>
                    <w:t xml:space="preserve">12287</w:t>
                  </w:r>
                </w:p>
              </w:tc>
            </w:tr>
            <w:tr>
              <w:tc>
                <w:tcPr/>
                <w:p>
                  <w:pPr>
                    <w:pStyle w:val="Compact"/>
                    <w:jc w:val="left"/>
                    <w:jc w:val="center"/>
                  </w:pPr>
                  <w:r>
                    <w:t xml:space="preserve">Decision-Response AUC (0.3–3.3 s)</w:t>
                  </w:r>
                </w:p>
              </w:tc>
              <w:tc>
                <w:tcPr/>
                <w:p>
                  <w:pPr>
                    <w:pStyle w:val="Compact"/>
                    <w:jc w:val="left"/>
                    <w:jc w:val="center"/>
                  </w:pPr>
                  <w:r>
                    <w:t xml:space="preserve">m2: Pupil</w:t>
                  </w:r>
                  <w:r>
                    <w:t xml:space="preserve"> </w:t>
                  </w:r>
                  <m:oMath>
                    <m:r>
                      <m:rPr>
                        <m:sty m:val="p"/>
                      </m:rPr>
                      <m:t>→</m:t>
                    </m:r>
                  </m:oMath>
                  <w:r>
                    <w:t xml:space="preserve"> </w:t>
                  </w:r>
                  <w:r>
                    <w:t xml:space="preserve">drift + bias</w:t>
                  </w:r>
                </w:p>
              </w:tc>
              <w:tc>
                <w:tcPr/>
                <w:p>
                  <w:pPr>
                    <w:pStyle w:val="Compact"/>
                    <w:jc w:val="right"/>
                    <w:jc w:val="center"/>
                  </w:pPr>
                  <w:r>
                    <w:t xml:space="preserve">-13337.3</w:t>
                  </w:r>
                </w:p>
              </w:tc>
              <w:tc>
                <w:tcPr/>
                <w:p>
                  <w:pPr>
                    <w:pStyle w:val="Compact"/>
                    <w:jc w:val="right"/>
                    <w:jc w:val="center"/>
                  </w:pPr>
                  <w:r>
                    <w:t xml:space="preserve">123.5</w:t>
                  </w:r>
                </w:p>
              </w:tc>
              <w:tc>
                <w:tcPr/>
                <w:p>
                  <w:pPr>
                    <w:pStyle w:val="Compact"/>
                    <w:jc w:val="right"/>
                    <w:jc w:val="center"/>
                  </w:pPr>
                  <w:r>
                    <w:t xml:space="preserve">-2.15</w:t>
                  </w:r>
                </w:p>
              </w:tc>
              <w:tc>
                <w:tcPr/>
                <w:p>
                  <w:pPr>
                    <w:pStyle w:val="Compact"/>
                    <w:jc w:val="right"/>
                    <w:jc w:val="center"/>
                  </w:pPr>
                  <w:r>
                    <w:t xml:space="preserve">0.50</w:t>
                  </w:r>
                </w:p>
              </w:tc>
              <w:tc>
                <w:tcPr/>
                <w:p>
                  <w:pPr>
                    <w:pStyle w:val="Compact"/>
                    <w:jc w:val="right"/>
                    <w:jc w:val="center"/>
                  </w:pPr>
                  <w:r>
                    <w:t xml:space="preserve">12287</w:t>
                  </w:r>
                </w:p>
              </w:tc>
            </w:tr>
            <w:tr>
              <w:tc>
                <w:tcPr/>
                <w:p>
                  <w:pPr>
                    <w:pStyle w:val="Compact"/>
                    <w:jc w:val="left"/>
                    <w:jc w:val="center"/>
                  </w:pPr>
                  <w:r>
                    <w:t xml:space="preserve">Decision-Response AUC (0.3–3.3 s)</w:t>
                  </w:r>
                </w:p>
              </w:tc>
              <w:tc>
                <w:tcPr/>
                <w:p>
                  <w:pPr>
                    <w:pStyle w:val="Compact"/>
                    <w:jc w:val="left"/>
                    <w:jc w:val="center"/>
                  </w:pPr>
                  <w:r>
                    <w:t xml:space="preserve">m3: Pupil</w:t>
                  </w:r>
                  <w:r>
                    <w:t xml:space="preserve"> </w:t>
                  </w:r>
                  <m:oMath>
                    <m:r>
                      <m:rPr>
                        <m:sty m:val="p"/>
                      </m:rPr>
                      <m:t>×</m:t>
                    </m:r>
                  </m:oMath>
                  <w:r>
                    <w:t xml:space="preserve"> </w:t>
                  </w:r>
                  <w:r>
                    <w:t xml:space="preserve">difficulty</w:t>
                  </w:r>
                </w:p>
              </w:tc>
              <w:tc>
                <w:tcPr/>
                <w:p>
                  <w:pPr>
                    <w:pStyle w:val="Compact"/>
                    <w:jc w:val="right"/>
                    <w:jc w:val="center"/>
                  </w:pPr>
                  <w:r>
                    <w:t xml:space="preserve">-13337.7</w:t>
                  </w:r>
                </w:p>
              </w:tc>
              <w:tc>
                <w:tcPr/>
                <w:p>
                  <w:pPr>
                    <w:pStyle w:val="Compact"/>
                    <w:jc w:val="right"/>
                    <w:jc w:val="center"/>
                  </w:pPr>
                  <w:r>
                    <w:t xml:space="preserve">123.5</w:t>
                  </w:r>
                </w:p>
              </w:tc>
              <w:tc>
                <w:tcPr/>
                <w:p>
                  <w:pPr>
                    <w:pStyle w:val="Compact"/>
                    <w:jc w:val="right"/>
                    <w:jc w:val="center"/>
                  </w:pPr>
                  <w:r>
                    <w:t xml:space="preserve">-2.59</w:t>
                  </w:r>
                </w:p>
              </w:tc>
              <w:tc>
                <w:tcPr/>
                <w:p>
                  <w:pPr>
                    <w:pStyle w:val="Compact"/>
                    <w:jc w:val="right"/>
                    <w:jc w:val="center"/>
                  </w:pPr>
                  <w:r>
                    <w:t xml:space="preserve">0.46</w:t>
                  </w:r>
                </w:p>
              </w:tc>
              <w:tc>
                <w:tcPr/>
                <w:p>
                  <w:pPr>
                    <w:pStyle w:val="Compact"/>
                    <w:jc w:val="right"/>
                    <w:jc w:val="center"/>
                  </w:pPr>
                  <w:r>
                    <w:t xml:space="preserve">12287</w:t>
                  </w:r>
                </w:p>
              </w:tc>
            </w:tr>
            <w:tr>
              <w:tc>
                <w:tcPr/>
                <w:p>
                  <w:pPr>
                    <w:pStyle w:val="Compact"/>
                    <w:jc w:val="left"/>
                    <w:jc w:val="center"/>
                  </w:pPr>
                  <w:r>
                    <w:t xml:space="preserve">Truncated AUC (0.3–1.3 s)</w:t>
                  </w:r>
                </w:p>
              </w:tc>
              <w:tc>
                <w:tcPr/>
                <w:p>
                  <w:pPr>
                    <w:pStyle w:val="Compact"/>
                    <w:jc w:val="left"/>
                    <w:jc w:val="center"/>
                  </w:pPr>
                  <w:r>
                    <w:t xml:space="preserve">m0: Behavioral baseline</w:t>
                  </w:r>
                </w:p>
              </w:tc>
              <w:tc>
                <w:tcPr/>
                <w:p>
                  <w:pPr>
                    <w:pStyle w:val="Compact"/>
                    <w:jc w:val="right"/>
                    <w:jc w:val="center"/>
                  </w:pPr>
                  <w:r>
                    <w:t xml:space="preserve">-13180.4</w:t>
                  </w:r>
                </w:p>
              </w:tc>
              <w:tc>
                <w:tcPr/>
                <w:p>
                  <w:pPr>
                    <w:pStyle w:val="Compact"/>
                    <w:jc w:val="right"/>
                    <w:jc w:val="center"/>
                  </w:pPr>
                  <w:r>
                    <w:t xml:space="preserve">122.8</w:t>
                  </w:r>
                </w:p>
              </w:tc>
              <w:tc>
                <w:tcPr/>
                <w:p>
                  <w:pPr>
                    <w:pStyle w:val="Compact"/>
                    <w:jc w:val="right"/>
                    <w:jc w:val="center"/>
                  </w:pPr>
                  <w:r>
                    <w:t xml:space="preserve">0.00</w:t>
                  </w:r>
                </w:p>
              </w:tc>
              <w:tc>
                <w:tcPr/>
                <w:p>
                  <w:pPr>
                    <w:pStyle w:val="Compact"/>
                    <w:jc w:val="right"/>
                    <w:jc w:val="center"/>
                  </w:pPr>
                  <w:r>
                    <w:t xml:space="preserve">0.58</w:t>
                  </w:r>
                </w:p>
              </w:tc>
              <w:tc>
                <w:tcPr/>
                <w:p>
                  <w:pPr>
                    <w:pStyle w:val="Compact"/>
                    <w:jc w:val="right"/>
                    <w:jc w:val="center"/>
                  </w:pPr>
                  <w:r>
                    <w:t xml:space="preserve">12150</w:t>
                  </w:r>
                </w:p>
              </w:tc>
            </w:tr>
            <w:tr>
              <w:tc>
                <w:tcPr/>
                <w:p>
                  <w:pPr>
                    <w:pStyle w:val="Compact"/>
                    <w:jc w:val="left"/>
                    <w:jc w:val="center"/>
                  </w:pPr>
                  <w:r>
                    <w:t xml:space="preserve">Truncated AUC (0.3–1.3 s)</w:t>
                  </w:r>
                </w:p>
              </w:tc>
              <w:tc>
                <w:tcPr/>
                <w:p>
                  <w:pPr>
                    <w:pStyle w:val="Compact"/>
                    <w:jc w:val="left"/>
                    <w:jc w:val="center"/>
                  </w:pPr>
                  <w:r>
                    <w:t xml:space="preserve">m1: Pupil</w:t>
                  </w:r>
                  <w:r>
                    <w:t xml:space="preserve"> </w:t>
                  </w:r>
                  <m:oMath>
                    <m:r>
                      <m:rPr>
                        <m:sty m:val="p"/>
                      </m:rPr>
                      <m:t>→</m:t>
                    </m:r>
                  </m:oMath>
                  <w:r>
                    <w:t xml:space="preserve"> </w:t>
                  </w:r>
                  <w:r>
                    <w:t xml:space="preserve">bias (</w:t>
                  </w:r>
                  <m:oMath>
                    <m:r>
                      <m:t>z</m:t>
                    </m:r>
                  </m:oMath>
                  <w:r>
                    <w:t xml:space="preserve">)</w:t>
                  </w:r>
                </w:p>
              </w:tc>
              <w:tc>
                <w:tcPr/>
                <w:p>
                  <w:pPr>
                    <w:pStyle w:val="Compact"/>
                    <w:jc w:val="right"/>
                    <w:jc w:val="center"/>
                  </w:pPr>
                  <w:r>
                    <w:t xml:space="preserve">-13181.7</w:t>
                  </w:r>
                </w:p>
              </w:tc>
              <w:tc>
                <w:tcPr/>
                <w:p>
                  <w:pPr>
                    <w:pStyle w:val="Compact"/>
                    <w:jc w:val="right"/>
                    <w:jc w:val="center"/>
                  </w:pPr>
                  <w:r>
                    <w:t xml:space="preserve">122.8</w:t>
                  </w:r>
                </w:p>
              </w:tc>
              <w:tc>
                <w:tcPr/>
                <w:p>
                  <w:pPr>
                    <w:pStyle w:val="Compact"/>
                    <w:jc w:val="right"/>
                    <w:jc w:val="center"/>
                  </w:pPr>
                  <w:r>
                    <w:t xml:space="preserve">-1.38</w:t>
                  </w:r>
                </w:p>
              </w:tc>
              <w:tc>
                <w:tcPr/>
                <w:p>
                  <w:pPr>
                    <w:pStyle w:val="Compact"/>
                    <w:jc w:val="right"/>
                    <w:jc w:val="center"/>
                  </w:pPr>
                  <w:r>
                    <w:t xml:space="preserve">0.55</w:t>
                  </w:r>
                </w:p>
              </w:tc>
              <w:tc>
                <w:tcPr/>
                <w:p>
                  <w:pPr>
                    <w:pStyle w:val="Compact"/>
                    <w:jc w:val="right"/>
                    <w:jc w:val="center"/>
                  </w:pPr>
                  <w:r>
                    <w:t xml:space="preserve">12150</w:t>
                  </w:r>
                </w:p>
              </w:tc>
            </w:tr>
            <w:tr>
              <w:tc>
                <w:tcPr/>
                <w:p>
                  <w:pPr>
                    <w:pStyle w:val="Compact"/>
                    <w:jc w:val="left"/>
                    <w:jc w:val="center"/>
                  </w:pPr>
                  <w:r>
                    <w:t xml:space="preserve">Truncated AUC (0.3–1.3 s)</w:t>
                  </w:r>
                </w:p>
              </w:tc>
              <w:tc>
                <w:tcPr/>
                <w:p>
                  <w:pPr>
                    <w:pStyle w:val="Compact"/>
                    <w:jc w:val="left"/>
                    <w:jc w:val="center"/>
                  </w:pPr>
                  <w:r>
                    <w:t xml:space="preserve">m2: Pupil</w:t>
                  </w:r>
                  <w:r>
                    <w:t xml:space="preserve"> </w:t>
                  </w:r>
                  <m:oMath>
                    <m:r>
                      <m:rPr>
                        <m:sty m:val="p"/>
                      </m:rPr>
                      <m:t>→</m:t>
                    </m:r>
                  </m:oMath>
                  <w:r>
                    <w:t xml:space="preserve"> </w:t>
                  </w:r>
                  <w:r>
                    <w:t xml:space="preserve">drift + bias</w:t>
                  </w:r>
                </w:p>
              </w:tc>
              <w:tc>
                <w:tcPr/>
                <w:p>
                  <w:pPr>
                    <w:pStyle w:val="Compact"/>
                    <w:jc w:val="right"/>
                    <w:jc w:val="center"/>
                  </w:pPr>
                  <w:r>
                    <w:t xml:space="preserve">-13182.9</w:t>
                  </w:r>
                </w:p>
              </w:tc>
              <w:tc>
                <w:tcPr/>
                <w:p>
                  <w:pPr>
                    <w:pStyle w:val="Compact"/>
                    <w:jc w:val="right"/>
                    <w:jc w:val="center"/>
                  </w:pPr>
                  <w:r>
                    <w:t xml:space="preserve">122.8</w:t>
                  </w:r>
                </w:p>
              </w:tc>
              <w:tc>
                <w:tcPr/>
                <w:p>
                  <w:pPr>
                    <w:pStyle w:val="Compact"/>
                    <w:jc w:val="right"/>
                    <w:jc w:val="center"/>
                  </w:pPr>
                  <w:r>
                    <w:t xml:space="preserve">-2.55</w:t>
                  </w:r>
                </w:p>
              </w:tc>
              <w:tc>
                <w:tcPr/>
                <w:p>
                  <w:pPr>
                    <w:pStyle w:val="Compact"/>
                    <w:jc w:val="right"/>
                    <w:jc w:val="center"/>
                  </w:pPr>
                  <w:r>
                    <w:t xml:space="preserve">0.45</w:t>
                  </w:r>
                </w:p>
              </w:tc>
              <w:tc>
                <w:tcPr/>
                <w:p>
                  <w:pPr>
                    <w:pStyle w:val="Compact"/>
                    <w:jc w:val="right"/>
                    <w:jc w:val="center"/>
                  </w:pPr>
                  <w:r>
                    <w:t xml:space="preserve">12150</w:t>
                  </w:r>
                </w:p>
              </w:tc>
            </w:tr>
            <w:tr>
              <w:tc>
                <w:tcPr/>
                <w:p>
                  <w:pPr>
                    <w:pStyle w:val="Compact"/>
                    <w:jc w:val="left"/>
                    <w:jc w:val="center"/>
                  </w:pPr>
                  <w:r>
                    <w:t xml:space="preserve">Truncated AUC (0.3–1.3 s)</w:t>
                  </w:r>
                </w:p>
              </w:tc>
              <w:tc>
                <w:tcPr/>
                <w:p>
                  <w:pPr>
                    <w:pStyle w:val="Compact"/>
                    <w:jc w:val="left"/>
                    <w:jc w:val="center"/>
                  </w:pPr>
                  <w:r>
                    <w:t xml:space="preserve">m3: Pupil</w:t>
                  </w:r>
                  <w:r>
                    <w:t xml:space="preserve"> </w:t>
                  </w:r>
                  <m:oMath>
                    <m:r>
                      <m:rPr>
                        <m:sty m:val="p"/>
                      </m:rPr>
                      <m:t>×</m:t>
                    </m:r>
                  </m:oMath>
                  <w:r>
                    <w:t xml:space="preserve"> </w:t>
                  </w:r>
                  <w:r>
                    <w:t xml:space="preserve">difficulty</w:t>
                  </w:r>
                </w:p>
              </w:tc>
              <w:tc>
                <w:tcPr/>
                <w:p>
                  <w:pPr>
                    <w:pStyle w:val="Compact"/>
                    <w:jc w:val="right"/>
                    <w:jc w:val="center"/>
                  </w:pPr>
                  <w:r>
                    <w:t xml:space="preserve">-13183.2</w:t>
                  </w:r>
                </w:p>
              </w:tc>
              <w:tc>
                <w:tcPr/>
                <w:p>
                  <w:pPr>
                    <w:pStyle w:val="Compact"/>
                    <w:jc w:val="right"/>
                    <w:jc w:val="center"/>
                  </w:pPr>
                  <w:r>
                    <w:t xml:space="preserve">122.9</w:t>
                  </w:r>
                </w:p>
              </w:tc>
              <w:tc>
                <w:tcPr/>
                <w:p>
                  <w:pPr>
                    <w:pStyle w:val="Compact"/>
                    <w:jc w:val="right"/>
                    <w:jc w:val="center"/>
                  </w:pPr>
                  <w:r>
                    <w:t xml:space="preserve">-2.83</w:t>
                  </w:r>
                </w:p>
              </w:tc>
              <w:tc>
                <w:tcPr/>
                <w:p>
                  <w:pPr>
                    <w:pStyle w:val="Compact"/>
                    <w:jc w:val="right"/>
                    <w:jc w:val="center"/>
                  </w:pPr>
                  <w:r>
                    <w:t xml:space="preserve">0.50</w:t>
                  </w:r>
                </w:p>
              </w:tc>
              <w:tc>
                <w:tcPr/>
                <w:p>
                  <w:pPr>
                    <w:pStyle w:val="Compact"/>
                    <w:jc w:val="right"/>
                    <w:jc w:val="center"/>
                  </w:pPr>
                  <w:r>
                    <w:t xml:space="preserve">12150</w:t>
                  </w:r>
                </w:p>
              </w:tc>
            </w:tr>
            <w:tr>
              <w:tc>
                <w:tcPr/>
                <w:p>
                  <w:pPr>
                    <w:pStyle w:val="Compact"/>
                    <w:jc w:val="left"/>
                    <w:jc w:val="center"/>
                  </w:pPr>
                  <w:r>
                    <w:t xml:space="preserve">Cavanagh</w:t>
                  </w:r>
                  <w:r>
                    <w:t xml:space="preserve"> </w:t>
                  </w:r>
                  <m:oMath>
                    <m:r>
                      <m:t>a</m:t>
                    </m:r>
                  </m:oMath>
                  <w:r>
                    <w:t xml:space="preserve"> </w:t>
                  </w:r>
                  <w:r>
                    <w:t xml:space="preserve">(primary window)</w:t>
                  </w:r>
                </w:p>
              </w:tc>
              <w:tc>
                <w:tcPr/>
                <w:p>
                  <w:pPr>
                    <w:pStyle w:val="Compact"/>
                    <w:jc w:val="left"/>
                    <w:jc w:val="center"/>
                  </w:pPr>
                  <w:r>
                    <w:t xml:space="preserve">m1p: Cavanagh pupil</w:t>
                  </w:r>
                  <w:r>
                    <w:t xml:space="preserve"> </w:t>
                  </w:r>
                  <m:oMath>
                    <m:r>
                      <m:rPr>
                        <m:sty m:val="p"/>
                      </m:rPr>
                      <m:t>→</m:t>
                    </m:r>
                  </m:oMath>
                  <w:r>
                    <w:t xml:space="preserve"> </w:t>
                  </w:r>
                  <m:oMath>
                    <m:r>
                      <m:t>a</m:t>
                    </m:r>
                  </m:oMath>
                </w:p>
              </w:tc>
              <w:tc>
                <w:tcPr/>
                <w:p>
                  <w:pPr>
                    <w:pStyle w:val="Compact"/>
                    <w:jc w:val="right"/>
                    <w:jc w:val="center"/>
                  </w:pPr>
                  <w:r>
                    <w:t xml:space="preserve">-13332.4</w:t>
                  </w:r>
                </w:p>
              </w:tc>
              <w:tc>
                <w:tcPr/>
                <w:p>
                  <w:pPr>
                    <w:pStyle w:val="Compact"/>
                    <w:jc w:val="right"/>
                    <w:jc w:val="center"/>
                  </w:pPr>
                  <w:r>
                    <w:t xml:space="preserve">123.5</w:t>
                  </w:r>
                </w:p>
              </w:tc>
              <w:tc>
                <w:tcPr/>
                <w:p>
                  <w:pPr>
                    <w:pStyle w:val="Compact"/>
                    <w:jc w:val="right"/>
                    <w:jc w:val="center"/>
                  </w:pPr>
                  <w:r>
                    <w:t xml:space="preserve">2.69</w:t>
                  </w:r>
                </w:p>
              </w:tc>
              <w:tc>
                <w:tcPr/>
                <w:p>
                  <w:pPr>
                    <w:pStyle w:val="Compact"/>
                    <w:jc w:val="right"/>
                    <w:jc w:val="center"/>
                  </w:pPr>
                  <w:r>
                    <w:t xml:space="preserve">0.34</w:t>
                  </w:r>
                </w:p>
              </w:tc>
              <w:tc>
                <w:tcPr/>
                <w:p>
                  <w:pPr>
                    <w:pStyle w:val="Compact"/>
                    <w:jc w:val="right"/>
                    <w:jc w:val="center"/>
                  </w:pPr>
                  <w:r>
                    <w:t xml:space="preserve">12287</w:t>
                  </w:r>
                </w:p>
              </w:tc>
            </w:tr>
            <w:tr>
              <w:tc>
                <w:tcPr/>
                <w:p>
                  <w:pPr>
                    <w:pStyle w:val="Compact"/>
                    <w:jc w:val="left"/>
                    <w:jc w:val="center"/>
                  </w:pPr>
                  <w:r>
                    <w:t xml:space="preserve">Cavanagh</w:t>
                  </w:r>
                  <w:r>
                    <w:t xml:space="preserve"> </w:t>
                  </w:r>
                  <m:oMath>
                    <m:r>
                      <m:t>a</m:t>
                    </m:r>
                  </m:oMath>
                  <w:r>
                    <w:t xml:space="preserve"> </w:t>
                  </w:r>
                  <w:r>
                    <w:t xml:space="preserve">(truncated window)</w:t>
                  </w:r>
                </w:p>
              </w:tc>
              <w:tc>
                <w:tcPr/>
                <w:p>
                  <w:pPr>
                    <w:pStyle w:val="Compact"/>
                    <w:jc w:val="left"/>
                    <w:jc w:val="center"/>
                  </w:pPr>
                  <w:r>
                    <w:t xml:space="preserve">m1p: Cavanagh pupil</w:t>
                  </w:r>
                  <w:r>
                    <w:t xml:space="preserve"> </w:t>
                  </w:r>
                  <m:oMath>
                    <m:r>
                      <m:rPr>
                        <m:sty m:val="p"/>
                      </m:rPr>
                      <m:t>→</m:t>
                    </m:r>
                  </m:oMath>
                  <w:r>
                    <w:t xml:space="preserve"> </w:t>
                  </w:r>
                  <m:oMath>
                    <m:r>
                      <m:t>a</m:t>
                    </m:r>
                  </m:oMath>
                </w:p>
              </w:tc>
              <w:tc>
                <w:tcPr/>
                <w:p>
                  <w:pPr>
                    <w:pStyle w:val="Compact"/>
                    <w:jc w:val="right"/>
                    <w:jc w:val="center"/>
                  </w:pPr>
                  <w:r>
                    <w:t xml:space="preserve">-13180.0</w:t>
                  </w:r>
                </w:p>
              </w:tc>
              <w:tc>
                <w:tcPr/>
                <w:p>
                  <w:pPr>
                    <w:pStyle w:val="Compact"/>
                    <w:jc w:val="right"/>
                    <w:jc w:val="center"/>
                  </w:pPr>
                  <w:r>
                    <w:t xml:space="preserve">122.9</w:t>
                  </w:r>
                </w:p>
              </w:tc>
              <w:tc>
                <w:tcPr/>
                <w:p>
                  <w:pPr>
                    <w:pStyle w:val="Compact"/>
                    <w:jc w:val="right"/>
                    <w:jc w:val="center"/>
                  </w:pPr>
                  <w:r>
                    <w:t xml:space="preserve">0.39</w:t>
                  </w:r>
                </w:p>
              </w:tc>
              <w:tc>
                <w:tcPr/>
                <w:p>
                  <w:pPr>
                    <w:pStyle w:val="Compact"/>
                    <w:jc w:val="right"/>
                    <w:jc w:val="center"/>
                  </w:pPr>
                  <w:r>
                    <w:t xml:space="preserve">0.58</w:t>
                  </w:r>
                </w:p>
              </w:tc>
              <w:tc>
                <w:tcPr/>
                <w:p>
                  <w:pPr>
                    <w:pStyle w:val="Compact"/>
                    <w:jc w:val="right"/>
                    <w:jc w:val="center"/>
                  </w:pPr>
                  <w:r>
                    <w:t xml:space="preserve">12150</w:t>
                  </w:r>
                </w:p>
              </w:tc>
            </w:tr>
          </w:tbl>
          <w:bookmarkEnd w:id="153"/>
          <w:p/>
        </w:tc>
      </w:tr>
    </w:tbl>
    <w:p>
      <w:pPr>
        <w:pStyle w:val="BodyText"/>
      </w:pPr>
      <w:r>
        <w:rPr>
          <w:i/>
          <w:iCs/>
        </w:rPr>
        <w:t xml:space="preserve">Note.</w:t>
      </w:r>
      <w:r>
        <w:t xml:space="preserve"> </w:t>
      </w:r>
      <w:r>
        <w:t xml:space="preserve">All pupil-augmented specifications use the same trial subset within each window. Rows under Decision-Response AUC (0.3–3.3 s) list nested Models m0–m3 (behavioral baseline; pupil</w:t>
      </w:r>
      <w:r>
        <w:t xml:space="preserve"> </w:t>
      </w:r>
      <m:oMath>
        <m:r>
          <m:rPr>
            <m:sty m:val="p"/>
          </m:rPr>
          <m:t>→</m:t>
        </m:r>
      </m:oMath>
      <w:r>
        <w:t xml:space="preserve"> </w:t>
      </w:r>
      <m:oMath>
        <m:r>
          <m:t>z</m:t>
        </m:r>
      </m:oMath>
      <w:r>
        <w:t xml:space="preserve">; pupil</w:t>
      </w:r>
      <w:r>
        <w:t xml:space="preserve"> </w:t>
      </w:r>
      <m:oMath>
        <m:r>
          <m:rPr>
            <m:sty m:val="p"/>
          </m:rPr>
          <m:t>→</m:t>
        </m:r>
      </m:oMath>
      <w:r>
        <w:t xml:space="preserve"> </w:t>
      </w:r>
      <m:oMath>
        <m:r>
          <m:t>v</m:t>
        </m:r>
      </m:oMath>
      <w:r>
        <w:t xml:space="preserve"> </w:t>
      </w:r>
      <w:r>
        <w:t xml:space="preserve">+</w:t>
      </w:r>
      <w:r>
        <w:t xml:space="preserve"> </w:t>
      </w:r>
      <m:oMath>
        <m:r>
          <m:t>z</m:t>
        </m:r>
      </m:oMath>
      <w:r>
        <w:t xml:space="preserve">; pupil</w:t>
      </w:r>
      <w:r>
        <w:t xml:space="preserve"> </w:t>
      </w:r>
      <m:oMath>
        <m:r>
          <m:rPr>
            <m:sty m:val="p"/>
          </m:rPr>
          <m:t>×</m:t>
        </m:r>
      </m:oMath>
      <w:r>
        <w:t xml:space="preserve"> </w:t>
      </w:r>
      <w:r>
        <w:t xml:space="preserve">difficulty).</w:t>
      </w:r>
      <w:r>
        <w:t xml:space="preserve"> </w:t>
      </w:r>
      <m:oMath>
        <m:r>
          <m:t>Δ</m:t>
        </m:r>
      </m:oMath>
      <w:r>
        <w:t xml:space="preserve">ELPD vs. m0 uses the same-</w:t>
      </w:r>
      <m:oMath>
        <m:r>
          <m:t>N</m:t>
        </m:r>
      </m:oMath>
      <w:r>
        <w:t xml:space="preserve"> </w:t>
      </w:r>
      <w:r>
        <w:t xml:space="preserve">behavioral baseline. Cavanagh pupil</w:t>
      </w:r>
      <w:r>
        <w:t xml:space="preserve"> </w:t>
      </w:r>
      <m:oMath>
        <m:r>
          <m:rPr>
            <m:sty m:val="p"/>
          </m:rPr>
          <m:t>→</m:t>
        </m:r>
      </m:oMath>
      <w:r>
        <w:t xml:space="preserve"> </w:t>
      </w:r>
      <m:oMath>
        <m:r>
          <m:t>a</m:t>
        </m:r>
      </m:oMath>
      <w:r>
        <w:t xml:space="preserve"> </w:t>
      </w:r>
      <w:r>
        <w:t xml:space="preserve">rows report boundary-only extensions. LOOIC for m0–m3 equals</w:t>
      </w:r>
      <w:r>
        <w:t xml:space="preserve"> </w:t>
      </w:r>
      <m:oMath>
        <m:r>
          <m:rPr>
            <m:sty m:val="p"/>
          </m:rPr>
          <m:t>−</m:t>
        </m:r>
        <m:r>
          <m:t>2</m:t>
        </m:r>
        <m:r>
          <m:rPr>
            <m:sty m:val="p"/>
          </m:rPr>
          <m:t>×</m:t>
        </m:r>
      </m:oMath>
      <w:r>
        <w:t xml:space="preserve"> </w:t>
      </w:r>
      <w:r>
        <w:t xml:space="preserve">ELPD when PSIS-LOO is reliable (max Pareto-</w:t>
      </w:r>
      <m:oMath>
        <m:r>
          <m:t>k</m:t>
        </m:r>
      </m:oMath>
      <w:r>
        <w:t xml:space="preserve"> </w:t>
      </w:r>
      <m:oMath>
        <m:r>
          <m:rPr>
            <m:sty m:val="p"/>
          </m:rPr>
          <m:t>≤</m:t>
        </m:r>
        <m:r>
          <m:t>0.7</m:t>
        </m:r>
      </m:oMath>
      <w:r>
        <w:t xml:space="preserve">).</w:t>
      </w:r>
    </w:p>
    <w:bookmarkEnd w:id="154"/>
    <w:bookmarkStart w:id="156" w:name="fixed-effects-and-model-comparison"/>
    <w:p>
      <w:pPr>
        <w:pStyle w:val="Heading3"/>
      </w:pPr>
      <w:r>
        <w:t xml:space="preserve">Fixed effects and model comparison</w:t>
      </w:r>
    </w:p>
    <w:p>
      <w:pPr>
        <w:pStyle w:val="FirstParagraph"/>
      </w:pPr>
      <w:r>
        <w:t xml:space="preserve">Nested-model LOO for the primary Decision-Response AUC window (Models m0–m3) appears in</w:t>
      </w:r>
      <w:r>
        <w:t xml:space="preserve"> </w:t>
      </w:r>
      <w:hyperlink w:anchor="tbl-pupil-loo-unified">
        <w:r>
          <w:rPr>
            <w:rStyle w:val="Hyperlink"/>
          </w:rPr>
          <w:t xml:space="preserve">Table 17</w:t>
        </w:r>
      </w:hyperlink>
      <w:r>
        <w:t xml:space="preserve">; key pupil-linked coefficients are in</w:t>
      </w:r>
      <w:r>
        <w:t xml:space="preserve"> </w:t>
      </w:r>
      <w:hyperlink w:anchor="tbl-pupil-key-effects-appendix">
        <w:r>
          <w:rPr>
            <w:rStyle w:val="Hyperlink"/>
          </w:rPr>
          <w:t xml:space="preserve">Table 18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55" w:name="tbl-pupil-key-effects-appendix"/>
          <w:p>
            <w:pPr>
              <w:jc w:val="center"/>
            </w:pPr>
            <w:pPr>
              <w:jc w:val="start"/>
              <w:spacing w:before="200"/>
              <w:pStyle w:val="ImageCaption"/>
            </w:pPr>
            <w:r>
              <w:t xml:space="preserve">Table 18: Key pupil effects on drift (</w:t>
            </w:r>
            <m:oMath>
              <m:r>
                <m:t>v</m:t>
              </m:r>
            </m:oMath>
            <w:r>
              <w:t xml:space="preserve">) and bias (</w:t>
            </w:r>
            <m:oMath>
              <m:r>
                <m:t>z</m:t>
              </m:r>
            </m:oMath>
            <w:r>
              <w:t xml:space="preserve">) (link scale). Posterior mean, 95% CrI, whether the interval includes zero, and</w:t>
            </w:r>
            <w:r>
              <w:t xml:space="preserve"> </w:t>
            </w:r>
            <m:oMath>
              <m:r>
                <m:t>P</m:t>
              </m:r>
              <m:d>
                <m:dPr>
                  <m:begChr m:val="("/>
                  <m:sepChr m:val=""/>
                  <m:endChr m:val=")"/>
                  <m:grow/>
                </m:dPr>
                <m:e>
                  <m:r>
                    <m:t>β</m:t>
                  </m:r>
                  <m:r>
                    <m:rPr>
                      <m:sty m:val="p"/>
                    </m:rPr>
                    <m:t>&gt;</m:t>
                  </m:r>
                  <m:r>
                    <m:t>0</m:t>
                  </m:r>
                </m:e>
              </m:d>
            </m:oMath>
            <w:r>
              <w:t xml:space="preserve"> </w:t>
            </w:r>
            <w:r>
              <w:t xml:space="preserve">for difficulty-conditional slopes (from interaction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Parameter</w:t>
                  </w:r>
                </w:p>
              </w:tc>
              <w:tc>
                <w:tcPr/>
                <w:p>
                  <w:pPr>
                    <w:pStyle w:val="Compact"/>
                    <w:jc w:val="right"/>
                    <w:jc w:val="center"/>
                  </w:pPr>
                  <w:r>
                    <w:t xml:space="preserve">Mean</w:t>
                  </w:r>
                </w:p>
              </w:tc>
              <w:tc>
                <w:tcPr/>
                <w:p>
                  <w:pPr>
                    <w:pStyle w:val="Compact"/>
                    <w:jc w:val="left"/>
                    <w:jc w:val="center"/>
                  </w:pPr>
                  <w:r>
                    <w:t xml:space="preserve">95% CrI</w:t>
                  </w:r>
                </w:p>
              </w:tc>
              <w:tc>
                <w:tcPr/>
                <w:p>
                  <w:pPr>
                    <w:pStyle w:val="Compact"/>
                    <w:jc w:val="left"/>
                    <w:jc w:val="center"/>
                  </w:pPr>
                  <w:r>
                    <w:t xml:space="preserve">Includes 0</w:t>
                  </w:r>
                </w:p>
              </w:tc>
              <w:tc>
                <w:tcPr/>
                <w:p>
                  <w:pPr>
                    <w:pStyle w:val="Compact"/>
                    <w:jc w:val="left"/>
                    <w:jc w:val="center"/>
                  </w:pPr>
                  <w:r>
                    <w:t xml:space="preserve">P(beta &gt; 0)</w:t>
                  </w:r>
                </w:p>
              </w:tc>
            </w:tr>
            <w:tr>
              <w:tc>
                <w:tcPr/>
                <w:p>
                  <w:pPr>
                    <w:pStyle w:val="Compact"/>
                    <w:jc w:val="left"/>
                    <w:jc w:val="center"/>
                  </w:pPr>
                  <w:r>
                    <w:t xml:space="preserve">Pupil</w:t>
                  </w:r>
                  <w:r>
                    <w:t xml:space="preserve"> </w:t>
                  </w:r>
                  <m:oMath>
                    <m:r>
                      <m:t>v</m:t>
                    </m:r>
                  </m:oMath>
                </w:p>
              </w:tc>
              <w:tc>
                <w:tcPr/>
                <w:p>
                  <w:pPr>
                    <w:pStyle w:val="Compact"/>
                    <w:jc w:val="right"/>
                    <w:jc w:val="center"/>
                  </w:pPr>
                  <w:r>
                    <w:t xml:space="preserve">0.011</w:t>
                  </w:r>
                </w:p>
              </w:tc>
              <w:tc>
                <w:tcPr/>
                <w:p>
                  <w:pPr>
                    <w:pStyle w:val="Compact"/>
                    <w:jc w:val="left"/>
                    <w:jc w:val="center"/>
                  </w:pPr>
                  <w:r>
                    <w:t xml:space="preserve">[-0.025, 0.045]</w:t>
                  </w:r>
                </w:p>
              </w:tc>
              <w:tc>
                <w:tcPr/>
                <w:p>
                  <w:pPr>
                    <w:pStyle w:val="Compact"/>
                    <w:jc w:val="left"/>
                    <w:jc w:val="center"/>
                  </w:pPr>
                  <w:r>
                    <w:t xml:space="preserve">Yes</w:t>
                  </w:r>
                </w:p>
              </w:tc>
              <w:tc>
                <w:tcPr/>
                <w:p>
                  <w:pPr>
                    <w:pStyle w:val="Compact"/>
                    <w:jc w:val="left"/>
                    <w:jc w:val="center"/>
                  </w:pPr>
                  <w:r>
                    <w:t xml:space="preserve">NA</w:t>
                  </w:r>
                </w:p>
              </w:tc>
            </w:tr>
            <w:tr>
              <w:tc>
                <w:tcPr/>
                <w:p>
                  <w:pPr>
                    <w:pStyle w:val="Compact"/>
                    <w:jc w:val="left"/>
                    <w:jc w:val="center"/>
                  </w:pPr>
                  <w:r>
                    <w:t xml:space="preserve">Pupil</w:t>
                  </w:r>
                  <w:r>
                    <w:t xml:space="preserve"> </w:t>
                  </w:r>
                  <m:oMath>
                    <m:r>
                      <m:t>z</m:t>
                    </m:r>
                  </m:oMath>
                </w:p>
              </w:tc>
              <w:tc>
                <w:tcPr/>
                <w:p>
                  <w:pPr>
                    <w:pStyle w:val="Compact"/>
                    <w:jc w:val="right"/>
                    <w:jc w:val="center"/>
                  </w:pPr>
                  <w:r>
                    <w:t xml:space="preserve">0.004</w:t>
                  </w:r>
                </w:p>
              </w:tc>
              <w:tc>
                <w:tcPr/>
                <w:p>
                  <w:pPr>
                    <w:pStyle w:val="Compact"/>
                    <w:jc w:val="left"/>
                    <w:jc w:val="center"/>
                  </w:pPr>
                  <w:r>
                    <w:t xml:space="preserve">[-0.027, 0.034]</w:t>
                  </w:r>
                </w:p>
              </w:tc>
              <w:tc>
                <w:tcPr/>
                <w:p>
                  <w:pPr>
                    <w:pStyle w:val="Compact"/>
                    <w:jc w:val="left"/>
                    <w:jc w:val="center"/>
                  </w:pPr>
                  <w:r>
                    <w:t xml:space="preserve">Yes</w:t>
                  </w:r>
                </w:p>
              </w:tc>
              <w:tc>
                <w:tcPr/>
                <w:p>
                  <w:pPr>
                    <w:pStyle w:val="Compact"/>
                    <w:jc w:val="left"/>
                    <w:jc w:val="center"/>
                  </w:pPr>
                  <w:r>
                    <w:t xml:space="preserve">NA</w:t>
                  </w:r>
                </w:p>
              </w:tc>
            </w:tr>
            <w:tr>
              <w:tc>
                <w:tcPr/>
                <w:p>
                  <w:pPr>
                    <w:pStyle w:val="Compact"/>
                    <w:jc w:val="left"/>
                    <w:jc w:val="center"/>
                  </w:pPr>
                  <w:r>
                    <w:t xml:space="preserve">Pupil</w:t>
                  </w:r>
                  <w:r>
                    <w:t xml:space="preserve"> </w:t>
                  </w:r>
                  <m:oMath>
                    <m:r>
                      <m:t>v</m:t>
                    </m:r>
                  </m:oMath>
                  <w:r>
                    <w:t xml:space="preserve">: Standard</w:t>
                  </w:r>
                </w:p>
              </w:tc>
              <w:tc>
                <w:tcPr/>
                <w:p>
                  <w:pPr>
                    <w:pStyle w:val="Compact"/>
                    <w:jc w:val="right"/>
                    <w:jc w:val="center"/>
                  </w:pPr>
                  <w:r>
                    <w:t xml:space="preserve">0.022</w:t>
                  </w:r>
                </w:p>
              </w:tc>
              <w:tc>
                <w:tcPr/>
                <w:p>
                  <w:pPr>
                    <w:pStyle w:val="Compact"/>
                    <w:jc w:val="left"/>
                    <w:jc w:val="center"/>
                  </w:pPr>
                  <w:r>
                    <w:t xml:space="preserve">[-0.038, 0.081]</w:t>
                  </w:r>
                </w:p>
              </w:tc>
              <w:tc>
                <w:tcPr/>
                <w:p>
                  <w:pPr>
                    <w:pStyle w:val="Compact"/>
                    <w:jc w:val="left"/>
                    <w:jc w:val="center"/>
                  </w:pPr>
                  <w:r>
                    <w:t xml:space="preserve">Yes</w:t>
                  </w:r>
                </w:p>
              </w:tc>
              <w:tc>
                <w:tcPr/>
                <w:p>
                  <w:pPr>
                    <w:pStyle w:val="Compact"/>
                    <w:jc w:val="left"/>
                    <w:jc w:val="center"/>
                  </w:pPr>
                  <w:r>
                    <w:t xml:space="preserve">0.758</w:t>
                  </w:r>
                </w:p>
              </w:tc>
            </w:tr>
            <w:tr>
              <w:tc>
                <w:tcPr/>
                <w:p>
                  <w:pPr>
                    <w:pStyle w:val="Compact"/>
                    <w:jc w:val="left"/>
                    <w:jc w:val="center"/>
                  </w:pPr>
                  <w:r>
                    <w:t xml:space="preserve">Pupil</w:t>
                  </w:r>
                  <w:r>
                    <w:t xml:space="preserve"> </w:t>
                  </w:r>
                  <m:oMath>
                    <m:r>
                      <m:t>v</m:t>
                    </m:r>
                  </m:oMath>
                  <w:r>
                    <w:t xml:space="preserve">: Hard</w:t>
                  </w:r>
                </w:p>
              </w:tc>
              <w:tc>
                <w:tcPr/>
                <w:p>
                  <w:pPr>
                    <w:pStyle w:val="Compact"/>
                    <w:jc w:val="right"/>
                    <w:jc w:val="center"/>
                  </w:pPr>
                  <w:r>
                    <w:t xml:space="preserve">-0.026</w:t>
                  </w:r>
                </w:p>
              </w:tc>
              <w:tc>
                <w:tcPr/>
                <w:p>
                  <w:pPr>
                    <w:pStyle w:val="Compact"/>
                    <w:jc w:val="left"/>
                    <w:jc w:val="center"/>
                  </w:pPr>
                  <w:r>
                    <w:t xml:space="preserve">[-0.07, 0.018]</w:t>
                  </w:r>
                </w:p>
              </w:tc>
              <w:tc>
                <w:tcPr/>
                <w:p>
                  <w:pPr>
                    <w:pStyle w:val="Compact"/>
                    <w:jc w:val="left"/>
                    <w:jc w:val="center"/>
                  </w:pPr>
                  <w:r>
                    <w:t xml:space="preserve">Yes</w:t>
                  </w:r>
                </w:p>
              </w:tc>
              <w:tc>
                <w:tcPr/>
                <w:p>
                  <w:pPr>
                    <w:pStyle w:val="Compact"/>
                    <w:jc w:val="left"/>
                    <w:jc w:val="center"/>
                  </w:pPr>
                  <w:r>
                    <w:t xml:space="preserve">0.116</w:t>
                  </w:r>
                </w:p>
              </w:tc>
            </w:tr>
            <w:tr>
              <w:tc>
                <w:tcPr/>
                <w:p>
                  <w:pPr>
                    <w:pStyle w:val="Compact"/>
                    <w:jc w:val="left"/>
                    <w:jc w:val="center"/>
                  </w:pPr>
                  <w:r>
                    <w:t xml:space="preserve">Pupil</w:t>
                  </w:r>
                  <w:r>
                    <w:t xml:space="preserve"> </w:t>
                  </w:r>
                  <m:oMath>
                    <m:r>
                      <m:t>v</m:t>
                    </m:r>
                  </m:oMath>
                  <w:r>
                    <w:t xml:space="preserve">: Easy</w:t>
                  </w:r>
                </w:p>
              </w:tc>
              <w:tc>
                <w:tcPr/>
                <w:p>
                  <w:pPr>
                    <w:pStyle w:val="Compact"/>
                    <w:jc w:val="right"/>
                    <w:jc w:val="center"/>
                  </w:pPr>
                  <w:r>
                    <w:t xml:space="preserve">0.005</w:t>
                  </w:r>
                </w:p>
              </w:tc>
              <w:tc>
                <w:tcPr/>
                <w:p>
                  <w:pPr>
                    <w:pStyle w:val="Compact"/>
                    <w:jc w:val="left"/>
                    <w:jc w:val="center"/>
                  </w:pPr>
                  <w:r>
                    <w:t xml:space="preserve">[-0.048, 0.058]</w:t>
                  </w:r>
                </w:p>
              </w:tc>
              <w:tc>
                <w:tcPr/>
                <w:p>
                  <w:pPr>
                    <w:pStyle w:val="Compact"/>
                    <w:jc w:val="left"/>
                    <w:jc w:val="center"/>
                  </w:pPr>
                  <w:r>
                    <w:t xml:space="preserve">Yes</w:t>
                  </w:r>
                </w:p>
              </w:tc>
              <w:tc>
                <w:tcPr/>
                <w:p>
                  <w:pPr>
                    <w:pStyle w:val="Compact"/>
                    <w:jc w:val="left"/>
                    <w:jc w:val="center"/>
                  </w:pPr>
                  <w:r>
                    <w:t xml:space="preserve">0.580</w:t>
                  </w:r>
                </w:p>
              </w:tc>
            </w:tr>
          </w:tbl>
          <w:bookmarkEnd w:id="155"/>
          <w:p/>
        </w:tc>
      </w:tr>
    </w:tbl>
    <w:bookmarkEnd w:id="156"/>
    <w:bookmarkStart w:id="158" w:name="cavanagh-boundary-extensions"/>
    <w:p>
      <w:pPr>
        <w:pStyle w:val="Heading3"/>
      </w:pPr>
      <w:r>
        <w:t xml:space="preserve">Cavanagh boundary extensions</w:t>
      </w:r>
    </w:p>
    <w:tbl>
      <w:tblPr>
        <w:tblStyle w:val="Table"/>
        <w:tblW w:type="pct" w:w="5000"/>
        <w:tblLayout w:type="fixed"/>
        <w:tblLook w:firstRow="0" w:lastRow="0" w:firstColumn="0" w:lastColumn="0" w:noHBand="0" w:noVBand="0" w:val="0000"/>
      </w:tblPr>
      <w:tblGrid>
        <w:gridCol w:w="7920"/>
      </w:tblGrid>
      <w:tr>
        <w:tc>
          <w:tcPr/>
          <w:bookmarkStart w:id="157" w:name="tbl-pupil-boundary-appendix"/>
          <w:p>
            <w:pPr>
              <w:jc w:val="center"/>
            </w:pPr>
            <w:pPr>
              <w:jc w:val="start"/>
              <w:spacing w:before="200"/>
              <w:pStyle w:val="ImageCaption"/>
            </w:pPr>
            <w:r>
              <w:t xml:space="preserve">Table 19: Cavanagh-style pupil</w:t>
            </w:r>
            <w:r>
              <w:t xml:space="preserve"> </w:t>
            </w:r>
            <m:oMath>
              <m:r>
                <m:rPr>
                  <m:sty m:val="p"/>
                </m:rPr>
                <m:t>→</m:t>
              </m:r>
            </m:oMath>
            <w:r>
              <w:t xml:space="preserve"> </w:t>
            </w:r>
            <w:r>
              <w:t xml:space="preserve">boundary separation (</w:t>
            </w:r>
            <m:oMath>
              <m:r>
                <m:t>a</m:t>
              </m:r>
            </m:oMath>
            <w:r>
              <w:t xml:space="preserve">) extensions. Same-</w:t>
            </w:r>
            <m:oMath>
              <m:r>
                <m:t>N</m:t>
              </m:r>
            </m:oMath>
            <w:r>
              <w:t xml:space="preserve"> </w:t>
            </w:r>
            <w:r>
              <w:t xml:space="preserve">behavioral baseline as nested Models 0–3;</w:t>
            </w:r>
            <w:r>
              <w:t xml:space="preserve"> </w:t>
            </w:r>
            <m:oMath>
              <m:r>
                <m:t>Δ</m:t>
              </m:r>
            </m:oMath>
            <w:r>
              <w:t xml:space="preserve">ELPD vs. model_0_behavioral.</w:t>
            </w:r>
          </w:p>
          <w:tbl>
            <w:tblPr>
              <w:tblStyle w:val="Table"/>
              <w:tblW w:type="pct" w:w="5000"/>
              <w:tblLayout w:type="fixed"/>
              <w:tblLook w:firstRow="1" w:lastRow="0" w:firstColumn="0" w:lastColumn="0" w:noHBand="0" w:noVBand="0" w:val="0020"/>
            </w:tblPr>
            <w:tblGrid>
              <w:gridCol w:w="2576"/>
              <w:gridCol w:w="858"/>
              <w:gridCol w:w="2003"/>
              <w:gridCol w:w="858"/>
              <w:gridCol w:w="1049"/>
              <w:gridCol w:w="572"/>
            </w:tblGrid>
            <w:tr>
              <w:trPr>
                <w:tblHeader w:val="on"/>
              </w:trPr>
              <w:tc>
                <w:tcPr/>
                <w:p>
                  <w:pPr>
                    <w:pStyle w:val="Compact"/>
                    <w:jc w:val="left"/>
                    <w:jc w:val="center"/>
                  </w:pPr>
                  <w:r>
                    <w:t xml:space="preserve">Window</w:t>
                  </w:r>
                </w:p>
              </w:tc>
              <w:tc>
                <w:tcPr/>
                <w:p>
                  <w:pPr>
                    <w:pStyle w:val="Compact"/>
                    <w:jc w:val="left"/>
                    <w:jc w:val="center"/>
                  </w:pPr>
                  <w:r>
                    <w:t xml:space="preserve">N trials</w:t>
                  </w:r>
                </w:p>
              </w:tc>
              <w:tc>
                <w:tcPr/>
                <w:p>
                  <w:pPr>
                    <w:pStyle w:val="Compact"/>
                    <w:jc w:val="left"/>
                    <w:jc w:val="center"/>
                  </w:pPr>
                  <w:r>
                    <w:t xml:space="preserve">Pupil on</w:t>
                  </w:r>
                  <w:r>
                    <w:t xml:space="preserve"> </w:t>
                  </w:r>
                  <m:oMath>
                    <m:r>
                      <m:t>a</m:t>
                    </m:r>
                  </m:oMath>
                  <w:r>
                    <w:t xml:space="preserve"> </w:t>
                  </w:r>
                  <w:r>
                    <w:t xml:space="preserve">(beta)</w:t>
                  </w:r>
                </w:p>
              </w:tc>
              <w:tc>
                <w:tcPr/>
                <w:p>
                  <w:pPr>
                    <w:pStyle w:val="Compact"/>
                    <w:jc w:val="right"/>
                    <w:jc w:val="center"/>
                  </w:pPr>
                  <w:r>
                    <w:t xml:space="preserve">ELPD</w:t>
                  </w:r>
                </w:p>
              </w:tc>
              <w:tc>
                <w:tcPr/>
                <w:p>
                  <w:pPr>
                    <w:pStyle w:val="Compact"/>
                    <w:jc w:val="right"/>
                    <w:jc w:val="center"/>
                  </w:pPr>
                  <w:r>
                    <w:t xml:space="preserve">Delta ELPD</w:t>
                  </w:r>
                </w:p>
              </w:tc>
              <w:tc>
                <w:tcPr/>
                <w:p>
                  <w:pPr>
                    <w:pStyle w:val="Compact"/>
                    <w:jc w:val="right"/>
                    <w:jc w:val="center"/>
                  </w:pPr>
                  <w:r>
                    <w:t xml:space="preserve">Max k</w:t>
                  </w:r>
                </w:p>
              </w:tc>
            </w:tr>
            <w:tr>
              <w:tc>
                <w:tcPr/>
                <w:p>
                  <w:pPr>
                    <w:pStyle w:val="Compact"/>
                    <w:jc w:val="left"/>
                    <w:jc w:val="center"/>
                  </w:pPr>
                  <w:r>
                    <w:t xml:space="preserve">Full AUC (0.3–3.3 s)</w:t>
                  </w:r>
                </w:p>
              </w:tc>
              <w:tc>
                <w:tcPr/>
                <w:p>
                  <w:pPr>
                    <w:pStyle w:val="Compact"/>
                    <w:jc w:val="left"/>
                    <w:jc w:val="center"/>
                  </w:pPr>
                  <w:r>
                    <w:t xml:space="preserve">12,287</w:t>
                  </w:r>
                </w:p>
              </w:tc>
              <w:tc>
                <w:tcPr/>
                <w:p>
                  <w:pPr>
                    <w:pStyle w:val="Compact"/>
                    <w:jc w:val="left"/>
                    <w:jc w:val="center"/>
                  </w:pPr>
                  <w:r>
                    <w:t xml:space="preserve">0.017 [0.005, 0.028]</w:t>
                  </w:r>
                </w:p>
              </w:tc>
              <w:tc>
                <w:tcPr/>
                <w:p>
                  <w:pPr>
                    <w:pStyle w:val="Compact"/>
                    <w:jc w:val="right"/>
                    <w:jc w:val="center"/>
                  </w:pPr>
                  <w:r>
                    <w:t xml:space="preserve">-13332.4</w:t>
                  </w:r>
                </w:p>
              </w:tc>
              <w:tc>
                <w:tcPr/>
                <w:p>
                  <w:pPr>
                    <w:pStyle w:val="Compact"/>
                    <w:jc w:val="right"/>
                    <w:jc w:val="center"/>
                  </w:pPr>
                  <w:r>
                    <w:t xml:space="preserve">2.69</w:t>
                  </w:r>
                </w:p>
              </w:tc>
              <w:tc>
                <w:tcPr/>
                <w:p>
                  <w:pPr>
                    <w:pStyle w:val="Compact"/>
                    <w:jc w:val="right"/>
                    <w:jc w:val="center"/>
                  </w:pPr>
                  <w:r>
                    <w:t xml:space="preserve">0.34</w:t>
                  </w:r>
                </w:p>
              </w:tc>
            </w:tr>
            <w:tr>
              <w:tc>
                <w:tcPr/>
                <w:p>
                  <w:pPr>
                    <w:pStyle w:val="Compact"/>
                    <w:jc w:val="left"/>
                    <w:jc w:val="center"/>
                  </w:pPr>
                  <w:r>
                    <w:t xml:space="preserve">Truncated AUC (0.3–1.3 s)</w:t>
                  </w:r>
                </w:p>
              </w:tc>
              <w:tc>
                <w:tcPr/>
                <w:p>
                  <w:pPr>
                    <w:pStyle w:val="Compact"/>
                    <w:jc w:val="left"/>
                    <w:jc w:val="center"/>
                  </w:pPr>
                  <w:r>
                    <w:t xml:space="preserve">12,150</w:t>
                  </w:r>
                </w:p>
              </w:tc>
              <w:tc>
                <w:tcPr/>
                <w:p>
                  <w:pPr>
                    <w:pStyle w:val="Compact"/>
                    <w:jc w:val="left"/>
                    <w:jc w:val="center"/>
                  </w:pPr>
                  <w:r>
                    <w:t xml:space="preserve">0.014 [0.002, 0.025]</w:t>
                  </w:r>
                </w:p>
              </w:tc>
              <w:tc>
                <w:tcPr/>
                <w:p>
                  <w:pPr>
                    <w:pStyle w:val="Compact"/>
                    <w:jc w:val="right"/>
                    <w:jc w:val="center"/>
                  </w:pPr>
                  <w:r>
                    <w:t xml:space="preserve">-13180.0</w:t>
                  </w:r>
                </w:p>
              </w:tc>
              <w:tc>
                <w:tcPr/>
                <w:p>
                  <w:pPr>
                    <w:pStyle w:val="Compact"/>
                    <w:jc w:val="right"/>
                    <w:jc w:val="center"/>
                  </w:pPr>
                  <w:r>
                    <w:t xml:space="preserve">0.39</w:t>
                  </w:r>
                </w:p>
              </w:tc>
              <w:tc>
                <w:tcPr/>
                <w:p>
                  <w:pPr>
                    <w:pStyle w:val="Compact"/>
                    <w:jc w:val="right"/>
                    <w:jc w:val="center"/>
                  </w:pPr>
                  <w:r>
                    <w:t xml:space="preserve">0.58</w:t>
                  </w:r>
                </w:p>
              </w:tc>
            </w:tr>
          </w:tbl>
          <w:bookmarkEnd w:id="157"/>
          <w:p/>
        </w:tc>
      </w:tr>
    </w:tbl>
    <w:bookmarkEnd w:id="158"/>
    <w:bookmarkStart w:id="160" w:name="tepr-descriptives-and-visualization"/>
    <w:p>
      <w:pPr>
        <w:pStyle w:val="Heading3"/>
      </w:pPr>
      <w:r>
        <w:t xml:space="preserve">TEPR descriptives and visualization</w:t>
      </w:r>
    </w:p>
    <w:tbl>
      <w:tblPr>
        <w:tblStyle w:val="Table"/>
        <w:tblW w:type="pct" w:w="5000"/>
        <w:tblLayout w:type="fixed"/>
        <w:tblLook w:firstRow="0" w:lastRow="0" w:firstColumn="0" w:lastColumn="0" w:noHBand="0" w:noVBand="0" w:val="0000"/>
      </w:tblPr>
      <w:tblGrid>
        <w:gridCol w:w="7920"/>
      </w:tblGrid>
      <w:tr>
        <w:tc>
          <w:tcPr/>
          <w:bookmarkStart w:id="159" w:name="tbl-tepr"/>
          <w:p>
            <w:pPr>
              <w:jc w:val="center"/>
            </w:pPr>
            <w:pPr>
              <w:jc w:val="start"/>
              <w:spacing w:before="200"/>
              <w:pStyle w:val="ImageCaption"/>
            </w:pPr>
            <w:r>
              <w:t xml:space="preserve">Table 20: Task-Evoked Pupil Response (TEPR) by Condition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Task_Group</w:t>
                  </w:r>
                </w:p>
              </w:tc>
              <w:tc>
                <w:tcPr/>
                <w:p>
                  <w:pPr>
                    <w:pStyle w:val="Compact"/>
                    <w:jc w:val="left"/>
                    <w:jc w:val="center"/>
                  </w:pPr>
                  <w:r>
                    <w:t xml:space="preserve">Difficulty</w:t>
                  </w:r>
                </w:p>
              </w:tc>
              <w:tc>
                <w:tcPr/>
                <w:p>
                  <w:pPr>
                    <w:pStyle w:val="Compact"/>
                    <w:jc w:val="left"/>
                    <w:jc w:val="center"/>
                  </w:pPr>
                  <w:r>
                    <w:t xml:space="preserve">Effort</w:t>
                  </w:r>
                </w:p>
              </w:tc>
              <w:tc>
                <w:tcPr/>
                <w:p>
                  <w:pPr>
                    <w:pStyle w:val="Compact"/>
                    <w:jc w:val="right"/>
                    <w:jc w:val="center"/>
                  </w:pPr>
                  <w:r>
                    <w:t xml:space="preserve">Mean AUC</w:t>
                  </w:r>
                </w:p>
              </w:tc>
              <w:tc>
                <w:tcPr/>
                <w:p>
                  <w:pPr>
                    <w:pStyle w:val="Compact"/>
                    <w:jc w:val="right"/>
                    <w:jc w:val="center"/>
                  </w:pPr>
                  <w:r>
                    <w:t xml:space="preserve">SD AUC</w:t>
                  </w:r>
                </w:p>
              </w:tc>
              <w:tc>
                <w:tcPr/>
                <w:p>
                  <w:pPr>
                    <w:pStyle w:val="Compact"/>
                    <w:jc w:val="right"/>
                    <w:jc w:val="center"/>
                  </w:pPr>
                  <w:r>
                    <w:t xml:space="preserve">N Subjects</w:t>
                  </w:r>
                </w:p>
              </w:tc>
            </w:tr>
            <w:tr>
              <w:tc>
                <w:tcPr/>
                <w:p>
                  <w:pPr>
                    <w:pStyle w:val="Compact"/>
                    <w:jc w:val="left"/>
                    <w:jc w:val="center"/>
                  </w:pPr>
                  <w:r>
                    <w:t xml:space="preserve">ADT</w:t>
                  </w:r>
                </w:p>
              </w:tc>
              <w:tc>
                <w:tcPr/>
                <w:p>
                  <w:pPr>
                    <w:pStyle w:val="Compact"/>
                    <w:jc w:val="left"/>
                    <w:jc w:val="center"/>
                  </w:pPr>
                  <w:r>
                    <w:t xml:space="preserve">Easy</w:t>
                  </w:r>
                </w:p>
              </w:tc>
              <w:tc>
                <w:tcPr/>
                <w:p>
                  <w:pPr>
                    <w:pStyle w:val="Compact"/>
                    <w:jc w:val="left"/>
                    <w:jc w:val="center"/>
                  </w:pPr>
                  <w:r>
                    <w:t xml:space="preserve">High (40% MVC)</w:t>
                  </w:r>
                </w:p>
              </w:tc>
              <w:tc>
                <w:tcPr/>
                <w:p>
                  <w:pPr>
                    <w:pStyle w:val="Compact"/>
                    <w:jc w:val="right"/>
                    <w:jc w:val="center"/>
                  </w:pPr>
                  <w:r>
                    <w:t xml:space="preserve">0.150</w:t>
                  </w:r>
                </w:p>
              </w:tc>
              <w:tc>
                <w:tcPr/>
                <w:p>
                  <w:pPr>
                    <w:pStyle w:val="Compact"/>
                    <w:jc w:val="right"/>
                    <w:jc w:val="center"/>
                  </w:pPr>
                  <w:r>
                    <w:t xml:space="preserve">2.585</w:t>
                  </w:r>
                </w:p>
              </w:tc>
              <w:tc>
                <w:tcPr/>
                <w:p>
                  <w:pPr>
                    <w:pStyle w:val="Compact"/>
                    <w:jc w:val="right"/>
                    <w:jc w:val="center"/>
                  </w:pPr>
                  <w:r>
                    <w:t xml:space="preserve">45</w:t>
                  </w:r>
                </w:p>
              </w:tc>
            </w:tr>
            <w:tr>
              <w:tc>
                <w:tcPr/>
                <w:p>
                  <w:pPr>
                    <w:pStyle w:val="Compact"/>
                    <w:jc w:val="left"/>
                    <w:jc w:val="center"/>
                  </w:pPr>
                  <w:r>
                    <w:t xml:space="preserve">ADT</w:t>
                  </w:r>
                </w:p>
              </w:tc>
              <w:tc>
                <w:tcPr/>
                <w:p>
                  <w:pPr>
                    <w:pStyle w:val="Compact"/>
                    <w:jc w:val="left"/>
                    <w:jc w:val="center"/>
                  </w:pPr>
                  <w:r>
                    <w:t xml:space="preserve">Easy</w:t>
                  </w:r>
                </w:p>
              </w:tc>
              <w:tc>
                <w:tcPr/>
                <w:p>
                  <w:pPr>
                    <w:pStyle w:val="Compact"/>
                    <w:jc w:val="left"/>
                    <w:jc w:val="center"/>
                  </w:pPr>
                  <w:r>
                    <w:t xml:space="preserve">Low (5% MVC)</w:t>
                  </w:r>
                </w:p>
              </w:tc>
              <w:tc>
                <w:tcPr/>
                <w:p>
                  <w:pPr>
                    <w:pStyle w:val="Compact"/>
                    <w:jc w:val="right"/>
                    <w:jc w:val="center"/>
                  </w:pPr>
                  <w:r>
                    <w:t xml:space="preserve">0.127</w:t>
                  </w:r>
                </w:p>
              </w:tc>
              <w:tc>
                <w:tcPr/>
                <w:p>
                  <w:pPr>
                    <w:pStyle w:val="Compact"/>
                    <w:jc w:val="right"/>
                    <w:jc w:val="center"/>
                  </w:pPr>
                  <w:r>
                    <w:t xml:space="preserve">3.820</w:t>
                  </w:r>
                </w:p>
              </w:tc>
              <w:tc>
                <w:tcPr/>
                <w:p>
                  <w:pPr>
                    <w:pStyle w:val="Compact"/>
                    <w:jc w:val="right"/>
                    <w:jc w:val="center"/>
                  </w:pPr>
                  <w:r>
                    <w:t xml:space="preserve">46</w:t>
                  </w:r>
                </w:p>
              </w:tc>
            </w:tr>
            <w:tr>
              <w:tc>
                <w:tcPr/>
                <w:p>
                  <w:pPr>
                    <w:pStyle w:val="Compact"/>
                    <w:jc w:val="left"/>
                    <w:jc w:val="center"/>
                  </w:pPr>
                  <w:r>
                    <w:t xml:space="preserve">ADT</w:t>
                  </w:r>
                </w:p>
              </w:tc>
              <w:tc>
                <w:tcPr/>
                <w:p>
                  <w:pPr>
                    <w:pStyle w:val="Compact"/>
                    <w:jc w:val="left"/>
                    <w:jc w:val="center"/>
                  </w:pPr>
                  <w:r>
                    <w:t xml:space="preserve">Hard</w:t>
                  </w:r>
                </w:p>
              </w:tc>
              <w:tc>
                <w:tcPr/>
                <w:p>
                  <w:pPr>
                    <w:pStyle w:val="Compact"/>
                    <w:jc w:val="left"/>
                    <w:jc w:val="center"/>
                  </w:pPr>
                  <w:r>
                    <w:t xml:space="preserve">High (40% MVC)</w:t>
                  </w:r>
                </w:p>
              </w:tc>
              <w:tc>
                <w:tcPr/>
                <w:p>
                  <w:pPr>
                    <w:pStyle w:val="Compact"/>
                    <w:jc w:val="right"/>
                    <w:jc w:val="center"/>
                  </w:pPr>
                  <w:r>
                    <w:t xml:space="preserve">0.306</w:t>
                  </w:r>
                </w:p>
              </w:tc>
              <w:tc>
                <w:tcPr/>
                <w:p>
                  <w:pPr>
                    <w:pStyle w:val="Compact"/>
                    <w:jc w:val="right"/>
                    <w:jc w:val="center"/>
                  </w:pPr>
                  <w:r>
                    <w:t xml:space="preserve">1.993</w:t>
                  </w:r>
                </w:p>
              </w:tc>
              <w:tc>
                <w:tcPr/>
                <w:p>
                  <w:pPr>
                    <w:pStyle w:val="Compact"/>
                    <w:jc w:val="right"/>
                    <w:jc w:val="center"/>
                  </w:pPr>
                  <w:r>
                    <w:t xml:space="preserve">45</w:t>
                  </w:r>
                </w:p>
              </w:tc>
            </w:tr>
            <w:tr>
              <w:tc>
                <w:tcPr/>
                <w:p>
                  <w:pPr>
                    <w:pStyle w:val="Compact"/>
                    <w:jc w:val="left"/>
                    <w:jc w:val="center"/>
                  </w:pPr>
                  <w:r>
                    <w:t xml:space="preserve">ADT</w:t>
                  </w:r>
                </w:p>
              </w:tc>
              <w:tc>
                <w:tcPr/>
                <w:p>
                  <w:pPr>
                    <w:pStyle w:val="Compact"/>
                    <w:jc w:val="left"/>
                    <w:jc w:val="center"/>
                  </w:pPr>
                  <w:r>
                    <w:t xml:space="preserve">Hard</w:t>
                  </w:r>
                </w:p>
              </w:tc>
              <w:tc>
                <w:tcPr/>
                <w:p>
                  <w:pPr>
                    <w:pStyle w:val="Compact"/>
                    <w:jc w:val="left"/>
                    <w:jc w:val="center"/>
                  </w:pPr>
                  <w:r>
                    <w:t xml:space="preserve">Low (5% MVC)</w:t>
                  </w:r>
                </w:p>
              </w:tc>
              <w:tc>
                <w:tcPr/>
                <w:p>
                  <w:pPr>
                    <w:pStyle w:val="Compact"/>
                    <w:jc w:val="right"/>
                    <w:jc w:val="center"/>
                  </w:pPr>
                  <w:r>
                    <w:t xml:space="preserve">0.616</w:t>
                  </w:r>
                </w:p>
              </w:tc>
              <w:tc>
                <w:tcPr/>
                <w:p>
                  <w:pPr>
                    <w:pStyle w:val="Compact"/>
                    <w:jc w:val="right"/>
                    <w:jc w:val="center"/>
                  </w:pPr>
                  <w:r>
                    <w:t xml:space="preserve">2.782</w:t>
                  </w:r>
                </w:p>
              </w:tc>
              <w:tc>
                <w:tcPr/>
                <w:p>
                  <w:pPr>
                    <w:pStyle w:val="Compact"/>
                    <w:jc w:val="right"/>
                    <w:jc w:val="center"/>
                  </w:pPr>
                  <w:r>
                    <w:t xml:space="preserve">47</w:t>
                  </w:r>
                </w:p>
              </w:tc>
            </w:tr>
            <w:tr>
              <w:tc>
                <w:tcPr/>
                <w:p>
                  <w:pPr>
                    <w:pStyle w:val="Compact"/>
                    <w:jc w:val="left"/>
                    <w:jc w:val="center"/>
                  </w:pPr>
                  <w:r>
                    <w:t xml:space="preserve">ADT</w:t>
                  </w:r>
                </w:p>
              </w:tc>
              <w:tc>
                <w:tcPr/>
                <w:p>
                  <w:pPr>
                    <w:pStyle w:val="Compact"/>
                    <w:jc w:val="left"/>
                    <w:jc w:val="center"/>
                  </w:pPr>
                  <w:r>
                    <w:t xml:space="preserve">Standard</w:t>
                  </w:r>
                </w:p>
              </w:tc>
              <w:tc>
                <w:tcPr/>
                <w:p>
                  <w:pPr>
                    <w:pStyle w:val="Compact"/>
                    <w:jc w:val="left"/>
                    <w:jc w:val="center"/>
                  </w:pPr>
                  <w:r>
                    <w:t xml:space="preserve">High (40% MVC)</w:t>
                  </w:r>
                </w:p>
              </w:tc>
              <w:tc>
                <w:tcPr/>
                <w:p>
                  <w:pPr>
                    <w:pStyle w:val="Compact"/>
                    <w:jc w:val="right"/>
                    <w:jc w:val="center"/>
                  </w:pPr>
                  <w:r>
                    <w:t xml:space="preserve">0.190</w:t>
                  </w:r>
                </w:p>
              </w:tc>
              <w:tc>
                <w:tcPr/>
                <w:p>
                  <w:pPr>
                    <w:pStyle w:val="Compact"/>
                    <w:jc w:val="right"/>
                    <w:jc w:val="center"/>
                  </w:pPr>
                  <w:r>
                    <w:t xml:space="preserve">3.486</w:t>
                  </w:r>
                </w:p>
              </w:tc>
              <w:tc>
                <w:tcPr/>
                <w:p>
                  <w:pPr>
                    <w:pStyle w:val="Compact"/>
                    <w:jc w:val="right"/>
                    <w:jc w:val="center"/>
                  </w:pPr>
                  <w:r>
                    <w:t xml:space="preserve">47</w:t>
                  </w:r>
                </w:p>
              </w:tc>
            </w:tr>
            <w:tr>
              <w:tc>
                <w:tcPr/>
                <w:p>
                  <w:pPr>
                    <w:pStyle w:val="Compact"/>
                    <w:jc w:val="left"/>
                    <w:jc w:val="center"/>
                  </w:pPr>
                  <w:r>
                    <w:t xml:space="preserve">ADT</w:t>
                  </w:r>
                </w:p>
              </w:tc>
              <w:tc>
                <w:tcPr/>
                <w:p>
                  <w:pPr>
                    <w:pStyle w:val="Compact"/>
                    <w:jc w:val="left"/>
                    <w:jc w:val="center"/>
                  </w:pPr>
                  <w:r>
                    <w:t xml:space="preserve">Standard</w:t>
                  </w:r>
                </w:p>
              </w:tc>
              <w:tc>
                <w:tcPr/>
                <w:p>
                  <w:pPr>
                    <w:pStyle w:val="Compact"/>
                    <w:jc w:val="left"/>
                    <w:jc w:val="center"/>
                  </w:pPr>
                  <w:r>
                    <w:t xml:space="preserve">Low (5% MVC)</w:t>
                  </w:r>
                </w:p>
              </w:tc>
              <w:tc>
                <w:tcPr/>
                <w:p>
                  <w:pPr>
                    <w:pStyle w:val="Compact"/>
                    <w:jc w:val="right"/>
                    <w:jc w:val="center"/>
                  </w:pPr>
                  <w:r>
                    <w:t xml:space="preserve">0.720</w:t>
                  </w:r>
                </w:p>
              </w:tc>
              <w:tc>
                <w:tcPr/>
                <w:p>
                  <w:pPr>
                    <w:pStyle w:val="Compact"/>
                    <w:jc w:val="right"/>
                    <w:jc w:val="center"/>
                  </w:pPr>
                  <w:r>
                    <w:t xml:space="preserve">2.626</w:t>
                  </w:r>
                </w:p>
              </w:tc>
              <w:tc>
                <w:tcPr/>
                <w:p>
                  <w:pPr>
                    <w:pStyle w:val="Compact"/>
                    <w:jc w:val="right"/>
                    <w:jc w:val="center"/>
                  </w:pPr>
                  <w:r>
                    <w:t xml:space="preserve">46</w:t>
                  </w:r>
                </w:p>
              </w:tc>
            </w:tr>
            <w:tr>
              <w:tc>
                <w:tcPr/>
                <w:p>
                  <w:pPr>
                    <w:pStyle w:val="Compact"/>
                    <w:jc w:val="left"/>
                    <w:jc w:val="center"/>
                  </w:pPr>
                  <w:r>
                    <w:t xml:space="preserve">VDT</w:t>
                  </w:r>
                </w:p>
              </w:tc>
              <w:tc>
                <w:tcPr/>
                <w:p>
                  <w:pPr>
                    <w:pStyle w:val="Compact"/>
                    <w:jc w:val="left"/>
                    <w:jc w:val="center"/>
                  </w:pPr>
                  <w:r>
                    <w:t xml:space="preserve">Easy</w:t>
                  </w:r>
                </w:p>
              </w:tc>
              <w:tc>
                <w:tcPr/>
                <w:p>
                  <w:pPr>
                    <w:pStyle w:val="Compact"/>
                    <w:jc w:val="left"/>
                    <w:jc w:val="center"/>
                  </w:pPr>
                  <w:r>
                    <w:t xml:space="preserve">High (40% MVC)</w:t>
                  </w:r>
                </w:p>
              </w:tc>
              <w:tc>
                <w:tcPr/>
                <w:p>
                  <w:pPr>
                    <w:pStyle w:val="Compact"/>
                    <w:jc w:val="right"/>
                    <w:jc w:val="center"/>
                  </w:pPr>
                  <w:r>
                    <w:t xml:space="preserve">0.234</w:t>
                  </w:r>
                </w:p>
              </w:tc>
              <w:tc>
                <w:tcPr/>
                <w:p>
                  <w:pPr>
                    <w:pStyle w:val="Compact"/>
                    <w:jc w:val="right"/>
                    <w:jc w:val="center"/>
                  </w:pPr>
                  <w:r>
                    <w:t xml:space="preserve">2.898</w:t>
                  </w:r>
                </w:p>
              </w:tc>
              <w:tc>
                <w:tcPr/>
                <w:p>
                  <w:pPr>
                    <w:pStyle w:val="Compact"/>
                    <w:jc w:val="right"/>
                    <w:jc w:val="center"/>
                  </w:pPr>
                  <w:r>
                    <w:t xml:space="preserve">54</w:t>
                  </w:r>
                </w:p>
              </w:tc>
            </w:tr>
            <w:tr>
              <w:tc>
                <w:tcPr/>
                <w:p>
                  <w:pPr>
                    <w:pStyle w:val="Compact"/>
                    <w:jc w:val="left"/>
                    <w:jc w:val="center"/>
                  </w:pPr>
                  <w:r>
                    <w:t xml:space="preserve">VDT</w:t>
                  </w:r>
                </w:p>
              </w:tc>
              <w:tc>
                <w:tcPr/>
                <w:p>
                  <w:pPr>
                    <w:pStyle w:val="Compact"/>
                    <w:jc w:val="left"/>
                    <w:jc w:val="center"/>
                  </w:pPr>
                  <w:r>
                    <w:t xml:space="preserve">Easy</w:t>
                  </w:r>
                </w:p>
              </w:tc>
              <w:tc>
                <w:tcPr/>
                <w:p>
                  <w:pPr>
                    <w:pStyle w:val="Compact"/>
                    <w:jc w:val="left"/>
                    <w:jc w:val="center"/>
                  </w:pPr>
                  <w:r>
                    <w:t xml:space="preserve">Low (5% MVC)</w:t>
                  </w:r>
                </w:p>
              </w:tc>
              <w:tc>
                <w:tcPr/>
                <w:p>
                  <w:pPr>
                    <w:pStyle w:val="Compact"/>
                    <w:jc w:val="right"/>
                    <w:jc w:val="center"/>
                  </w:pPr>
                  <w:r>
                    <w:t xml:space="preserve">0.533</w:t>
                  </w:r>
                </w:p>
              </w:tc>
              <w:tc>
                <w:tcPr/>
                <w:p>
                  <w:pPr>
                    <w:pStyle w:val="Compact"/>
                    <w:jc w:val="right"/>
                    <w:jc w:val="center"/>
                  </w:pPr>
                  <w:r>
                    <w:t xml:space="preserve">3.210</w:t>
                  </w:r>
                </w:p>
              </w:tc>
              <w:tc>
                <w:tcPr/>
                <w:p>
                  <w:pPr>
                    <w:pStyle w:val="Compact"/>
                    <w:jc w:val="right"/>
                    <w:jc w:val="center"/>
                  </w:pPr>
                  <w:r>
                    <w:t xml:space="preserve">52</w:t>
                  </w:r>
                </w:p>
              </w:tc>
            </w:tr>
            <w:tr>
              <w:tc>
                <w:tcPr/>
                <w:p>
                  <w:pPr>
                    <w:pStyle w:val="Compact"/>
                    <w:jc w:val="left"/>
                    <w:jc w:val="center"/>
                  </w:pPr>
                  <w:r>
                    <w:t xml:space="preserve">VDT</w:t>
                  </w:r>
                </w:p>
              </w:tc>
              <w:tc>
                <w:tcPr/>
                <w:p>
                  <w:pPr>
                    <w:pStyle w:val="Compact"/>
                    <w:jc w:val="left"/>
                    <w:jc w:val="center"/>
                  </w:pPr>
                  <w:r>
                    <w:t xml:space="preserve">Hard</w:t>
                  </w:r>
                </w:p>
              </w:tc>
              <w:tc>
                <w:tcPr/>
                <w:p>
                  <w:pPr>
                    <w:pStyle w:val="Compact"/>
                    <w:jc w:val="left"/>
                    <w:jc w:val="center"/>
                  </w:pPr>
                  <w:r>
                    <w:t xml:space="preserve">High (40% MVC)</w:t>
                  </w:r>
                </w:p>
              </w:tc>
              <w:tc>
                <w:tcPr/>
                <w:p>
                  <w:pPr>
                    <w:pStyle w:val="Compact"/>
                    <w:jc w:val="right"/>
                    <w:jc w:val="center"/>
                  </w:pPr>
                  <w:r>
                    <w:t xml:space="preserve">0.681</w:t>
                  </w:r>
                </w:p>
              </w:tc>
              <w:tc>
                <w:tcPr/>
                <w:p>
                  <w:pPr>
                    <w:pStyle w:val="Compact"/>
                    <w:jc w:val="right"/>
                    <w:jc w:val="center"/>
                  </w:pPr>
                  <w:r>
                    <w:t xml:space="preserve">2.184</w:t>
                  </w:r>
                </w:p>
              </w:tc>
              <w:tc>
                <w:tcPr/>
                <w:p>
                  <w:pPr>
                    <w:pStyle w:val="Compact"/>
                    <w:jc w:val="right"/>
                    <w:jc w:val="center"/>
                  </w:pPr>
                  <w:r>
                    <w:t xml:space="preserve">54</w:t>
                  </w:r>
                </w:p>
              </w:tc>
            </w:tr>
            <w:tr>
              <w:tc>
                <w:tcPr/>
                <w:p>
                  <w:pPr>
                    <w:pStyle w:val="Compact"/>
                    <w:jc w:val="left"/>
                    <w:jc w:val="center"/>
                  </w:pPr>
                  <w:r>
                    <w:t xml:space="preserve">VDT</w:t>
                  </w:r>
                </w:p>
              </w:tc>
              <w:tc>
                <w:tcPr/>
                <w:p>
                  <w:pPr>
                    <w:pStyle w:val="Compact"/>
                    <w:jc w:val="left"/>
                    <w:jc w:val="center"/>
                  </w:pPr>
                  <w:r>
                    <w:t xml:space="preserve">Hard</w:t>
                  </w:r>
                </w:p>
              </w:tc>
              <w:tc>
                <w:tcPr/>
                <w:p>
                  <w:pPr>
                    <w:pStyle w:val="Compact"/>
                    <w:jc w:val="left"/>
                    <w:jc w:val="center"/>
                  </w:pPr>
                  <w:r>
                    <w:t xml:space="preserve">Low (5% MVC)</w:t>
                  </w:r>
                </w:p>
              </w:tc>
              <w:tc>
                <w:tcPr/>
                <w:p>
                  <w:pPr>
                    <w:pStyle w:val="Compact"/>
                    <w:jc w:val="right"/>
                    <w:jc w:val="center"/>
                  </w:pPr>
                  <w:r>
                    <w:t xml:space="preserve">0.859</w:t>
                  </w:r>
                </w:p>
              </w:tc>
              <w:tc>
                <w:tcPr/>
                <w:p>
                  <w:pPr>
                    <w:pStyle w:val="Compact"/>
                    <w:jc w:val="right"/>
                    <w:jc w:val="center"/>
                  </w:pPr>
                  <w:r>
                    <w:t xml:space="preserve">2.062</w:t>
                  </w:r>
                </w:p>
              </w:tc>
              <w:tc>
                <w:tcPr/>
                <w:p>
                  <w:pPr>
                    <w:pStyle w:val="Compact"/>
                    <w:jc w:val="right"/>
                    <w:jc w:val="center"/>
                  </w:pPr>
                  <w:r>
                    <w:t xml:space="preserve">53</w:t>
                  </w:r>
                </w:p>
              </w:tc>
            </w:tr>
            <w:tr>
              <w:tc>
                <w:tcPr/>
                <w:p>
                  <w:pPr>
                    <w:pStyle w:val="Compact"/>
                    <w:jc w:val="left"/>
                    <w:jc w:val="center"/>
                  </w:pPr>
                  <w:r>
                    <w:t xml:space="preserve">VDT</w:t>
                  </w:r>
                </w:p>
              </w:tc>
              <w:tc>
                <w:tcPr/>
                <w:p>
                  <w:pPr>
                    <w:pStyle w:val="Compact"/>
                    <w:jc w:val="left"/>
                    <w:jc w:val="center"/>
                  </w:pPr>
                  <w:r>
                    <w:t xml:space="preserve">Standard</w:t>
                  </w:r>
                </w:p>
              </w:tc>
              <w:tc>
                <w:tcPr/>
                <w:p>
                  <w:pPr>
                    <w:pStyle w:val="Compact"/>
                    <w:jc w:val="left"/>
                    <w:jc w:val="center"/>
                  </w:pPr>
                  <w:r>
                    <w:t xml:space="preserve">High (40% MVC)</w:t>
                  </w:r>
                </w:p>
              </w:tc>
              <w:tc>
                <w:tcPr/>
                <w:p>
                  <w:pPr>
                    <w:pStyle w:val="Compact"/>
                    <w:jc w:val="right"/>
                    <w:jc w:val="center"/>
                  </w:pPr>
                  <w:r>
                    <w:t xml:space="preserve">0.652</w:t>
                  </w:r>
                </w:p>
              </w:tc>
              <w:tc>
                <w:tcPr/>
                <w:p>
                  <w:pPr>
                    <w:pStyle w:val="Compact"/>
                    <w:jc w:val="right"/>
                    <w:jc w:val="center"/>
                  </w:pPr>
                  <w:r>
                    <w:t xml:space="preserve">2.097</w:t>
                  </w:r>
                </w:p>
              </w:tc>
              <w:tc>
                <w:tcPr/>
                <w:p>
                  <w:pPr>
                    <w:pStyle w:val="Compact"/>
                    <w:jc w:val="right"/>
                    <w:jc w:val="center"/>
                  </w:pPr>
                  <w:r>
                    <w:t xml:space="preserve">50</w:t>
                  </w:r>
                </w:p>
              </w:tc>
            </w:tr>
            <w:tr>
              <w:tc>
                <w:tcPr/>
                <w:p>
                  <w:pPr>
                    <w:pStyle w:val="Compact"/>
                    <w:jc w:val="left"/>
                    <w:jc w:val="center"/>
                  </w:pPr>
                  <w:r>
                    <w:t xml:space="preserve">VDT</w:t>
                  </w:r>
                </w:p>
              </w:tc>
              <w:tc>
                <w:tcPr/>
                <w:p>
                  <w:pPr>
                    <w:pStyle w:val="Compact"/>
                    <w:jc w:val="left"/>
                    <w:jc w:val="center"/>
                  </w:pPr>
                  <w:r>
                    <w:t xml:space="preserve">Standard</w:t>
                  </w:r>
                </w:p>
              </w:tc>
              <w:tc>
                <w:tcPr/>
                <w:p>
                  <w:pPr>
                    <w:pStyle w:val="Compact"/>
                    <w:jc w:val="left"/>
                    <w:jc w:val="center"/>
                  </w:pPr>
                  <w:r>
                    <w:t xml:space="preserve">Low (5% MVC)</w:t>
                  </w:r>
                </w:p>
              </w:tc>
              <w:tc>
                <w:tcPr/>
                <w:p>
                  <w:pPr>
                    <w:pStyle w:val="Compact"/>
                    <w:jc w:val="right"/>
                    <w:jc w:val="center"/>
                  </w:pPr>
                  <w:r>
                    <w:t xml:space="preserve">0.858</w:t>
                  </w:r>
                </w:p>
              </w:tc>
              <w:tc>
                <w:tcPr/>
                <w:p>
                  <w:pPr>
                    <w:pStyle w:val="Compact"/>
                    <w:jc w:val="right"/>
                    <w:jc w:val="center"/>
                  </w:pPr>
                  <w:r>
                    <w:t xml:space="preserve">2.416</w:t>
                  </w:r>
                </w:p>
              </w:tc>
              <w:tc>
                <w:tcPr/>
                <w:p>
                  <w:pPr>
                    <w:pStyle w:val="Compact"/>
                    <w:jc w:val="right"/>
                    <w:jc w:val="center"/>
                  </w:pPr>
                  <w:r>
                    <w:t xml:space="preserve">50</w:t>
                  </w:r>
                </w:p>
              </w:tc>
            </w:tr>
          </w:tbl>
          <w:bookmarkEnd w:id="159"/>
          <w:p/>
        </w:tc>
      </w:tr>
    </w:tbl>
    <w:bookmarkEnd w:id="160"/>
    <w:bookmarkStart w:id="169" w:name="tepr-waveforms-and-conditional-slopes"/>
    <w:p>
      <w:pPr>
        <w:pStyle w:val="Heading3"/>
      </w:pPr>
      <w:r>
        <w:t xml:space="preserve">TEPR waveforms and conditional slopes</w:t>
      </w:r>
    </w:p>
    <w:tbl>
      <w:tblPr>
        <w:tblStyle w:val="Table"/>
        <w:tblW w:type="pct" w:w="5000"/>
        <w:tblLayout w:type="fixed"/>
        <w:tblLook w:firstRow="0" w:lastRow="0" w:firstColumn="0" w:lastColumn="0" w:noHBand="0" w:noVBand="0" w:val="0000"/>
      </w:tblPr>
      <w:tblGrid>
        <w:gridCol w:w="7920"/>
      </w:tblGrid>
      <w:tr>
        <w:tc>
          <w:tcPr/>
          <w:bookmarkStart w:id="164" w:name="fig-tepr-timecourse-supp"/>
          <w:p>
            <w:pPr>
              <w:pStyle w:val="Compact"/>
              <w:jc w:val="center"/>
            </w:pPr>
            <w:r>
              <w:drawing>
                <wp:inline>
                  <wp:extent cx="4800600" cy="3840480"/>
                  <wp:effectExtent b="0" l="0" r="0" t="0"/>
                  <wp:docPr descr="" title="" id="162" name="Picture"/>
                  <a:graphic>
                    <a:graphicData uri="http://schemas.openxmlformats.org/drawingml/2006/picture">
                      <pic:pic>
                        <pic:nvPicPr>
                          <pic:cNvPr descr="chap3_ddm_results_files/figure-docx/fig-tepr-timecourse-supp-1.png" id="163" name="Picture"/>
                          <pic:cNvPicPr>
                            <a:picLocks noChangeArrowheads="1" noChangeAspect="1"/>
                          </pic:cNvPicPr>
                        </pic:nvPicPr>
                        <pic:blipFill>
                          <a:blip r:embed="rId161"/>
                          <a:stretch>
                            <a:fillRect/>
                          </a:stretch>
                        </pic:blipFill>
                        <pic:spPr bwMode="auto">
                          <a:xfrm>
                            <a:off x="0" y="0"/>
                            <a:ext cx="4800600" cy="38404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w:t>
            </w:r>
            <w:r>
              <w:t xml:space="preserve"> </w:t>
            </w:r>
            <w:r>
              <w:rPr>
                <w:b/>
                <w:bCs/>
              </w:rPr>
              <w:t xml:space="preserve">Supplementary Figure (Appendix A5).</w:t>
            </w:r>
            <w:r>
              <w:t xml:space="preserve"> </w:t>
            </w:r>
            <w:r>
              <w:t xml:space="preserve">Task-Evoked Pupil Response (TEPR) time course. Baseline-corrected pupil traces are estimated from winsorized subject-level means, aggregated to condition</w:t>
            </w:r>
            <w:r>
              <w:t xml:space="preserve"> </w:t>
            </w:r>
            <m:oMath>
              <m:r>
                <m:rPr>
                  <m:sty m:val="p"/>
                </m:rPr>
                <m:t>×</m:t>
              </m:r>
            </m:oMath>
            <w:r>
              <w:t xml:space="preserve"> </w:t>
            </w:r>
            <w:r>
              <w:t xml:space="preserve">time grand means, re-anchored to squeeze onset (</w:t>
            </w:r>
            <m:oMath>
              <m:r>
                <m:t>t</m:t>
              </m:r>
              <m:r>
                <m:rPr>
                  <m:sty m:val="p"/>
                </m:rPr>
                <m:t>=</m:t>
              </m:r>
              <m:r>
                <m:t>0</m:t>
              </m:r>
            </m:oMath>
            <w:r>
              <w:t xml:space="preserve">), downsampled to 200 time samples, and smoothed with a GAM (95% CI on the smooth). Traces are shown for four conditions (Easy/Low, Easy/High, Hard/Low, Hard/High), separately for ADT (top) and VDT (bottom). The shaded region marks the Decision-Response AUC window (4.65–7.65 s relative to squeeze onset). Vertical dashed markers: motor onset (0 s), probe (4.35 s), response cue (4.7 s).</w:t>
            </w:r>
          </w:p>
          <w:bookmarkEnd w:id="164"/>
        </w:tc>
      </w:tr>
    </w:tbl>
    <w:tbl>
      <w:tblPr>
        <w:tblStyle w:val="Table"/>
        <w:tblW w:type="pct" w:w="5000"/>
        <w:tblLayout w:type="fixed"/>
        <w:tblLook w:firstRow="0" w:lastRow="0" w:firstColumn="0" w:lastColumn="0" w:noHBand="0" w:noVBand="0" w:val="0000"/>
      </w:tblPr>
      <w:tblGrid>
        <w:gridCol w:w="7920"/>
      </w:tblGrid>
      <w:tr>
        <w:tc>
          <w:tcPr/>
          <w:bookmarkStart w:id="168" w:name="fig-tepr-slopes-supp"/>
          <w:p>
            <w:pPr>
              <w:pStyle w:val="Compact"/>
              <w:jc w:val="center"/>
            </w:pPr>
            <w:r>
              <w:drawing>
                <wp:inline>
                  <wp:extent cx="4800600" cy="1866900"/>
                  <wp:effectExtent b="0" l="0" r="0" t="0"/>
                  <wp:docPr descr="" title="" id="166" name="Picture"/>
                  <a:graphic>
                    <a:graphicData uri="http://schemas.openxmlformats.org/drawingml/2006/picture">
                      <pic:pic>
                        <pic:nvPicPr>
                          <pic:cNvPr descr="chap3_ddm_results_files/figure-docx/fig-tepr-slopes-supp-1.png" id="167" name="Picture"/>
                          <pic:cNvPicPr>
                            <a:picLocks noChangeArrowheads="1" noChangeAspect="1"/>
                          </pic:cNvPicPr>
                        </pic:nvPicPr>
                        <pic:blipFill>
                          <a:blip r:embed="rId165"/>
                          <a:stretch>
                            <a:fillRect/>
                          </a:stretch>
                        </pic:blipFill>
                        <pic:spPr bwMode="auto">
                          <a:xfrm>
                            <a:off x="0" y="0"/>
                            <a:ext cx="4800600" cy="18669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w:t>
            </w:r>
            <w:r>
              <w:t xml:space="preserve"> </w:t>
            </w:r>
            <w:r>
              <w:rPr>
                <w:b/>
                <w:bCs/>
              </w:rPr>
              <w:t xml:space="preserve">Supplementary Figure A5.2.</w:t>
            </w:r>
            <w:r>
              <w:t xml:space="preserve"> </w:t>
            </w:r>
            <w:r>
              <w:t xml:space="preserve">Difficulty-Conditional TEPR Slopes on Drift Rate. Posterior distributions of the difficulty-conditional TEPR slope on drift rate</w:t>
            </w:r>
            <w:r>
              <w:t xml:space="preserve"> </w:t>
            </w:r>
            <m:oMath>
              <m:r>
                <m:t>v</m:t>
              </m:r>
            </m:oMath>
            <w:r>
              <w:t xml:space="preserve">, separately for Standard, Hard, and Easy trials, from the pupil_scaled * difficulty interaction model. Conditional posterior means were Standard = 0.022, Hard = -0.026, Easy = 0.005; all three 95% credible intervals include zero, and the posteriors show minimal separation across difficulty levels. This pattern does not support a credible pupil</w:t>
            </w:r>
            <w:r>
              <w:t xml:space="preserve"> </w:t>
            </w:r>
            <m:oMath>
              <m:r>
                <m:rPr>
                  <m:sty m:val="p"/>
                </m:rPr>
                <m:t>×</m:t>
              </m:r>
            </m:oMath>
            <w:r>
              <w:t xml:space="preserve"> </w:t>
            </w:r>
            <w:r>
              <w:t xml:space="preserve">difficulty interaction on drift. See</w:t>
            </w:r>
            <w:r>
              <w:t xml:space="preserve"> </w:t>
            </w:r>
            <w:hyperlink w:anchor="sec-pupil-ddm-integration">
              <w:r>
                <w:rPr>
                  <w:rStyle w:val="Hyperlink"/>
                </w:rPr>
                <w:t xml:space="preserve">Section 3.3</w:t>
              </w:r>
            </w:hyperlink>
            <w:r>
              <w:t xml:space="preserve"> </w:t>
            </w:r>
            <w:r>
              <w:t xml:space="preserve">for measurement limitations. Shaded regions show the 95% HDI; vertical dashed lines mark zero.</w:t>
            </w:r>
          </w:p>
          <w:bookmarkEnd w:id="168"/>
        </w:tc>
      </w:tr>
    </w:tbl>
    <w:p>
      <w:r>
        <w:br w:type="page"/>
      </w:r>
    </w:p>
    <w:bookmarkEnd w:id="169"/>
    <w:bookmarkEnd w:id="170"/>
    <w:bookmarkStart w:id="193" w:name="sec-appendix-a6"/>
    <w:p>
      <w:pPr>
        <w:pStyle w:val="Heading2"/>
      </w:pPr>
      <w:r>
        <w:t xml:space="preserve">A6. Detailed DDM Model Specification</w:t>
      </w:r>
    </w:p>
    <w:p>
      <w:pPr>
        <w:pStyle w:val="FirstParagraph"/>
      </w:pPr>
      <w:r>
        <w:t xml:space="preserve">Full model equations, priors, and sampling details omitted from the main Methods.</w:t>
      </w:r>
    </w:p>
    <w:bookmarkStart w:id="179" w:name="a6.1-response-signal-timing-structure"/>
    <w:p>
      <w:pPr>
        <w:pStyle w:val="Heading3"/>
      </w:pPr>
      <w:r>
        <w:t xml:space="preserve">A6.1 Response-Signal Timing Structure</w:t>
      </w:r>
    </w:p>
    <w:tbl>
      <w:tblPr>
        <w:tblStyle w:val="Table"/>
        <w:tblW w:type="pct" w:w="5000"/>
        <w:tblLayout w:type="fixed"/>
        <w:tblLook w:firstRow="0" w:lastRow="0" w:firstColumn="0" w:lastColumn="0" w:noHBand="0" w:noVBand="0" w:val="0000"/>
      </w:tblPr>
      <w:tblGrid>
        <w:gridCol w:w="7920"/>
      </w:tblGrid>
      <w:tr>
        <w:tc>
          <w:tcPr/>
          <w:bookmarkStart w:id="174" w:name="fig-timing-supp"/>
          <w:p>
            <w:pPr>
              <w:pStyle w:val="Compact"/>
              <w:jc w:val="center"/>
            </w:pPr>
            <w:r>
              <w:drawing>
                <wp:inline>
                  <wp:extent cx="3733800" cy="2083981"/>
                  <wp:effectExtent b="0" l="0" r="0" t="0"/>
                  <wp:docPr descr="" title="" id="172" name="Picture"/>
                  <a:graphic>
                    <a:graphicData uri="http://schemas.openxmlformats.org/drawingml/2006/picture">
                      <pic:pic>
                        <pic:nvPicPr>
                          <pic:cNvPr descr="../output/figures/AUC_timeline_v2.png" id="173" name="Picture"/>
                          <pic:cNvPicPr>
                            <a:picLocks noChangeArrowheads="1" noChangeAspect="1"/>
                          </pic:cNvPicPr>
                        </pic:nvPicPr>
                        <pic:blipFill>
                          <a:blip r:embed="rId171"/>
                          <a:stretch>
                            <a:fillRect/>
                          </a:stretch>
                        </pic:blipFill>
                        <pic:spPr bwMode="auto">
                          <a:xfrm>
                            <a:off x="0" y="0"/>
                            <a:ext cx="3733800" cy="208398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Structural schematic of a single trial timeline and task-evoked pupil response (TEPR) integration windows. The full timeline is anchored to initial somatic contraction (Squeeze Onset at 0.00 s). Perceptual evidence becomes available at Probe Onset (4.35 s), followed by the execution prompt (Response Prompt at 4.70 s). Phasic arousal features are extracted using two baseline-corrected windows opening at 4.65 s (probe onset + 300 ms neurophysiological lag). The primary Decision-Response AUC window spans a full 3.0 seconds to capture the complete late-peaking morphology of the older cohort’s pupillary response, intentionally encompassing both choice formation and post-decisional processing. The Truncated Decision-Response AUC window spans 1.0 second (0.3–1.3 s post-probe), evaluated in a sensitivity refit of the nested pupil-DDM models (</w:t>
            </w:r>
            <w:hyperlink w:anchor="sec-pupil-ddm-integration">
              <w:r>
                <w:rPr>
                  <w:rStyle w:val="Hyperlink"/>
                </w:rPr>
                <w:t xml:space="preserve">Section 3.3</w:t>
              </w:r>
            </w:hyperlink>
            <w:r>
              <w:t xml:space="preserve">).</w:t>
            </w:r>
          </w:p>
          <w:bookmarkEnd w:id="174"/>
        </w:tc>
      </w:tr>
    </w:tbl>
    <w:p>
      <w:pPr>
        <w:pStyle w:val="BodyText"/>
      </w:pPr>
      <w:r>
        <w:t xml:space="preserve">Primary analyses used probe-onset-locked RT.</w:t>
      </w:r>
      <w:r>
        <w:t xml:space="preserve"> </w:t>
      </w:r>
      <w:hyperlink w:anchor="fig-rt-distributions">
        <w:r>
          <w:rPr>
            <w:rStyle w:val="Hyperlink"/>
          </w:rPr>
          <w:t xml:space="preserve">Figure 19</w:t>
        </w:r>
      </w:hyperlink>
      <w:r>
        <w:t xml:space="preserve"> </w:t>
      </w:r>
      <w:r>
        <w:t xml:space="preserve">shows the ~0.35 s shift from cue-locked RT. Cue-locked RT is used only in sensitivity checks (Appendix A4.2).</w:t>
      </w:r>
    </w:p>
    <w:tbl>
      <w:tblPr>
        <w:tblStyle w:val="Table"/>
        <w:tblW w:type="pct" w:w="5000"/>
        <w:tblLayout w:type="fixed"/>
        <w:tblLook w:firstRow="0" w:lastRow="0" w:firstColumn="0" w:lastColumn="0" w:noHBand="0" w:noVBand="0" w:val="0000"/>
      </w:tblPr>
      <w:tblGrid>
        <w:gridCol w:w="7920"/>
      </w:tblGrid>
      <w:tr>
        <w:tc>
          <w:tcPr/>
          <w:bookmarkStart w:id="178" w:name="fig-rt-distributions"/>
          <w:p>
            <w:pPr>
              <w:pStyle w:val="Compact"/>
              <w:jc w:val="center"/>
            </w:pPr>
            <w:r>
              <w:drawing>
                <wp:inline>
                  <wp:extent cx="3733800" cy="2987040"/>
                  <wp:effectExtent b="0" l="0" r="0" t="0"/>
                  <wp:docPr descr="" title="" id="176" name="Picture"/>
                  <a:graphic>
                    <a:graphicData uri="http://schemas.openxmlformats.org/drawingml/2006/picture">
                      <pic:pic>
                        <pic:nvPicPr>
                          <pic:cNvPr descr="chap3_ddm_results_files/figure-docx/fig-rt-distributions-1.png" id="177" name="Picture"/>
                          <pic:cNvPicPr>
                            <a:picLocks noChangeArrowheads="1" noChangeAspect="1"/>
                          </pic:cNvPicPr>
                        </pic:nvPicPr>
                        <pic:blipFill>
                          <a:blip r:embed="rId175"/>
                          <a:stretch>
                            <a:fillRect/>
                          </a:stretch>
                        </pic:blipFill>
                        <pic:spPr bwMode="auto">
                          <a:xfrm>
                            <a:off x="0" y="0"/>
                            <a:ext cx="3733800" cy="29870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RT Timing Convention Validation. Histograms showing the distribution of response times for cue-locked (measured from response-window onset) and probe-onset-locked (measured from probe stimulus onset) RT definitions across all trials. The probe-onset distribution is shifted rightward by approximately 0.35 s, corresponding to the fixed post-probe delay before the response window opens. This shift validates correct implementation of the timing transformation described in Methods. All primary analyses use probe-onset-locked RT.</w:t>
            </w:r>
          </w:p>
          <w:bookmarkEnd w:id="178"/>
        </w:tc>
      </w:tr>
    </w:tbl>
    <w:bookmarkEnd w:id="179"/>
    <w:bookmarkStart w:id="180" w:name="X655f1b62669970e0884938036dc40b3203aff48"/>
    <w:p>
      <w:pPr>
        <w:pStyle w:val="Heading3"/>
      </w:pPr>
      <w:r>
        <w:t xml:space="preserve">A6.2 Link Functions and Parameter Constraints</w:t>
      </w:r>
    </w:p>
    <w:p>
      <w:pPr>
        <w:pStyle w:val="FirstParagraph"/>
      </w:pPr>
      <w:r>
        <w:rPr>
          <w:b/>
          <w:bCs/>
        </w:rPr>
        <w:t xml:space="preserve">Link functions</w:t>
      </w:r>
      <w:r>
        <w:t xml:space="preserve">: To ensure parameter constraints, we apply link functions</w:t>
      </w:r>
      <w:r>
        <w:t xml:space="preserve"> </w:t>
      </w:r>
      <w:r>
        <w:t xml:space="preserve">(Bürkner, 2017; Ratcliff &amp; Tuerlinckx, 2002)</w:t>
      </w:r>
      <w:r>
        <w:t xml:space="preserve">. The model was implemented using the</w:t>
      </w:r>
      <w:r>
        <w:t xml:space="preserve"> </w:t>
      </w:r>
      <w:r>
        <w:rPr>
          <w:rStyle w:val="VerbatimChar"/>
        </w:rPr>
        <w:t xml:space="preserve">brms</w:t>
      </w:r>
      <w:r>
        <w:t xml:space="preserve"> </w:t>
      </w:r>
      <w:r>
        <w:t xml:space="preserve">package with</w:t>
      </w:r>
      <w:r>
        <w:t xml:space="preserve"> </w:t>
      </w:r>
      <w:r>
        <w:rPr>
          <w:rStyle w:val="VerbatimChar"/>
        </w:rPr>
        <w:t xml:space="preserve">family = wiener(link_bs="log", link_ndt="log", link_bias="logit")</w:t>
      </w:r>
      <w:r>
        <w:t xml:space="preserve">: drift rate</w:t>
      </w:r>
      <w:r>
        <w:t xml:space="preserve"> </w:t>
      </w:r>
      <m:oMath>
        <m:r>
          <m:t>v</m:t>
        </m:r>
        <m:r>
          <m:rPr>
            <m:sty m:val="p"/>
          </m:rPr>
          <m:t>=</m:t>
        </m:r>
        <m:sSub>
          <m:e>
            <m:r>
              <m:t>β</m:t>
            </m:r>
          </m:e>
          <m:sub>
            <m:r>
              <m:t>v</m:t>
            </m:r>
          </m:sub>
        </m:sSub>
      </m:oMath>
      <w:r>
        <w:t xml:space="preserve"> </w:t>
      </w:r>
      <w:r>
        <w:t xml:space="preserve">(identity link); boundary separation</w:t>
      </w:r>
      <w:r>
        <w:t xml:space="preserve"> </w:t>
      </w:r>
      <m:oMath>
        <m:r>
          <m:t>a</m:t>
        </m:r>
        <m:r>
          <m:rPr>
            <m:sty m:val="p"/>
          </m:rPr>
          <m:t>=</m:t>
        </m:r>
        <m:r>
          <m:rPr>
            <m:sty m:val="p"/>
          </m:rPr>
          <m:t>exp</m:t>
        </m:r>
        <m:d>
          <m:dPr>
            <m:begChr m:val="("/>
            <m:sepChr m:val=""/>
            <m:endChr m:val=")"/>
            <m:grow/>
          </m:dPr>
          <m:e>
            <m:sSub>
              <m:e>
                <m:r>
                  <m:t>β</m:t>
                </m:r>
              </m:e>
              <m:sub>
                <m:r>
                  <m:rPr>
                    <m:nor/>
                    <m:sty m:val="p"/>
                  </m:rPr>
                  <m:t>bs</m:t>
                </m:r>
              </m:sub>
            </m:sSub>
          </m:e>
        </m:d>
      </m:oMath>
      <w:r>
        <w:t xml:space="preserve"> </w:t>
      </w:r>
      <w:r>
        <w:t xml:space="preserve">(log link, ensures</w:t>
      </w:r>
      <w:r>
        <w:t xml:space="preserve"> </w:t>
      </w:r>
      <m:oMath>
        <m:r>
          <m:t>a</m:t>
        </m:r>
        <m:r>
          <m:rPr>
            <m:sty m:val="p"/>
          </m:rPr>
          <m:t>&gt;</m:t>
        </m:r>
        <m:r>
          <m:t>0</m:t>
        </m:r>
      </m:oMath>
      <w:r>
        <w:t xml:space="preserve">); non-decision time</w:t>
      </w:r>
      <w:r>
        <w:t xml:space="preserve"> </w:t>
      </w:r>
      <m:oMath>
        <m:sSub>
          <m:e>
            <m:r>
              <m:t>t</m:t>
            </m:r>
          </m:e>
          <m:sub>
            <m:r>
              <m:t>0</m:t>
            </m:r>
          </m:sub>
        </m:sSub>
        <m:r>
          <m:rPr>
            <m:sty m:val="p"/>
          </m:rPr>
          <m:t>=</m:t>
        </m:r>
        <m:r>
          <m:rPr>
            <m:sty m:val="p"/>
          </m:rPr>
          <m:t>exp</m:t>
        </m:r>
        <m:d>
          <m:dPr>
            <m:begChr m:val="("/>
            <m:sepChr m:val=""/>
            <m:endChr m:val=")"/>
            <m:grow/>
          </m:dPr>
          <m:e>
            <m:sSub>
              <m:e>
                <m:r>
                  <m:t>β</m:t>
                </m:r>
              </m:e>
              <m:sub>
                <m:r>
                  <m:rPr>
                    <m:nor/>
                    <m:sty m:val="p"/>
                  </m:rPr>
                  <m:t>ndt</m:t>
                </m:r>
              </m:sub>
            </m:sSub>
          </m:e>
        </m:d>
      </m:oMath>
      <w:r>
        <w:t xml:space="preserve"> </w:t>
      </w:r>
      <w:r>
        <w:t xml:space="preserve">(log link, ensures</w:t>
      </w:r>
      <w:r>
        <w:t xml:space="preserve"> </w:t>
      </w:r>
      <m:oMath>
        <m:sSub>
          <m:e>
            <m:r>
              <m:t>t</m:t>
            </m:r>
          </m:e>
          <m:sub>
            <m:r>
              <m:t>0</m:t>
            </m:r>
          </m:sub>
        </m:sSub>
        <m:r>
          <m:rPr>
            <m:sty m:val="p"/>
          </m:rPr>
          <m:t>&gt;</m:t>
        </m:r>
        <m:r>
          <m:t>0</m:t>
        </m:r>
      </m:oMath>
      <w:r>
        <w:t xml:space="preserve">); starting-point bias</w:t>
      </w:r>
      <w:r>
        <w:t xml:space="preserve"> </w:t>
      </w:r>
      <m:oMath>
        <m:r>
          <m:t>z</m:t>
        </m:r>
        <m:r>
          <m:rPr>
            <m:sty m:val="p"/>
          </m:rPr>
          <m:t>=</m:t>
        </m:r>
        <m:sSup>
          <m:e>
            <m:r>
              <m:rPr>
                <m:nor/>
                <m:sty m:val="p"/>
              </m:rPr>
              <m:t>logit</m:t>
            </m:r>
          </m:e>
          <m:sup>
            <m:r>
              <m:rPr>
                <m:sty m:val="p"/>
              </m:rPr>
              <m:t>−</m:t>
            </m:r>
            <m:r>
              <m:t>1</m:t>
            </m:r>
          </m:sup>
        </m:sSup>
        <m:d>
          <m:dPr>
            <m:begChr m:val="("/>
            <m:sepChr m:val=""/>
            <m:endChr m:val=")"/>
            <m:grow/>
          </m:dPr>
          <m:e>
            <m:sSub>
              <m:e>
                <m:r>
                  <m:t>β</m:t>
                </m:r>
              </m:e>
              <m:sub>
                <m:r>
                  <m:rPr>
                    <m:nor/>
                    <m:sty m:val="p"/>
                  </m:rPr>
                  <m:t>bias</m:t>
                </m:r>
              </m:sub>
            </m:sSub>
          </m:e>
        </m:d>
        <m:r>
          <m:rPr>
            <m:sty m:val="p"/>
          </m:rPr>
          <m:t>=</m:t>
        </m:r>
        <m:f>
          <m:fPr>
            <m:type m:val="bar"/>
          </m:fPr>
          <m:num>
            <m:r>
              <m:rPr>
                <m:sty m:val="p"/>
              </m:rPr>
              <m:t>exp</m:t>
            </m:r>
            <m:d>
              <m:dPr>
                <m:begChr m:val="("/>
                <m:sepChr m:val=""/>
                <m:endChr m:val=")"/>
                <m:grow/>
              </m:dPr>
              <m:e>
                <m:sSub>
                  <m:e>
                    <m:r>
                      <m:t>β</m:t>
                    </m:r>
                  </m:e>
                  <m:sub>
                    <m:r>
                      <m:rPr>
                        <m:nor/>
                        <m:sty m:val="p"/>
                      </m:rPr>
                      <m:t>bias</m:t>
                    </m:r>
                  </m:sub>
                </m:sSub>
              </m:e>
            </m:d>
          </m:num>
          <m:den>
            <m:r>
              <m:t>1</m:t>
            </m:r>
            <m:r>
              <m:rPr>
                <m:sty m:val="p"/>
              </m:rPr>
              <m:t>+</m:t>
            </m:r>
            <m:r>
              <m:rPr>
                <m:sty m:val="p"/>
              </m:rPr>
              <m:t>exp</m:t>
            </m:r>
            <m:d>
              <m:dPr>
                <m:begChr m:val="("/>
                <m:sepChr m:val=""/>
                <m:endChr m:val=")"/>
                <m:grow/>
              </m:dPr>
              <m:e>
                <m:sSub>
                  <m:e>
                    <m:r>
                      <m:t>β</m:t>
                    </m:r>
                  </m:e>
                  <m:sub>
                    <m:r>
                      <m:rPr>
                        <m:nor/>
                        <m:sty m:val="p"/>
                      </m:rPr>
                      <m:t>bias</m:t>
                    </m:r>
                  </m:sub>
                </m:sSub>
              </m:e>
            </m:d>
          </m:den>
        </m:f>
      </m:oMath>
      <w:r>
        <w:t xml:space="preserve"> </w:t>
      </w:r>
      <w:r>
        <w:t xml:space="preserve">(logit link, ensures</w:t>
      </w:r>
      <w:r>
        <w:t xml:space="preserve"> </w:t>
      </w:r>
      <m:oMath>
        <m:r>
          <m:t>z</m:t>
        </m:r>
        <m:r>
          <m:rPr>
            <m:sty m:val="p"/>
          </m:rPr>
          <m:t>∈</m:t>
        </m:r>
        <m:d>
          <m:dPr>
            <m:begChr m:val="["/>
            <m:sepChr m:val=""/>
            <m:endChr m:val="]"/>
            <m:grow/>
          </m:dPr>
          <m:e>
            <m:r>
              <m:t>0</m:t>
            </m:r>
            <m:r>
              <m:rPr>
                <m:sty m:val="p"/>
              </m:rPr>
              <m:t>,</m:t>
            </m:r>
            <m:r>
              <m:t>1</m:t>
            </m:r>
          </m:e>
        </m:d>
      </m:oMath>
      <w:r>
        <w:t xml:space="preserve">).</w:t>
      </w:r>
    </w:p>
    <w:bookmarkEnd w:id="180"/>
    <w:bookmarkStart w:id="190" w:name="a6.3-hierarchical-model-structure"/>
    <w:p>
      <w:pPr>
        <w:pStyle w:val="Heading3"/>
      </w:pPr>
      <w:r>
        <w:t xml:space="preserve">A6.3 Hierarchical Model Structure</w:t>
      </w:r>
    </w:p>
    <w:p>
      <w:pPr>
        <w:pStyle w:val="FirstParagraph"/>
      </w:pPr>
      <w:r>
        <w:t xml:space="preserve">For subject</w:t>
      </w:r>
      <w:r>
        <w:t xml:space="preserve"> </w:t>
      </w:r>
      <m:oMath>
        <m:r>
          <m:t>i</m:t>
        </m:r>
      </m:oMath>
      <w:r>
        <w:t xml:space="preserve">, trial</w:t>
      </w:r>
      <w:r>
        <w:t xml:space="preserve"> </w:t>
      </w:r>
      <m:oMath>
        <m:r>
          <m:t>j</m:t>
        </m:r>
      </m:oMath>
      <w:r>
        <w:t xml:space="preserve"> </w:t>
      </w:r>
      <w:r>
        <w:t xml:space="preserve">(Bürkner, 2017; Ratcliff &amp; McKoon, 2008)</w:t>
      </w:r>
      <w:r>
        <w:t xml:space="preserve">:</w:t>
      </w:r>
    </w:p>
    <w:p>
      <w:pPr>
        <w:pStyle w:val="BodyText"/>
      </w:pPr>
      <w:bookmarkStart w:id="181" w:name="eq-drift-hierarchical"/>
      <m:oMathPara>
        <m:oMathParaPr>
          <m:jc m:val="center"/>
        </m:oMathParaPr>
        <m:oMath>
          <m:sSub>
            <m:e>
              <m:r>
                <m:t>v</m:t>
              </m:r>
            </m:e>
            <m:sub>
              <m:r>
                <m:t>i</m:t>
              </m:r>
              <m:r>
                <m:t>j</m:t>
              </m:r>
            </m:sub>
          </m:sSub>
          <m:r>
            <m:rPr>
              <m:sty m:val="p"/>
            </m:rPr>
            <m:t>=</m:t>
          </m:r>
          <m:sSub>
            <m:e>
              <m:r>
                <m:t>β</m:t>
              </m:r>
            </m:e>
            <m:sub>
              <m:r>
                <m:t>v</m:t>
              </m:r>
              <m:r>
                <m:rPr>
                  <m:sty m:val="p"/>
                </m:rPr>
                <m:t>,</m:t>
              </m:r>
              <m:r>
                <m:t>0</m:t>
              </m:r>
            </m:sub>
          </m:sSub>
          <m:r>
            <m:rPr>
              <m:sty m:val="p"/>
            </m:rPr>
            <m:t>+</m:t>
          </m:r>
          <m:nary>
            <m:naryPr>
              <m:chr m:val="∑"/>
              <m:limLoc m:val="undOvr"/>
              <m:subHide m:val="off"/>
              <m:supHide m:val="on"/>
            </m:naryPr>
            <m:sub>
              <m:r>
                <m:t>k</m:t>
              </m:r>
            </m:sub>
            <m:sup>
              <m:r>
                <m:t>​</m:t>
              </m:r>
            </m:sup>
            <m:e>
              <m:sSub>
                <m:e>
                  <m:r>
                    <m:t>β</m:t>
                  </m:r>
                </m:e>
                <m:sub>
                  <m:r>
                    <m:t>v</m:t>
                  </m:r>
                  <m:r>
                    <m:rPr>
                      <m:sty m:val="p"/>
                    </m:rPr>
                    <m:t>,</m:t>
                  </m:r>
                  <m:r>
                    <m:t>k</m:t>
                  </m:r>
                </m:sub>
              </m:sSub>
            </m:e>
          </m:nary>
          <m:sSub>
            <m:e>
              <m:r>
                <m:t>X</m:t>
              </m:r>
            </m:e>
            <m:sub>
              <m:r>
                <m:t>k</m:t>
              </m:r>
              <m:r>
                <m:rPr>
                  <m:sty m:val="p"/>
                </m:rPr>
                <m:t>,</m:t>
              </m:r>
              <m:r>
                <m:t>i</m:t>
              </m:r>
              <m:r>
                <m:t>j</m:t>
              </m:r>
            </m:sub>
          </m:sSub>
          <m:r>
            <m:rPr>
              <m:sty m:val="p"/>
            </m:rPr>
            <m:t>+</m:t>
          </m:r>
          <m:sSub>
            <m:e>
              <m:r>
                <m:t>u</m:t>
              </m:r>
            </m:e>
            <m:sub>
              <m:r>
                <m:t>v</m:t>
              </m:r>
              <m:r>
                <m:rPr>
                  <m:sty m:val="p"/>
                </m:rPr>
                <m:t>,</m:t>
              </m:r>
              <m:r>
                <m:t>i</m:t>
              </m:r>
            </m:sub>
          </m:sSub>
          <m:r>
            <m:t>  </m:t>
          </m:r>
          <m:d>
            <m:dPr>
              <m:begChr m:val="("/>
              <m:sepChr m:val=""/>
              <m:endChr m:val=")"/>
              <m:grow/>
            </m:dPr>
            <m:e>
              <m:r>
                <m:t>2</m:t>
              </m:r>
            </m:e>
          </m:d>
        </m:oMath>
      </m:oMathPara>
      <w:bookmarkEnd w:id="181"/>
    </w:p>
    <w:p>
      <w:pPr>
        <w:pStyle w:val="FirstParagraph"/>
      </w:pPr>
      <w:bookmarkStart w:id="182" w:name="eq-boundary-hierarchical"/>
      <m:oMathPara>
        <m:oMathParaPr>
          <m:jc m:val="center"/>
        </m:oMathParaPr>
        <m:oMath>
          <m:sSub>
            <m:e>
              <m:r>
                <m:t>a</m:t>
              </m:r>
            </m:e>
            <m:sub>
              <m:r>
                <m:t>i</m:t>
              </m:r>
              <m:r>
                <m:t>j</m:t>
              </m:r>
            </m:sub>
          </m:sSub>
          <m:r>
            <m:rPr>
              <m:sty m:val="p"/>
            </m:rPr>
            <m:t>=</m:t>
          </m:r>
          <m:r>
            <m:rPr>
              <m:sty m:val="p"/>
            </m:rPr>
            <m:t>exp</m:t>
          </m:r>
          <m:d>
            <m:dPr>
              <m:begChr m:val="("/>
              <m:sepChr m:val=""/>
              <m:endChr m:val=")"/>
              <m:grow/>
            </m:dPr>
            <m:e>
              <m:sSub>
                <m:e>
                  <m:r>
                    <m:t>β</m:t>
                  </m:r>
                </m:e>
                <m:sub>
                  <m:r>
                    <m:rPr>
                      <m:nor/>
                      <m:sty m:val="p"/>
                    </m:rPr>
                    <m:t>bs</m:t>
                  </m:r>
                  <m:r>
                    <m:rPr>
                      <m:sty m:val="p"/>
                    </m:rPr>
                    <m:t>,</m:t>
                  </m:r>
                  <m:r>
                    <m:t>0</m:t>
                  </m:r>
                </m:sub>
              </m:sSub>
              <m:r>
                <m:rPr>
                  <m:sty m:val="p"/>
                </m:rPr>
                <m:t>+</m:t>
              </m:r>
              <m:nary>
                <m:naryPr>
                  <m:chr m:val="∑"/>
                  <m:limLoc m:val="undOvr"/>
                  <m:subHide m:val="off"/>
                  <m:supHide m:val="on"/>
                </m:naryPr>
                <m:sub>
                  <m:r>
                    <m:t>k</m:t>
                  </m:r>
                </m:sub>
                <m:sup>
                  <m:r>
                    <m:t>​</m:t>
                  </m:r>
                </m:sup>
                <m:e>
                  <m:sSub>
                    <m:e>
                      <m:r>
                        <m:t>β</m:t>
                      </m:r>
                    </m:e>
                    <m:sub>
                      <m:r>
                        <m:rPr>
                          <m:nor/>
                          <m:sty m:val="p"/>
                        </m:rPr>
                        <m:t>bs</m:t>
                      </m:r>
                      <m:r>
                        <m:rPr>
                          <m:sty m:val="p"/>
                        </m:rPr>
                        <m:t>,</m:t>
                      </m:r>
                      <m:r>
                        <m:t>k</m:t>
                      </m:r>
                    </m:sub>
                  </m:sSub>
                </m:e>
              </m:nary>
              <m:sSub>
                <m:e>
                  <m:r>
                    <m:t>X</m:t>
                  </m:r>
                </m:e>
                <m:sub>
                  <m:r>
                    <m:t>k</m:t>
                  </m:r>
                  <m:r>
                    <m:rPr>
                      <m:sty m:val="p"/>
                    </m:rPr>
                    <m:t>,</m:t>
                  </m:r>
                  <m:r>
                    <m:t>i</m:t>
                  </m:r>
                  <m:r>
                    <m:t>j</m:t>
                  </m:r>
                </m:sub>
              </m:sSub>
              <m:r>
                <m:rPr>
                  <m:sty m:val="p"/>
                </m:rPr>
                <m:t>+</m:t>
              </m:r>
              <m:sSub>
                <m:e>
                  <m:r>
                    <m:t>u</m:t>
                  </m:r>
                </m:e>
                <m:sub>
                  <m:r>
                    <m:rPr>
                      <m:nor/>
                      <m:sty m:val="p"/>
                    </m:rPr>
                    <m:t>bs</m:t>
                  </m:r>
                  <m:r>
                    <m:rPr>
                      <m:sty m:val="p"/>
                    </m:rPr>
                    <m:t>,</m:t>
                  </m:r>
                  <m:r>
                    <m:t>i</m:t>
                  </m:r>
                </m:sub>
              </m:sSub>
            </m:e>
          </m:d>
          <m:r>
            <m:t>  </m:t>
          </m:r>
          <m:d>
            <m:dPr>
              <m:begChr m:val="("/>
              <m:sepChr m:val=""/>
              <m:endChr m:val=")"/>
              <m:grow/>
            </m:dPr>
            <m:e>
              <m:r>
                <m:t>3</m:t>
              </m:r>
            </m:e>
          </m:d>
        </m:oMath>
      </m:oMathPara>
      <w:bookmarkEnd w:id="182"/>
    </w:p>
    <w:p>
      <w:pPr>
        <w:pStyle w:val="FirstParagraph"/>
      </w:pPr>
      <w:bookmarkStart w:id="183" w:name="eq-ndt-hierarchical"/>
      <m:oMathPara>
        <m:oMathParaPr>
          <m:jc m:val="center"/>
        </m:oMathParaPr>
        <m:oMath>
          <m:sSub>
            <m:e>
              <m:r>
                <m:t>t</m:t>
              </m:r>
            </m:e>
            <m:sub>
              <m:r>
                <m:t>0</m:t>
              </m:r>
              <m:r>
                <m:rPr>
                  <m:sty m:val="p"/>
                </m:rPr>
                <m:t>,</m:t>
              </m:r>
              <m:r>
                <m:t>i</m:t>
              </m:r>
              <m:r>
                <m:t>j</m:t>
              </m:r>
            </m:sub>
          </m:sSub>
          <m:r>
            <m:rPr>
              <m:sty m:val="p"/>
            </m:rPr>
            <m:t>=</m:t>
          </m:r>
          <m:r>
            <m:rPr>
              <m:sty m:val="p"/>
            </m:rPr>
            <m:t>exp</m:t>
          </m:r>
          <m:d>
            <m:dPr>
              <m:begChr m:val="("/>
              <m:sepChr m:val=""/>
              <m:endChr m:val=")"/>
              <m:grow/>
            </m:dPr>
            <m:e>
              <m:sSub>
                <m:e>
                  <m:r>
                    <m:t>β</m:t>
                  </m:r>
                </m:e>
                <m:sub>
                  <m:r>
                    <m:rPr>
                      <m:nor/>
                      <m:sty m:val="p"/>
                    </m:rPr>
                    <m:t>ndt</m:t>
                  </m:r>
                  <m:r>
                    <m:rPr>
                      <m:sty m:val="p"/>
                    </m:rPr>
                    <m:t>,</m:t>
                  </m:r>
                  <m:r>
                    <m:t>0</m:t>
                  </m:r>
                </m:sub>
              </m:sSub>
              <m:r>
                <m:rPr>
                  <m:sty m:val="p"/>
                </m:rPr>
                <m:t>+</m:t>
              </m:r>
              <m:nary>
                <m:naryPr>
                  <m:chr m:val="∑"/>
                  <m:limLoc m:val="undOvr"/>
                  <m:subHide m:val="off"/>
                  <m:supHide m:val="on"/>
                </m:naryPr>
                <m:sub>
                  <m:r>
                    <m:t>k</m:t>
                  </m:r>
                </m:sub>
                <m:sup>
                  <m:r>
                    <m:t>​</m:t>
                  </m:r>
                </m:sup>
                <m:e>
                  <m:sSub>
                    <m:e>
                      <m:r>
                        <m:t>β</m:t>
                      </m:r>
                    </m:e>
                    <m:sub>
                      <m:r>
                        <m:rPr>
                          <m:nor/>
                          <m:sty m:val="p"/>
                        </m:rPr>
                        <m:t>ndt</m:t>
                      </m:r>
                      <m:r>
                        <m:rPr>
                          <m:sty m:val="p"/>
                        </m:rPr>
                        <m:t>,</m:t>
                      </m:r>
                      <m:r>
                        <m:t>k</m:t>
                      </m:r>
                    </m:sub>
                  </m:sSub>
                </m:e>
              </m:nary>
              <m:sSub>
                <m:e>
                  <m:r>
                    <m:t>X</m:t>
                  </m:r>
                </m:e>
                <m:sub>
                  <m:r>
                    <m:t>k</m:t>
                  </m:r>
                  <m:r>
                    <m:rPr>
                      <m:sty m:val="p"/>
                    </m:rPr>
                    <m:t>,</m:t>
                  </m:r>
                  <m:r>
                    <m:t>i</m:t>
                  </m:r>
                  <m:r>
                    <m:t>j</m:t>
                  </m:r>
                </m:sub>
              </m:sSub>
            </m:e>
          </m:d>
          <m:r>
            <m:t>  </m:t>
          </m:r>
          <m:d>
            <m:dPr>
              <m:begChr m:val="("/>
              <m:sepChr m:val=""/>
              <m:endChr m:val=")"/>
              <m:grow/>
            </m:dPr>
            <m:e>
              <m:r>
                <m:t>4</m:t>
              </m:r>
            </m:e>
          </m:d>
        </m:oMath>
      </m:oMathPara>
      <w:bookmarkEnd w:id="183"/>
    </w:p>
    <w:p>
      <w:pPr>
        <w:pStyle w:val="FirstParagraph"/>
      </w:pPr>
      <w:bookmarkStart w:id="184" w:name="eq-bias-hierarchical"/>
      <m:oMathPara>
        <m:oMathParaPr>
          <m:jc m:val="center"/>
        </m:oMathParaPr>
        <m:oMath>
          <m:sSub>
            <m:e>
              <m:r>
                <m:t>z</m:t>
              </m:r>
            </m:e>
            <m:sub>
              <m:r>
                <m:t>i</m:t>
              </m:r>
              <m:r>
                <m:t>j</m:t>
              </m:r>
            </m:sub>
          </m:sSub>
          <m:r>
            <m:rPr>
              <m:sty m:val="p"/>
            </m:rPr>
            <m:t>=</m:t>
          </m:r>
          <m:sSup>
            <m:e>
              <m:r>
                <m:rPr>
                  <m:nor/>
                  <m:sty m:val="p"/>
                </m:rPr>
                <m:t>logit</m:t>
              </m:r>
            </m:e>
            <m:sup>
              <m:r>
                <m:rPr>
                  <m:sty m:val="p"/>
                </m:rPr>
                <m:t>−</m:t>
              </m:r>
              <m:r>
                <m:t>1</m:t>
              </m:r>
            </m:sup>
          </m:sSup>
          <m:d>
            <m:dPr>
              <m:begChr m:val="("/>
              <m:sepChr m:val=""/>
              <m:endChr m:val=")"/>
              <m:grow/>
            </m:dPr>
            <m:e>
              <m:sSub>
                <m:e>
                  <m:r>
                    <m:t>β</m:t>
                  </m:r>
                </m:e>
                <m:sub>
                  <m:r>
                    <m:rPr>
                      <m:nor/>
                      <m:sty m:val="p"/>
                    </m:rPr>
                    <m:t>bias</m:t>
                  </m:r>
                  <m:r>
                    <m:rPr>
                      <m:sty m:val="p"/>
                    </m:rPr>
                    <m:t>,</m:t>
                  </m:r>
                  <m:r>
                    <m:t>0</m:t>
                  </m:r>
                </m:sub>
              </m:sSub>
              <m:r>
                <m:rPr>
                  <m:sty m:val="p"/>
                </m:rPr>
                <m:t>+</m:t>
              </m:r>
              <m:nary>
                <m:naryPr>
                  <m:chr m:val="∑"/>
                  <m:limLoc m:val="undOvr"/>
                  <m:subHide m:val="off"/>
                  <m:supHide m:val="on"/>
                </m:naryPr>
                <m:sub>
                  <m:r>
                    <m:t>k</m:t>
                  </m:r>
                </m:sub>
                <m:sup>
                  <m:r>
                    <m:t>​</m:t>
                  </m:r>
                </m:sup>
                <m:e>
                  <m:sSub>
                    <m:e>
                      <m:r>
                        <m:t>β</m:t>
                      </m:r>
                    </m:e>
                    <m:sub>
                      <m:r>
                        <m:rPr>
                          <m:nor/>
                          <m:sty m:val="p"/>
                        </m:rPr>
                        <m:t>bias</m:t>
                      </m:r>
                      <m:r>
                        <m:rPr>
                          <m:sty m:val="p"/>
                        </m:rPr>
                        <m:t>,</m:t>
                      </m:r>
                      <m:r>
                        <m:t>k</m:t>
                      </m:r>
                    </m:sub>
                  </m:sSub>
                </m:e>
              </m:nary>
              <m:sSub>
                <m:e>
                  <m:r>
                    <m:t>X</m:t>
                  </m:r>
                </m:e>
                <m:sub>
                  <m:r>
                    <m:t>k</m:t>
                  </m:r>
                  <m:r>
                    <m:rPr>
                      <m:sty m:val="p"/>
                    </m:rPr>
                    <m:t>,</m:t>
                  </m:r>
                  <m:r>
                    <m:t>i</m:t>
                  </m:r>
                  <m:r>
                    <m:t>j</m:t>
                  </m:r>
                </m:sub>
              </m:sSub>
              <m:r>
                <m:rPr>
                  <m:sty m:val="p"/>
                </m:rPr>
                <m:t>+</m:t>
              </m:r>
              <m:sSub>
                <m:e>
                  <m:r>
                    <m:t>u</m:t>
                  </m:r>
                </m:e>
                <m:sub>
                  <m:r>
                    <m:rPr>
                      <m:nor/>
                      <m:sty m:val="p"/>
                    </m:rPr>
                    <m:t>bias</m:t>
                  </m:r>
                  <m:r>
                    <m:rPr>
                      <m:sty m:val="p"/>
                    </m:rPr>
                    <m:t>,</m:t>
                  </m:r>
                  <m:r>
                    <m:t>i</m:t>
                  </m:r>
                </m:sub>
              </m:sSub>
            </m:e>
          </m:d>
          <m:r>
            <m:t>  </m:t>
          </m:r>
          <m:d>
            <m:dPr>
              <m:begChr m:val="("/>
              <m:sepChr m:val=""/>
              <m:endChr m:val=")"/>
              <m:grow/>
            </m:dPr>
            <m:e>
              <m:r>
                <m:t>5</m:t>
              </m:r>
            </m:e>
          </m:d>
        </m:oMath>
      </m:oMathPara>
      <w:bookmarkEnd w:id="184"/>
    </w:p>
    <w:p>
      <w:pPr>
        <w:pStyle w:val="FirstParagraph"/>
      </w:pPr>
      <w:r>
        <w:t xml:space="preserve">where</w:t>
      </w:r>
      <w:r>
        <w:t xml:space="preserve"> </w:t>
      </w:r>
      <m:oMath>
        <m:sSub>
          <m:e>
            <m:r>
              <m:t>β</m:t>
            </m:r>
          </m:e>
          <m:sub>
            <m:r>
              <m:t>0</m:t>
            </m:r>
          </m:sub>
        </m:sSub>
      </m:oMath>
      <w:r>
        <w:t xml:space="preserve"> </w:t>
      </w:r>
      <w:r>
        <w:t xml:space="preserve">are intercepts,</w:t>
      </w:r>
      <w:r>
        <w:t xml:space="preserve"> </w:t>
      </w:r>
      <m:oMath>
        <m:sSub>
          <m:e>
            <m:r>
              <m:t>β</m:t>
            </m:r>
          </m:e>
          <m:sub>
            <m:r>
              <m:t>k</m:t>
            </m:r>
          </m:sub>
        </m:sSub>
      </m:oMath>
      <w:r>
        <w:t xml:space="preserve"> </w:t>
      </w:r>
      <w:r>
        <w:t xml:space="preserve">are coefficients for predictors</w:t>
      </w:r>
      <w:r>
        <w:t xml:space="preserve"> </w:t>
      </w:r>
      <m:oMath>
        <m:sSub>
          <m:e>
            <m:r>
              <m:t>X</m:t>
            </m:r>
          </m:e>
          <m:sub>
            <m:r>
              <m:t>k</m:t>
            </m:r>
          </m:sub>
        </m:sSub>
      </m:oMath>
      <w:r>
        <w:t xml:space="preserve">, and</w:t>
      </w:r>
      <w:r>
        <w:t xml:space="preserve"> </w:t>
      </w:r>
      <m:oMath>
        <m:sSub>
          <m:e>
            <m:r>
              <m:t>u</m:t>
            </m:r>
          </m:e>
          <m:sub>
            <m:r>
              <m:t>i</m:t>
            </m:r>
          </m:sub>
        </m:sSub>
        <m:r>
          <m:rPr>
            <m:sty m:val="p"/>
          </m:rPr>
          <m:t>∼</m:t>
        </m:r>
        <m:r>
          <m:rPr>
            <m:sty m:val="p"/>
            <m:scr m:val="script"/>
          </m:rPr>
          <m:t>N</m:t>
        </m:r>
        <m:d>
          <m:dPr>
            <m:begChr m:val="("/>
            <m:sepChr m:val=""/>
            <m:endChr m:val=")"/>
            <m:grow/>
          </m:dPr>
          <m:e>
            <m:r>
              <m:t>0</m:t>
            </m:r>
            <m:r>
              <m:rPr>
                <m:sty m:val="p"/>
              </m:rPr>
              <m:t>,</m:t>
            </m:r>
            <m:sSubSup>
              <m:e>
                <m:r>
                  <m:t>σ</m:t>
                </m:r>
              </m:e>
              <m:sub>
                <m:r>
                  <m:t>u</m:t>
                </m:r>
              </m:sub>
              <m:sup>
                <m:r>
                  <m:t>2</m:t>
                </m:r>
              </m:sup>
            </m:sSubSup>
          </m:e>
        </m:d>
      </m:oMath>
      <w:r>
        <w:t xml:space="preserve"> </w:t>
      </w:r>
      <w:r>
        <w:t xml:space="preserve">are subject random effects.</w:t>
      </w:r>
      <w:r>
        <w:t xml:space="preserve"> </w:t>
      </w:r>
      <m:oMath>
        <m:sSub>
          <m:e>
            <m:r>
              <m:t>t</m:t>
            </m:r>
          </m:e>
          <m:sub>
            <m:r>
              <m:t>0</m:t>
            </m:r>
          </m:sub>
        </m:sSub>
      </m:oMath>
      <w:r>
        <w:t xml:space="preserve"> </w:t>
      </w:r>
      <w:r>
        <w:t xml:space="preserve">has no subject random effects (response-signal design).</w:t>
      </w:r>
    </w:p>
    <w:p>
      <w:pPr>
        <w:pStyle w:val="BodyText"/>
      </w:pPr>
      <w:r>
        <w:rPr>
          <w:b/>
          <w:bCs/>
        </w:rPr>
        <w:t xml:space="preserve">Likelihood</w:t>
      </w:r>
      <w:r>
        <w:t xml:space="preserve">: The likelihood for a single trial with RT</w:t>
      </w:r>
      <w:r>
        <w:t xml:space="preserve"> </w:t>
      </w:r>
      <m:oMath>
        <m:r>
          <m:t>t</m:t>
        </m:r>
      </m:oMath>
      <w:r>
        <w:t xml:space="preserve"> </w:t>
      </w:r>
      <w:r>
        <w:t xml:space="preserve">and decision</w:t>
      </w:r>
      <w:r>
        <w:t xml:space="preserve"> </w:t>
      </w:r>
      <m:oMath>
        <m:r>
          <m:t>d</m:t>
        </m:r>
        <m:r>
          <m:rPr>
            <m:sty m:val="p"/>
          </m:rPr>
          <m:t>∈</m:t>
        </m:r>
        <m:r>
          <m:rPr>
            <m:sty m:val="p"/>
          </m:rPr>
          <m:t>{</m:t>
        </m:r>
        <m:r>
          <m:rPr>
            <m:nor/>
            <m:sty m:val="p"/>
          </m:rPr>
          <m:t>"same"</m:t>
        </m:r>
        <m:r>
          <m:rPr>
            <m:sty m:val="p"/>
          </m:rPr>
          <m:t>,</m:t>
        </m:r>
        <m:r>
          <m:rPr>
            <m:nor/>
            <m:sty m:val="p"/>
          </m:rPr>
          <m:t>"different"</m:t>
        </m:r>
        <m:r>
          <m:rPr>
            <m:sty m:val="p"/>
          </m:rPr>
          <m:t>}</m:t>
        </m:r>
      </m:oMath>
      <w:r>
        <w:t xml:space="preserve"> </w:t>
      </w:r>
      <w:r>
        <w:t xml:space="preserve">follows the Wiener first-passage time distribution</w:t>
      </w:r>
      <w:r>
        <w:t xml:space="preserve"> </w:t>
      </w:r>
      <w:r>
        <w:t xml:space="preserve">(Feller, 1968)</w:t>
      </w:r>
      <w:r>
        <w:t xml:space="preserve">:</w:t>
      </w:r>
    </w:p>
    <w:p>
      <w:pPr>
        <w:pStyle w:val="BodyText"/>
      </w:pPr>
      <w:bookmarkStart w:id="185" w:name="eq-likelihood"/>
      <m:oMathPara>
        <m:oMathParaPr>
          <m:jc m:val="center"/>
        </m:oMathParaPr>
        <m:oMath>
          <m:r>
            <m:t>p</m:t>
          </m:r>
          <m:d>
            <m:dPr>
              <m:begChr m:val="("/>
              <m:sepChr m:val=""/>
              <m:endChr m:val=")"/>
              <m:grow/>
            </m:dPr>
            <m:e>
              <m:r>
                <m:t>t</m:t>
              </m:r>
              <m:r>
                <m:rPr>
                  <m:sty m:val="p"/>
                </m:rPr>
                <m:t>,</m:t>
              </m:r>
              <m:r>
                <m:t>d</m:t>
              </m:r>
              <m:r>
                <m:rPr>
                  <m:sty m:val="p"/>
                </m:rPr>
                <m:t>|</m:t>
              </m:r>
              <m:r>
                <m:t>v</m:t>
              </m:r>
              <m:r>
                <m:rPr>
                  <m:sty m:val="p"/>
                </m:rPr>
                <m:t>,</m:t>
              </m:r>
              <m:r>
                <m:t>a</m:t>
              </m:r>
              <m:r>
                <m:rPr>
                  <m:sty m:val="p"/>
                </m:rPr>
                <m:t>,</m:t>
              </m:r>
              <m:sSub>
                <m:e>
                  <m:r>
                    <m:t>t</m:t>
                  </m:r>
                </m:e>
                <m:sub>
                  <m:r>
                    <m:t>0</m:t>
                  </m:r>
                </m:sub>
              </m:sSub>
              <m:r>
                <m:rPr>
                  <m:sty m:val="p"/>
                </m:rPr>
                <m:t>,</m:t>
              </m:r>
              <m:r>
                <m:t>z</m:t>
              </m:r>
            </m:e>
          </m:d>
          <m:r>
            <m:rPr>
              <m:sty m:val="p"/>
            </m:rPr>
            <m:t>=</m:t>
          </m:r>
          <m:r>
            <m:rPr>
              <m:nor/>
              <m:sty m:val="p"/>
            </m:rPr>
            <m:t>Wiener</m:t>
          </m:r>
          <m:d>
            <m:dPr>
              <m:begChr m:val="("/>
              <m:sepChr m:val=""/>
              <m:endChr m:val=")"/>
              <m:grow/>
            </m:dPr>
            <m:e>
              <m:r>
                <m:t>t</m:t>
              </m:r>
              <m:r>
                <m:rPr>
                  <m:sty m:val="p"/>
                </m:rPr>
                <m:t>−</m:t>
              </m:r>
              <m:sSub>
                <m:e>
                  <m:r>
                    <m:t>t</m:t>
                  </m:r>
                </m:e>
                <m:sub>
                  <m:r>
                    <m:t>0</m:t>
                  </m:r>
                </m:sub>
              </m:sSub>
              <m:r>
                <m:rPr>
                  <m:sty m:val="p"/>
                </m:rPr>
                <m:t>|</m:t>
              </m:r>
              <m:r>
                <m:t>v</m:t>
              </m:r>
              <m:r>
                <m:rPr>
                  <m:sty m:val="p"/>
                </m:rPr>
                <m:t>,</m:t>
              </m:r>
              <m:r>
                <m:t>a</m:t>
              </m:r>
              <m:r>
                <m:rPr>
                  <m:sty m:val="p"/>
                </m:rPr>
                <m:t>,</m:t>
              </m:r>
              <m:r>
                <m:t>z</m:t>
              </m:r>
            </m:e>
          </m:d>
          <m:r>
            <m:t>  </m:t>
          </m:r>
          <m:d>
            <m:dPr>
              <m:begChr m:val="("/>
              <m:sepChr m:val=""/>
              <m:endChr m:val=")"/>
              <m:grow/>
            </m:dPr>
            <m:e>
              <m:r>
                <m:t>6</m:t>
              </m:r>
            </m:e>
          </m:d>
        </m:oMath>
      </m:oMathPara>
      <w:bookmarkEnd w:id="185"/>
    </w:p>
    <w:p>
      <w:pPr>
        <w:pStyle w:val="FirstParagraph"/>
      </w:pPr>
      <w:r>
        <w:t xml:space="preserve">where the Wiener distribution gives the probability density of the first-passage time to boundary</w:t>
      </w:r>
      <w:r>
        <w:t xml:space="preserve"> </w:t>
      </w:r>
      <m:oMath>
        <m:r>
          <m:t>d</m:t>
        </m:r>
      </m:oMath>
      <w:r>
        <w:t xml:space="preserve"> </w:t>
      </w:r>
      <w:r>
        <w:t xml:space="preserve">given drift</w:t>
      </w:r>
      <w:r>
        <w:t xml:space="preserve"> </w:t>
      </w:r>
      <m:oMath>
        <m:r>
          <m:t>v</m:t>
        </m:r>
      </m:oMath>
      <w:r>
        <w:t xml:space="preserve">, boundary separation</w:t>
      </w:r>
      <w:r>
        <w:t xml:space="preserve"> </w:t>
      </w:r>
      <m:oMath>
        <m:r>
          <m:t>a</m:t>
        </m:r>
      </m:oMath>
      <w:r>
        <w:t xml:space="preserve">, and starting point</w:t>
      </w:r>
      <w:r>
        <w:t xml:space="preserve"> </w:t>
      </w:r>
      <m:oMath>
        <m:r>
          <m:t>z</m:t>
        </m:r>
        <m:r>
          <m:rPr>
            <m:sty m:val="p"/>
          </m:rPr>
          <m:t>⋅</m:t>
        </m:r>
        <m:r>
          <m:t>a</m:t>
        </m:r>
      </m:oMath>
      <w:r>
        <w:t xml:space="preserve">.</w:t>
      </w:r>
    </w:p>
    <w:p>
      <w:pPr>
        <w:pStyle w:val="BodyText"/>
      </w:pPr>
      <w:r>
        <w:t xml:space="preserve">Standard-only model formulas (one</w:t>
      </w:r>
      <w:r>
        <w:t xml:space="preserve"> </w:t>
      </w:r>
      <w:r>
        <w:rPr>
          <w:rStyle w:val="VerbatimChar"/>
        </w:rPr>
        <w:t xml:space="preserve">brms</w:t>
      </w:r>
      <w:r>
        <w:t xml:space="preserve"> </w:t>
      </w:r>
      <w:r>
        <w:rPr>
          <w:rStyle w:val="VerbatimChar"/>
        </w:rPr>
        <w:t xml:space="preserve">bf()</w:t>
      </w:r>
      <w:r>
        <w:t xml:space="preserve"> </w:t>
      </w:r>
      <w:r>
        <w:t xml:space="preserve">call): drift</w:t>
      </w:r>
      <w:r>
        <w:t xml:space="preserve"> </w:t>
      </w:r>
      <w:r>
        <w:rPr>
          <w:rStyle w:val="VerbatimChar"/>
        </w:rPr>
        <w:t xml:space="preserve">rt | dec(dec_upper) ~ 1 + (1|subject_id)</w:t>
      </w:r>
      <w:r>
        <w:t xml:space="preserve"> </w:t>
      </w:r>
      <w:r>
        <w:t xml:space="preserve">(prior N(0, 2)); boundary</w:t>
      </w:r>
      <w:r>
        <w:t xml:space="preserve"> </w:t>
      </w:r>
      <w:r>
        <w:rPr>
          <w:rStyle w:val="VerbatimChar"/>
        </w:rPr>
        <w:t xml:space="preserve">bs ~ 1 + (1|subject_id)</w:t>
      </w:r>
      <w:r>
        <w:t xml:space="preserve">; ndt</w:t>
      </w:r>
      <w:r>
        <w:t xml:space="preserve"> </w:t>
      </w:r>
      <w:r>
        <w:rPr>
          <w:rStyle w:val="VerbatimChar"/>
        </w:rPr>
        <w:t xml:space="preserve">ndt ~ 1</w:t>
      </w:r>
      <w:r>
        <w:t xml:space="preserve">; bias</w:t>
      </w:r>
      <w:r>
        <w:t xml:space="preserve"> </w:t>
      </w:r>
      <w:r>
        <w:rPr>
          <w:rStyle w:val="VerbatimChar"/>
        </w:rPr>
        <w:t xml:space="preserve">bias ~ task + effort_condition + (1|subject_id)</w:t>
      </w:r>
      <w:r>
        <w:t xml:space="preserve">.</w:t>
      </w:r>
    </w:p>
    <w:p>
      <w:pPr>
        <w:pStyle w:val="BodyText"/>
      </w:pPr>
      <w:hyperlink w:anchor="fig-ddm-dag-plate">
        <w:r>
          <w:rPr>
            <w:rStyle w:val="Hyperlink"/>
          </w:rPr>
          <w:t xml:space="preserve">Figure 20</w:t>
        </w:r>
      </w:hyperlink>
      <w:r>
        <w:t xml:space="preserve"> </w:t>
      </w:r>
      <w:r>
        <w:t xml:space="preserve">summarizes the response-signal design (Panel A) and hierarchical generative model (Panel B).</w:t>
      </w:r>
    </w:p>
    <w:tbl>
      <w:tblPr>
        <w:tblStyle w:val="Table"/>
        <w:tblW w:type="pct" w:w="5000"/>
        <w:tblLayout w:type="fixed"/>
        <w:tblLook w:firstRow="0" w:lastRow="0" w:firstColumn="0" w:lastColumn="0" w:noHBand="0" w:noVBand="0" w:val="0000"/>
      </w:tblPr>
      <w:tblGrid>
        <w:gridCol w:w="7920"/>
      </w:tblGrid>
      <w:tr>
        <w:tc>
          <w:tcPr/>
          <w:bookmarkStart w:id="189" w:name="fig-ddm-dag-plate"/>
          <w:p>
            <w:pPr>
              <w:pStyle w:val="Compact"/>
              <w:jc w:val="center"/>
            </w:pPr>
            <w:r>
              <w:drawing>
                <wp:inline>
                  <wp:extent cx="4000500" cy="1791661"/>
                  <wp:effectExtent b="0" l="0" r="0" t="0"/>
                  <wp:docPr descr="" title="" id="187" name="Picture"/>
                  <a:graphic>
                    <a:graphicData uri="http://schemas.openxmlformats.org/drawingml/2006/picture">
                      <pic:pic>
                        <pic:nvPicPr>
                          <pic:cNvPr descr="../output/figures/fig-ddm-dag-plate-2.png" id="188" name="Picture"/>
                          <pic:cNvPicPr>
                            <a:picLocks noChangeArrowheads="1" noChangeAspect="1"/>
                          </pic:cNvPicPr>
                        </pic:nvPicPr>
                        <pic:blipFill>
                          <a:blip r:embed="rId186"/>
                          <a:stretch>
                            <a:fillRect/>
                          </a:stretch>
                        </pic:blipFill>
                        <pic:spPr bwMode="auto">
                          <a:xfrm>
                            <a:off x="0" y="0"/>
                            <a:ext cx="4000500" cy="17916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20: Causal assumptions and generative structure for the hierarchical DDM. Panel A shows a conceptual causal DAG in which Age and experimentally manipulated task factors (difficulty, modality, effort) influence latent DDM parameters under a gated-response design; the wait constraint alters the mapping from decision completion to observed RT, and trial selection S represents RT-based exclusions. Panel B shows the corresponding hierarchical generative structure: subject-level parameters</w:t>
            </w:r>
            <w:r>
              <w:t xml:space="preserve"> </w:t>
            </w:r>
            <m:oMath>
              <m:sSub>
                <m:e>
                  <m:r>
                    <m:t>v</m:t>
                  </m:r>
                </m:e>
                <m:sub>
                  <m:r>
                    <m:t>i</m:t>
                  </m:r>
                </m:sub>
              </m:sSub>
            </m:oMath>
            <w:r>
              <w:t xml:space="preserve">,</w:t>
            </w:r>
            <w:r>
              <w:t xml:space="preserve"> </w:t>
            </w:r>
            <m:oMath>
              <m:sSub>
                <m:e>
                  <m:r>
                    <m:t>a</m:t>
                  </m:r>
                </m:e>
                <m:sub>
                  <m:r>
                    <m:t>i</m:t>
                  </m:r>
                </m:sub>
              </m:sSub>
            </m:oMath>
            <w:r>
              <w:t xml:space="preserve">,</w:t>
            </w:r>
            <w:r>
              <w:t xml:space="preserve"> </w:t>
            </w:r>
            <m:oMath>
              <m:sSub>
                <m:e>
                  <m:r>
                    <m:t>T</m:t>
                  </m:r>
                </m:e>
                <m:sub>
                  <m:r>
                    <m:t>e</m:t>
                  </m:r>
                  <m:r>
                    <m:t>r</m:t>
                  </m:r>
                  <m:r>
                    <m:rPr>
                      <m:sty m:val="p"/>
                    </m:rPr>
                    <m:t>,</m:t>
                  </m:r>
                  <m:r>
                    <m:t>i</m:t>
                  </m:r>
                </m:sub>
              </m:sSub>
            </m:oMath>
            <w:r>
              <w:t xml:space="preserve"> </w:t>
            </w:r>
            <w:r>
              <w:t xml:space="preserve">are depicted as influenced by a generic subject-level covariate (e.g., Age_i), while in the present chapter age is not explicitly modeled because all participants are older adults; trial-level predictors</w:t>
            </w:r>
            <w:r>
              <w:t xml:space="preserve"> </w:t>
            </w:r>
            <m:oMath>
              <m:sSub>
                <m:e>
                  <m:r>
                    <m:t>X</m:t>
                  </m:r>
                </m:e>
                <m:sub>
                  <m:r>
                    <m:t>i</m:t>
                  </m:r>
                  <m:r>
                    <m:t>t</m:t>
                  </m:r>
                </m:sub>
              </m:sSub>
            </m:oMath>
            <w:r>
              <w:t xml:space="preserve"> </w:t>
            </w:r>
            <w:r>
              <w:t xml:space="preserve">(difficulty, modality, effort) modulate drift, and choices and RTs are generated from these parameters.</w:t>
            </w:r>
          </w:p>
          <w:bookmarkEnd w:id="189"/>
        </w:tc>
      </w:tr>
    </w:tbl>
    <w:p>
      <w:pPr>
        <w:pStyle w:val="BodyText"/>
      </w:pPr>
      <w:r>
        <w:t xml:space="preserve">The complete</w:t>
      </w:r>
      <w:r>
        <w:t xml:space="preserve"> </w:t>
      </w:r>
      <w:r>
        <w:rPr>
          <w:rStyle w:val="VerbatimChar"/>
        </w:rPr>
        <w:t xml:space="preserve">brms</w:t>
      </w:r>
      <w:r>
        <w:t xml:space="preserve"> </w:t>
      </w:r>
      <w:r>
        <w:t xml:space="preserve">formula syntax for the standard-only calibration model is:</w:t>
      </w:r>
    </w:p>
    <w:p>
      <w:pPr>
        <w:pStyle w:val="SourceCode"/>
      </w:pPr>
      <w:r>
        <w:rPr>
          <w:rStyle w:val="FunctionTok"/>
        </w:rPr>
        <w:t xml:space="preserve">bf</w:t>
      </w:r>
      <w:r>
        <w:rPr>
          <w:rStyle w:val="NormalTok"/>
        </w:rPr>
        <w:t xml:space="preserve">(rt </w:t>
      </w:r>
      <w:r>
        <w:rPr>
          <w:rStyle w:val="SpecialCharTok"/>
        </w:rPr>
        <w:t xml:space="preserve">|</w:t>
      </w:r>
      <w:r>
        <w:rPr>
          <w:rStyle w:val="NormalTok"/>
        </w:rPr>
        <w:t xml:space="preserve"> </w:t>
      </w:r>
      <w:r>
        <w:rPr>
          <w:rStyle w:val="FunctionTok"/>
        </w:rPr>
        <w:t xml:space="preserve">dec</w:t>
      </w:r>
      <w:r>
        <w:rPr>
          <w:rStyle w:val="NormalTok"/>
        </w:rPr>
        <w:t xml:space="preserve">(dec_upper)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bs </w:t>
      </w:r>
      <w:r>
        <w:rPr>
          <w:rStyle w:val="SpecialCharTok"/>
        </w:rPr>
        <w:t xml:space="preserve">~</w:t>
      </w:r>
      <w:r>
        <w:rPr>
          <w:rStyle w:val="NormalTok"/>
        </w:rPr>
        <w:t xml:space="preserve"> task </w:t>
      </w:r>
      <w:r>
        <w:rPr>
          <w:rStyle w:val="SpecialCharTok"/>
        </w:rPr>
        <w:t xml:space="preserve">+</w:t>
      </w:r>
      <w:r>
        <w:rPr>
          <w:rStyle w:val="NormalTok"/>
        </w:rPr>
        <w:t xml:space="preserve"> effort_condition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ndt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bias </w:t>
      </w:r>
      <w:r>
        <w:rPr>
          <w:rStyle w:val="SpecialCharTok"/>
        </w:rPr>
        <w:t xml:space="preserve">~</w:t>
      </w:r>
      <w:r>
        <w:rPr>
          <w:rStyle w:val="NormalTok"/>
        </w:rPr>
        <w:t xml:space="preserve"> task </w:t>
      </w:r>
      <w:r>
        <w:rPr>
          <w:rStyle w:val="SpecialCharTok"/>
        </w:rPr>
        <w:t xml:space="preserve">+</w:t>
      </w:r>
      <w:r>
        <w:rPr>
          <w:rStyle w:val="NormalTok"/>
        </w:rPr>
        <w:t xml:space="preserve"> effort_condition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w:t>
      </w:r>
      <w:r>
        <w:rPr>
          <w:rStyle w:val="AttributeTok"/>
        </w:rPr>
        <w:t xml:space="preserve">family =</w:t>
      </w:r>
      <w:r>
        <w:rPr>
          <w:rStyle w:val="NormalTok"/>
        </w:rPr>
        <w:t xml:space="preserve"> </w:t>
      </w:r>
      <w:r>
        <w:rPr>
          <w:rStyle w:val="FunctionTok"/>
        </w:rPr>
        <w:t xml:space="preserve">wiener</w:t>
      </w:r>
      <w:r>
        <w:rPr>
          <w:rStyle w:val="NormalTok"/>
        </w:rPr>
        <w:t xml:space="preserve">(</w:t>
      </w:r>
      <w:r>
        <w:rPr>
          <w:rStyle w:val="AttributeTok"/>
        </w:rPr>
        <w:t xml:space="preserve">link_bs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link_ndt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link_bias =</w:t>
      </w:r>
      <w:r>
        <w:rPr>
          <w:rStyle w:val="NormalTok"/>
        </w:rPr>
        <w:t xml:space="preserve"> </w:t>
      </w:r>
      <w:r>
        <w:rPr>
          <w:rStyle w:val="StringTok"/>
        </w:rPr>
        <w:t xml:space="preserve">"logit"</w:t>
      </w:r>
      <w:r>
        <w:rPr>
          <w:rStyle w:val="NormalTok"/>
        </w:rPr>
        <w:t xml:space="preserve">))</w:t>
      </w:r>
    </w:p>
    <w:p>
      <w:pPr>
        <w:pStyle w:val="FirstParagraph"/>
      </w:pPr>
      <w:r>
        <w:t xml:space="preserve">The complete</w:t>
      </w:r>
      <w:r>
        <w:t xml:space="preserve"> </w:t>
      </w:r>
      <w:r>
        <w:rPr>
          <w:rStyle w:val="VerbatimChar"/>
        </w:rPr>
        <w:t xml:space="preserve">brms</w:t>
      </w:r>
      <w:r>
        <w:t xml:space="preserve"> </w:t>
      </w:r>
      <w:r>
        <w:t xml:space="preserve">formula syntax for the primary additive model is:</w:t>
      </w:r>
    </w:p>
    <w:p>
      <w:pPr>
        <w:pStyle w:val="SourceCode"/>
      </w:pPr>
      <w:r>
        <w:rPr>
          <w:rStyle w:val="FunctionTok"/>
        </w:rPr>
        <w:t xml:space="preserve">bf</w:t>
      </w:r>
      <w:r>
        <w:rPr>
          <w:rStyle w:val="NormalTok"/>
        </w:rPr>
        <w:t xml:space="preserve">(rt </w:t>
      </w:r>
      <w:r>
        <w:rPr>
          <w:rStyle w:val="SpecialCharTok"/>
        </w:rPr>
        <w:t xml:space="preserve">|</w:t>
      </w:r>
      <w:r>
        <w:rPr>
          <w:rStyle w:val="NormalTok"/>
        </w:rPr>
        <w:t xml:space="preserve"> </w:t>
      </w:r>
      <w:r>
        <w:rPr>
          <w:rStyle w:val="FunctionTok"/>
        </w:rPr>
        <w:t xml:space="preserve">dec</w:t>
      </w:r>
      <w:r>
        <w:rPr>
          <w:rStyle w:val="NormalTok"/>
        </w:rPr>
        <w:t xml:space="preserve">(dec_upper) </w:t>
      </w:r>
      <w:r>
        <w:rPr>
          <w:rStyle w:val="SpecialCharTok"/>
        </w:rPr>
        <w:t xml:space="preserve">~</w:t>
      </w:r>
      <w:r>
        <w:rPr>
          <w:rStyle w:val="NormalTok"/>
        </w:rPr>
        <w:t xml:space="preserve"> difficulty_level </w:t>
      </w:r>
      <w:r>
        <w:rPr>
          <w:rStyle w:val="SpecialCharTok"/>
        </w:rPr>
        <w:t xml:space="preserve">+</w:t>
      </w:r>
      <w:r>
        <w:rPr>
          <w:rStyle w:val="NormalTok"/>
        </w:rPr>
        <w:t xml:space="preserve"> effort_condition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bs </w:t>
      </w:r>
      <w:r>
        <w:rPr>
          <w:rStyle w:val="SpecialCharTok"/>
        </w:rPr>
        <w:t xml:space="preserve">~</w:t>
      </w:r>
      <w:r>
        <w:rPr>
          <w:rStyle w:val="NormalTok"/>
        </w:rPr>
        <w:t xml:space="preserve"> difficulty_level </w:t>
      </w:r>
      <w:r>
        <w:rPr>
          <w:rStyle w:val="SpecialCharTok"/>
        </w:rPr>
        <w:t xml:space="preserve">+</w:t>
      </w:r>
      <w:r>
        <w:rPr>
          <w:rStyle w:val="NormalTok"/>
        </w:rPr>
        <w:t xml:space="preserve"> effort_condition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ndt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bias </w:t>
      </w:r>
      <w:r>
        <w:rPr>
          <w:rStyle w:val="SpecialCharTok"/>
        </w:rPr>
        <w:t xml:space="preserve">~</w:t>
      </w:r>
      <w:r>
        <w:rPr>
          <w:rStyle w:val="NormalTok"/>
        </w:rPr>
        <w:t xml:space="preserve"> task </w:t>
      </w:r>
      <w:r>
        <w:rPr>
          <w:rStyle w:val="SpecialCharTok"/>
        </w:rPr>
        <w:t xml:space="preserve">+</w:t>
      </w:r>
      <w:r>
        <w:rPr>
          <w:rStyle w:val="NormalTok"/>
        </w:rPr>
        <w:t xml:space="preserve"> effort_condition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w:t>
      </w:r>
      <w:r>
        <w:rPr>
          <w:rStyle w:val="AttributeTok"/>
        </w:rPr>
        <w:t xml:space="preserve">family =</w:t>
      </w:r>
      <w:r>
        <w:rPr>
          <w:rStyle w:val="NormalTok"/>
        </w:rPr>
        <w:t xml:space="preserve"> </w:t>
      </w:r>
      <w:r>
        <w:rPr>
          <w:rStyle w:val="FunctionTok"/>
        </w:rPr>
        <w:t xml:space="preserve">wiener</w:t>
      </w:r>
      <w:r>
        <w:rPr>
          <w:rStyle w:val="NormalTok"/>
        </w:rPr>
        <w:t xml:space="preserve">(</w:t>
      </w:r>
      <w:r>
        <w:rPr>
          <w:rStyle w:val="AttributeTok"/>
        </w:rPr>
        <w:t xml:space="preserve">link_bs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link_ndt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link_bias =</w:t>
      </w:r>
      <w:r>
        <w:rPr>
          <w:rStyle w:val="NormalTok"/>
        </w:rPr>
        <w:t xml:space="preserve"> </w:t>
      </w:r>
      <w:r>
        <w:rPr>
          <w:rStyle w:val="StringTok"/>
        </w:rPr>
        <w:t xml:space="preserve">"logit"</w:t>
      </w:r>
      <w:r>
        <w:rPr>
          <w:rStyle w:val="NormalTok"/>
        </w:rPr>
        <w:t xml:space="preserve">))</w:t>
      </w:r>
    </w:p>
    <w:p>
      <w:pPr>
        <w:pStyle w:val="FirstParagraph"/>
      </w:pPr>
      <w:r>
        <w:t xml:space="preserve">where</w:t>
      </w:r>
      <w:r>
        <w:t xml:space="preserve"> </w:t>
      </w:r>
      <w:r>
        <w:rPr>
          <w:rStyle w:val="VerbatimChar"/>
        </w:rPr>
        <w:t xml:space="preserve">dec(dec_upper)</w:t>
      </w:r>
      <w:r>
        <w:t xml:space="preserve"> </w:t>
      </w:r>
      <w:r>
        <w:t xml:space="preserve">encodes the response boundary (1 =</w:t>
      </w:r>
      <w:r>
        <w:t xml:space="preserve"> </w:t>
      </w:r>
      <w:r>
        <w:rPr>
          <w:i/>
          <w:iCs/>
        </w:rPr>
        <w:t xml:space="preserve">different</w:t>
      </w:r>
      <w:r>
        <w:t xml:space="preserve">, 0 =</w:t>
      </w:r>
      <w:r>
        <w:t xml:space="preserve"> </w:t>
      </w:r>
      <w:r>
        <w:rPr>
          <w:i/>
          <w:iCs/>
        </w:rPr>
        <w:t xml:space="preserve">same</w:t>
      </w:r>
      <w:r>
        <w:t xml:space="preserve">),</w:t>
      </w:r>
      <w:r>
        <w:t xml:space="preserve"> </w:t>
      </w:r>
      <w:r>
        <w:rPr>
          <w:rStyle w:val="VerbatimChar"/>
        </w:rPr>
        <w:t xml:space="preserve">bs</w:t>
      </w:r>
      <w:r>
        <w:t xml:space="preserve"> </w:t>
      </w:r>
      <w:r>
        <w:t xml:space="preserve">is the log-link parameter for boundary separation</w:t>
      </w:r>
      <w:r>
        <w:t xml:space="preserve"> </w:t>
      </w:r>
      <m:oMath>
        <m:r>
          <m:t>a</m:t>
        </m:r>
      </m:oMath>
      <w:r>
        <w:t xml:space="preserve">,</w:t>
      </w:r>
      <w:r>
        <w:t xml:space="preserve"> </w:t>
      </w:r>
      <w:r>
        <w:rPr>
          <w:rStyle w:val="VerbatimChar"/>
        </w:rPr>
        <w:t xml:space="preserve">ndt</w:t>
      </w:r>
      <w:r>
        <w:t xml:space="preserve"> </w:t>
      </w:r>
      <w:r>
        <w:t xml:space="preserve">is the log-link parameter for non-decision time</w:t>
      </w:r>
      <w:r>
        <w:t xml:space="preserve"> </w:t>
      </w:r>
      <m:oMath>
        <m:sSub>
          <m:e>
            <m:r>
              <m:t>t</m:t>
            </m:r>
          </m:e>
          <m:sub>
            <m:r>
              <m:t>0</m:t>
            </m:r>
          </m:sub>
        </m:sSub>
      </m:oMath>
      <w:r>
        <w:t xml:space="preserve">, and</w:t>
      </w:r>
      <w:r>
        <w:t xml:space="preserve"> </w:t>
      </w:r>
      <w:r>
        <w:rPr>
          <w:rStyle w:val="VerbatimChar"/>
        </w:rPr>
        <w:t xml:space="preserve">bias</w:t>
      </w:r>
      <w:r>
        <w:t xml:space="preserve"> </w:t>
      </w:r>
      <w:r>
        <w:t xml:space="preserve">is the logit-link parameter for starting-point</w:t>
      </w:r>
      <w:r>
        <w:t xml:space="preserve"> </w:t>
      </w:r>
      <m:oMath>
        <m:r>
          <m:t>z</m:t>
        </m:r>
      </m:oMath>
      <w:r>
        <w:t xml:space="preserve">.</w:t>
      </w:r>
    </w:p>
    <w:bookmarkEnd w:id="190"/>
    <w:bookmarkStart w:id="191" w:name="a6.4-prior-specification"/>
    <w:p>
      <w:pPr>
        <w:pStyle w:val="Heading3"/>
      </w:pPr>
      <w:r>
        <w:t xml:space="preserve">A6.4 Prior Specification</w:t>
      </w:r>
    </w:p>
    <w:p>
      <w:pPr>
        <w:pStyle w:val="FirstParagraph"/>
      </w:pPr>
      <w:r>
        <w:t xml:space="preserve">All priors were weakly informative and specified on the link scale. For intercepts, drift rate (</w:t>
      </w:r>
      <m:oMath>
        <m:r>
          <m:t>v</m:t>
        </m:r>
      </m:oMath>
      <w:r>
        <w:t xml:space="preserve">) used Normal(0, 1); boundary separation (</w:t>
      </w:r>
      <m:oMath>
        <m:r>
          <m:t>a</m:t>
        </m:r>
      </m:oMath>
      <w:r>
        <w:t xml:space="preserve">) used Normal(log(1.3), 0.25), corresponding to</w:t>
      </w:r>
      <w:r>
        <w:t xml:space="preserve"> </w:t>
      </w:r>
      <m:oMath>
        <m:r>
          <m:t>a</m:t>
        </m:r>
        <m:r>
          <m:rPr>
            <m:sty m:val="p"/>
          </m:rPr>
          <m:t>≈</m:t>
        </m:r>
        <m:r>
          <m:t>1.3</m:t>
        </m:r>
      </m:oMath>
      <w:r>
        <w:t xml:space="preserve"> </w:t>
      </w:r>
      <w:r>
        <w:t xml:space="preserve">on the natural scale; non-decision time (</w:t>
      </w:r>
      <m:oMath>
        <m:sSub>
          <m:e>
            <m:r>
              <m:t>t</m:t>
            </m:r>
          </m:e>
          <m:sub>
            <m:r>
              <m:t>0</m:t>
            </m:r>
          </m:sub>
        </m:sSub>
      </m:oMath>
      <w:r>
        <w:t xml:space="preserve">) used Normal(log(0.35), 0.15), corresponding to</w:t>
      </w:r>
      <w:r>
        <w:t xml:space="preserve"> </w:t>
      </w:r>
      <m:oMath>
        <m:sSub>
          <m:e>
            <m:r>
              <m:t>t</m:t>
            </m:r>
          </m:e>
          <m:sub>
            <m:r>
              <m:t>0</m:t>
            </m:r>
          </m:sub>
        </m:sSub>
        <m:r>
          <m:rPr>
            <m:sty m:val="p"/>
          </m:rPr>
          <m:t>≈</m:t>
        </m:r>
        <m:r>
          <m:t>0.35</m:t>
        </m:r>
      </m:oMath>
      <w:r>
        <w:t xml:space="preserve"> </w:t>
      </w:r>
      <w:r>
        <w:t xml:space="preserve">s on the natural scale (probe-onset-locked timing; the cue-locked variant used Normal(log(0.10), 0.15)); and starting-point bias (</w:t>
      </w:r>
      <m:oMath>
        <m:r>
          <m:t>z</m:t>
        </m:r>
      </m:oMath>
      <w:r>
        <w:t xml:space="preserve">) used Normal(0, 0.5), corresponding to</w:t>
      </w:r>
      <w:r>
        <w:t xml:space="preserve"> </w:t>
      </w:r>
      <m:oMath>
        <m:r>
          <m:t>z</m:t>
        </m:r>
        <m:r>
          <m:rPr>
            <m:sty m:val="p"/>
          </m:rPr>
          <m:t>≈</m:t>
        </m:r>
        <m:r>
          <m:t>0.5</m:t>
        </m:r>
      </m:oMath>
      <w:r>
        <w:t xml:space="preserve"> </w:t>
      </w:r>
      <w:r>
        <w:t xml:space="preserve">(no bias) on the probability scale. For slope parameters, drift rate slopes used Normal(0, 0.6–0.7), boundary separation slopes used Normal(0, 0.25–0.30), and bias slopes used Normal(0, 0.35). Random effects were assigned Student-t(3, 0, 0.30) priors for standard deviations and LKJ(2) priors for correlations. Prior vs. posterior for</w:t>
      </w:r>
      <w:r>
        <w:t xml:space="preserve"> </w:t>
      </w:r>
      <m:oMath>
        <m:sSub>
          <m:e>
            <m:r>
              <m:t>t</m:t>
            </m:r>
          </m:e>
          <m:sub>
            <m:r>
              <m:t>0</m:t>
            </m:r>
          </m:sub>
        </m:sSub>
      </m:oMath>
      <w:r>
        <w:t xml:space="preserve">:</w:t>
      </w:r>
      <w:r>
        <w:t xml:space="preserve"> </w:t>
      </w:r>
      <w:hyperlink w:anchor="fig-ndt-prior-posterior">
        <w:r>
          <w:rPr>
            <w:rStyle w:val="Hyperlink"/>
          </w:rPr>
          <w:t xml:space="preserve">Figure 5</w:t>
        </w:r>
      </w:hyperlink>
      <w:r>
        <w:t xml:space="preserve"> </w:t>
      </w:r>
      <w:r>
        <w:t xml:space="preserve">(A1).</w:t>
      </w:r>
    </w:p>
    <w:bookmarkEnd w:id="191"/>
    <w:bookmarkStart w:id="192" w:name="a6.5-computational-details"/>
    <w:p>
      <w:pPr>
        <w:pStyle w:val="Heading3"/>
      </w:pPr>
      <w:r>
        <w:t xml:space="preserve">A6.5 Computational Details</w:t>
      </w:r>
    </w:p>
    <w:p>
      <w:pPr>
        <w:pStyle w:val="FirstParagraph"/>
      </w:pPr>
      <w:r>
        <w:rPr>
          <w:b/>
          <w:bCs/>
        </w:rPr>
        <w:t xml:space="preserve">Software.</w:t>
      </w:r>
      <w:r>
        <w:t xml:space="preserve"> </w:t>
      </w:r>
      <w:r>
        <w:t xml:space="preserve">R</w:t>
      </w:r>
      <w:r>
        <w:t xml:space="preserve"> </w:t>
      </w:r>
      <w:r>
        <w:t xml:space="preserve">(R Core Team, 2025)</w:t>
      </w:r>
      <w:r>
        <w:t xml:space="preserve">,</w:t>
      </w:r>
      <w:r>
        <w:t xml:space="preserve"> </w:t>
      </w:r>
      <w:r>
        <w:rPr>
          <w:rStyle w:val="VerbatimChar"/>
        </w:rPr>
        <w:t xml:space="preserve">brms</w:t>
      </w:r>
      <w:r>
        <w:t xml:space="preserve"> </w:t>
      </w:r>
      <w:r>
        <w:t xml:space="preserve">(Bürkner, 2017, 2018)</w:t>
      </w:r>
      <w:r>
        <w:t xml:space="preserve">, CmdStan</w:t>
      </w:r>
      <w:r>
        <w:t xml:space="preserve"> </w:t>
      </w:r>
      <w:r>
        <w:t xml:space="preserve">(Stan Development Team, 2024)</w:t>
      </w:r>
      <w:r>
        <w:t xml:space="preserve"> </w:t>
      </w:r>
      <w:r>
        <w:t xml:space="preserve">via</w:t>
      </w:r>
      <w:r>
        <w:t xml:space="preserve"> </w:t>
      </w:r>
      <w:r>
        <w:rPr>
          <w:rStyle w:val="VerbatimChar"/>
        </w:rPr>
        <w:t xml:space="preserve">cmdstanr</w:t>
      </w:r>
      <w:r>
        <w:t xml:space="preserve"> </w:t>
      </w:r>
      <w:r>
        <w:t xml:space="preserve">(Gabry &amp; Češnovar, 2021)</w:t>
      </w:r>
      <w:r>
        <w:t xml:space="preserve">,</w:t>
      </w:r>
      <w:r>
        <w:t xml:space="preserve"> </w:t>
      </w:r>
      <w:r>
        <w:rPr>
          <w:rStyle w:val="VerbatimChar"/>
        </w:rPr>
        <w:t xml:space="preserve">loo</w:t>
      </w:r>
      <w:r>
        <w:t xml:space="preserve"> </w:t>
      </w:r>
      <w:r>
        <w:t xml:space="preserve">(Vehtari et al., 2017)</w:t>
      </w:r>
      <w:r>
        <w:t xml:space="preserve">, tidyverse</w:t>
      </w:r>
      <w:r>
        <w:t xml:space="preserve"> </w:t>
      </w:r>
      <w:r>
        <w:t xml:space="preserve">(Wickham, 2016; Wickham, François, et al., 2023; Wickham, Vaughan, et al., 2023; Wickham et al., 2024)</w:t>
      </w:r>
      <w:r>
        <w:t xml:space="preserve">,</w:t>
      </w:r>
      <w:r>
        <w:t xml:space="preserve"> </w:t>
      </w:r>
      <w:r>
        <w:rPr>
          <w:rStyle w:val="VerbatimChar"/>
        </w:rPr>
        <w:t xml:space="preserve">gt</w:t>
      </w:r>
      <w:r>
        <w:t xml:space="preserve"> </w:t>
      </w:r>
      <w:r>
        <w:t xml:space="preserve">(Iannone et al., 2024)</w:t>
      </w:r>
      <w:r>
        <w:t xml:space="preserve">,</w:t>
      </w:r>
      <w:r>
        <w:t xml:space="preserve"> </w:t>
      </w:r>
      <w:r>
        <w:rPr>
          <w:rStyle w:val="VerbatimChar"/>
        </w:rPr>
        <w:t xml:space="preserve">posterior</w:t>
      </w:r>
      <w:r>
        <w:t xml:space="preserve"> </w:t>
      </w:r>
      <w:r>
        <w:t xml:space="preserve">(Bürkner et al., 2022)</w:t>
      </w:r>
      <w:r>
        <w:t xml:space="preserve">,</w:t>
      </w:r>
      <w:r>
        <w:t xml:space="preserve"> </w:t>
      </w:r>
      <w:r>
        <w:rPr>
          <w:rStyle w:val="VerbatimChar"/>
        </w:rPr>
        <w:t xml:space="preserve">RWiener</w:t>
      </w:r>
      <w:r>
        <w:t xml:space="preserve"> </w:t>
      </w:r>
      <w:r>
        <w:t xml:space="preserve">(Wabersich &amp; Vandekerckhove, 2014)</w:t>
      </w:r>
      <w:r>
        <w:t xml:space="preserve">,</w:t>
      </w:r>
      <w:r>
        <w:t xml:space="preserve"> </w:t>
      </w:r>
      <w:r>
        <w:rPr>
          <w:rStyle w:val="VerbatimChar"/>
        </w:rPr>
        <w:t xml:space="preserve">bayesplot</w:t>
      </w:r>
      <w:r>
        <w:t xml:space="preserve"> </w:t>
      </w:r>
      <w:r>
        <w:t xml:space="preserve">(Gabry et al., 2019)</w:t>
      </w:r>
      <w:r>
        <w:t xml:space="preserve">, Quarto</w:t>
      </w:r>
      <w:r>
        <w:t xml:space="preserve"> </w:t>
      </w:r>
      <w:r>
        <w:t xml:space="preserve">(Allaire et al., 2022)</w:t>
      </w:r>
      <w:r>
        <w:t xml:space="preserve">. Models fit on GCP.</w:t>
      </w:r>
    </w:p>
    <w:p>
      <w:pPr>
        <w:pStyle w:val="BodyText"/>
      </w:pPr>
      <w:r>
        <w:rPr>
          <w:b/>
          <w:bCs/>
        </w:rPr>
        <w:t xml:space="preserve">MCMC.</w:t>
      </w:r>
      <w:r>
        <w:t xml:space="preserve"> </w:t>
      </w:r>
      <w:r>
        <w:t xml:space="preserve">NUTS</w:t>
      </w:r>
      <w:r>
        <w:t xml:space="preserve"> </w:t>
      </w:r>
      <w:r>
        <w:t xml:space="preserve">(Hoffman &amp; Gelman, 2014)</w:t>
      </w:r>
      <w:r>
        <w:t xml:space="preserve">, 8 chains × 2000 iterations (1000 warmup), adapt_delta = 0.95, max_treedepth = 12. Convergence:</w:t>
      </w:r>
      <w:r>
        <w:t xml:space="preserve"> </w:t>
      </w:r>
      <m:oMath>
        <m:acc>
          <m:accPr>
            <m:chr m:val="̂"/>
          </m:accPr>
          <m:e>
            <m:r>
              <m:t>R</m:t>
            </m:r>
          </m:e>
        </m:acc>
      </m:oMath>
      <w:r>
        <w:t xml:space="preserve"> </w:t>
      </w:r>
      <m:oMath>
        <m:r>
          <m:rPr>
            <m:sty m:val="p"/>
          </m:rPr>
          <m:t>≤</m:t>
        </m:r>
      </m:oMath>
      <w:r>
        <w:t xml:space="preserve"> </w:t>
      </w:r>
      <w:r>
        <w:t xml:space="preserve">1.01, bulk ESS</w:t>
      </w:r>
      <w:r>
        <w:t xml:space="preserve"> </w:t>
      </w:r>
      <m:oMath>
        <m:r>
          <m:rPr>
            <m:sty m:val="p"/>
          </m:rPr>
          <m:t>≥</m:t>
        </m:r>
      </m:oMath>
      <w:r>
        <w:t xml:space="preserve"> </w:t>
      </w:r>
      <w:r>
        <w:t xml:space="preserve">400, zero divergences. Primary additive model: max</w:t>
      </w:r>
      <w:r>
        <w:t xml:space="preserve"> </w:t>
      </w:r>
      <m:oMath>
        <m:acc>
          <m:accPr>
            <m:chr m:val="̂"/>
          </m:accPr>
          <m:e>
            <m:r>
              <m:t>R</m:t>
            </m:r>
          </m:e>
        </m:acc>
      </m:oMath>
      <w:r>
        <w:t xml:space="preserve"> </w:t>
      </w:r>
      <w:r>
        <w:t xml:space="preserve">&lt; 1.01, min bulk ESS = 745, zero divergences.</w:t>
      </w:r>
    </w:p>
    <w:p>
      <w:pPr>
        <w:pStyle w:val="BodyText"/>
      </w:pPr>
      <w:r>
        <w:rPr>
          <w:b/>
          <w:bCs/>
        </w:rPr>
        <w:t xml:space="preserve">PSIS.</w:t>
      </w:r>
      <w:r>
        <w:t xml:space="preserve"> </w:t>
      </w:r>
      <w:r>
        <w:t xml:space="preserve">Pareto-</w:t>
      </w:r>
      <m:oMath>
        <m:r>
          <m:t>k</m:t>
        </m:r>
        <m:r>
          <m:rPr>
            <m:sty m:val="p"/>
          </m:rPr>
          <m:t>&gt;</m:t>
        </m:r>
        <m:r>
          <m:t>0.7</m:t>
        </m:r>
      </m:oMath>
      <w:r>
        <w:t xml:space="preserve"> </w:t>
      </w:r>
      <w:r>
        <w:t xml:space="preserve">flagged per</w:t>
      </w:r>
      <w:r>
        <w:t xml:space="preserve"> </w:t>
      </w:r>
      <w:r>
        <w:t xml:space="preserve">(Vehtari et al., 2017)</w:t>
      </w:r>
      <w:r>
        <w:t xml:space="preserve">.</w:t>
      </w:r>
    </w:p>
    <w:p>
      <w:pPr>
        <w:pStyle w:val="BodyText"/>
      </w:pPr>
      <w:r>
        <w:t xml:space="preserve">Model comparison and PPC: Appendix A1 and A3.</w:t>
      </w:r>
    </w:p>
    <w:bookmarkEnd w:id="192"/>
    <w:bookmarkEnd w:id="193"/>
    <w:bookmarkStart w:id="208" w:name="sec-appendix-a7"/>
    <w:p>
      <w:pPr>
        <w:pStyle w:val="Heading2"/>
      </w:pPr>
      <w:r>
        <w:t xml:space="preserve">A7. Manipulation Checks: Behavioral Validation</w:t>
      </w:r>
    </w:p>
    <w:p>
      <w:pPr>
        <w:pStyle w:val="FirstParagraph"/>
      </w:pPr>
      <w:r>
        <w:t xml:space="preserve">Mixed-effects checks on accuracy and RT (Easy and Hard trials only). Reported for validation; DDM results do not depend on them.</w:t>
      </w:r>
    </w:p>
    <w:bookmarkStart w:id="194" w:name="a7.1-methods"/>
    <w:p>
      <w:pPr>
        <w:pStyle w:val="Heading3"/>
      </w:pPr>
      <w:r>
        <w:t xml:space="preserve">A7.1 Methods</w:t>
      </w:r>
    </w:p>
    <w:p>
      <w:pPr>
        <w:pStyle w:val="FirstParagraph"/>
      </w:pPr>
      <w:r>
        <w:t xml:space="preserve">GLMM (binomial) for accuracy; LMM for median cue-locked RT per subject-condition. Fixed effects: difficulty, effort, task (with interactions as needed); random intercepts by subject. Standard trials excluded. Fitted in</w:t>
      </w:r>
      <w:r>
        <w:t xml:space="preserve"> </w:t>
      </w:r>
      <w:r>
        <w:rPr>
          <w:rStyle w:val="VerbatimChar"/>
        </w:rPr>
        <w:t xml:space="preserve">lme4</w:t>
      </w:r>
      <w:r>
        <w:t xml:space="preserve"> </w:t>
      </w:r>
      <w:r>
        <w:t xml:space="preserve">(Bates et al., 2015)</w:t>
      </w:r>
      <w:r>
        <w:t xml:space="preserve">; tables from</w:t>
      </w:r>
      <w:r>
        <w:t xml:space="preserve"> </w:t>
      </w:r>
      <w:r>
        <w:rPr>
          <w:rStyle w:val="VerbatimChar"/>
        </w:rPr>
        <w:t xml:space="preserve">broom.mixed</w:t>
      </w:r>
      <w:r>
        <w:t xml:space="preserve"> </w:t>
      </w:r>
      <w:r>
        <w:t xml:space="preserve">(Anderson et al., 2024)</w:t>
      </w:r>
      <w:r>
        <w:t xml:space="preserve">.</w:t>
      </w:r>
    </w:p>
    <w:bookmarkEnd w:id="194"/>
    <w:bookmarkStart w:id="201" w:name="a7.2-accuracy-results"/>
    <w:p>
      <w:pPr>
        <w:pStyle w:val="Heading3"/>
      </w:pPr>
      <w:r>
        <w:t xml:space="preserve">A7.2 Accuracy Results</w:t>
      </w:r>
    </w:p>
    <w:p>
      <w:pPr>
        <w:pStyle w:val="FirstParagraph"/>
      </w:pPr>
      <w:r>
        <w:t xml:space="preserve">Easy and Hard trials only (N = 14,237).</w:t>
      </w:r>
    </w:p>
    <w:p>
      <w:pPr>
        <w:pStyle w:val="BodyText"/>
      </w:pPr>
      <w:r>
        <w:t xml:space="preserve">Hard trials were less accurate than Easy (</w:t>
      </w:r>
      <m:oMath>
        <m:r>
          <m:t>β</m:t>
        </m:r>
        <m:r>
          <m:rPr>
            <m:sty m:val="p"/>
          </m:rPr>
          <m:t>=</m:t>
        </m:r>
        <m:r>
          <m:rPr>
            <m:sty m:val="p"/>
          </m:rPr>
          <m:t>−</m:t>
        </m:r>
        <m:r>
          <m:t>2.98</m:t>
        </m:r>
      </m:oMath>
      <w:r>
        <w:t xml:space="preserve">, 95% CI [-3.07, -2.89],</w:t>
      </w:r>
      <w:r>
        <w:t xml:space="preserve"> </w:t>
      </w:r>
      <m:oMath>
        <m:r>
          <m:t>p</m:t>
        </m:r>
        <m:r>
          <m:rPr>
            <m:sty m:val="p"/>
          </m:rPr>
          <m:t>&lt;</m:t>
        </m:r>
        <m:r>
          <m:t>.001</m:t>
        </m:r>
      </m:oMath>
      <w:r>
        <w:t xml:space="preserve">; means 29.9% vs. 85.9%;</w:t>
      </w:r>
      <w:r>
        <w:t xml:space="preserve"> </w:t>
      </w:r>
      <w:hyperlink w:anchor="tbl-accuracy-glmm">
        <w:r>
          <w:rPr>
            <w:rStyle w:val="Hyperlink"/>
          </w:rPr>
          <w:t xml:space="preserve">Table 21</w:t>
        </w:r>
      </w:hyperlink>
      <w:r>
        <w:t xml:space="preserve">,</w:t>
      </w:r>
      <w:r>
        <w:t xml:space="preserve"> </w:t>
      </w:r>
      <w:hyperlink w:anchor="fig-accuracy-distribution">
        <w:r>
          <w:rPr>
            <w:rStyle w:val="Hyperlink"/>
          </w:rPr>
          <w:t xml:space="preserve">Figure 21</w:t>
        </w:r>
      </w:hyperlink>
      <w:r>
        <w:t xml:space="preserve">). Lowest accuracy was in Hard+High cells (26.4%). High effort reduced accuracy relative to Low (</w:t>
      </w:r>
      <m:oMath>
        <m:r>
          <m:t>β</m:t>
        </m:r>
        <m:r>
          <m:rPr>
            <m:sty m:val="p"/>
          </m:rPr>
          <m:t>=</m:t>
        </m:r>
        <m:r>
          <m:rPr>
            <m:sty m:val="p"/>
          </m:rPr>
          <m:t>−</m:t>
        </m:r>
        <m:r>
          <m:t>0.16</m:t>
        </m:r>
      </m:oMath>
      <w:r>
        <w:t xml:space="preserve">, 95% CI [-0.24, -0.07],</w:t>
      </w:r>
      <w:r>
        <w:t xml:space="preserve"> </w:t>
      </w:r>
      <m:oMath>
        <m:r>
          <m:t>p</m:t>
        </m:r>
        <m:r>
          <m:rPr>
            <m:sty m:val="p"/>
          </m:rPr>
          <m:t>&lt;</m:t>
        </m:r>
        <m:r>
          <m:t>.001</m:t>
        </m:r>
      </m:oMath>
      <w:r>
        <w:t xml:space="preserve">; 56.5% vs. 59%).</w:t>
      </w:r>
    </w:p>
    <w:tbl>
      <w:tblPr>
        <w:tblStyle w:val="Table"/>
        <w:tblW w:type="pct" w:w="5000"/>
        <w:tblLayout w:type="fixed"/>
        <w:tblLook w:firstRow="0" w:lastRow="0" w:firstColumn="0" w:lastColumn="0" w:noHBand="0" w:noVBand="0" w:val="0000"/>
      </w:tblPr>
      <w:tblGrid>
        <w:gridCol w:w="7920"/>
      </w:tblGrid>
      <w:tr>
        <w:tc>
          <w:tcPr/>
          <w:bookmarkStart w:id="195" w:name="tbl-accuracy-glmm"/>
          <w:p>
            <w:pPr>
              <w:jc w:val="center"/>
            </w:pPr>
            <w:pPr>
              <w:jc w:val="start"/>
              <w:spacing w:before="200"/>
              <w:pStyle w:val="ImageCaption"/>
            </w:pPr>
            <w:r>
              <w:t xml:space="preserve">Table 21: Accuracy GLMM Results</w:t>
            </w:r>
          </w:p>
          <w:tbl>
            <w:tblPr>
              <w:tblStyle w:val="Table"/>
              <w:tblW w:type="pct" w:w="5000"/>
              <w:tblLayout w:type="fixed"/>
              <w:tblLook w:firstRow="1" w:lastRow="0" w:firstColumn="0" w:lastColumn="0" w:noHBand="0" w:noVBand="0" w:val="0020"/>
            </w:tblPr>
            <w:tblGrid>
              <w:gridCol w:w="1955"/>
              <w:gridCol w:w="1271"/>
              <w:gridCol w:w="977"/>
              <w:gridCol w:w="1075"/>
              <w:gridCol w:w="1173"/>
              <w:gridCol w:w="1466"/>
            </w:tblGrid>
            <w:tr>
              <w:trPr>
                <w:tblHeader w:val="on"/>
              </w:trPr>
              <w:tc>
                <w:tcPr/>
                <w:p>
                  <w:pPr>
                    <w:pStyle w:val="Compact"/>
                    <w:jc w:val="left"/>
                    <w:jc w:val="center"/>
                  </w:pPr>
                  <w:r>
                    <w:t xml:space="preserve">term</w:t>
                  </w:r>
                </w:p>
              </w:tc>
              <w:tc>
                <w:tcPr/>
                <w:p>
                  <w:pPr>
                    <w:pStyle w:val="Compact"/>
                    <w:jc w:val="left"/>
                    <w:jc w:val="center"/>
                  </w:pPr>
                  <w:r>
                    <w:t xml:space="preserve">estimate_fmt</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left"/>
                    <w:jc w:val="center"/>
                  </w:pPr>
                  <w:r>
                    <w:t xml:space="preserve">p_value_fmt</w:t>
                  </w:r>
                </w:p>
              </w:tc>
              <w:tc>
                <w:tcPr/>
                <w:p>
                  <w:pPr>
                    <w:pStyle w:val="Compact"/>
                    <w:jc w:val="left"/>
                    <w:jc w:val="center"/>
                  </w:pPr>
                  <w:r>
                    <w:t xml:space="preserve">ci_fmt</w:t>
                  </w:r>
                </w:p>
              </w:tc>
            </w:tr>
            <w:tr>
              <w:tc>
                <w:tcPr/>
                <w:p>
                  <w:pPr>
                    <w:pStyle w:val="Compact"/>
                    <w:jc w:val="left"/>
                    <w:jc w:val="center"/>
                  </w:pPr>
                  <w:r>
                    <w:t xml:space="preserve">Intercept</w:t>
                  </w:r>
                </w:p>
              </w:tc>
              <w:tc>
                <w:tcPr/>
                <w:p>
                  <w:pPr>
                    <w:pStyle w:val="Compact"/>
                    <w:jc w:val="left"/>
                    <w:jc w:val="center"/>
                  </w:pPr>
                  <w:r>
                    <w:t xml:space="preserve">2.08</w:t>
                  </w:r>
                </w:p>
              </w:tc>
              <w:tc>
                <w:tcPr/>
                <w:p>
                  <w:pPr>
                    <w:pStyle w:val="Compact"/>
                    <w:jc w:val="right"/>
                    <w:jc w:val="center"/>
                  </w:pPr>
                  <w:r>
                    <w:t xml:space="preserve">0.1106543</w:t>
                  </w:r>
                </w:p>
              </w:tc>
              <w:tc>
                <w:tcPr/>
                <w:p>
                  <w:pPr>
                    <w:pStyle w:val="Compact"/>
                    <w:jc w:val="right"/>
                    <w:jc w:val="center"/>
                  </w:pPr>
                  <w:r>
                    <w:t xml:space="preserve">18.759250</w:t>
                  </w:r>
                </w:p>
              </w:tc>
              <w:tc>
                <w:tcPr/>
                <w:p>
                  <w:pPr>
                    <w:pStyle w:val="Compact"/>
                    <w:jc w:val="left"/>
                    <w:jc w:val="center"/>
                  </w:pPr>
                  <w:r>
                    <w:t xml:space="preserve">&lt;.001</w:t>
                  </w:r>
                </w:p>
              </w:tc>
              <w:tc>
                <w:tcPr/>
                <w:p>
                  <w:pPr>
                    <w:pStyle w:val="Compact"/>
                    <w:jc w:val="left"/>
                    <w:jc w:val="center"/>
                  </w:pPr>
                  <w:r>
                    <w:t xml:space="preserve">[1.86, 2.29]</w:t>
                  </w:r>
                </w:p>
              </w:tc>
            </w:tr>
            <w:tr>
              <w:tc>
                <w:tcPr/>
                <w:p>
                  <w:pPr>
                    <w:pStyle w:val="Compact"/>
                    <w:jc w:val="left"/>
                    <w:jc w:val="center"/>
                  </w:pPr>
                  <w:r>
                    <w:t xml:space="preserve">Difficulty: Hard</w:t>
                  </w:r>
                </w:p>
              </w:tc>
              <w:tc>
                <w:tcPr/>
                <w:p>
                  <w:pPr>
                    <w:pStyle w:val="Compact"/>
                    <w:jc w:val="left"/>
                    <w:jc w:val="center"/>
                  </w:pPr>
                  <w:r>
                    <w:t xml:space="preserve">-2.98</w:t>
                  </w:r>
                </w:p>
              </w:tc>
              <w:tc>
                <w:tcPr/>
                <w:p>
                  <w:pPr>
                    <w:pStyle w:val="Compact"/>
                    <w:jc w:val="right"/>
                    <w:jc w:val="center"/>
                  </w:pPr>
                  <w:r>
                    <w:t xml:space="preserve">0.0481256</w:t>
                  </w:r>
                </w:p>
              </w:tc>
              <w:tc>
                <w:tcPr/>
                <w:p>
                  <w:pPr>
                    <w:pStyle w:val="Compact"/>
                    <w:jc w:val="right"/>
                    <w:jc w:val="center"/>
                  </w:pPr>
                  <w:r>
                    <w:t xml:space="preserve">-61.915433</w:t>
                  </w:r>
                </w:p>
              </w:tc>
              <w:tc>
                <w:tcPr/>
                <w:p>
                  <w:pPr>
                    <w:pStyle w:val="Compact"/>
                    <w:jc w:val="left"/>
                    <w:jc w:val="center"/>
                  </w:pPr>
                  <w:r>
                    <w:t xml:space="preserve">&lt;.001</w:t>
                  </w:r>
                </w:p>
              </w:tc>
              <w:tc>
                <w:tcPr/>
                <w:p>
                  <w:pPr>
                    <w:pStyle w:val="Compact"/>
                    <w:jc w:val="left"/>
                    <w:jc w:val="center"/>
                  </w:pPr>
                  <w:r>
                    <w:t xml:space="preserve">[-3.07, -2.89]</w:t>
                  </w:r>
                </w:p>
              </w:tc>
            </w:tr>
            <w:tr>
              <w:tc>
                <w:tcPr/>
                <w:p>
                  <w:pPr>
                    <w:pStyle w:val="Compact"/>
                    <w:jc w:val="left"/>
                    <w:jc w:val="center"/>
                  </w:pPr>
                  <w:r>
                    <w:t xml:space="preserve">Effort: High_40_MVC</w:t>
                  </w:r>
                </w:p>
              </w:tc>
              <w:tc>
                <w:tcPr/>
                <w:p>
                  <w:pPr>
                    <w:pStyle w:val="Compact"/>
                    <w:jc w:val="left"/>
                    <w:jc w:val="center"/>
                  </w:pPr>
                  <w:r>
                    <w:t xml:space="preserve">-0.16</w:t>
                  </w:r>
                </w:p>
              </w:tc>
              <w:tc>
                <w:tcPr/>
                <w:p>
                  <w:pPr>
                    <w:pStyle w:val="Compact"/>
                    <w:jc w:val="right"/>
                    <w:jc w:val="center"/>
                  </w:pPr>
                  <w:r>
                    <w:t xml:space="preserve">0.0433083</w:t>
                  </w:r>
                </w:p>
              </w:tc>
              <w:tc>
                <w:tcPr/>
                <w:p>
                  <w:pPr>
                    <w:pStyle w:val="Compact"/>
                    <w:jc w:val="right"/>
                    <w:jc w:val="center"/>
                  </w:pPr>
                  <w:r>
                    <w:t xml:space="preserve">-3.619704</w:t>
                  </w:r>
                </w:p>
              </w:tc>
              <w:tc>
                <w:tcPr/>
                <w:p>
                  <w:pPr>
                    <w:pStyle w:val="Compact"/>
                    <w:jc w:val="left"/>
                    <w:jc w:val="center"/>
                  </w:pPr>
                  <w:r>
                    <w:t xml:space="preserve">&lt;.001</w:t>
                  </w:r>
                </w:p>
              </w:tc>
              <w:tc>
                <w:tcPr/>
                <w:p>
                  <w:pPr>
                    <w:pStyle w:val="Compact"/>
                    <w:jc w:val="left"/>
                    <w:jc w:val="center"/>
                  </w:pPr>
                  <w:r>
                    <w:t xml:space="preserve">[-0.24, -0.07]</w:t>
                  </w:r>
                </w:p>
              </w:tc>
            </w:tr>
          </w:tbl>
          <w:bookmarkEnd w:id="195"/>
          <w:p/>
        </w:tc>
      </w:tr>
    </w:tbl>
    <w:tbl>
      <w:tblPr>
        <w:tblStyle w:val="Table"/>
        <w:tblW w:type="pct" w:w="5000"/>
        <w:tblLayout w:type="fixed"/>
        <w:tblLook w:firstRow="0" w:lastRow="0" w:firstColumn="0" w:lastColumn="0" w:noHBand="0" w:noVBand="0" w:val="0000"/>
      </w:tblPr>
      <w:tblGrid>
        <w:gridCol w:w="7920"/>
      </w:tblGrid>
      <w:tr>
        <w:tc>
          <w:tcPr/>
          <w:bookmarkStart w:id="199" w:name="fig-accuracy-distribution"/>
          <w:p>
            <w:pPr>
              <w:pStyle w:val="Compact"/>
              <w:jc w:val="center"/>
            </w:pPr>
            <w:r>
              <w:drawing>
                <wp:inline>
                  <wp:extent cx="4533900" cy="3400425"/>
                  <wp:effectExtent b="0" l="0" r="0" t="0"/>
                  <wp:docPr descr="" title="" id="197" name="Picture"/>
                  <a:graphic>
                    <a:graphicData uri="http://schemas.openxmlformats.org/drawingml/2006/picture">
                      <pic:pic>
                        <pic:nvPicPr>
                          <pic:cNvPr descr="chap3_ddm_results_files/figure-docx/fig-accuracy-distribution-1.png" id="198" name="Picture"/>
                          <pic:cNvPicPr>
                            <a:picLocks noChangeArrowheads="1" noChangeAspect="1"/>
                          </pic:cNvPicPr>
                        </pic:nvPicPr>
                        <pic:blipFill>
                          <a:blip r:embed="rId196"/>
                          <a:stretch>
                            <a:fillRect/>
                          </a:stretch>
                        </pic:blipFill>
                        <pic:spPr bwMode="auto">
                          <a:xfrm>
                            <a:off x="0" y="0"/>
                            <a:ext cx="4533900" cy="34004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Accuracy distribution by condition. Individual subject trajectories (light gray) and group means by effort with approximate 95% CI (mean ± 1.96 SE). Faceted by task and difficulty. Each facet shows cell means (Low vs High effort) within that task × difficulty combination. Narrative text reports marginal mean accuracy across task × effort (Hard vs Easy only); this figure shows cell means for visual inspection. Error bars represent within-subject standard errors calculated using the Cousineau-Morey correction.</w:t>
            </w:r>
          </w:p>
          <w:bookmarkEnd w:id="199"/>
        </w:tc>
      </w:tr>
    </w:tbl>
    <w:p>
      <w:pPr>
        <w:pStyle w:val="BodyText"/>
      </w:pPr>
      <w:r>
        <w:t xml:space="preserve">Mean subject accuracy on Easy and Hard trials:</w:t>
      </w:r>
      <w:r>
        <w:t xml:space="preserve"> </w:t>
      </w:r>
      <w:r>
        <w:rPr>
          <w:i/>
          <w:iCs/>
        </w:rPr>
        <w:t xml:space="preserve">M</w:t>
      </w:r>
      <w:r>
        <w:t xml:space="preserve"> </w:t>
      </w:r>
      <w:r>
        <w:t xml:space="preserve">= 57.3%,</w:t>
      </w:r>
      <w:r>
        <w:t xml:space="preserve"> </w:t>
      </w:r>
      <w:r>
        <w:rPr>
          <w:i/>
          <w:iCs/>
        </w:rPr>
        <w:t xml:space="preserve">SD</w:t>
      </w:r>
      <w:r>
        <w:t xml:space="preserve"> </w:t>
      </w:r>
      <w:r>
        <w:t xml:space="preserve">= 12.9% (</w:t>
      </w:r>
      <w:hyperlink w:anchor="tbl-overall-accuracy">
        <w:r>
          <w:rPr>
            <w:rStyle w:val="Hyperlink"/>
          </w:rPr>
          <w:t xml:space="preserve">Table 22</w:t>
        </w:r>
      </w:hyperlink>
      <w:r>
        <w:t xml:space="preserve">). With Standard trials included, overall accuracy was 63.5%. Range across subjects: 22.2–92.5%.</w:t>
      </w:r>
    </w:p>
    <w:tbl>
      <w:tblPr>
        <w:tblStyle w:val="Table"/>
        <w:tblW w:type="pct" w:w="5000"/>
        <w:tblLayout w:type="fixed"/>
        <w:tblLook w:firstRow="0" w:lastRow="0" w:firstColumn="0" w:lastColumn="0" w:noHBand="0" w:noVBand="0" w:val="0000"/>
      </w:tblPr>
      <w:tblGrid>
        <w:gridCol w:w="7920"/>
      </w:tblGrid>
      <w:tr>
        <w:tc>
          <w:tcPr/>
          <w:bookmarkStart w:id="200" w:name="tbl-overall-accuracy"/>
          <w:p>
            <w:pPr>
              <w:jc w:val="center"/>
            </w:pPr>
            <w:pPr>
              <w:jc w:val="start"/>
              <w:spacing w:before="200"/>
              <w:pStyle w:val="ImageCaption"/>
            </w:pPr>
            <w:r>
              <w:t xml:space="preserve">Table 22: Overall Accuracy Summary for Easy and Hard Trials</w:t>
            </w:r>
          </w:p>
          <w:tbl>
            <w:tblPr>
              <w:tblStyle w:val="Table"/>
              <w:tblW w:type="pct" w:w="5000"/>
              <w:tblLayout w:type="fixed"/>
              <w:tblLook w:firstRow="1" w:lastRow="0" w:firstColumn="0" w:lastColumn="0" w:noHBand="0" w:noVBand="0" w:val="0020"/>
            </w:tblPr>
            <w:tblGrid>
              <w:gridCol w:w="1300"/>
              <w:gridCol w:w="1063"/>
              <w:gridCol w:w="827"/>
              <w:gridCol w:w="1300"/>
              <w:gridCol w:w="945"/>
              <w:gridCol w:w="945"/>
              <w:gridCol w:w="1536"/>
            </w:tblGrid>
            <w:tr>
              <w:trPr>
                <w:tblHeader w:val="on"/>
              </w:trPr>
              <w:tc>
                <w:tcPr/>
                <w:p>
                  <w:pPr>
                    <w:pStyle w:val="Compact"/>
                    <w:jc w:val="right"/>
                    <w:jc w:val="center"/>
                  </w:pPr>
                  <w:r>
                    <w:t xml:space="preserve">n_subjects</w:t>
                  </w:r>
                </w:p>
              </w:tc>
              <w:tc>
                <w:tcPr/>
                <w:p>
                  <w:pPr>
                    <w:pStyle w:val="Compact"/>
                    <w:jc w:val="right"/>
                    <w:jc w:val="center"/>
                  </w:pPr>
                  <w:r>
                    <w:t xml:space="preserve">mean_acc</w:t>
                  </w:r>
                </w:p>
              </w:tc>
              <w:tc>
                <w:tcPr/>
                <w:p>
                  <w:pPr>
                    <w:pStyle w:val="Compact"/>
                    <w:jc w:val="right"/>
                    <w:jc w:val="center"/>
                  </w:pPr>
                  <w:r>
                    <w:t xml:space="preserve">sd_acc</w:t>
                  </w:r>
                </w:p>
              </w:tc>
              <w:tc>
                <w:tcPr/>
                <w:p>
                  <w:pPr>
                    <w:pStyle w:val="Compact"/>
                    <w:jc w:val="right"/>
                    <w:jc w:val="center"/>
                  </w:pPr>
                  <w:r>
                    <w:t xml:space="preserve">median_acc</w:t>
                  </w:r>
                </w:p>
              </w:tc>
              <w:tc>
                <w:tcPr/>
                <w:p>
                  <w:pPr>
                    <w:pStyle w:val="Compact"/>
                    <w:jc w:val="right"/>
                    <w:jc w:val="center"/>
                  </w:pPr>
                  <w:r>
                    <w:t xml:space="preserve">min_acc</w:t>
                  </w:r>
                </w:p>
              </w:tc>
              <w:tc>
                <w:tcPr/>
                <w:p>
                  <w:pPr>
                    <w:pStyle w:val="Compact"/>
                    <w:jc w:val="right"/>
                    <w:jc w:val="center"/>
                  </w:pPr>
                  <w:r>
                    <w:t xml:space="preserve">max_acc</w:t>
                  </w:r>
                </w:p>
              </w:tc>
              <w:tc>
                <w:tcPr/>
                <w:p>
                  <w:pPr>
                    <w:pStyle w:val="Compact"/>
                    <w:jc w:val="right"/>
                    <w:jc w:val="center"/>
                  </w:pPr>
                  <w:r>
                    <w:t xml:space="preserve">total_trials</w:t>
                  </w:r>
                </w:p>
              </w:tc>
            </w:tr>
            <w:tr>
              <w:tc>
                <w:tcPr/>
                <w:p>
                  <w:pPr>
                    <w:pStyle w:val="Compact"/>
                    <w:jc w:val="right"/>
                    <w:jc w:val="center"/>
                  </w:pPr>
                  <w:r>
                    <w:t xml:space="preserve">67</w:t>
                  </w:r>
                </w:p>
              </w:tc>
              <w:tc>
                <w:tcPr/>
                <w:p>
                  <w:pPr>
                    <w:pStyle w:val="Compact"/>
                    <w:jc w:val="right"/>
                    <w:jc w:val="center"/>
                  </w:pPr>
                  <w:r>
                    <w:t xml:space="preserve">57.3</w:t>
                  </w:r>
                </w:p>
              </w:tc>
              <w:tc>
                <w:tcPr/>
                <w:p>
                  <w:pPr>
                    <w:pStyle w:val="Compact"/>
                    <w:jc w:val="right"/>
                    <w:jc w:val="center"/>
                  </w:pPr>
                  <w:r>
                    <w:t xml:space="preserve">12.9</w:t>
                  </w:r>
                </w:p>
              </w:tc>
              <w:tc>
                <w:tcPr/>
                <w:p>
                  <w:pPr>
                    <w:pStyle w:val="Compact"/>
                    <w:jc w:val="right"/>
                    <w:jc w:val="center"/>
                  </w:pPr>
                  <w:r>
                    <w:t xml:space="preserve">56.8</w:t>
                  </w:r>
                </w:p>
              </w:tc>
              <w:tc>
                <w:tcPr/>
                <w:p>
                  <w:pPr>
                    <w:pStyle w:val="Compact"/>
                    <w:jc w:val="right"/>
                    <w:jc w:val="center"/>
                  </w:pPr>
                  <w:r>
                    <w:t xml:space="preserve">22.2</w:t>
                  </w:r>
                </w:p>
              </w:tc>
              <w:tc>
                <w:tcPr/>
                <w:p>
                  <w:pPr>
                    <w:pStyle w:val="Compact"/>
                    <w:jc w:val="right"/>
                    <w:jc w:val="center"/>
                  </w:pPr>
                  <w:r>
                    <w:t xml:space="preserve">92.5</w:t>
                  </w:r>
                </w:p>
              </w:tc>
              <w:tc>
                <w:tcPr/>
                <w:p>
                  <w:pPr>
                    <w:pStyle w:val="Compact"/>
                    <w:jc w:val="right"/>
                    <w:jc w:val="center"/>
                  </w:pPr>
                  <w:r>
                    <w:t xml:space="preserve">14237</w:t>
                  </w:r>
                </w:p>
              </w:tc>
            </w:tr>
          </w:tbl>
          <w:bookmarkEnd w:id="200"/>
          <w:p/>
        </w:tc>
      </w:tr>
    </w:tbl>
    <w:bookmarkEnd w:id="201"/>
    <w:bookmarkStart w:id="207" w:name="a7.3-reaction-time-results"/>
    <w:p>
      <w:pPr>
        <w:pStyle w:val="Heading3"/>
      </w:pPr>
      <w:r>
        <w:t xml:space="preserve">A7.3 Reaction Time Results</w:t>
      </w:r>
    </w:p>
    <w:p>
      <w:pPr>
        <w:pStyle w:val="FirstParagraph"/>
      </w:pPr>
      <w:r>
        <w:t xml:space="preserve">Hard trials were slower than Easy (</w:t>
      </w:r>
      <m:oMath>
        <m:r>
          <m:t>β</m:t>
        </m:r>
        <m:r>
          <m:rPr>
            <m:sty m:val="p"/>
          </m:rPr>
          <m:t>=</m:t>
        </m:r>
        <m:r>
          <m:t>0.243</m:t>
        </m:r>
        <m:r>
          <m:t>s</m:t>
        </m:r>
      </m:oMath>
      <w:r>
        <w:t xml:space="preserve">, 95% CI [0.213, 0.274],</w:t>
      </w:r>
      <w:r>
        <w:t xml:space="preserve"> </w:t>
      </w:r>
      <m:oMath>
        <m:r>
          <m:t>p</m:t>
        </m:r>
        <m:r>
          <m:rPr>
            <m:sty m:val="p"/>
          </m:rPr>
          <m:t>&lt;</m:t>
        </m:r>
        <m:r>
          <m:t>.001</m:t>
        </m:r>
      </m:oMath>
      <w:r>
        <w:t xml:space="preserve">; medians 1.01 s vs. 0.75 s;</w:t>
      </w:r>
      <w:r>
        <w:t xml:space="preserve"> </w:t>
      </w:r>
      <w:hyperlink w:anchor="tbl-rt-lmm">
        <w:r>
          <w:rPr>
            <w:rStyle w:val="Hyperlink"/>
          </w:rPr>
          <w:t xml:space="preserve">Table 23</w:t>
        </w:r>
      </w:hyperlink>
      <w:r>
        <w:t xml:space="preserve">,</w:t>
      </w:r>
      <w:r>
        <w:t xml:space="preserve"> </w:t>
      </w:r>
      <w:hyperlink w:anchor="fig-rt-distribution">
        <w:r>
          <w:rPr>
            <w:rStyle w:val="Hyperlink"/>
          </w:rPr>
          <w:t xml:space="preserve">Figure 22</w:t>
        </w:r>
      </w:hyperlink>
      <w:r>
        <w:t xml:space="preserve">). Effort did not affect RT credibly (</w:t>
      </w:r>
      <m:oMath>
        <m:r>
          <m:t>β</m:t>
        </m:r>
        <m:r>
          <m:rPr>
            <m:sty m:val="p"/>
          </m:rPr>
          <m:t>=</m:t>
        </m:r>
        <m:r>
          <m:t>0.011</m:t>
        </m:r>
        <m:r>
          <m:t>s</m:t>
        </m:r>
      </m:oMath>
      <w:r>
        <w:t xml:space="preserve">, 95% CI [-0.019, 0.041]).</w:t>
      </w:r>
    </w:p>
    <w:tbl>
      <w:tblPr>
        <w:tblStyle w:val="Table"/>
        <w:tblW w:type="pct" w:w="5000"/>
        <w:tblLayout w:type="fixed"/>
        <w:tblLook w:firstRow="0" w:lastRow="0" w:firstColumn="0" w:lastColumn="0" w:noHBand="0" w:noVBand="0" w:val="0000"/>
      </w:tblPr>
      <w:tblGrid>
        <w:gridCol w:w="7920"/>
      </w:tblGrid>
      <w:tr>
        <w:tc>
          <w:tcPr/>
          <w:bookmarkStart w:id="202" w:name="tbl-rt-lmm"/>
          <w:p>
            <w:pPr>
              <w:jc w:val="center"/>
            </w:pPr>
            <w:pPr>
              <w:jc w:val="start"/>
              <w:spacing w:before="200"/>
              <w:pStyle w:val="ImageCaption"/>
            </w:pPr>
            <w:r>
              <w:t xml:space="preserve">Table 23: RT LMM Results</w:t>
            </w:r>
          </w:p>
          <w:tbl>
            <w:tblPr>
              <w:tblStyle w:val="Table"/>
              <w:tblW w:type="pct" w:w="5000"/>
              <w:tblLayout w:type="fixed"/>
              <w:tblLook w:firstRow="1" w:lastRow="0" w:firstColumn="0" w:lastColumn="0" w:noHBand="0" w:noVBand="0" w:val="0020"/>
            </w:tblPr>
            <w:tblGrid>
              <w:gridCol w:w="2295"/>
              <w:gridCol w:w="1492"/>
              <w:gridCol w:w="1147"/>
              <w:gridCol w:w="1147"/>
              <w:gridCol w:w="1836"/>
            </w:tblGrid>
            <w:tr>
              <w:trPr>
                <w:tblHeader w:val="on"/>
              </w:trPr>
              <w:tc>
                <w:tcPr/>
                <w:p>
                  <w:pPr>
                    <w:pStyle w:val="Compact"/>
                    <w:jc w:val="left"/>
                    <w:jc w:val="center"/>
                  </w:pPr>
                  <w:r>
                    <w:t xml:space="preserve">term</w:t>
                  </w:r>
                </w:p>
              </w:tc>
              <w:tc>
                <w:tcPr/>
                <w:p>
                  <w:pPr>
                    <w:pStyle w:val="Compact"/>
                    <w:jc w:val="left"/>
                    <w:jc w:val="center"/>
                  </w:pPr>
                  <w:r>
                    <w:t xml:space="preserve">estimate_fmt</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left"/>
                    <w:jc w:val="center"/>
                  </w:pPr>
                  <w:r>
                    <w:t xml:space="preserve">ci_fmt</w:t>
                  </w:r>
                </w:p>
              </w:tc>
            </w:tr>
            <w:tr>
              <w:tc>
                <w:tcPr/>
                <w:p>
                  <w:pPr>
                    <w:pStyle w:val="Compact"/>
                    <w:jc w:val="left"/>
                    <w:jc w:val="center"/>
                  </w:pPr>
                  <w:r>
                    <w:t xml:space="preserve">Intercept</w:t>
                  </w:r>
                </w:p>
              </w:tc>
              <w:tc>
                <w:tcPr/>
                <w:p>
                  <w:pPr>
                    <w:pStyle w:val="Compact"/>
                    <w:jc w:val="left"/>
                    <w:jc w:val="center"/>
                  </w:pPr>
                  <w:r>
                    <w:t xml:space="preserve">0.777</w:t>
                  </w:r>
                </w:p>
              </w:tc>
              <w:tc>
                <w:tcPr/>
                <w:p>
                  <w:pPr>
                    <w:pStyle w:val="Compact"/>
                    <w:jc w:val="right"/>
                    <w:jc w:val="center"/>
                  </w:pPr>
                  <w:r>
                    <w:t xml:space="preserve">0.0326046</w:t>
                  </w:r>
                </w:p>
              </w:tc>
              <w:tc>
                <w:tcPr/>
                <w:p>
                  <w:pPr>
                    <w:pStyle w:val="Compact"/>
                    <w:jc w:val="right"/>
                    <w:jc w:val="center"/>
                  </w:pPr>
                  <w:r>
                    <w:t xml:space="preserve">23.836465</w:t>
                  </w:r>
                </w:p>
              </w:tc>
              <w:tc>
                <w:tcPr/>
                <w:p>
                  <w:pPr>
                    <w:pStyle w:val="Compact"/>
                    <w:jc w:val="left"/>
                    <w:jc w:val="center"/>
                  </w:pPr>
                  <w:r>
                    <w:t xml:space="preserve">[0.713, 0.841]</w:t>
                  </w:r>
                </w:p>
              </w:tc>
            </w:tr>
            <w:tr>
              <w:tc>
                <w:tcPr/>
                <w:p>
                  <w:pPr>
                    <w:pStyle w:val="Compact"/>
                    <w:jc w:val="left"/>
                    <w:jc w:val="center"/>
                  </w:pPr>
                  <w:r>
                    <w:t xml:space="preserve">Difficulty: Hard</w:t>
                  </w:r>
                </w:p>
              </w:tc>
              <w:tc>
                <w:tcPr/>
                <w:p>
                  <w:pPr>
                    <w:pStyle w:val="Compact"/>
                    <w:jc w:val="left"/>
                    <w:jc w:val="center"/>
                  </w:pPr>
                  <w:r>
                    <w:t xml:space="preserve">0.243</w:t>
                  </w:r>
                </w:p>
              </w:tc>
              <w:tc>
                <w:tcPr/>
                <w:p>
                  <w:pPr>
                    <w:pStyle w:val="Compact"/>
                    <w:jc w:val="right"/>
                    <w:jc w:val="center"/>
                  </w:pPr>
                  <w:r>
                    <w:t xml:space="preserve">0.0154262</w:t>
                  </w:r>
                </w:p>
              </w:tc>
              <w:tc>
                <w:tcPr/>
                <w:p>
                  <w:pPr>
                    <w:pStyle w:val="Compact"/>
                    <w:jc w:val="right"/>
                    <w:jc w:val="center"/>
                  </w:pPr>
                  <w:r>
                    <w:t xml:space="preserve">15.774029</w:t>
                  </w:r>
                </w:p>
              </w:tc>
              <w:tc>
                <w:tcPr/>
                <w:p>
                  <w:pPr>
                    <w:pStyle w:val="Compact"/>
                    <w:jc w:val="left"/>
                    <w:jc w:val="center"/>
                  </w:pPr>
                  <w:r>
                    <w:t xml:space="preserve">[0.213, 0.274]</w:t>
                  </w:r>
                </w:p>
              </w:tc>
            </w:tr>
            <w:tr>
              <w:tc>
                <w:tcPr/>
                <w:p>
                  <w:pPr>
                    <w:pStyle w:val="Compact"/>
                    <w:jc w:val="left"/>
                    <w:jc w:val="center"/>
                  </w:pPr>
                  <w:r>
                    <w:t xml:space="preserve">Effort: High_40_MVC</w:t>
                  </w:r>
                </w:p>
              </w:tc>
              <w:tc>
                <w:tcPr/>
                <w:p>
                  <w:pPr>
                    <w:pStyle w:val="Compact"/>
                    <w:jc w:val="left"/>
                    <w:jc w:val="center"/>
                  </w:pPr>
                  <w:r>
                    <w:t xml:space="preserve">0.011</w:t>
                  </w:r>
                </w:p>
              </w:tc>
              <w:tc>
                <w:tcPr/>
                <w:p>
                  <w:pPr>
                    <w:pStyle w:val="Compact"/>
                    <w:jc w:val="right"/>
                    <w:jc w:val="center"/>
                  </w:pPr>
                  <w:r>
                    <w:t xml:space="preserve">0.0154262</w:t>
                  </w:r>
                </w:p>
              </w:tc>
              <w:tc>
                <w:tcPr/>
                <w:p>
                  <w:pPr>
                    <w:pStyle w:val="Compact"/>
                    <w:jc w:val="right"/>
                    <w:jc w:val="center"/>
                  </w:pPr>
                  <w:r>
                    <w:t xml:space="preserve">0.721441</w:t>
                  </w:r>
                </w:p>
              </w:tc>
              <w:tc>
                <w:tcPr/>
                <w:p>
                  <w:pPr>
                    <w:pStyle w:val="Compact"/>
                    <w:jc w:val="left"/>
                    <w:jc w:val="center"/>
                  </w:pPr>
                  <w:r>
                    <w:t xml:space="preserve">[-0.019, 0.041]</w:t>
                  </w:r>
                </w:p>
              </w:tc>
            </w:tr>
          </w:tbl>
          <w:bookmarkEnd w:id="202"/>
          <w:p/>
        </w:tc>
      </w:tr>
    </w:tbl>
    <w:tbl>
      <w:tblPr>
        <w:tblStyle w:val="Table"/>
        <w:tblW w:type="pct" w:w="5000"/>
        <w:tblLayout w:type="fixed"/>
        <w:tblLook w:firstRow="0" w:lastRow="0" w:firstColumn="0" w:lastColumn="0" w:noHBand="0" w:noVBand="0" w:val="0000"/>
      </w:tblPr>
      <w:tblGrid>
        <w:gridCol w:w="7920"/>
      </w:tblGrid>
      <w:tr>
        <w:tc>
          <w:tcPr/>
          <w:bookmarkStart w:id="206" w:name="fig-rt-distribution"/>
          <w:p>
            <w:pPr>
              <w:pStyle w:val="Compact"/>
              <w:jc w:val="center"/>
            </w:pPr>
            <w:r>
              <w:drawing>
                <wp:inline>
                  <wp:extent cx="4533900" cy="4533900"/>
                  <wp:effectExtent b="0" l="0" r="0" t="0"/>
                  <wp:docPr descr="" title="" id="204" name="Picture"/>
                  <a:graphic>
                    <a:graphicData uri="http://schemas.openxmlformats.org/drawingml/2006/picture">
                      <pic:pic>
                        <pic:nvPicPr>
                          <pic:cNvPr descr="chap3_ddm_results_files/figure-docx/fig-rt-distribution-1.png" id="205" name="Picture"/>
                          <pic:cNvPicPr>
                            <a:picLocks noChangeArrowheads="1" noChangeAspect="1"/>
                          </pic:cNvPicPr>
                        </pic:nvPicPr>
                        <pic:blipFill>
                          <a:blip r:embed="rId203"/>
                          <a:stretch>
                            <a:fillRect/>
                          </a:stretch>
                        </pic:blipFill>
                        <pic:spPr bwMode="auto">
                          <a:xfrm>
                            <a:off x="0" y="0"/>
                            <a:ext cx="4533900" cy="45339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RT Distribution by Condition. Density plots showing empirical RT distributions for each Task × Difficulty × Effort combination. The x-axis spans 0–3 s, matching the 3-s response window. RTs are strongly right-skewed, with most responses in the 0.5–1.5 s range. Easy conditions show faster RTs (peaks shifted left); Hard and Standard conditions show slower RTs (peaks shifted right). Effort effects are subtle compared to difficulty effects.</w:t>
            </w:r>
          </w:p>
          <w:bookmarkEnd w:id="206"/>
        </w:tc>
      </w:tr>
    </w:tbl>
    <w:p>
      <w:pPr>
        <w:pStyle w:val="BodyText"/>
      </w:pPr>
      <w:r>
        <w:t xml:space="preserve">Difficulty affected accuracy and RT; effort affected accuracy only. Both manipulations worked as intended.</w:t>
      </w:r>
    </w:p>
    <w:bookmarkEnd w:id="207"/>
    <w:bookmarkEnd w:id="208"/>
    <w:bookmarkStart w:id="218" w:name="sec-appendix-a8"/>
    <w:p>
      <w:pPr>
        <w:pStyle w:val="Heading2"/>
      </w:pPr>
      <w:r>
        <w:t xml:space="preserve">A8. Exploratory LC Structural Correlates</w:t>
      </w:r>
    </w:p>
    <w:p>
      <w:pPr>
        <w:pStyle w:val="FirstParagraph"/>
      </w:pPr>
      <w:r>
        <w:t xml:space="preserve">LC MRI in a subset of participants (</w:t>
      </w:r>
      <w:r>
        <w:t xml:space="preserve">(Bennett et al., 2024)</w:t>
      </w:r>
      <w:r>
        <w:t xml:space="preserve">; overlapping BAP cohort). Exploratory only — not used for hypothesis tests or model selection.</w:t>
      </w:r>
    </w:p>
    <w:p>
      <w:pPr>
        <w:pStyle w:val="BodyText"/>
      </w:pPr>
      <w:r>
        <w:rPr>
          <w:b/>
          <w:bCs/>
        </w:rPr>
        <w:t xml:space="preserve">Sample.</w:t>
      </w:r>
      <w:r>
        <w:t xml:space="preserve"> </w:t>
      </w:r>
      <w:r>
        <w:t xml:space="preserve">67 participants had LC metrics and DDM random effects; 57 had complete NODDI data. The LC subset did not differ from others on accuracy, RT, effort cost, or age (</w:t>
      </w:r>
      <w:r>
        <w:rPr>
          <w:i/>
          <w:iCs/>
        </w:rPr>
        <w:t xml:space="preserve">p</w:t>
      </w:r>
      <w:r>
        <w:t xml:space="preserve"> </w:t>
      </w:r>
      <w:r>
        <w:t xml:space="preserve">&gt; .19).</w:t>
      </w:r>
    </w:p>
    <w:p>
      <w:pPr>
        <w:pStyle w:val="BodyText"/>
      </w:pPr>
      <w:r>
        <w:rPr>
          <w:b/>
          <w:bCs/>
        </w:rPr>
        <w:t xml:space="preserve">Metrics.</w:t>
      </w:r>
      <w:r>
        <w:t xml:space="preserve"> </w:t>
      </w:r>
      <w:r>
        <w:t xml:space="preserve">LC CNR, NODDI fISO/fICVF, and composites (Composite</w:t>
      </w:r>
      <w:r>
        <w:rPr>
          <w:vertAlign w:val="subscript"/>
        </w:rPr>
        <w:t xml:space="preserve">v2</w:t>
      </w:r>
      <w:r>
        <w:t xml:space="preserve">, PC1</w:t>
      </w:r>
      <w:r>
        <w:rPr>
          <w:vertAlign w:val="subscript"/>
        </w:rPr>
        <w:t xml:space="preserve">v2</w:t>
      </w:r>
      <w:r>
        <w:t xml:space="preserve">). Outcomes:</w:t>
      </w:r>
      <w:r>
        <w:t xml:space="preserve"> </w:t>
      </w:r>
      <m:oMath>
        <m:r>
          <m:t>d</m:t>
        </m:r>
        <m:r>
          <m:rPr>
            <m:sty m:val="p"/>
          </m:rPr>
          <m:t>′</m:t>
        </m:r>
      </m:oMath>
      <w:r>
        <w:t xml:space="preserve"> </w:t>
      </w:r>
      <w:r>
        <w:t xml:space="preserve">variability and mean, |RT effort cost|, baseline DDM parameters (</w:t>
      </w:r>
      <w:r>
        <w:rPr>
          <w:i/>
          <w:iCs/>
        </w:rPr>
        <w:t xml:space="preserve">v</w:t>
      </w:r>
      <w:r>
        <w:t xml:space="preserve">,</w:t>
      </w:r>
      <w:r>
        <w:t xml:space="preserve"> </w:t>
      </w:r>
      <w:r>
        <w:rPr>
          <w:i/>
          <w:iCs/>
        </w:rPr>
        <w:t xml:space="preserve">a</w:t>
      </w:r>
      <w:r>
        <w:t xml:space="preserve">,</w:t>
      </w:r>
      <w:r>
        <w:t xml:space="preserve"> </w:t>
      </w:r>
      <w:r>
        <w:rPr>
          <w:i/>
          <w:iCs/>
        </w:rPr>
        <w:t xml:space="preserve">z</w:t>
      </w:r>
      <w:r>
        <w:t xml:space="preserve">), mean TEPR. Partial correlations controlled for age and sex.</w:t>
      </w:r>
    </w:p>
    <w:p>
      <w:pPr>
        <w:pStyle w:val="BodyText"/>
      </w:pPr>
      <w:r>
        <w:rPr>
          <w:b/>
          <w:bCs/>
        </w:rPr>
        <w:t xml:space="preserve">Results.</w:t>
      </w:r>
      <w:r>
        <w:t xml:space="preserve"> </w:t>
      </w:r>
      <w:r>
        <w:t xml:space="preserve">Higher LC fISO predicted greater</w:t>
      </w:r>
      <w:r>
        <w:t xml:space="preserve"> </w:t>
      </w:r>
      <m:oMath>
        <m:r>
          <m:t>d</m:t>
        </m:r>
        <m:r>
          <m:rPr>
            <m:sty m:val="p"/>
          </m:rPr>
          <m:t>′</m:t>
        </m:r>
      </m:oMath>
      <w:r>
        <w:t xml:space="preserve"> </w:t>
      </w:r>
      <w:r>
        <w:t xml:space="preserve">variability (partial</w:t>
      </w:r>
      <w:r>
        <w:t xml:space="preserve"> </w:t>
      </w:r>
      <w:r>
        <w:rPr>
          <w:i/>
          <w:iCs/>
        </w:rPr>
        <w:t xml:space="preserve">r</w:t>
      </w:r>
      <w:r>
        <w:t xml:space="preserve"> </w:t>
      </w:r>
      <w:r>
        <w:t xml:space="preserve">= 0.40,</w:t>
      </w:r>
      <w:r>
        <w:t xml:space="preserve"> </w:t>
      </w:r>
      <w:r>
        <w:rPr>
          <w:i/>
          <w:iCs/>
        </w:rPr>
        <w:t xml:space="preserve">p</w:t>
      </w:r>
      <w:r>
        <w:t xml:space="preserve"> </w:t>
      </w:r>
      <w:r>
        <w:t xml:space="preserve">= 0.002,</w:t>
      </w:r>
      <w:r>
        <w:t xml:space="preserve"> </w:t>
      </w:r>
      <w:r>
        <w:rPr>
          <w:i/>
          <w:iCs/>
        </w:rPr>
        <w:t xml:space="preserve">n</w:t>
      </w:r>
      <w:r>
        <w:t xml:space="preserve"> </w:t>
      </w:r>
      <w:r>
        <w:t xml:space="preserve">= 57) but not mean</w:t>
      </w:r>
      <w:r>
        <w:t xml:space="preserve"> </w:t>
      </w:r>
      <m:oMath>
        <m:r>
          <m:t>d</m:t>
        </m:r>
        <m:r>
          <m:rPr>
            <m:sty m:val="p"/>
          </m:rPr>
          <m:t>′</m:t>
        </m:r>
      </m:oMath>
      <w:r>
        <w:t xml:space="preserve"> </w:t>
      </w:r>
      <w:r>
        <w:t xml:space="preserve">(</w:t>
      </w:r>
      <w:r>
        <w:rPr>
          <w:i/>
          <w:iCs/>
        </w:rPr>
        <w:t xml:space="preserve">p</w:t>
      </w:r>
      <w:r>
        <w:t xml:space="preserve"> </w:t>
      </w:r>
      <w:r>
        <w:t xml:space="preserve">= 0.18). LC fISO correlated with lower baseline</w:t>
      </w:r>
      <w:r>
        <w:t xml:space="preserve"> </w:t>
      </w:r>
      <w:r>
        <w:rPr>
          <w:i/>
          <w:iCs/>
        </w:rPr>
        <w:t xml:space="preserve">a</w:t>
      </w:r>
      <w:r>
        <w:t xml:space="preserve"> </w:t>
      </w:r>
      <w:r>
        <w:t xml:space="preserve">(partial</w:t>
      </w:r>
      <w:r>
        <w:t xml:space="preserve"> </w:t>
      </w:r>
      <w:r>
        <w:rPr>
          <w:i/>
          <w:iCs/>
        </w:rPr>
        <w:t xml:space="preserve">r</w:t>
      </w:r>
      <w:r>
        <w:t xml:space="preserve"> </w:t>
      </w:r>
      <w:r>
        <w:t xml:space="preserve">= -0.39,</w:t>
      </w:r>
      <w:r>
        <w:t xml:space="preserve"> </w:t>
      </w:r>
      <w:r>
        <w:rPr>
          <w:i/>
          <w:iCs/>
        </w:rPr>
        <w:t xml:space="preserve">p</w:t>
      </w:r>
      <w:r>
        <w:t xml:space="preserve"> </w:t>
      </w:r>
      <w:r>
        <w:t xml:space="preserve">= 0.003); not with</w:t>
      </w:r>
      <w:r>
        <w:t xml:space="preserve"> </w:t>
      </w:r>
      <w:r>
        <w:rPr>
          <w:i/>
          <w:iCs/>
        </w:rPr>
        <w:t xml:space="preserve">v</w:t>
      </w:r>
      <w:r>
        <w:t xml:space="preserve"> </w:t>
      </w:r>
      <w:r>
        <w:t xml:space="preserve">(</w:t>
      </w:r>
      <w:r>
        <w:rPr>
          <w:i/>
          <w:iCs/>
        </w:rPr>
        <w:t xml:space="preserve">p</w:t>
      </w:r>
      <w:r>
        <w:t xml:space="preserve"> </w:t>
      </w:r>
      <w:r>
        <w:t xml:space="preserve">= 0.24),</w:t>
      </w:r>
      <w:r>
        <w:t xml:space="preserve"> </w:t>
      </w:r>
      <w:r>
        <w:rPr>
          <w:i/>
          <w:iCs/>
        </w:rPr>
        <w:t xml:space="preserve">z</w:t>
      </w:r>
      <w:r>
        <w:t xml:space="preserve"> </w:t>
      </w:r>
      <w:r>
        <w:t xml:space="preserve">(</w:t>
      </w:r>
      <w:r>
        <w:rPr>
          <w:i/>
          <w:iCs/>
        </w:rPr>
        <w:t xml:space="preserve">p</w:t>
      </w:r>
      <w:r>
        <w:t xml:space="preserve"> </w:t>
      </w:r>
      <w:r>
        <w:t xml:space="preserve">&gt; .80), or TEPR (</w:t>
      </w:r>
      <w:r>
        <w:rPr>
          <w:i/>
          <w:iCs/>
        </w:rPr>
        <w:t xml:space="preserve">p</w:t>
      </w:r>
      <w:r>
        <w:t xml:space="preserve"> </w:t>
      </w:r>
      <w:r>
        <w:t xml:space="preserve">= 0.10; CNR vs. TEPR:</w:t>
      </w:r>
      <w:r>
        <w:t xml:space="preserve"> </w:t>
      </w:r>
      <w:r>
        <w:rPr>
          <w:i/>
          <w:iCs/>
        </w:rPr>
        <w:t xml:space="preserve">p</w:t>
      </w:r>
      <w:r>
        <w:t xml:space="preserve"> </w:t>
      </w:r>
      <w:r>
        <w:t xml:space="preserve">= 0.19).</w:t>
      </w:r>
    </w:p>
    <w:p>
      <w:pPr>
        <w:pStyle w:val="BodyText"/>
      </w:pPr>
      <w:hyperlink w:anchor="tbl-lc-exploratory-correlations">
        <w:r>
          <w:rPr>
            <w:rStyle w:val="Hyperlink"/>
          </w:rPr>
          <w:t xml:space="preserve">Table 24</w:t>
        </w:r>
      </w:hyperlink>
      <w:r>
        <w:t xml:space="preserve"> </w:t>
      </w:r>
      <w:r>
        <w:t xml:space="preserve">lists targeted associations.</w:t>
      </w:r>
      <w:r>
        <w:t xml:space="preserve"> </w:t>
      </w:r>
      <w:hyperlink w:anchor="fig-lc-fiso-dprime-variability">
        <w:r>
          <w:rPr>
            <w:rStyle w:val="Hyperlink"/>
          </w:rPr>
          <w:t xml:space="preserve">Figure 23</w:t>
        </w:r>
      </w:hyperlink>
      <w:r>
        <w:t xml:space="preserve"> </w:t>
      </w:r>
      <w:r>
        <w:t xml:space="preserve">and</w:t>
      </w:r>
      <w:r>
        <w:t xml:space="preserve"> </w:t>
      </w:r>
      <w:hyperlink w:anchor="fig-lc-fiso-four-panel">
        <w:r>
          <w:rPr>
            <w:rStyle w:val="Hyperlink"/>
          </w:rPr>
          <w:t xml:space="preserve">Figure 24</w:t>
        </w:r>
      </w:hyperlink>
      <w:r>
        <w:t xml:space="preserve"> </w:t>
      </w:r>
      <w:r>
        <w:t xml:space="preserve">show the main patterns.</w:t>
      </w:r>
    </w:p>
    <w:p>
      <w:pPr>
        <w:pStyle w:val="BodyText"/>
      </w:pPr>
      <w:r>
        <w:t xml:space="preserve">These results do not change the group-level effort → drift finding. They suggest LC free-water diffusion may relate to between-person variability in sensitivity and baseline caution.</w:t>
      </w:r>
    </w:p>
    <w:tbl>
      <w:tblPr>
        <w:tblStyle w:val="Table"/>
        <w:tblW w:type="pct" w:w="5000"/>
        <w:tblLayout w:type="fixed"/>
        <w:tblLook w:firstRow="0" w:lastRow="0" w:firstColumn="0" w:lastColumn="0" w:noHBand="0" w:noVBand="0" w:val="0000"/>
      </w:tblPr>
      <w:tblGrid>
        <w:gridCol w:w="7920"/>
      </w:tblGrid>
      <w:tr>
        <w:tc>
          <w:tcPr/>
          <w:bookmarkStart w:id="209" w:name="tbl-lc-exploratory-correlations"/>
          <w:p>
            <w:pPr>
              <w:jc w:val="center"/>
            </w:pPr>
            <w:pPr>
              <w:jc w:val="start"/>
              <w:spacing w:before="200"/>
              <w:pStyle w:val="ImageCaption"/>
            </w:pPr>
            <w:r>
              <w:t xml:space="preserve">Table 24: Exploratory partial correlations between LC metrics and behavioral/DDM outcomes (age and sex partialled).</w:t>
            </w:r>
          </w:p>
          <w:tbl>
            <w:tblPr>
              <w:tblStyle w:val="Table"/>
              <w:tblW w:type="pct" w:w="5000"/>
              <w:tblLayout w:type="fixed"/>
              <w:tblLook w:firstRow="1" w:lastRow="0" w:firstColumn="0" w:lastColumn="0" w:noHBand="0" w:noVBand="0" w:val="0020"/>
            </w:tblPr>
            <w:tblGrid>
              <w:gridCol w:w="2053"/>
              <w:gridCol w:w="3226"/>
              <w:gridCol w:w="977"/>
              <w:gridCol w:w="782"/>
              <w:gridCol w:w="586"/>
              <w:gridCol w:w="293"/>
            </w:tblGrid>
            <w:tr>
              <w:trPr>
                <w:tblHeader w:val="on"/>
              </w:trPr>
              <w:tc>
                <w:tcPr/>
                <w:p>
                  <w:pPr>
                    <w:pStyle w:val="Compact"/>
                    <w:jc w:val="left"/>
                    <w:jc w:val="center"/>
                  </w:pPr>
                  <w:r>
                    <w:t xml:space="preserve">Predictor</w:t>
                  </w:r>
                </w:p>
              </w:tc>
              <w:tc>
                <w:tcPr/>
                <w:p>
                  <w:pPr>
                    <w:pStyle w:val="Compact"/>
                    <w:jc w:val="left"/>
                    <w:jc w:val="center"/>
                  </w:pPr>
                  <w:r>
                    <w:t xml:space="preserve">Outcome</w:t>
                  </w:r>
                </w:p>
              </w:tc>
              <w:tc>
                <w:tcPr/>
                <w:p>
                  <w:pPr>
                    <w:pStyle w:val="Compact"/>
                    <w:jc w:val="right"/>
                    <w:jc w:val="center"/>
                  </w:pPr>
                  <w:r>
                    <w:t xml:space="preserve">Partial r</w:t>
                  </w:r>
                </w:p>
              </w:tc>
              <w:tc>
                <w:tcPr/>
                <w:p>
                  <w:pPr>
                    <w:pStyle w:val="Compact"/>
                    <w:jc w:val="left"/>
                    <w:jc w:val="center"/>
                  </w:pPr>
                  <w:r>
                    <w:t xml:space="preserve">p</w:t>
                  </w:r>
                </w:p>
              </w:tc>
              <w:tc>
                <w:tcPr/>
                <w:p>
                  <w:pPr>
                    <w:pStyle w:val="Compact"/>
                    <w:jc w:val="left"/>
                    <w:jc w:val="center"/>
                  </w:pPr>
                  <w:r>
                    <w:t xml:space="preserve">FDR q</w:t>
                  </w:r>
                </w:p>
              </w:tc>
              <w:tc>
                <w:tcPr/>
                <w:p>
                  <w:pPr>
                    <w:pStyle w:val="Compact"/>
                    <w:jc w:val="right"/>
                    <w:jc w:val="center"/>
                  </w:pPr>
                  <w:r>
                    <w:t xml:space="preserve">n</w:t>
                  </w:r>
                </w:p>
              </w:tc>
            </w:tr>
            <w:tr>
              <w:tc>
                <w:tcPr/>
                <w:p>
                  <w:pPr>
                    <w:pStyle w:val="Compact"/>
                    <w:jc w:val="left"/>
                    <w:jc w:val="center"/>
                  </w:pPr>
                  <w:r>
                    <w:t xml:space="preserve">LC CNR (max)</w:t>
                  </w:r>
                </w:p>
              </w:tc>
              <w:tc>
                <w:tcPr/>
                <w:p>
                  <w:pPr>
                    <w:pStyle w:val="Compact"/>
                    <w:jc w:val="left"/>
                    <w:jc w:val="center"/>
                  </w:pPr>
                  <m:oMath>
                    <m:r>
                      <m:t>d</m:t>
                    </m:r>
                    <m:r>
                      <m:rPr>
                        <m:sty m:val="p"/>
                      </m:rPr>
                      <m:t>′</m:t>
                    </m:r>
                  </m:oMath>
                  <w:r>
                    <w:t xml:space="preserve"> </w:t>
                  </w:r>
                  <w:r>
                    <w:t xml:space="preserve">variability</w:t>
                  </w:r>
                </w:p>
              </w:tc>
              <w:tc>
                <w:tcPr/>
                <w:p>
                  <w:pPr>
                    <w:pStyle w:val="Compact"/>
                    <w:jc w:val="right"/>
                    <w:jc w:val="center"/>
                  </w:pPr>
                  <w:r>
                    <w:t xml:space="preserve">0.199</w:t>
                  </w:r>
                </w:p>
              </w:tc>
              <w:tc>
                <w:tcPr/>
                <w:p>
                  <w:pPr>
                    <w:pStyle w:val="Compact"/>
                    <w:jc w:val="left"/>
                    <w:jc w:val="center"/>
                  </w:pPr>
                  <w:r>
                    <w:t xml:space="preserve">0.133</w:t>
                  </w:r>
                </w:p>
              </w:tc>
              <w:tc>
                <w:tcPr/>
                <w:p>
                  <w:pPr>
                    <w:pStyle w:val="Compact"/>
                    <w:jc w:val="left"/>
                    <w:jc w:val="center"/>
                  </w:pPr>
                  <w:r>
                    <w:t xml:space="preserve">0.303</w:t>
                  </w:r>
                </w:p>
              </w:tc>
              <w:tc>
                <w:tcPr/>
                <w:p>
                  <w:pPr>
                    <w:pStyle w:val="Compact"/>
                    <w:jc w:val="right"/>
                    <w:jc w:val="center"/>
                  </w:pPr>
                  <w:r>
                    <w:t xml:space="preserve">58</w:t>
                  </w:r>
                </w:p>
              </w:tc>
            </w:tr>
            <w:tr>
              <w:tc>
                <w:tcPr/>
                <w:p>
                  <w:pPr>
                    <w:pStyle w:val="Compact"/>
                    <w:jc w:val="left"/>
                    <w:jc w:val="center"/>
                  </w:pPr>
                  <w:r>
                    <w:t xml:space="preserve">LC CNR (max)</w:t>
                  </w:r>
                </w:p>
              </w:tc>
              <w:tc>
                <w:tcPr/>
                <w:p>
                  <w:pPr>
                    <w:pStyle w:val="Compact"/>
                    <w:jc w:val="left"/>
                    <w:jc w:val="center"/>
                  </w:pPr>
                  <w:r>
                    <w:t xml:space="preserve">Mean TEPR</w:t>
                  </w:r>
                </w:p>
              </w:tc>
              <w:tc>
                <w:tcPr/>
                <w:p>
                  <w:pPr>
                    <w:pStyle w:val="Compact"/>
                    <w:jc w:val="right"/>
                    <w:jc w:val="center"/>
                  </w:pPr>
                  <w:r>
                    <w:t xml:space="preserve">0.175</w:t>
                  </w:r>
                </w:p>
              </w:tc>
              <w:tc>
                <w:tcPr/>
                <w:p>
                  <w:pPr>
                    <w:pStyle w:val="Compact"/>
                    <w:jc w:val="left"/>
                    <w:jc w:val="center"/>
                  </w:pPr>
                  <w:r>
                    <w:t xml:space="preserve">0.188</w:t>
                  </w:r>
                </w:p>
              </w:tc>
              <w:tc>
                <w:tcPr/>
                <w:p>
                  <w:pPr>
                    <w:pStyle w:val="Compact"/>
                    <w:jc w:val="left"/>
                    <w:jc w:val="center"/>
                  </w:pPr>
                  <w:r>
                    <w:t xml:space="preserve">0.389</w:t>
                  </w:r>
                </w:p>
              </w:tc>
              <w:tc>
                <w:tcPr/>
                <w:p>
                  <w:pPr>
                    <w:pStyle w:val="Compact"/>
                    <w:jc w:val="right"/>
                    <w:jc w:val="center"/>
                  </w:pPr>
                  <w:r>
                    <w:t xml:space="preserve">58</w:t>
                  </w:r>
                </w:p>
              </w:tc>
            </w:tr>
            <w:tr>
              <w:tc>
                <w:tcPr/>
                <w:p>
                  <w:pPr>
                    <w:pStyle w:val="Compact"/>
                    <w:jc w:val="left"/>
                    <w:jc w:val="center"/>
                  </w:pPr>
                  <w:r>
                    <w:t xml:space="preserve">LC CNR (max)</w:t>
                  </w:r>
                </w:p>
              </w:tc>
              <w:tc>
                <w:tcPr/>
                <w:p>
                  <w:pPr>
                    <w:pStyle w:val="Compact"/>
                    <w:jc w:val="left"/>
                    <w:jc w:val="center"/>
                  </w:pPr>
                  <w:r>
                    <w:t xml:space="preserve">Baseline drift (v)</w:t>
                  </w:r>
                </w:p>
              </w:tc>
              <w:tc>
                <w:tcPr/>
                <w:p>
                  <w:pPr>
                    <w:pStyle w:val="Compact"/>
                    <w:jc w:val="right"/>
                    <w:jc w:val="center"/>
                  </w:pPr>
                  <w:r>
                    <w:t xml:space="preserve">-0.006</w:t>
                  </w:r>
                </w:p>
              </w:tc>
              <w:tc>
                <w:tcPr/>
                <w:p>
                  <w:pPr>
                    <w:pStyle w:val="Compact"/>
                    <w:jc w:val="left"/>
                    <w:jc w:val="center"/>
                  </w:pPr>
                  <w:r>
                    <w:t xml:space="preserve">0.966</w:t>
                  </w:r>
                </w:p>
              </w:tc>
              <w:tc>
                <w:tcPr/>
                <w:p>
                  <w:pPr>
                    <w:pStyle w:val="Compact"/>
                    <w:jc w:val="left"/>
                    <w:jc w:val="center"/>
                  </w:pPr>
                  <w:r>
                    <w:t xml:space="preserve">0.98</w:t>
                  </w:r>
                </w:p>
              </w:tc>
              <w:tc>
                <w:tcPr/>
                <w:p>
                  <w:pPr>
                    <w:pStyle w:val="Compact"/>
                    <w:jc w:val="right"/>
                    <w:jc w:val="center"/>
                  </w:pPr>
                  <w:r>
                    <w:t xml:space="preserve">58</w:t>
                  </w:r>
                </w:p>
              </w:tc>
            </w:tr>
            <w:tr>
              <w:tc>
                <w:tcPr/>
                <w:p>
                  <w:pPr>
                    <w:pStyle w:val="Compact"/>
                    <w:jc w:val="left"/>
                    <w:jc w:val="center"/>
                  </w:pPr>
                  <w:r>
                    <w:t xml:space="preserve">LC fISO (free water)</w:t>
                  </w:r>
                </w:p>
              </w:tc>
              <w:tc>
                <w:tcPr/>
                <w:p>
                  <w:pPr>
                    <w:pStyle w:val="Compact"/>
                    <w:jc w:val="left"/>
                    <w:jc w:val="center"/>
                  </w:pPr>
                  <w:r>
                    <w:t xml:space="preserve">Baseline boundary (a)</w:t>
                  </w:r>
                </w:p>
              </w:tc>
              <w:tc>
                <w:tcPr/>
                <w:p>
                  <w:pPr>
                    <w:pStyle w:val="Compact"/>
                    <w:jc w:val="right"/>
                    <w:jc w:val="center"/>
                  </w:pPr>
                  <w:r>
                    <w:t xml:space="preserve">-0.389</w:t>
                  </w:r>
                </w:p>
              </w:tc>
              <w:tc>
                <w:tcPr/>
                <w:p>
                  <w:pPr>
                    <w:pStyle w:val="Compact"/>
                    <w:jc w:val="left"/>
                    <w:jc w:val="center"/>
                  </w:pPr>
                  <w:r>
                    <w:t xml:space="preserve">0.00276</w:t>
                  </w:r>
                </w:p>
              </w:tc>
              <w:tc>
                <w:tcPr/>
                <w:p>
                  <w:pPr>
                    <w:pStyle w:val="Compact"/>
                    <w:jc w:val="left"/>
                    <w:jc w:val="center"/>
                  </w:pPr>
                  <w:r>
                    <w:t xml:space="preserve">0.046</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Mean</w:t>
                  </w:r>
                  <w:r>
                    <w:t xml:space="preserve"> </w:t>
                  </w:r>
                  <m:oMath>
                    <m:r>
                      <m:t>d</m:t>
                    </m:r>
                    <m:r>
                      <m:rPr>
                        <m:sty m:val="p"/>
                      </m:rPr>
                      <m:t>′</m:t>
                    </m:r>
                  </m:oMath>
                </w:p>
              </w:tc>
              <w:tc>
                <w:tcPr/>
                <w:p>
                  <w:pPr>
                    <w:pStyle w:val="Compact"/>
                    <w:jc w:val="right"/>
                    <w:jc w:val="center"/>
                  </w:pPr>
                  <w:r>
                    <w:t xml:space="preserve">-0.182</w:t>
                  </w:r>
                </w:p>
              </w:tc>
              <w:tc>
                <w:tcPr/>
                <w:p>
                  <w:pPr>
                    <w:pStyle w:val="Compact"/>
                    <w:jc w:val="left"/>
                    <w:jc w:val="center"/>
                  </w:pPr>
                  <w:r>
                    <w:t xml:space="preserve">0.177</w:t>
                  </w:r>
                </w:p>
              </w:tc>
              <w:tc>
                <w:tcPr/>
                <w:p>
                  <w:pPr>
                    <w:pStyle w:val="Compact"/>
                    <w:jc w:val="left"/>
                    <w:jc w:val="center"/>
                  </w:pPr>
                  <w:r>
                    <w:t xml:space="preserve">0.384</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m:oMath>
                    <m:r>
                      <m:t>d</m:t>
                    </m:r>
                    <m:r>
                      <m:rPr>
                        <m:sty m:val="p"/>
                      </m:rPr>
                      <m:t>′</m:t>
                    </m:r>
                  </m:oMath>
                  <w:r>
                    <w:t xml:space="preserve"> </w:t>
                  </w:r>
                  <w:r>
                    <w:t xml:space="preserve">variability</w:t>
                  </w:r>
                </w:p>
              </w:tc>
              <w:tc>
                <w:tcPr/>
                <w:p>
                  <w:pPr>
                    <w:pStyle w:val="Compact"/>
                    <w:jc w:val="right"/>
                    <w:jc w:val="center"/>
                  </w:pPr>
                  <w:r>
                    <w:t xml:space="preserve">0.397</w:t>
                  </w:r>
                </w:p>
              </w:tc>
              <w:tc>
                <w:tcPr/>
                <w:p>
                  <w:pPr>
                    <w:pStyle w:val="Compact"/>
                    <w:jc w:val="left"/>
                    <w:jc w:val="center"/>
                  </w:pPr>
                  <w:r>
                    <w:t xml:space="preserve">0.00222</w:t>
                  </w:r>
                </w:p>
              </w:tc>
              <w:tc>
                <w:tcPr/>
                <w:p>
                  <w:pPr>
                    <w:pStyle w:val="Compact"/>
                    <w:jc w:val="left"/>
                    <w:jc w:val="center"/>
                  </w:pPr>
                  <w:r>
                    <w:t xml:space="preserve">0.046</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|RT cost| (High − Low)</w:t>
                  </w:r>
                </w:p>
              </w:tc>
              <w:tc>
                <w:tcPr/>
                <w:p>
                  <w:pPr>
                    <w:pStyle w:val="Compact"/>
                    <w:jc w:val="right"/>
                    <w:jc w:val="center"/>
                  </w:pPr>
                  <w:r>
                    <w:t xml:space="preserve">-0.311</w:t>
                  </w:r>
                </w:p>
              </w:tc>
              <w:tc>
                <w:tcPr/>
                <w:p>
                  <w:pPr>
                    <w:pStyle w:val="Compact"/>
                    <w:jc w:val="left"/>
                    <w:jc w:val="center"/>
                  </w:pPr>
                  <w:r>
                    <w:t xml:space="preserve">0.0186</w:t>
                  </w:r>
                </w:p>
              </w:tc>
              <w:tc>
                <w:tcPr/>
                <w:p>
                  <w:pPr>
                    <w:pStyle w:val="Compact"/>
                    <w:jc w:val="left"/>
                    <w:jc w:val="center"/>
                  </w:pPr>
                  <w:r>
                    <w:t xml:space="preserve">0.113</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Mean TEPR</w:t>
                  </w:r>
                </w:p>
              </w:tc>
              <w:tc>
                <w:tcPr/>
                <w:p>
                  <w:pPr>
                    <w:pStyle w:val="Compact"/>
                    <w:jc w:val="right"/>
                    <w:jc w:val="center"/>
                  </w:pPr>
                  <w:r>
                    <w:t xml:space="preserve">0.219</w:t>
                  </w:r>
                </w:p>
              </w:tc>
              <w:tc>
                <w:tcPr/>
                <w:p>
                  <w:pPr>
                    <w:pStyle w:val="Compact"/>
                    <w:jc w:val="left"/>
                    <w:jc w:val="center"/>
                  </w:pPr>
                  <w:r>
                    <w:t xml:space="preserve">0.101</w:t>
                  </w:r>
                </w:p>
              </w:tc>
              <w:tc>
                <w:tcPr/>
                <w:p>
                  <w:pPr>
                    <w:pStyle w:val="Compact"/>
                    <w:jc w:val="left"/>
                    <w:jc w:val="center"/>
                  </w:pPr>
                  <w:r>
                    <w:t xml:space="preserve">0.266</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Baseline drift (v)</w:t>
                  </w:r>
                </w:p>
              </w:tc>
              <w:tc>
                <w:tcPr/>
                <w:p>
                  <w:pPr>
                    <w:pStyle w:val="Compact"/>
                    <w:jc w:val="right"/>
                    <w:jc w:val="center"/>
                  </w:pPr>
                  <w:r>
                    <w:t xml:space="preserve">-0.158</w:t>
                  </w:r>
                </w:p>
              </w:tc>
              <w:tc>
                <w:tcPr/>
                <w:p>
                  <w:pPr>
                    <w:pStyle w:val="Compact"/>
                    <w:jc w:val="left"/>
                    <w:jc w:val="center"/>
                  </w:pPr>
                  <w:r>
                    <w:t xml:space="preserve">0.239</w:t>
                  </w:r>
                </w:p>
              </w:tc>
              <w:tc>
                <w:tcPr/>
                <w:p>
                  <w:pPr>
                    <w:pStyle w:val="Compact"/>
                    <w:jc w:val="left"/>
                    <w:jc w:val="center"/>
                  </w:pPr>
                  <w:r>
                    <w:t xml:space="preserve">0.46</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Baseline bias (z)</w:t>
                  </w:r>
                </w:p>
              </w:tc>
              <w:tc>
                <w:tcPr/>
                <w:p>
                  <w:pPr>
                    <w:pStyle w:val="Compact"/>
                    <w:jc w:val="right"/>
                    <w:jc w:val="center"/>
                  </w:pPr>
                  <w:r>
                    <w:t xml:space="preserve">-0.033</w:t>
                  </w:r>
                </w:p>
              </w:tc>
              <w:tc>
                <w:tcPr/>
                <w:p>
                  <w:pPr>
                    <w:pStyle w:val="Compact"/>
                    <w:jc w:val="left"/>
                    <w:jc w:val="center"/>
                  </w:pPr>
                  <w:r>
                    <w:t xml:space="preserve">0.808</w:t>
                  </w:r>
                </w:p>
              </w:tc>
              <w:tc>
                <w:tcPr/>
                <w:p>
                  <w:pPr>
                    <w:pStyle w:val="Compact"/>
                    <w:jc w:val="left"/>
                    <w:jc w:val="center"/>
                  </w:pPr>
                  <w:r>
                    <w:t xml:space="preserve">0.878</w:t>
                  </w:r>
                </w:p>
              </w:tc>
              <w:tc>
                <w:tcPr/>
                <w:p>
                  <w:pPr>
                    <w:pStyle w:val="Compact"/>
                    <w:jc w:val="right"/>
                    <w:jc w:val="center"/>
                  </w:pPr>
                  <w:r>
                    <w:t xml:space="preserve">57</w:t>
                  </w:r>
                </w:p>
              </w:tc>
            </w:tr>
          </w:tbl>
          <w:bookmarkEnd w:id="209"/>
          <w:p/>
        </w:tc>
      </w:tr>
    </w:tbl>
    <w:tbl>
      <w:tblPr>
        <w:tblStyle w:val="Table"/>
        <w:tblW w:type="pct" w:w="5000"/>
        <w:tblLayout w:type="fixed"/>
        <w:tblLook w:firstRow="0" w:lastRow="0" w:firstColumn="0" w:lastColumn="0" w:noHBand="0" w:noVBand="0" w:val="0000"/>
      </w:tblPr>
      <w:tblGrid>
        <w:gridCol w:w="7920"/>
      </w:tblGrid>
      <w:tr>
        <w:tc>
          <w:tcPr/>
          <w:bookmarkStart w:id="213" w:name="fig-lc-fiso-dprime-variability"/>
          <w:p>
            <w:pPr>
              <w:pStyle w:val="Compact"/>
              <w:jc w:val="center"/>
            </w:pPr>
            <w:r>
              <w:drawing>
                <wp:inline>
                  <wp:extent cx="3840480" cy="3142210"/>
                  <wp:effectExtent b="0" l="0" r="0" t="0"/>
                  <wp:docPr descr="" title="" id="211" name="Picture"/>
                  <a:graphic>
                    <a:graphicData uri="http://schemas.openxmlformats.org/drawingml/2006/picture">
                      <pic:pic>
                        <pic:nvPicPr>
                          <pic:cNvPr descr="../output/figures/fig_lc_fiso_dprime_variability.png" id="212" name="Picture"/>
                          <pic:cNvPicPr>
                            <a:picLocks noChangeArrowheads="1" noChangeAspect="1"/>
                          </pic:cNvPicPr>
                        </pic:nvPicPr>
                        <pic:blipFill>
                          <a:blip r:embed="rId210"/>
                          <a:stretch>
                            <a:fillRect/>
                          </a:stretch>
                        </pic:blipFill>
                        <pic:spPr bwMode="auto">
                          <a:xfrm>
                            <a:off x="0" y="0"/>
                            <a:ext cx="3840480" cy="31422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23: Exploratory association between LC free-water fraction (fISO) and cross-intensity</w:t>
            </w:r>
            <w:r>
              <w:t xml:space="preserve"> </w:t>
            </w:r>
            <m:oMath>
              <m:r>
                <m:t>d</m:t>
              </m:r>
              <m:r>
                <m:rPr>
                  <m:sty m:val="p"/>
                </m:rPr>
                <m:t>′</m:t>
              </m:r>
            </m:oMath>
            <w:r>
              <w:t xml:space="preserve"> </w:t>
            </w:r>
            <w:r>
              <w:t xml:space="preserve">variability, controlling for age and sex. Higher fISO predicted greater sensitivity variability across stimulus levels but not mean</w:t>
            </w:r>
            <w:r>
              <w:t xml:space="preserve"> </w:t>
            </w:r>
            <m:oMath>
              <m:r>
                <m:t>d</m:t>
              </m:r>
              <m:r>
                <m:rPr>
                  <m:sty m:val="p"/>
                </m:rPr>
                <m:t>′</m:t>
              </m:r>
            </m:oMath>
            <w:r>
              <w:t xml:space="preserve"> </w:t>
            </w:r>
            <w:r>
              <w:t xml:space="preserve">(see Appendix A8).</w:t>
            </w:r>
          </w:p>
          <w:bookmarkEnd w:id="213"/>
        </w:tc>
      </w:tr>
    </w:tbl>
    <w:tbl>
      <w:tblPr>
        <w:tblStyle w:val="Table"/>
        <w:tblW w:type="pct" w:w="5000"/>
        <w:tblLayout w:type="fixed"/>
        <w:tblLook w:firstRow="0" w:lastRow="0" w:firstColumn="0" w:lastColumn="0" w:noHBand="0" w:noVBand="0" w:val="0000"/>
      </w:tblPr>
      <w:tblGrid>
        <w:gridCol w:w="7920"/>
      </w:tblGrid>
      <w:tr>
        <w:tc>
          <w:tcPr/>
          <w:bookmarkStart w:id="217" w:name="fig-lc-fiso-four-panel"/>
          <w:p>
            <w:pPr>
              <w:pStyle w:val="Compact"/>
              <w:jc w:val="center"/>
            </w:pPr>
            <w:r>
              <w:drawing>
                <wp:inline>
                  <wp:extent cx="4907280" cy="3816773"/>
                  <wp:effectExtent b="0" l="0" r="0" t="0"/>
                  <wp:docPr descr="" title="" id="215" name="Picture"/>
                  <a:graphic>
                    <a:graphicData uri="http://schemas.openxmlformats.org/drawingml/2006/picture">
                      <pic:pic>
                        <pic:nvPicPr>
                          <pic:cNvPr descr="../output/figures/fig_lc_fiso_four_panel.png" id="216" name="Picture"/>
                          <pic:cNvPicPr>
                            <a:picLocks noChangeArrowheads="1" noChangeAspect="1"/>
                          </pic:cNvPicPr>
                        </pic:nvPicPr>
                        <pic:blipFill>
                          <a:blip r:embed="rId214"/>
                          <a:stretch>
                            <a:fillRect/>
                          </a:stretch>
                        </pic:blipFill>
                        <pic:spPr bwMode="auto">
                          <a:xfrm>
                            <a:off x="0" y="0"/>
                            <a:ext cx="4907280" cy="3816773"/>
                          </a:xfrm>
                          <a:prstGeom prst="rect">
                            <a:avLst/>
                          </a:prstGeom>
                          <a:noFill/>
                          <a:ln w="9525">
                            <a:noFill/>
                            <a:headEnd/>
                            <a:tailEnd/>
                          </a:ln>
                        </pic:spPr>
                      </pic:pic>
                    </a:graphicData>
                  </a:graphic>
                </wp:inline>
              </w:drawing>
            </w:r>
          </w:p>
          <w:p>
            <w:pPr>
              <w:jc w:val="center"/>
            </w:pPr>
            <w:pPr>
              <w:jc w:val="start"/>
              <w:spacing w:before="200"/>
              <w:pStyle w:val="ImageCaption"/>
            </w:pPr>
            <w:r>
              <w:t xml:space="preserve">Figure 24: LC fISO in relation to behavioral variability, mean</w:t>
            </w:r>
            <w:r>
              <w:t xml:space="preserve"> </w:t>
            </w:r>
            <m:oMath>
              <m:r>
                <m:t>d</m:t>
              </m:r>
              <m:r>
                <m:rPr>
                  <m:sty m:val="p"/>
                </m:rPr>
                <m:t>′</m:t>
              </m:r>
            </m:oMath>
            <w:r>
              <w:t xml:space="preserve">, baseline DDM boundary separation (a), and mean TEPR. Partial correlations control for age and sex. Only variability and baseline a showed associations at p &lt; .05.</w:t>
            </w:r>
          </w:p>
          <w:bookmarkEnd w:id="217"/>
        </w:tc>
      </w:tr>
    </w:tbl>
    <w:bookmarkEnd w:id="218"/>
    <w:bookmarkStart w:id="222" w:name="sec-appendix-a9"/>
    <w:p>
      <w:pPr>
        <w:pStyle w:val="Heading2"/>
      </w:pPr>
      <w:r>
        <w:t xml:space="preserve">A9. Extended Baseline Characteristics and Neuropsychological Profile</w:t>
      </w:r>
    </w:p>
    <w:p>
      <w:pPr>
        <w:pStyle w:val="FirstParagraph"/>
      </w:pPr>
      <w:r>
        <w:t xml:space="preserve">Extended baseline descriptives for the DDM sample (</w:t>
      </w:r>
      <w:r>
        <w:rPr>
          <w:i/>
          <w:iCs/>
        </w:rPr>
        <w:t xml:space="preserve">N</w:t>
      </w:r>
      <w:r>
        <w:t xml:space="preserve"> </w:t>
      </w:r>
      <w:r>
        <w:t xml:space="preserve">= 67). Table 1 in the main text covers core demographics.</w:t>
      </w:r>
    </w:p>
    <w:p>
      <w:pPr>
        <w:pStyle w:val="BodyText"/>
      </w:pPr>
      <w:r>
        <w:rPr>
          <w:b/>
          <w:bCs/>
        </w:rPr>
        <w:t xml:space="preserve">Sample.</w:t>
      </w:r>
      <w:r>
        <w:t xml:space="preserve"> </w:t>
      </w:r>
      <w:r>
        <w:t xml:space="preserve">Older adults with intact cognition (Telephone MoCA</w:t>
      </w:r>
      <w:r>
        <w:t xml:space="preserve"> </w:t>
      </w:r>
      <w:r>
        <w:rPr>
          <w:i/>
          <w:iCs/>
        </w:rPr>
        <w:t xml:space="preserve">M</w:t>
      </w:r>
      <w:r>
        <w:t xml:space="preserve"> </w:t>
      </w:r>
      <w:r>
        <w:t xml:space="preserve">= 19.8 (1.5),</w:t>
      </w:r>
      <w:r>
        <w:t xml:space="preserve"> </w:t>
      </w:r>
      <w:r>
        <w:rPr>
          <w:i/>
          <w:iCs/>
        </w:rPr>
        <w:t xml:space="preserve">n</w:t>
      </w:r>
      <w:r>
        <w:t xml:space="preserve"> </w:t>
      </w:r>
      <w:r>
        <w:t xml:space="preserve">= 62). Right-handed; 34 (50.7%) female; 51 (76.1%) White (</w:t>
      </w:r>
      <w:hyperlink w:anchor="tbl-extended-baseline-categorical">
        <w:r>
          <w:rPr>
            <w:rStyle w:val="Hyperlink"/>
          </w:rPr>
          <w:t xml:space="preserve">Table 25</w:t>
        </w:r>
      </w:hyperlink>
      <w:r>
        <w:t xml:space="preserve">; race coding matches Table 1).</w:t>
      </w:r>
    </w:p>
    <w:p>
      <w:pPr>
        <w:pStyle w:val="BodyText"/>
      </w:pPr>
      <w:r>
        <w:rPr>
          <w:b/>
          <w:bCs/>
        </w:rPr>
        <w:t xml:space="preserve">Battery.</w:t>
      </w:r>
      <w:r>
        <w:t xml:space="preserve"> </w:t>
      </w:r>
      <w:hyperlink w:anchor="tbl-extended-baseline">
        <w:r>
          <w:rPr>
            <w:rStyle w:val="Hyperlink"/>
          </w:rPr>
          <w:t xml:space="preserve">Table 26</w:t>
        </w:r>
      </w:hyperlink>
      <w:r>
        <w:t xml:space="preserve"> </w:t>
      </w:r>
      <w:r>
        <w:t xml:space="preserve">lists executive, language, and self-report measures (TMT, Boston Naming, SILS, GDS, GAD-7, EMQ). Scores were typical for healthy older adults (e.g., Boston Naming</w:t>
      </w:r>
      <w:r>
        <w:t xml:space="preserve"> </w:t>
      </w:r>
      <w:r>
        <w:rPr>
          <w:i/>
          <w:iCs/>
        </w:rPr>
        <w:t xml:space="preserve">M</w:t>
      </w:r>
      <w:r>
        <w:t xml:space="preserve"> </w:t>
      </w:r>
      <w:r>
        <w:t xml:space="preserve">= 20.6/23; GDS</w:t>
      </w:r>
      <w:r>
        <w:t xml:space="preserve"> </w:t>
      </w:r>
      <w:r>
        <w:rPr>
          <w:i/>
          <w:iCs/>
        </w:rPr>
        <w:t xml:space="preserve">M</w:t>
      </w:r>
      <w:r>
        <w:t xml:space="preserve"> </w:t>
      </w:r>
      <w:r>
        <w:t xml:space="preserve">= 1.7/15).</w:t>
      </w:r>
    </w:p>
    <w:p>
      <w:pPr>
        <w:pStyle w:val="BodyText"/>
      </w:pPr>
      <w:r>
        <w:rPr>
          <w:b/>
          <w:bCs/>
        </w:rPr>
        <w:t xml:space="preserve">DDM associations (exploratory).</w:t>
      </w:r>
      <w:r>
        <w:t xml:space="preserve"> </w:t>
      </w:r>
      <w:r>
        <w:t xml:space="preserve">MoCA did not correlate with baseline drift (</w:t>
      </w:r>
      <w:r>
        <w:rPr>
          <w:i/>
          <w:iCs/>
        </w:rPr>
        <w:t xml:space="preserve">p</w:t>
      </w:r>
      <w:r>
        <w:t xml:space="preserve"> </w:t>
      </w:r>
      <w:r>
        <w:t xml:space="preserve">= 0.94) or RT effort cost (</w:t>
      </w:r>
      <w:r>
        <w:rPr>
          <w:i/>
          <w:iCs/>
        </w:rPr>
        <w:t xml:space="preserve">p</w:t>
      </w:r>
      <w:r>
        <w:t xml:space="preserve"> </w:t>
      </w:r>
      <w:r>
        <w:t xml:space="preserve">= 0.66) (</w:t>
      </w:r>
      <w:hyperlink w:anchor="tbl-neuropsych-ddm-exploratory">
        <w:r>
          <w:rPr>
            <w:rStyle w:val="Hyperlink"/>
          </w:rPr>
          <w:t xml:space="preserve">Table 27</w:t>
        </w:r>
      </w:hyperlink>
      <w:r>
        <w:t xml:space="preserve">). Uncorrected</w:t>
      </w:r>
      <w:r>
        <w:t xml:space="preserve"> </w:t>
      </w:r>
      <w:r>
        <w:rPr>
          <w:i/>
          <w:iCs/>
        </w:rPr>
        <w:t xml:space="preserve">p</w:t>
      </w:r>
      <w:r>
        <w:t xml:space="preserve"> </w:t>
      </w:r>
      <w:r>
        <w:t xml:space="preserve">&lt; .05 links included SILS with accuracy/RT and GDS with</w:t>
      </w:r>
      <w:r>
        <w:t xml:space="preserve"> </w:t>
      </w:r>
      <m:oMath>
        <m:r>
          <m:t>d</m:t>
        </m:r>
        <m:r>
          <m:rPr>
            <m:sty m:val="p"/>
          </m:rPr>
          <m:t>′</m:t>
        </m:r>
      </m:oMath>
      <w:r>
        <w:t xml:space="preserve"> </w:t>
      </w:r>
      <w:r>
        <w:t xml:space="preserve">variability (partial</w:t>
      </w:r>
      <w:r>
        <w:t xml:space="preserve"> </w:t>
      </w:r>
      <w:r>
        <w:rPr>
          <w:i/>
          <w:iCs/>
        </w:rPr>
        <w:t xml:space="preserve">r</w:t>
      </w:r>
      <w:r>
        <w:t xml:space="preserve"> </w:t>
      </w:r>
      <w:r>
        <w:t xml:space="preserve">= -0.27,</w:t>
      </w:r>
      <w:r>
        <w:t xml:space="preserve"> </w:t>
      </w:r>
      <w:r>
        <w:rPr>
          <w:i/>
          <w:iCs/>
        </w:rPr>
        <w:t xml:space="preserve">p</w:t>
      </w:r>
      <w:r>
        <w:t xml:space="preserve"> </w:t>
      </w:r>
      <w:r>
        <w:t xml:space="preserve">= 0.034; none FDR</w:t>
      </w:r>
      <w:r>
        <w:t xml:space="preserve"> </w:t>
      </w:r>
      <w:r>
        <w:rPr>
          <w:i/>
          <w:iCs/>
        </w:rPr>
        <w:t xml:space="preserve">q</w:t>
      </w:r>
      <w:r>
        <w:t xml:space="preserve"> </w:t>
      </w:r>
      <w:r>
        <w:t xml:space="preserve">&lt; .05). Secondary context only.</w:t>
      </w:r>
    </w:p>
    <w:tbl>
      <w:tblPr>
        <w:tblStyle w:val="Table"/>
        <w:tblW w:type="pct" w:w="5000"/>
        <w:tblLayout w:type="fixed"/>
        <w:tblLook w:firstRow="0" w:lastRow="0" w:firstColumn="0" w:lastColumn="0" w:noHBand="0" w:noVBand="0" w:val="0000"/>
      </w:tblPr>
      <w:tblGrid>
        <w:gridCol w:w="7920"/>
      </w:tblGrid>
      <w:tr>
        <w:tc>
          <w:tcPr/>
          <w:bookmarkStart w:id="219" w:name="tbl-extended-baseline-categorical"/>
          <w:p>
            <w:pPr>
              <w:jc w:val="center"/>
            </w:pPr>
            <w:pPr>
              <w:jc w:val="start"/>
              <w:spacing w:before="200"/>
              <w:pStyle w:val="ImageCaption"/>
            </w:pPr>
            <w:r>
              <w:t xml:space="preserve">Table 25: Extended baseline characteristics: categorical demographics (DDM analytic sample).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Characteristic</w:t>
                  </w:r>
                </w:p>
              </w:tc>
              <w:tc>
                <w:tcPr/>
                <w:p>
                  <w:pPr>
                    <w:pStyle w:val="Compact"/>
                    <w:jc w:val="left"/>
                    <w:jc w:val="center"/>
                  </w:pPr>
                  <w:r>
                    <w:t xml:space="preserve">Value</w:t>
                  </w:r>
                </w:p>
              </w:tc>
            </w:tr>
            <w:tr>
              <w:tc>
                <w:tcPr/>
                <w:p>
                  <w:pPr>
                    <w:pStyle w:val="Compact"/>
                    <w:jc w:val="left"/>
                    <w:jc w:val="center"/>
                  </w:pPr>
                  <w:r>
                    <w:t xml:space="preserve">Female, n (%)</w:t>
                  </w:r>
                </w:p>
              </w:tc>
              <w:tc>
                <w:tcPr/>
                <w:p>
                  <w:pPr>
                    <w:pStyle w:val="Compact"/>
                    <w:jc w:val="left"/>
                    <w:jc w:val="center"/>
                  </w:pPr>
                  <w:r>
                    <w:t xml:space="preserve">34 (50.7%)</w:t>
                  </w:r>
                </w:p>
              </w:tc>
            </w:tr>
            <w:tr>
              <w:tc>
                <w:tcPr/>
                <w:p>
                  <w:pPr>
                    <w:pStyle w:val="Compact"/>
                    <w:jc w:val="left"/>
                    <w:jc w:val="center"/>
                  </w:pPr>
                  <w:r>
                    <w:t xml:space="preserve">Right-handed, n (%)</w:t>
                  </w:r>
                </w:p>
              </w:tc>
              <w:tc>
                <w:tcPr/>
                <w:p>
                  <w:pPr>
                    <w:pStyle w:val="Compact"/>
                    <w:jc w:val="left"/>
                    <w:jc w:val="center"/>
                  </w:pPr>
                  <w:r>
                    <w:t xml:space="preserve">67 (100.0%)</w:t>
                  </w:r>
                </w:p>
              </w:tc>
            </w:tr>
            <w:tr>
              <w:tc>
                <w:tcPr/>
                <w:p>
                  <w:pPr>
                    <w:pStyle w:val="Compact"/>
                    <w:jc w:val="left"/>
                    <w:jc w:val="center"/>
                  </w:pPr>
                  <w:r>
                    <w:t xml:space="preserve">White race, n (%)</w:t>
                  </w:r>
                </w:p>
              </w:tc>
              <w:tc>
                <w:tcPr/>
                <w:p>
                  <w:pPr>
                    <w:pStyle w:val="Compact"/>
                    <w:jc w:val="left"/>
                    <w:jc w:val="center"/>
                  </w:pPr>
                  <w:r>
                    <w:t xml:space="preserve">51 (76.1%)</w:t>
                  </w:r>
                </w:p>
              </w:tc>
            </w:tr>
            <w:tr>
              <w:tc>
                <w:tcPr/>
                <w:p>
                  <w:pPr>
                    <w:pStyle w:val="Compact"/>
                    <w:jc w:val="left"/>
                    <w:jc w:val="center"/>
                  </w:pPr>
                  <w:r>
                    <w:t xml:space="preserve">Hispanic/Latino ethnicity, n (%)</w:t>
                  </w:r>
                </w:p>
              </w:tc>
              <w:tc>
                <w:tcPr/>
                <w:p>
                  <w:pPr>
                    <w:pStyle w:val="Compact"/>
                    <w:jc w:val="left"/>
                    <w:jc w:val="center"/>
                  </w:pPr>
                  <w:r>
                    <w:t xml:space="preserve">10 (15.4%)</w:t>
                  </w:r>
                </w:p>
              </w:tc>
            </w:tr>
          </w:tbl>
          <w:bookmarkEnd w:id="21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0" w:name="tbl-extended-baseline"/>
          <w:p>
            <w:pPr>
              <w:jc w:val="center"/>
            </w:pPr>
            <w:pPr>
              <w:jc w:val="start"/>
              <w:spacing w:before="200"/>
              <w:pStyle w:val="ImageCaption"/>
            </w:pPr>
            <w:r>
              <w:t xml:space="preserve">Table 26: Extended baseline characteristics: neuropsychological and demographic continuous measures (DDM analytic sample).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Measure</w:t>
                  </w:r>
                </w:p>
              </w:tc>
              <w:tc>
                <w:tcPr/>
                <w:p>
                  <w:pPr>
                    <w:pStyle w:val="Compact"/>
                    <w:jc w:val="left"/>
                    <w:jc w:val="center"/>
                  </w:pPr>
                  <w:r>
                    <w:t xml:space="preserve">M (SD)</w:t>
                  </w:r>
                </w:p>
              </w:tc>
              <w:tc>
                <w:tcPr/>
                <w:p>
                  <w:pPr>
                    <w:pStyle w:val="Compact"/>
                    <w:jc w:val="left"/>
                    <w:jc w:val="center"/>
                  </w:pPr>
                  <w:r>
                    <w:t xml:space="preserve">Range</w:t>
                  </w:r>
                </w:p>
              </w:tc>
              <w:tc>
                <w:tcPr/>
                <w:p>
                  <w:pPr>
                    <w:pStyle w:val="Compact"/>
                    <w:jc w:val="right"/>
                    <w:jc w:val="center"/>
                  </w:pPr>
                  <w:r>
                    <w:t xml:space="preserve">n</w:t>
                  </w:r>
                </w:p>
              </w:tc>
            </w:tr>
            <w:tr>
              <w:tc>
                <w:tcPr/>
                <w:p>
                  <w:pPr>
                    <w:pStyle w:val="Compact"/>
                    <w:jc w:val="left"/>
                    <w:jc w:val="center"/>
                  </w:pPr>
                  <w:r>
                    <w:t xml:space="preserve">Age (years)</w:t>
                  </w:r>
                </w:p>
              </w:tc>
              <w:tc>
                <w:tcPr/>
                <w:p>
                  <w:pPr>
                    <w:pStyle w:val="Compact"/>
                    <w:jc w:val="left"/>
                    <w:jc w:val="center"/>
                  </w:pPr>
                  <w:r>
                    <w:t xml:space="preserve">69.5 (6.4)</w:t>
                  </w:r>
                </w:p>
              </w:tc>
              <w:tc>
                <w:tcPr/>
                <w:p>
                  <w:pPr>
                    <w:pStyle w:val="Compact"/>
                    <w:jc w:val="left"/>
                    <w:jc w:val="center"/>
                  </w:pPr>
                  <w:r>
                    <w:t xml:space="preserve">60.0–87.0</w:t>
                  </w:r>
                </w:p>
              </w:tc>
              <w:tc>
                <w:tcPr/>
                <w:p>
                  <w:pPr>
                    <w:pStyle w:val="Compact"/>
                    <w:jc w:val="right"/>
                    <w:jc w:val="center"/>
                  </w:pPr>
                  <w:r>
                    <w:t xml:space="preserve">67</w:t>
                  </w:r>
                </w:p>
              </w:tc>
            </w:tr>
            <w:tr>
              <w:tc>
                <w:tcPr/>
                <w:p>
                  <w:pPr>
                    <w:pStyle w:val="Compact"/>
                    <w:jc w:val="left"/>
                    <w:jc w:val="center"/>
                  </w:pPr>
                  <w:r>
                    <w:t xml:space="preserve">Education (years)</w:t>
                  </w:r>
                </w:p>
              </w:tc>
              <w:tc>
                <w:tcPr/>
                <w:p>
                  <w:pPr>
                    <w:pStyle w:val="Compact"/>
                    <w:jc w:val="left"/>
                    <w:jc w:val="center"/>
                  </w:pPr>
                  <w:r>
                    <w:t xml:space="preserve">15.8 (2.6)</w:t>
                  </w:r>
                </w:p>
              </w:tc>
              <w:tc>
                <w:tcPr/>
                <w:p>
                  <w:pPr>
                    <w:pStyle w:val="Compact"/>
                    <w:jc w:val="left"/>
                    <w:jc w:val="center"/>
                  </w:pPr>
                  <w:r>
                    <w:t xml:space="preserve">10.0–21.0</w:t>
                  </w:r>
                </w:p>
              </w:tc>
              <w:tc>
                <w:tcPr/>
                <w:p>
                  <w:pPr>
                    <w:pStyle w:val="Compact"/>
                    <w:jc w:val="right"/>
                    <w:jc w:val="center"/>
                  </w:pPr>
                  <w:r>
                    <w:t xml:space="preserve">64</w:t>
                  </w:r>
                </w:p>
              </w:tc>
            </w:tr>
            <w:tr>
              <w:tc>
                <w:tcPr/>
                <w:p>
                  <w:pPr>
                    <w:pStyle w:val="Compact"/>
                    <w:jc w:val="left"/>
                    <w:jc w:val="center"/>
                  </w:pPr>
                  <w:r>
                    <w:t xml:space="preserve">MoCA (telephone screen /22)</w:t>
                  </w:r>
                </w:p>
              </w:tc>
              <w:tc>
                <w:tcPr/>
                <w:p>
                  <w:pPr>
                    <w:pStyle w:val="Compact"/>
                    <w:jc w:val="left"/>
                    <w:jc w:val="center"/>
                  </w:pPr>
                  <w:r>
                    <w:t xml:space="preserve">19.8 (1.5)</w:t>
                  </w:r>
                </w:p>
              </w:tc>
              <w:tc>
                <w:tcPr/>
                <w:p>
                  <w:pPr>
                    <w:pStyle w:val="Compact"/>
                    <w:jc w:val="left"/>
                    <w:jc w:val="center"/>
                  </w:pPr>
                  <w:r>
                    <w:t xml:space="preserve">17.0–22.0</w:t>
                  </w:r>
                </w:p>
              </w:tc>
              <w:tc>
                <w:tcPr/>
                <w:p>
                  <w:pPr>
                    <w:pStyle w:val="Compact"/>
                    <w:jc w:val="right"/>
                    <w:jc w:val="center"/>
                  </w:pPr>
                  <w:r>
                    <w:t xml:space="preserve">62</w:t>
                  </w:r>
                </w:p>
              </w:tc>
            </w:tr>
            <w:tr>
              <w:tc>
                <w:tcPr/>
                <w:p>
                  <w:pPr>
                    <w:pStyle w:val="Compact"/>
                    <w:jc w:val="left"/>
                    <w:jc w:val="center"/>
                  </w:pPr>
                  <w:r>
                    <w:t xml:space="preserve">Trail Making A (seconds)</w:t>
                  </w:r>
                </w:p>
              </w:tc>
              <w:tc>
                <w:tcPr/>
                <w:p>
                  <w:pPr>
                    <w:pStyle w:val="Compact"/>
                    <w:jc w:val="left"/>
                    <w:jc w:val="center"/>
                  </w:pPr>
                  <w:r>
                    <w:t xml:space="preserve">32.3 (9.2)</w:t>
                  </w:r>
                </w:p>
              </w:tc>
              <w:tc>
                <w:tcPr/>
                <w:p>
                  <w:pPr>
                    <w:pStyle w:val="Compact"/>
                    <w:jc w:val="left"/>
                    <w:jc w:val="center"/>
                  </w:pPr>
                  <w:r>
                    <w:t xml:space="preserve">17.8–58.7</w:t>
                  </w:r>
                </w:p>
              </w:tc>
              <w:tc>
                <w:tcPr/>
                <w:p>
                  <w:pPr>
                    <w:pStyle w:val="Compact"/>
                    <w:jc w:val="right"/>
                    <w:jc w:val="center"/>
                  </w:pPr>
                  <w:r>
                    <w:t xml:space="preserve">63</w:t>
                  </w:r>
                </w:p>
              </w:tc>
            </w:tr>
            <w:tr>
              <w:tc>
                <w:tcPr/>
                <w:p>
                  <w:pPr>
                    <w:pStyle w:val="Compact"/>
                    <w:jc w:val="left"/>
                    <w:jc w:val="center"/>
                  </w:pPr>
                  <w:r>
                    <w:t xml:space="preserve">Trail Making B (seconds)</w:t>
                  </w:r>
                </w:p>
              </w:tc>
              <w:tc>
                <w:tcPr/>
                <w:p>
                  <w:pPr>
                    <w:pStyle w:val="Compact"/>
                    <w:jc w:val="left"/>
                    <w:jc w:val="center"/>
                  </w:pPr>
                  <w:r>
                    <w:t xml:space="preserve">52.5 (28.2)</w:t>
                  </w:r>
                </w:p>
              </w:tc>
              <w:tc>
                <w:tcPr/>
                <w:p>
                  <w:pPr>
                    <w:pStyle w:val="Compact"/>
                    <w:jc w:val="left"/>
                    <w:jc w:val="center"/>
                  </w:pPr>
                  <w:r>
                    <w:t xml:space="preserve">12.1–159.6</w:t>
                  </w:r>
                </w:p>
              </w:tc>
              <w:tc>
                <w:tcPr/>
                <w:p>
                  <w:pPr>
                    <w:pStyle w:val="Compact"/>
                    <w:jc w:val="right"/>
                    <w:jc w:val="center"/>
                  </w:pPr>
                  <w:r>
                    <w:t xml:space="preserve">63</w:t>
                  </w:r>
                </w:p>
              </w:tc>
            </w:tr>
            <w:tr>
              <w:tc>
                <w:tcPr/>
                <w:p>
                  <w:pPr>
                    <w:pStyle w:val="Compact"/>
                    <w:jc w:val="left"/>
                    <w:jc w:val="center"/>
                  </w:pPr>
                  <w:r>
                    <w:t xml:space="preserve">TMT B − A (seconds)</w:t>
                  </w:r>
                </w:p>
              </w:tc>
              <w:tc>
                <w:tcPr/>
                <w:p>
                  <w:pPr>
                    <w:pStyle w:val="Compact"/>
                    <w:jc w:val="left"/>
                    <w:jc w:val="center"/>
                  </w:pPr>
                  <w:r>
                    <w:t xml:space="preserve">20.2 (25.6)</w:t>
                  </w:r>
                </w:p>
              </w:tc>
              <w:tc>
                <w:tcPr/>
                <w:p>
                  <w:pPr>
                    <w:pStyle w:val="Compact"/>
                    <w:jc w:val="left"/>
                    <w:jc w:val="center"/>
                  </w:pPr>
                  <w:r>
                    <w:t xml:space="preserve">-33.7–126.1</w:t>
                  </w:r>
                </w:p>
              </w:tc>
              <w:tc>
                <w:tcPr/>
                <w:p>
                  <w:pPr>
                    <w:pStyle w:val="Compact"/>
                    <w:jc w:val="right"/>
                    <w:jc w:val="center"/>
                  </w:pPr>
                  <w:r>
                    <w:t xml:space="preserve">63</w:t>
                  </w:r>
                </w:p>
              </w:tc>
            </w:tr>
            <w:tr>
              <w:tc>
                <w:tcPr/>
                <w:p>
                  <w:pPr>
                    <w:pStyle w:val="Compact"/>
                    <w:jc w:val="left"/>
                    <w:jc w:val="center"/>
                  </w:pPr>
                  <w:r>
                    <w:t xml:space="preserve">Boston Naming (/23)</w:t>
                  </w:r>
                </w:p>
              </w:tc>
              <w:tc>
                <w:tcPr/>
                <w:p>
                  <w:pPr>
                    <w:pStyle w:val="Compact"/>
                    <w:jc w:val="left"/>
                    <w:jc w:val="center"/>
                  </w:pPr>
                  <w:r>
                    <w:t xml:space="preserve">20.6 (2.6)</w:t>
                  </w:r>
                </w:p>
              </w:tc>
              <w:tc>
                <w:tcPr/>
                <w:p>
                  <w:pPr>
                    <w:pStyle w:val="Compact"/>
                    <w:jc w:val="left"/>
                    <w:jc w:val="center"/>
                  </w:pPr>
                  <w:r>
                    <w:t xml:space="preserve">14.0–23.0</w:t>
                  </w:r>
                </w:p>
              </w:tc>
              <w:tc>
                <w:tcPr/>
                <w:p>
                  <w:pPr>
                    <w:pStyle w:val="Compact"/>
                    <w:jc w:val="right"/>
                    <w:jc w:val="center"/>
                  </w:pPr>
                  <w:r>
                    <w:t xml:space="preserve">62</w:t>
                  </w:r>
                </w:p>
              </w:tc>
            </w:tr>
            <w:tr>
              <w:tc>
                <w:tcPr/>
                <w:p>
                  <w:pPr>
                    <w:pStyle w:val="Compact"/>
                    <w:jc w:val="left"/>
                    <w:jc w:val="center"/>
                  </w:pPr>
                  <w:r>
                    <w:t xml:space="preserve">SILS (/40)</w:t>
                  </w:r>
                </w:p>
              </w:tc>
              <w:tc>
                <w:tcPr/>
                <w:p>
                  <w:pPr>
                    <w:pStyle w:val="Compact"/>
                    <w:jc w:val="left"/>
                    <w:jc w:val="center"/>
                  </w:pPr>
                  <w:r>
                    <w:t xml:space="preserve">33.0 (3.6)</w:t>
                  </w:r>
                </w:p>
              </w:tc>
              <w:tc>
                <w:tcPr/>
                <w:p>
                  <w:pPr>
                    <w:pStyle w:val="Compact"/>
                    <w:jc w:val="left"/>
                    <w:jc w:val="center"/>
                  </w:pPr>
                  <w:r>
                    <w:t xml:space="preserve">18.0–38.0</w:t>
                  </w:r>
                </w:p>
              </w:tc>
              <w:tc>
                <w:tcPr/>
                <w:p>
                  <w:pPr>
                    <w:pStyle w:val="Compact"/>
                    <w:jc w:val="right"/>
                    <w:jc w:val="center"/>
                  </w:pPr>
                  <w:r>
                    <w:t xml:space="preserve">63</w:t>
                  </w:r>
                </w:p>
              </w:tc>
            </w:tr>
            <w:tr>
              <w:tc>
                <w:tcPr/>
                <w:p>
                  <w:pPr>
                    <w:pStyle w:val="Compact"/>
                    <w:jc w:val="left"/>
                    <w:jc w:val="center"/>
                  </w:pPr>
                  <w:r>
                    <w:t xml:space="preserve">GDS (/15)</w:t>
                  </w:r>
                </w:p>
              </w:tc>
              <w:tc>
                <w:tcPr/>
                <w:p>
                  <w:pPr>
                    <w:pStyle w:val="Compact"/>
                    <w:jc w:val="left"/>
                    <w:jc w:val="center"/>
                  </w:pPr>
                  <w:r>
                    <w:t xml:space="preserve">1.7 (2.0)</w:t>
                  </w:r>
                </w:p>
              </w:tc>
              <w:tc>
                <w:tcPr/>
                <w:p>
                  <w:pPr>
                    <w:pStyle w:val="Compact"/>
                    <w:jc w:val="left"/>
                    <w:jc w:val="center"/>
                  </w:pPr>
                  <w:r>
                    <w:t xml:space="preserve">0.0–10.0</w:t>
                  </w:r>
                </w:p>
              </w:tc>
              <w:tc>
                <w:tcPr/>
                <w:p>
                  <w:pPr>
                    <w:pStyle w:val="Compact"/>
                    <w:jc w:val="right"/>
                    <w:jc w:val="center"/>
                  </w:pPr>
                  <w:r>
                    <w:t xml:space="preserve">61</w:t>
                  </w:r>
                </w:p>
              </w:tc>
            </w:tr>
            <w:tr>
              <w:tc>
                <w:tcPr/>
                <w:p>
                  <w:pPr>
                    <w:pStyle w:val="Compact"/>
                    <w:jc w:val="left"/>
                    <w:jc w:val="center"/>
                  </w:pPr>
                  <w:r>
                    <w:t xml:space="preserve">GAD-7 (/8)</w:t>
                  </w:r>
                </w:p>
              </w:tc>
              <w:tc>
                <w:tcPr/>
                <w:p>
                  <w:pPr>
                    <w:pStyle w:val="Compact"/>
                    <w:jc w:val="left"/>
                    <w:jc w:val="center"/>
                  </w:pPr>
                  <w:r>
                    <w:t xml:space="preserve">2.3 (2.3)</w:t>
                  </w:r>
                </w:p>
              </w:tc>
              <w:tc>
                <w:tcPr/>
                <w:p>
                  <w:pPr>
                    <w:pStyle w:val="Compact"/>
                    <w:jc w:val="left"/>
                    <w:jc w:val="center"/>
                  </w:pPr>
                  <w:r>
                    <w:t xml:space="preserve">0.0–10.0</w:t>
                  </w:r>
                </w:p>
              </w:tc>
              <w:tc>
                <w:tcPr/>
                <w:p>
                  <w:pPr>
                    <w:pStyle w:val="Compact"/>
                    <w:jc w:val="right"/>
                    <w:jc w:val="center"/>
                  </w:pPr>
                  <w:r>
                    <w:t xml:space="preserve">61</w:t>
                  </w:r>
                </w:p>
              </w:tc>
            </w:tr>
            <w:tr>
              <w:tc>
                <w:tcPr/>
                <w:p>
                  <w:pPr>
                    <w:pStyle w:val="Compact"/>
                    <w:jc w:val="left"/>
                    <w:jc w:val="center"/>
                  </w:pPr>
                  <w:r>
                    <w:t xml:space="preserve">EMQ-13</w:t>
                  </w:r>
                </w:p>
              </w:tc>
              <w:tc>
                <w:tcPr/>
                <w:p>
                  <w:pPr>
                    <w:pStyle w:val="Compact"/>
                    <w:jc w:val="left"/>
                    <w:jc w:val="center"/>
                  </w:pPr>
                  <w:r>
                    <w:t xml:space="preserve">6.7 (4.7)</w:t>
                  </w:r>
                </w:p>
              </w:tc>
              <w:tc>
                <w:tcPr/>
                <w:p>
                  <w:pPr>
                    <w:pStyle w:val="Compact"/>
                    <w:jc w:val="left"/>
                    <w:jc w:val="center"/>
                  </w:pPr>
                  <w:r>
                    <w:t xml:space="preserve">1.0–28.0</w:t>
                  </w:r>
                </w:p>
              </w:tc>
              <w:tc>
                <w:tcPr/>
                <w:p>
                  <w:pPr>
                    <w:pStyle w:val="Compact"/>
                    <w:jc w:val="right"/>
                    <w:jc w:val="center"/>
                  </w:pPr>
                  <w:r>
                    <w:t xml:space="preserve">62</w:t>
                  </w:r>
                </w:p>
              </w:tc>
            </w:tr>
          </w:tbl>
          <w:bookmarkEnd w:id="22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1" w:name="tbl-neuropsych-ddm-exploratory"/>
          <w:p>
            <w:pPr>
              <w:jc w:val="center"/>
            </w:pPr>
            <w:pPr>
              <w:jc w:val="start"/>
              <w:spacing w:before="200"/>
              <w:pStyle w:val="ImageCaption"/>
            </w:pPr>
            <w:r>
              <w:t xml:space="preserve">Table 27: Exploratory partial correlations between neuropsychological measures and DDM/behavioral outcomes (age and sex partialled). MoCA null effects and selected p &lt; .05 associations shown; none survived FDR correction at q &lt; .05.</w:t>
            </w:r>
          </w:p>
          <w:tbl>
            <w:tblPr>
              <w:tblStyle w:val="Table"/>
              <w:tblW w:type="pct" w:w="5000"/>
              <w:tblLayout w:type="fixed"/>
              <w:tblLook w:firstRow="1" w:lastRow="0" w:firstColumn="0" w:lastColumn="0" w:noHBand="0" w:noVBand="0" w:val="0020"/>
            </w:tblPr>
            <w:tblGrid>
              <w:gridCol w:w="2007"/>
              <w:gridCol w:w="2900"/>
              <w:gridCol w:w="1115"/>
              <w:gridCol w:w="892"/>
              <w:gridCol w:w="669"/>
              <w:gridCol w:w="334"/>
            </w:tblGrid>
            <w:tr>
              <w:trPr>
                <w:tblHeader w:val="on"/>
              </w:trPr>
              <w:tc>
                <w:tcPr/>
                <w:p>
                  <w:pPr>
                    <w:pStyle w:val="Compact"/>
                    <w:jc w:val="left"/>
                    <w:jc w:val="center"/>
                  </w:pPr>
                  <w:r>
                    <w:t xml:space="preserve">Predictor</w:t>
                  </w:r>
                </w:p>
              </w:tc>
              <w:tc>
                <w:tcPr/>
                <w:p>
                  <w:pPr>
                    <w:pStyle w:val="Compact"/>
                    <w:jc w:val="left"/>
                    <w:jc w:val="center"/>
                  </w:pPr>
                  <w:r>
                    <w:t xml:space="preserve">Outcome</w:t>
                  </w:r>
                </w:p>
              </w:tc>
              <w:tc>
                <w:tcPr/>
                <w:p>
                  <w:pPr>
                    <w:pStyle w:val="Compact"/>
                    <w:jc w:val="right"/>
                    <w:jc w:val="center"/>
                  </w:pPr>
                  <w:r>
                    <w:t xml:space="preserve">Partial r</w:t>
                  </w:r>
                </w:p>
              </w:tc>
              <w:tc>
                <w:tcPr/>
                <w:p>
                  <w:pPr>
                    <w:pStyle w:val="Compact"/>
                    <w:jc w:val="left"/>
                    <w:jc w:val="center"/>
                  </w:pPr>
                  <w:r>
                    <w:t xml:space="preserve">p</w:t>
                  </w:r>
                </w:p>
              </w:tc>
              <w:tc>
                <w:tcPr/>
                <w:p>
                  <w:pPr>
                    <w:pStyle w:val="Compact"/>
                    <w:jc w:val="left"/>
                    <w:jc w:val="center"/>
                  </w:pPr>
                  <w:r>
                    <w:t xml:space="preserve">FDR q</w:t>
                  </w:r>
                </w:p>
              </w:tc>
              <w:tc>
                <w:tcPr/>
                <w:p>
                  <w:pPr>
                    <w:pStyle w:val="Compact"/>
                    <w:jc w:val="right"/>
                    <w:jc w:val="center"/>
                  </w:pPr>
                  <w:r>
                    <w:t xml:space="preserve">n</w:t>
                  </w:r>
                </w:p>
              </w:tc>
            </w:tr>
            <w:tr>
              <w:tc>
                <w:tcPr/>
                <w:p>
                  <w:pPr>
                    <w:pStyle w:val="Compact"/>
                    <w:jc w:val="left"/>
                    <w:jc w:val="center"/>
                  </w:pPr>
                  <w:r>
                    <w:t xml:space="preserve">Education (years)</w:t>
                  </w:r>
                </w:p>
              </w:tc>
              <w:tc>
                <w:tcPr/>
                <w:p>
                  <w:pPr>
                    <w:pStyle w:val="Compact"/>
                    <w:jc w:val="left"/>
                    <w:jc w:val="center"/>
                  </w:pPr>
                  <w:r>
                    <w:t xml:space="preserve">Mean accuracy</w:t>
                  </w:r>
                </w:p>
              </w:tc>
              <w:tc>
                <w:tcPr/>
                <w:p>
                  <w:pPr>
                    <w:pStyle w:val="Compact"/>
                    <w:jc w:val="right"/>
                    <w:jc w:val="center"/>
                  </w:pPr>
                  <w:r>
                    <w:t xml:space="preserve">0.304</w:t>
                  </w:r>
                </w:p>
              </w:tc>
              <w:tc>
                <w:tcPr/>
                <w:p>
                  <w:pPr>
                    <w:pStyle w:val="Compact"/>
                    <w:jc w:val="left"/>
                    <w:jc w:val="center"/>
                  </w:pPr>
                  <w:r>
                    <w:t xml:space="preserve">0.0146</w:t>
                  </w:r>
                </w:p>
              </w:tc>
              <w:tc>
                <w:tcPr/>
                <w:p>
                  <w:pPr>
                    <w:pStyle w:val="Compact"/>
                    <w:jc w:val="left"/>
                    <w:jc w:val="center"/>
                  </w:pPr>
                  <w:r>
                    <w:t xml:space="preserve">0.15</w:t>
                  </w:r>
                </w:p>
              </w:tc>
              <w:tc>
                <w:tcPr/>
                <w:p>
                  <w:pPr>
                    <w:pStyle w:val="Compact"/>
                    <w:jc w:val="right"/>
                    <w:jc w:val="center"/>
                  </w:pPr>
                  <w:r>
                    <w:t xml:space="preserve">64</w:t>
                  </w:r>
                </w:p>
              </w:tc>
            </w:tr>
            <w:tr>
              <w:tc>
                <w:tcPr/>
                <w:p>
                  <w:pPr>
                    <w:pStyle w:val="Compact"/>
                    <w:jc w:val="left"/>
                    <w:jc w:val="center"/>
                  </w:pPr>
                  <w:r>
                    <w:t xml:space="preserve">GDS</w:t>
                  </w:r>
                </w:p>
              </w:tc>
              <w:tc>
                <w:tcPr/>
                <w:p>
                  <w:pPr>
                    <w:pStyle w:val="Compact"/>
                    <w:jc w:val="left"/>
                    <w:jc w:val="center"/>
                  </w:pPr>
                  <m:oMath>
                    <m:r>
                      <m:t>d</m:t>
                    </m:r>
                    <m:r>
                      <m:rPr>
                        <m:sty m:val="p"/>
                      </m:rPr>
                      <m:t>′</m:t>
                    </m:r>
                  </m:oMath>
                  <w:r>
                    <w:t xml:space="preserve"> </w:t>
                  </w:r>
                  <w:r>
                    <w:t xml:space="preserve">variability</w:t>
                  </w:r>
                </w:p>
              </w:tc>
              <w:tc>
                <w:tcPr/>
                <w:p>
                  <w:pPr>
                    <w:pStyle w:val="Compact"/>
                    <w:jc w:val="right"/>
                    <w:jc w:val="center"/>
                  </w:pPr>
                  <w:r>
                    <w:t xml:space="preserve">-0.272</w:t>
                  </w:r>
                </w:p>
              </w:tc>
              <w:tc>
                <w:tcPr/>
                <w:p>
                  <w:pPr>
                    <w:pStyle w:val="Compact"/>
                    <w:jc w:val="left"/>
                    <w:jc w:val="center"/>
                  </w:pPr>
                  <w:r>
                    <w:t xml:space="preserve">0.0337</w:t>
                  </w:r>
                </w:p>
              </w:tc>
              <w:tc>
                <w:tcPr/>
                <w:p>
                  <w:pPr>
                    <w:pStyle w:val="Compact"/>
                    <w:jc w:val="left"/>
                    <w:jc w:val="center"/>
                  </w:pPr>
                  <w:r>
                    <w:t xml:space="preserve">0.266</w:t>
                  </w:r>
                </w:p>
              </w:tc>
              <w:tc>
                <w:tcPr/>
                <w:p>
                  <w:pPr>
                    <w:pStyle w:val="Compact"/>
                    <w:jc w:val="right"/>
                    <w:jc w:val="center"/>
                  </w:pPr>
                  <w:r>
                    <w:t xml:space="preserve">61</w:t>
                  </w:r>
                </w:p>
              </w:tc>
            </w:tr>
            <w:tr>
              <w:tc>
                <w:tcPr/>
                <w:p>
                  <w:pPr>
                    <w:pStyle w:val="Compact"/>
                    <w:jc w:val="left"/>
                    <w:jc w:val="center"/>
                  </w:pPr>
                  <w:r>
                    <w:t xml:space="preserve">GDS</w:t>
                  </w:r>
                </w:p>
              </w:tc>
              <w:tc>
                <w:tcPr/>
                <w:p>
                  <w:pPr>
                    <w:pStyle w:val="Compact"/>
                    <w:jc w:val="left"/>
                    <w:jc w:val="center"/>
                  </w:pPr>
                  <w:r>
                    <w:t xml:space="preserve">Baseline bias (z)</w:t>
                  </w:r>
                </w:p>
              </w:tc>
              <w:tc>
                <w:tcPr/>
                <w:p>
                  <w:pPr>
                    <w:pStyle w:val="Compact"/>
                    <w:jc w:val="right"/>
                    <w:jc w:val="center"/>
                  </w:pPr>
                  <w:r>
                    <w:t xml:space="preserve">-0.253</w:t>
                  </w:r>
                </w:p>
              </w:tc>
              <w:tc>
                <w:tcPr/>
                <w:p>
                  <w:pPr>
                    <w:pStyle w:val="Compact"/>
                    <w:jc w:val="left"/>
                    <w:jc w:val="center"/>
                  </w:pPr>
                  <w:r>
                    <w:t xml:space="preserve">0.0492</w:t>
                  </w:r>
                </w:p>
              </w:tc>
              <w:tc>
                <w:tcPr/>
                <w:p>
                  <w:pPr>
                    <w:pStyle w:val="Compact"/>
                    <w:jc w:val="left"/>
                    <w:jc w:val="center"/>
                  </w:pPr>
                  <w:r>
                    <w:t xml:space="preserve">0.295</w:t>
                  </w:r>
                </w:p>
              </w:tc>
              <w:tc>
                <w:tcPr/>
                <w:p>
                  <w:pPr>
                    <w:pStyle w:val="Compact"/>
                    <w:jc w:val="right"/>
                    <w:jc w:val="center"/>
                  </w:pPr>
                  <w:r>
                    <w:t xml:space="preserve">61</w:t>
                  </w:r>
                </w:p>
              </w:tc>
            </w:tr>
            <w:tr>
              <w:tc>
                <w:tcPr/>
                <w:p>
                  <w:pPr>
                    <w:pStyle w:val="Compact"/>
                    <w:jc w:val="left"/>
                    <w:jc w:val="center"/>
                  </w:pPr>
                  <w:r>
                    <w:t xml:space="preserve">MoCA</w:t>
                  </w:r>
                </w:p>
              </w:tc>
              <w:tc>
                <w:tcPr/>
                <w:p>
                  <w:pPr>
                    <w:pStyle w:val="Compact"/>
                    <w:jc w:val="left"/>
                    <w:jc w:val="center"/>
                  </w:pPr>
                  <w:r>
                    <w:t xml:space="preserve">|Accuracy cost|</w:t>
                  </w:r>
                </w:p>
              </w:tc>
              <w:tc>
                <w:tcPr/>
                <w:p>
                  <w:pPr>
                    <w:pStyle w:val="Compact"/>
                    <w:jc w:val="right"/>
                    <w:jc w:val="center"/>
                  </w:pPr>
                  <w:r>
                    <w:t xml:space="preserve">0.179</w:t>
                  </w:r>
                </w:p>
              </w:tc>
              <w:tc>
                <w:tcPr/>
                <w:p>
                  <w:pPr>
                    <w:pStyle w:val="Compact"/>
                    <w:jc w:val="left"/>
                    <w:jc w:val="center"/>
                  </w:pPr>
                  <w:r>
                    <w:t xml:space="preserve">0.164</w:t>
                  </w:r>
                </w:p>
              </w:tc>
              <w:tc>
                <w:tcPr/>
                <w:p>
                  <w:pPr>
                    <w:pStyle w:val="Compact"/>
                    <w:jc w:val="left"/>
                    <w:jc w:val="center"/>
                  </w:pPr>
                  <w:r>
                    <w:t xml:space="preserve">0.483</w:t>
                  </w:r>
                </w:p>
              </w:tc>
              <w:tc>
                <w:tcPr/>
                <w:p>
                  <w:pPr>
                    <w:pStyle w:val="Compact"/>
                    <w:jc w:val="right"/>
                    <w:jc w:val="center"/>
                  </w:pPr>
                  <w:r>
                    <w:t xml:space="preserve">62</w:t>
                  </w:r>
                </w:p>
              </w:tc>
            </w:tr>
            <w:tr>
              <w:tc>
                <w:tcPr/>
                <w:p>
                  <w:pPr>
                    <w:pStyle w:val="Compact"/>
                    <w:jc w:val="left"/>
                    <w:jc w:val="center"/>
                  </w:pPr>
                  <w:r>
                    <w:t xml:space="preserve">MoCA</w:t>
                  </w:r>
                </w:p>
              </w:tc>
              <w:tc>
                <w:tcPr/>
                <w:p>
                  <w:pPr>
                    <w:pStyle w:val="Compact"/>
                    <w:jc w:val="left"/>
                    <w:jc w:val="center"/>
                  </w:pPr>
                  <w:r>
                    <w:t xml:space="preserve">|RT cost|</w:t>
                  </w:r>
                </w:p>
              </w:tc>
              <w:tc>
                <w:tcPr/>
                <w:p>
                  <w:pPr>
                    <w:pStyle w:val="Compact"/>
                    <w:jc w:val="right"/>
                    <w:jc w:val="center"/>
                  </w:pPr>
                  <w:r>
                    <w:t xml:space="preserve">0.057</w:t>
                  </w:r>
                </w:p>
              </w:tc>
              <w:tc>
                <w:tcPr/>
                <w:p>
                  <w:pPr>
                    <w:pStyle w:val="Compact"/>
                    <w:jc w:val="left"/>
                    <w:jc w:val="center"/>
                  </w:pPr>
                  <w:r>
                    <w:t xml:space="preserve">0.658</w:t>
                  </w:r>
                </w:p>
              </w:tc>
              <w:tc>
                <w:tcPr/>
                <w:p>
                  <w:pPr>
                    <w:pStyle w:val="Compact"/>
                    <w:jc w:val="left"/>
                    <w:jc w:val="center"/>
                  </w:pPr>
                  <w:r>
                    <w:t xml:space="preserve">0.908</w:t>
                  </w:r>
                </w:p>
              </w:tc>
              <w:tc>
                <w:tcPr/>
                <w:p>
                  <w:pPr>
                    <w:pStyle w:val="Compact"/>
                    <w:jc w:val="right"/>
                    <w:jc w:val="center"/>
                  </w:pPr>
                  <w:r>
                    <w:t xml:space="preserve">62</w:t>
                  </w:r>
                </w:p>
              </w:tc>
            </w:tr>
            <w:tr>
              <w:tc>
                <w:tcPr/>
                <w:p>
                  <w:pPr>
                    <w:pStyle w:val="Compact"/>
                    <w:jc w:val="left"/>
                    <w:jc w:val="center"/>
                  </w:pPr>
                  <w:r>
                    <w:t xml:space="preserve">MoCA</w:t>
                  </w:r>
                </w:p>
              </w:tc>
              <w:tc>
                <w:tcPr/>
                <w:p>
                  <w:pPr>
                    <w:pStyle w:val="Compact"/>
                    <w:jc w:val="left"/>
                    <w:jc w:val="center"/>
                  </w:pPr>
                  <w:r>
                    <w:t xml:space="preserve">Baseline drift (v)</w:t>
                  </w:r>
                </w:p>
              </w:tc>
              <w:tc>
                <w:tcPr/>
                <w:p>
                  <w:pPr>
                    <w:pStyle w:val="Compact"/>
                    <w:jc w:val="right"/>
                    <w:jc w:val="center"/>
                  </w:pPr>
                  <w:r>
                    <w:t xml:space="preserve">-0.010</w:t>
                  </w:r>
                </w:p>
              </w:tc>
              <w:tc>
                <w:tcPr/>
                <w:p>
                  <w:pPr>
                    <w:pStyle w:val="Compact"/>
                    <w:jc w:val="left"/>
                    <w:jc w:val="center"/>
                  </w:pPr>
                  <w:r>
                    <w:t xml:space="preserve">0.937</w:t>
                  </w:r>
                </w:p>
              </w:tc>
              <w:tc>
                <w:tcPr/>
                <w:p>
                  <w:pPr>
                    <w:pStyle w:val="Compact"/>
                    <w:jc w:val="left"/>
                    <w:jc w:val="center"/>
                  </w:pPr>
                  <w:r>
                    <w:t xml:space="preserve">0.981</w:t>
                  </w:r>
                </w:p>
              </w:tc>
              <w:tc>
                <w:tcPr/>
                <w:p>
                  <w:pPr>
                    <w:pStyle w:val="Compact"/>
                    <w:jc w:val="right"/>
                    <w:jc w:val="center"/>
                  </w:pPr>
                  <w:r>
                    <w:t xml:space="preserve">62</w:t>
                  </w:r>
                </w:p>
              </w:tc>
            </w:tr>
            <w:tr>
              <w:tc>
                <w:tcPr/>
                <w:p>
                  <w:pPr>
                    <w:pStyle w:val="Compact"/>
                    <w:jc w:val="left"/>
                    <w:jc w:val="center"/>
                  </w:pPr>
                  <w:r>
                    <w:t xml:space="preserve">SILS</w:t>
                  </w:r>
                </w:p>
              </w:tc>
              <w:tc>
                <w:tcPr/>
                <w:p>
                  <w:pPr>
                    <w:pStyle w:val="Compact"/>
                    <w:jc w:val="left"/>
                    <w:jc w:val="center"/>
                  </w:pPr>
                  <w:r>
                    <w:t xml:space="preserve">Mean accuracy</w:t>
                  </w:r>
                </w:p>
              </w:tc>
              <w:tc>
                <w:tcPr/>
                <w:p>
                  <w:pPr>
                    <w:pStyle w:val="Compact"/>
                    <w:jc w:val="right"/>
                    <w:jc w:val="center"/>
                  </w:pPr>
                  <w:r>
                    <w:t xml:space="preserve">0.368</w:t>
                  </w:r>
                </w:p>
              </w:tc>
              <w:tc>
                <w:tcPr/>
                <w:p>
                  <w:pPr>
                    <w:pStyle w:val="Compact"/>
                    <w:jc w:val="left"/>
                    <w:jc w:val="center"/>
                  </w:pPr>
                  <w:r>
                    <w:t xml:space="preserve">0.00304</w:t>
                  </w:r>
                </w:p>
              </w:tc>
              <w:tc>
                <w:tcPr/>
                <w:p>
                  <w:pPr>
                    <w:pStyle w:val="Compact"/>
                    <w:jc w:val="left"/>
                    <w:jc w:val="center"/>
                  </w:pPr>
                  <w:r>
                    <w:t xml:space="preserve">0.13</w:t>
                  </w:r>
                </w:p>
              </w:tc>
              <w:tc>
                <w:tcPr/>
                <w:p>
                  <w:pPr>
                    <w:pStyle w:val="Compact"/>
                    <w:jc w:val="right"/>
                    <w:jc w:val="center"/>
                  </w:pPr>
                  <w:r>
                    <w:t xml:space="preserve">63</w:t>
                  </w:r>
                </w:p>
              </w:tc>
            </w:tr>
            <w:tr>
              <w:tc>
                <w:tcPr/>
                <w:p>
                  <w:pPr>
                    <w:pStyle w:val="Compact"/>
                    <w:jc w:val="left"/>
                    <w:jc w:val="center"/>
                  </w:pPr>
                  <w:r>
                    <w:t xml:space="preserve">SILS</w:t>
                  </w:r>
                </w:p>
              </w:tc>
              <w:tc>
                <w:tcPr/>
                <w:p>
                  <w:pPr>
                    <w:pStyle w:val="Compact"/>
                    <w:jc w:val="left"/>
                    <w:jc w:val="center"/>
                  </w:pPr>
                  <m:oMath>
                    <m:r>
                      <m:t>d</m:t>
                    </m:r>
                    <m:r>
                      <m:rPr>
                        <m:sty m:val="p"/>
                      </m:rPr>
                      <m:t>′</m:t>
                    </m:r>
                  </m:oMath>
                  <w:r>
                    <w:t xml:space="preserve"> </w:t>
                  </w:r>
                  <w:r>
                    <w:t xml:space="preserve">variability</w:t>
                  </w:r>
                </w:p>
              </w:tc>
              <w:tc>
                <w:tcPr/>
                <w:p>
                  <w:pPr>
                    <w:pStyle w:val="Compact"/>
                    <w:jc w:val="right"/>
                    <w:jc w:val="center"/>
                  </w:pPr>
                  <w:r>
                    <w:t xml:space="preserve">0.263</w:t>
                  </w:r>
                </w:p>
              </w:tc>
              <w:tc>
                <w:tcPr/>
                <w:p>
                  <w:pPr>
                    <w:pStyle w:val="Compact"/>
                    <w:jc w:val="left"/>
                    <w:jc w:val="center"/>
                  </w:pPr>
                  <w:r>
                    <w:t xml:space="preserve">0.0377</w:t>
                  </w:r>
                </w:p>
              </w:tc>
              <w:tc>
                <w:tcPr/>
                <w:p>
                  <w:pPr>
                    <w:pStyle w:val="Compact"/>
                    <w:jc w:val="left"/>
                    <w:jc w:val="center"/>
                  </w:pPr>
                  <w:r>
                    <w:t xml:space="preserve">0.266</w:t>
                  </w:r>
                </w:p>
              </w:tc>
              <w:tc>
                <w:tcPr/>
                <w:p>
                  <w:pPr>
                    <w:pStyle w:val="Compact"/>
                    <w:jc w:val="right"/>
                    <w:jc w:val="center"/>
                  </w:pPr>
                  <w:r>
                    <w:t xml:space="preserve">63</w:t>
                  </w:r>
                </w:p>
              </w:tc>
            </w:tr>
            <w:tr>
              <w:tc>
                <w:tcPr/>
                <w:p>
                  <w:pPr>
                    <w:pStyle w:val="Compact"/>
                    <w:jc w:val="left"/>
                    <w:jc w:val="center"/>
                  </w:pPr>
                  <w:r>
                    <w:t xml:space="preserve">SILS</w:t>
                  </w:r>
                </w:p>
              </w:tc>
              <w:tc>
                <w:tcPr/>
                <w:p>
                  <w:pPr>
                    <w:pStyle w:val="Compact"/>
                    <w:jc w:val="left"/>
                    <w:jc w:val="center"/>
                  </w:pPr>
                  <w:r>
                    <w:t xml:space="preserve">|RT cost|</w:t>
                  </w:r>
                </w:p>
              </w:tc>
              <w:tc>
                <w:tcPr/>
                <w:p>
                  <w:pPr>
                    <w:pStyle w:val="Compact"/>
                    <w:jc w:val="right"/>
                    <w:jc w:val="center"/>
                  </w:pPr>
                  <w:r>
                    <w:t xml:space="preserve">-0.259</w:t>
                  </w:r>
                </w:p>
              </w:tc>
              <w:tc>
                <w:tcPr/>
                <w:p>
                  <w:pPr>
                    <w:pStyle w:val="Compact"/>
                    <w:jc w:val="left"/>
                    <w:jc w:val="center"/>
                  </w:pPr>
                  <w:r>
                    <w:t xml:space="preserve">0.0406</w:t>
                  </w:r>
                </w:p>
              </w:tc>
              <w:tc>
                <w:tcPr/>
                <w:p>
                  <w:pPr>
                    <w:pStyle w:val="Compact"/>
                    <w:jc w:val="left"/>
                    <w:jc w:val="center"/>
                  </w:pPr>
                  <w:r>
                    <w:t xml:space="preserve">0.266</w:t>
                  </w:r>
                </w:p>
              </w:tc>
              <w:tc>
                <w:tcPr/>
                <w:p>
                  <w:pPr>
                    <w:pStyle w:val="Compact"/>
                    <w:jc w:val="right"/>
                    <w:jc w:val="center"/>
                  </w:pPr>
                  <w:r>
                    <w:t xml:space="preserve">63</w:t>
                  </w:r>
                </w:p>
              </w:tc>
            </w:tr>
            <w:tr>
              <w:tc>
                <w:tcPr/>
                <w:p>
                  <w:pPr>
                    <w:pStyle w:val="Compact"/>
                    <w:jc w:val="left"/>
                    <w:jc w:val="center"/>
                  </w:pPr>
                  <w:r>
                    <w:t xml:space="preserve">SILS</w:t>
                  </w:r>
                </w:p>
              </w:tc>
              <w:tc>
                <w:tcPr/>
                <w:p>
                  <w:pPr>
                    <w:pStyle w:val="Compact"/>
                    <w:jc w:val="left"/>
                    <w:jc w:val="center"/>
                  </w:pPr>
                  <w:r>
                    <w:t xml:space="preserve">Mean RT</w:t>
                  </w:r>
                </w:p>
              </w:tc>
              <w:tc>
                <w:tcPr/>
                <w:p>
                  <w:pPr>
                    <w:pStyle w:val="Compact"/>
                    <w:jc w:val="right"/>
                    <w:jc w:val="center"/>
                  </w:pPr>
                  <w:r>
                    <w:t xml:space="preserve">-0.356</w:t>
                  </w:r>
                </w:p>
              </w:tc>
              <w:tc>
                <w:tcPr/>
                <w:p>
                  <w:pPr>
                    <w:pStyle w:val="Compact"/>
                    <w:jc w:val="left"/>
                    <w:jc w:val="center"/>
                  </w:pPr>
                  <w:r>
                    <w:t xml:space="preserve">0.00422</w:t>
                  </w:r>
                </w:p>
              </w:tc>
              <w:tc>
                <w:tcPr/>
                <w:p>
                  <w:pPr>
                    <w:pStyle w:val="Compact"/>
                    <w:jc w:val="left"/>
                    <w:jc w:val="center"/>
                  </w:pPr>
                  <w:r>
                    <w:t xml:space="preserve">0.13</w:t>
                  </w:r>
                </w:p>
              </w:tc>
              <w:tc>
                <w:tcPr/>
                <w:p>
                  <w:pPr>
                    <w:pStyle w:val="Compact"/>
                    <w:jc w:val="right"/>
                    <w:jc w:val="center"/>
                  </w:pPr>
                  <w:r>
                    <w:t xml:space="preserve">63</w:t>
                  </w:r>
                </w:p>
              </w:tc>
            </w:tr>
          </w:tbl>
          <w:bookmarkEnd w:id="221"/>
          <w:p/>
        </w:tc>
      </w:tr>
    </w:tbl>
    <w:p>
      <w:r>
        <w:br w:type="page"/>
      </w:r>
    </w:p>
    <w:bookmarkEnd w:id="222"/>
    <w:bookmarkStart w:id="229" w:name="app-exploratory-temporal"/>
    <w:p>
      <w:pPr>
        <w:pStyle w:val="Heading2"/>
      </w:pPr>
      <w:r>
        <w:t xml:space="preserve">A10. Exploratory Temporal Dynamics</w:t>
      </w:r>
    </w:p>
    <w:p>
      <w:pPr>
        <w:pStyle w:val="FirstParagraph"/>
      </w:pPr>
      <w:r>
        <w:t xml:space="preserve">These models evaluate choice history and within-run fatigue. They are reported here because they support interpretation of the main effort effects but do not directly test H1-H4 or the pupil-linked analysis.</w:t>
      </w:r>
    </w:p>
    <w:bookmarkStart w:id="223" w:name="sec-choice-history"/>
    <w:p>
      <w:pPr>
        <w:pStyle w:val="Heading3"/>
      </w:pPr>
      <w:r>
        <w:t xml:space="preserve">A10.1 Choice-history models</w:t>
      </w:r>
    </w:p>
    <w:p>
      <w:pPr>
        <w:pStyle w:val="FirstParagraph"/>
      </w:pPr>
      <w:r>
        <w:t xml:space="preserve">We fit two hierarchical Wiener DDM variants to test whether high somatic load increased reliance on recent responses (N = 17,199 trials after block-boundary exclusions; see Supplementary Methods). Both models added the previous response (coded ±0.5 for</w:t>
      </w:r>
      <w:r>
        <w:t xml:space="preserve"> </w:t>
      </w:r>
      <w:r>
        <w:t xml:space="preserve">“Different”</w:t>
      </w:r>
      <w:r>
        <w:t xml:space="preserve">/</w:t>
      </w:r>
      <w:r>
        <w:t xml:space="preserve">“Same”</w:t>
      </w:r>
      <w:r>
        <w:t xml:space="preserve">) to the starting-point bias subformula. The history model tested perseveration and its modulation by effort. The win-stay/lose-shift (WSLS) model also included previous-trial accuracy, asking whether carry-over differed after correct versus incorrect responses. The history model met the pre-specified</w:t>
      </w:r>
      <w:r>
        <w:t xml:space="preserve"> </w:t>
      </w:r>
      <m:oMath>
        <m:acc>
          <m:accPr>
            <m:chr m:val="̂"/>
          </m:accPr>
          <m:e>
            <m:r>
              <m:t>R</m:t>
            </m:r>
          </m:e>
        </m:acc>
        <m:r>
          <m:rPr>
            <m:sty m:val="p"/>
          </m:rPr>
          <m:t>&lt;</m:t>
        </m:r>
        <m:r>
          <m:t>1.01</m:t>
        </m:r>
      </m:oMath>
      <w:r>
        <w:t xml:space="preserve"> </w:t>
      </w:r>
      <w:r>
        <w:t xml:space="preserve">criterion (max</w:t>
      </w:r>
      <w:r>
        <w:t xml:space="preserve"> </w:t>
      </w:r>
      <m:oMath>
        <m:acc>
          <m:accPr>
            <m:chr m:val="̂"/>
          </m:accPr>
          <m:e>
            <m:r>
              <m:t>R</m:t>
            </m:r>
          </m:e>
        </m:acc>
      </m:oMath>
      <w:r>
        <w:t xml:space="preserve"> </w:t>
      </w:r>
      <w:r>
        <w:t xml:space="preserve">= 1.003). The WSLS variant had a slightly elevated maximum</w:t>
      </w:r>
      <w:r>
        <w:t xml:space="preserve"> </w:t>
      </w:r>
      <m:oMath>
        <m:acc>
          <m:accPr>
            <m:chr m:val="̂"/>
          </m:accPr>
          <m:e>
            <m:r>
              <m:t>R</m:t>
            </m:r>
          </m:e>
        </m:acc>
      </m:oMath>
      <w:r>
        <w:t xml:space="preserve"> </w:t>
      </w:r>
      <w:r>
        <w:t xml:space="preserve">(1.014). Neither model had divergent transitions.</w:t>
      </w:r>
    </w:p>
    <w:p>
      <w:pPr>
        <w:pStyle w:val="BodyText"/>
      </w:pPr>
      <w:r>
        <w:rPr>
          <w:b/>
          <w:bCs/>
        </w:rPr>
        <w:t xml:space="preserve">Baseline perseveration.</w:t>
      </w:r>
      <w:r>
        <w:t xml:space="preserve"> </w:t>
      </w:r>
      <w:r>
        <w:t xml:space="preserve">Older adults showed a small but reliable tendency to repeat their previous response. In the history model, the previous-trial response coefficient on bias was positive with its 95% CrI excluding zero (</w:t>
      </w:r>
      <m:oMath>
        <m:acc>
          <m:accPr>
            <m:chr m:val="̂"/>
          </m:accPr>
          <m:e>
            <m:r>
              <m:t>β</m:t>
            </m:r>
          </m:e>
        </m:acc>
      </m:oMath>
      <w:r>
        <w:t xml:space="preserve"> </w:t>
      </w:r>
      <w:r>
        <w:t xml:space="preserve">= 0.065, 95% CrI [0.005, 0.125], P(</w:t>
      </w:r>
      <m:oMath>
        <m:r>
          <m:t>β</m:t>
        </m:r>
      </m:oMath>
      <w:r>
        <w:t xml:space="preserve"> </w:t>
      </w:r>
      <w:r>
        <w:t xml:space="preserve">&gt; 0) = 98.2%). On the logit scale, this corresponds to approximately a 1.5 percentage-point shift in the probability of choosing</w:t>
      </w:r>
      <w:r>
        <w:t xml:space="preserve"> </w:t>
      </w:r>
      <w:r>
        <w:t xml:space="preserve">“Different”</w:t>
      </w:r>
      <w:r>
        <w:t xml:space="preserve"> </w:t>
      </w:r>
      <w:r>
        <w:t xml:space="preserve">following a</w:t>
      </w:r>
      <w:r>
        <w:t xml:space="preserve"> </w:t>
      </w:r>
      <w:r>
        <w:t xml:space="preserve">“Different”</w:t>
      </w:r>
      <w:r>
        <w:t xml:space="preserve"> </w:t>
      </w:r>
      <w:r>
        <w:t xml:space="preserve">response. The same direction and magnitude emerged in the WSLS model (0.137 [0.017, 0.256]).</w:t>
      </w:r>
    </w:p>
    <w:p>
      <w:pPr>
        <w:pStyle w:val="BodyText"/>
      </w:pPr>
      <w:r>
        <w:rPr>
          <w:b/>
          <w:bCs/>
        </w:rPr>
        <w:t xml:space="preserve">Effort does not amplify heuristic reliance.</w:t>
      </w:r>
      <w:r>
        <w:t xml:space="preserve"> </w:t>
      </w:r>
      <w:r>
        <w:t xml:space="preserve">The previous-trial response × effort interaction was near zero in both models: history model</w:t>
      </w:r>
      <w:r>
        <w:t xml:space="preserve"> </w:t>
      </w:r>
      <m:oMath>
        <m:acc>
          <m:accPr>
            <m:chr m:val="̂"/>
          </m:accPr>
          <m:e>
            <m:r>
              <m:t>β</m:t>
            </m:r>
          </m:e>
        </m:acc>
      </m:oMath>
      <w:r>
        <w:t xml:space="preserve"> </w:t>
      </w:r>
      <w:r>
        <w:t xml:space="preserve">= −0.001 (95% CrI [−0.065, 0.064], P(</w:t>
      </w:r>
      <m:oMath>
        <m:r>
          <m:t>β</m:t>
        </m:r>
      </m:oMath>
      <w:r>
        <w:t xml:space="preserve"> </w:t>
      </w:r>
      <w:r>
        <w:t xml:space="preserve">&gt; 0) = 48.8%); WSLS model −0.001 ([−0.065, 0.064]). Perseveration did not differ between High effort (40% MVC) and Low effort (5% MVC).</w:t>
      </w:r>
    </w:p>
    <w:p>
      <w:pPr>
        <w:pStyle w:val="BodyText"/>
      </w:pPr>
      <w:r>
        <w:rPr>
          <w:b/>
          <w:bCs/>
        </w:rPr>
        <w:t xml:space="preserve">Win-stay/lose-shift dynamics.</w:t>
      </w:r>
      <w:r>
        <w:t xml:space="preserve"> </w:t>
      </w:r>
      <w:r>
        <w:t xml:space="preserve">In the WSLS model, the interaction between previous-trial response and previous-trial accuracy was</w:t>
      </w:r>
      <w:r>
        <w:t xml:space="preserve"> </w:t>
      </w:r>
      <m:oMath>
        <m:acc>
          <m:accPr>
            <m:chr m:val="̂"/>
          </m:accPr>
          <m:e>
            <m:r>
              <m:t>β</m:t>
            </m:r>
          </m:e>
        </m:acc>
      </m:oMath>
      <w:r>
        <w:t xml:space="preserve"> </w:t>
      </w:r>
      <w:r>
        <w:t xml:space="preserve">= −0.107 (95% CrI [−0.225, 0.009], P(</w:t>
      </w:r>
      <m:oMath>
        <m:r>
          <m:t>β</m:t>
        </m:r>
      </m:oMath>
      <w:r>
        <w:t xml:space="preserve"> </w:t>
      </w:r>
      <w:r>
        <w:t xml:space="preserve">&gt; 0) = 3.6%). The CrI just includes zero. The direction indicates that the perseveration effect was larger after incorrect trials than after correct ones. Neither the main effect of previous accuracy on bias (</w:t>
      </w:r>
      <m:oMath>
        <m:acc>
          <m:accPr>
            <m:chr m:val="̂"/>
          </m:accPr>
          <m:e>
            <m:r>
              <m:t>β</m:t>
            </m:r>
          </m:e>
        </m:acc>
      </m:oMath>
      <w:r>
        <w:t xml:space="preserve"> </w:t>
      </w:r>
      <w:r>
        <w:t xml:space="preserve">≈ 0, CrI [−0.060, 0.059]) nor the effort contrast differed from zero.</w:t>
      </w:r>
    </w:p>
    <w:p>
      <w:pPr>
        <w:pStyle w:val="BodyText"/>
      </w:pPr>
      <w:r>
        <w:rPr>
          <w:b/>
          <w:bCs/>
        </w:rPr>
        <w:t xml:space="preserve">History effect on drift rate.</w:t>
      </w:r>
      <w:r>
        <w:t xml:space="preserve"> </w:t>
      </w:r>
      <w:r>
        <w:t xml:space="preserve">Previous-trial response also predicted current-trial drift rate in both models (</w:t>
      </w:r>
      <m:oMath>
        <m:acc>
          <m:accPr>
            <m:chr m:val="̂"/>
          </m:accPr>
          <m:e>
            <m:r>
              <m:t>β</m:t>
            </m:r>
          </m:e>
        </m:acc>
      </m:oMath>
      <w:r>
        <w:t xml:space="preserve"> </w:t>
      </w:r>
      <w:r>
        <w:t xml:space="preserve">= 0.054 [0.008, 0.100], P(</w:t>
      </w:r>
      <m:oMath>
        <m:r>
          <m:t>β</m:t>
        </m:r>
      </m:oMath>
      <w:r>
        <w:t xml:space="preserve"> </w:t>
      </w:r>
      <w:r>
        <w:t xml:space="preserve">&gt; 0) = 99.1%). Drift was slightly higher when the current response direction matched the previous response.</w:t>
      </w:r>
    </w:p>
    <w:p>
      <w:pPr>
        <w:pStyle w:val="BodyText"/>
      </w:pPr>
      <w:r>
        <w:t xml:space="preserve">The main estimates from both models are shown in</w:t>
      </w:r>
      <w:r>
        <w:t xml:space="preserve"> </w:t>
      </w:r>
      <w:hyperlink w:anchor="fig-temporal-dynamics">
        <w:r>
          <w:rPr>
            <w:rStyle w:val="Hyperlink"/>
          </w:rPr>
          <w:t xml:space="preserve">Figure 25</w:t>
        </w:r>
      </w:hyperlink>
      <w:r>
        <w:t xml:space="preserve"> </w:t>
      </w:r>
      <w:r>
        <w:t xml:space="preserve">(Panel C).</w:t>
      </w:r>
    </w:p>
    <w:bookmarkEnd w:id="223"/>
    <w:bookmarkStart w:id="228" w:name="sec-fatigue-trajectory"/>
    <w:p>
      <w:pPr>
        <w:pStyle w:val="Heading3"/>
      </w:pPr>
      <w:r>
        <w:t xml:space="preserve">A10.2 Within-session fatigue trajectory</w:t>
      </w:r>
    </w:p>
    <w:p>
      <w:pPr>
        <w:pStyle w:val="FirstParagraph"/>
      </w:pPr>
      <w:r>
        <w:t xml:space="preserve">We also tested whether processing efficiency or caution changed within a run. A supplementary hierarchical Wiener DDM (N = 17,834 trials, 67 participants) included a within-run temporal factor. Each 30-trial run was split at the median trial position within each participant × task × run combination, producing first-half and second-half labels (maximum 1-trial imbalance across runs). The drift-rate subformula included effort, run half, continuous age (z-scored; 1 unit ≈ 6.4 years), and their three-way interaction. Boundary separation included effort, run half, and their interaction, with age as a main effect. The model converged satisfactorily (max</w:t>
      </w:r>
      <w:r>
        <w:t xml:space="preserve"> </w:t>
      </w:r>
      <m:oMath>
        <m:acc>
          <m:accPr>
            <m:chr m:val="̂"/>
          </m:accPr>
          <m:e>
            <m:r>
              <m:t>R</m:t>
            </m:r>
          </m:e>
        </m:acc>
      </m:oMath>
      <w:r>
        <w:t xml:space="preserve"> </w:t>
      </w:r>
      <w:r>
        <w:t xml:space="preserve">= 1.004; 0 divergent transitions).</w:t>
      </w:r>
    </w:p>
    <w:p>
      <w:pPr>
        <w:pStyle w:val="BodyText"/>
      </w:pPr>
      <w:r>
        <w:rPr>
          <w:b/>
          <w:bCs/>
        </w:rPr>
        <w:t xml:space="preserve">Within-run boundary relaxation.</w:t>
      </w:r>
      <w:r>
        <w:t xml:space="preserve"> </w:t>
      </w:r>
      <w:r>
        <w:t xml:space="preserve">The only parameter contrast with a 95% CrI excluding zero was the second-half change in boundary separation:</w:t>
      </w:r>
      <w:r>
        <w:t xml:space="preserve"> </w:t>
      </w:r>
      <m:oMath>
        <m:acc>
          <m:accPr>
            <m:chr m:val="̂"/>
          </m:accPr>
          <m:e>
            <m:r>
              <m:t>β</m:t>
            </m:r>
          </m:e>
        </m:acc>
      </m:oMath>
      <w:r>
        <w:t xml:space="preserve"> </w:t>
      </w:r>
      <w:r>
        <w:t xml:space="preserve">= −0.022 (95% CrI [−0.040, −0.004], P(</w:t>
      </w:r>
      <m:oMath>
        <m:r>
          <m:t>β</m:t>
        </m:r>
      </m:oMath>
      <w:r>
        <w:t xml:space="preserve"> </w:t>
      </w:r>
      <w:r>
        <w:t xml:space="preserve">&lt; 0) = 99.3%). On the exponentiated scale, this corresponds to a drop from about 2.04 to 1.99 across run halves under Low effort (5% MVC). The effort × run-half interaction was positive but non-credible (</w:t>
      </w:r>
      <m:oMath>
        <m:acc>
          <m:accPr>
            <m:chr m:val="̂"/>
          </m:accPr>
          <m:e>
            <m:r>
              <m:t>β</m:t>
            </m:r>
          </m:e>
        </m:acc>
      </m:oMath>
      <w:r>
        <w:t xml:space="preserve"> </w:t>
      </w:r>
      <w:r>
        <w:t xml:space="preserve">= +0.011, 95% CrI [−0.014, 0.037]). Under High effort (40% MVC), the expected boundary in the second half (≈ 2.03) was close to the first-half value. Boundary trajectories for all four condition cells are shown in</w:t>
      </w:r>
      <w:r>
        <w:t xml:space="preserve"> </w:t>
      </w:r>
      <w:hyperlink w:anchor="fig-temporal-dynamics">
        <w:r>
          <w:rPr>
            <w:rStyle w:val="Hyperlink"/>
          </w:rPr>
          <w:t xml:space="preserve">Figure 25</w:t>
        </w:r>
      </w:hyperlink>
      <w:r>
        <w:t xml:space="preserve"> </w:t>
      </w:r>
      <w:r>
        <w:t xml:space="preserve">(Panel A).</w:t>
      </w:r>
    </w:p>
    <w:p>
      <w:pPr>
        <w:pStyle w:val="BodyText"/>
      </w:pPr>
      <w:r>
        <w:rPr>
          <w:b/>
          <w:bCs/>
        </w:rPr>
        <w:t xml:space="preserve">No credible drift-rate decline.</w:t>
      </w:r>
      <w:r>
        <w:t xml:space="preserve"> </w:t>
      </w:r>
      <w:r>
        <w:t xml:space="preserve">The effort × run-half interaction on drift was negative but spanned zero:</w:t>
      </w:r>
      <w:r>
        <w:t xml:space="preserve"> </w:t>
      </w:r>
      <m:oMath>
        <m:acc>
          <m:accPr>
            <m:chr m:val="̂"/>
          </m:accPr>
          <m:e>
            <m:r>
              <m:t>β</m:t>
            </m:r>
          </m:e>
        </m:acc>
      </m:oMath>
      <w:r>
        <w:t xml:space="preserve"> </w:t>
      </w:r>
      <w:r>
        <w:t xml:space="preserve">= −0.035 (95% CrI [−0.100, 0.032], P(</w:t>
      </w:r>
      <m:oMath>
        <m:r>
          <m:t>β</m:t>
        </m:r>
      </m:oMath>
      <w:r>
        <w:t xml:space="preserve"> </w:t>
      </w:r>
      <w:r>
        <w:t xml:space="preserve">&lt; 0) = 85.3%). Drift did not credibly decay in the second half of a run under High effort. The effort main effect on drift was directionally consistent with the primary model (</w:t>
      </w:r>
      <m:oMath>
        <m:acc>
          <m:accPr>
            <m:chr m:val="̂"/>
          </m:accPr>
          <m:e>
            <m:r>
              <m:t>β</m:t>
            </m:r>
          </m:e>
        </m:acc>
      </m:oMath>
      <w:r>
        <w:t xml:space="preserve"> </w:t>
      </w:r>
      <w:r>
        <w:t xml:space="preserve">= −0.038, 95% CrI [−0.085, 0.008], P(</w:t>
      </w:r>
      <m:oMath>
        <m:r>
          <m:t>β</m:t>
        </m:r>
      </m:oMath>
      <w:r>
        <w:t xml:space="preserve"> </w:t>
      </w:r>
      <w:r>
        <w:t xml:space="preserve">&lt; 0) = 94.8%), but it was non-credible in this expanded model.</w:t>
      </w:r>
    </w:p>
    <w:p>
      <w:pPr>
        <w:pStyle w:val="BodyText"/>
      </w:pPr>
      <w:r>
        <w:rPr>
          <w:b/>
          <w:bCs/>
        </w:rPr>
        <w:t xml:space="preserve">Age does not moderate the trajectory.</w:t>
      </w:r>
      <w:r>
        <w:t xml:space="preserve"> </w:t>
      </w:r>
      <w:r>
        <w:t xml:space="preserve">The three-way interaction (effort × run half × age on drift) was</w:t>
      </w:r>
      <w:r>
        <w:t xml:space="preserve"> </w:t>
      </w:r>
      <m:oMath>
        <m:acc>
          <m:accPr>
            <m:chr m:val="̂"/>
          </m:accPr>
          <m:e>
            <m:r>
              <m:t>β</m:t>
            </m:r>
          </m:e>
        </m:acc>
      </m:oMath>
      <w:r>
        <w:t xml:space="preserve"> </w:t>
      </w:r>
      <w:r>
        <w:t xml:space="preserve">= −0.023 (95% CrI [−0.091, 0.044], P(</w:t>
      </w:r>
      <m:oMath>
        <m:r>
          <m:t>β</m:t>
        </m:r>
      </m:oMath>
      <w:r>
        <w:t xml:space="preserve"> </w:t>
      </w:r>
      <w:r>
        <w:t xml:space="preserve">&lt; 0) = 74.0%). The CrI spans zero, so there is no clear age gradient in within-run drift dynamics.</w:t>
      </w:r>
    </w:p>
    <w:p>
      <w:pPr>
        <w:pStyle w:val="BodyText"/>
      </w:pPr>
      <w:r>
        <w:rPr>
          <w:b/>
          <w:bCs/>
        </w:rPr>
        <w:t xml:space="preserve">Secondary pattern.</w:t>
      </w:r>
      <w:r>
        <w:t xml:space="preserve"> </w:t>
      </w:r>
      <w:r>
        <w:t xml:space="preserve">The run-half × age interaction on drift was positive and 95.8% probable (</w:t>
      </w:r>
      <m:oMath>
        <m:acc>
          <m:accPr>
            <m:chr m:val="̂"/>
          </m:accPr>
          <m:e>
            <m:r>
              <m:t>β</m:t>
            </m:r>
          </m:e>
        </m:acc>
      </m:oMath>
      <w:r>
        <w:t xml:space="preserve"> </w:t>
      </w:r>
      <w:r>
        <w:t xml:space="preserve">= +0.048, 95% CrI [−0.006, 0.102]), with the CrI just including zero. Older-within-cohort participants tended to show slightly higher drift in the second half under Low effort. This pattern is exploratory.</w:t>
      </w:r>
    </w:p>
    <w:p>
      <w:pPr>
        <w:pStyle w:val="BodyText"/>
      </w:pPr>
      <w:r>
        <w:t xml:space="preserve">The fatigue coefficients are plotted in</w:t>
      </w:r>
      <w:r>
        <w:t xml:space="preserve"> </w:t>
      </w:r>
      <w:hyperlink w:anchor="fig-temporal-dynamics">
        <w:r>
          <w:rPr>
            <w:rStyle w:val="Hyperlink"/>
          </w:rPr>
          <w:t xml:space="preserve">Figure 25</w:t>
        </w:r>
      </w:hyperlink>
      <w:r>
        <w:t xml:space="preserve"> </w:t>
      </w:r>
      <w:r>
        <w:t xml:space="preserve">(Panel B).</w:t>
      </w:r>
    </w:p>
    <w:tbl>
      <w:tblPr>
        <w:tblStyle w:val="Table"/>
        <w:tblW w:type="pct" w:w="5000"/>
        <w:tblLayout w:type="fixed"/>
        <w:tblLook w:firstRow="0" w:lastRow="0" w:firstColumn="0" w:lastColumn="0" w:noHBand="0" w:noVBand="0" w:val="0000"/>
      </w:tblPr>
      <w:tblGrid>
        <w:gridCol w:w="7920"/>
      </w:tblGrid>
      <w:tr>
        <w:tc>
          <w:tcPr/>
          <w:bookmarkStart w:id="227" w:name="fig-temporal-dynamics"/>
          <w:p>
            <w:pPr>
              <w:pStyle w:val="Compact"/>
              <w:jc w:val="center"/>
            </w:pPr>
            <w:r>
              <w:drawing>
                <wp:inline>
                  <wp:extent cx="5334000" cy="2964448"/>
                  <wp:effectExtent b="0" l="0" r="0" t="0"/>
                  <wp:docPr descr="" title="" id="225" name="Picture"/>
                  <a:graphic>
                    <a:graphicData uri="http://schemas.openxmlformats.org/drawingml/2006/picture">
                      <pic:pic>
                        <pic:nvPicPr>
                          <pic:cNvPr descr="../output/figures/manuscript/fig4_temporal_dynamics.png" id="226" name="Picture"/>
                          <pic:cNvPicPr>
                            <a:picLocks noChangeArrowheads="1" noChangeAspect="1"/>
                          </pic:cNvPicPr>
                        </pic:nvPicPr>
                        <pic:blipFill>
                          <a:blip r:embed="rId224"/>
                          <a:stretch>
                            <a:fillRect/>
                          </a:stretch>
                        </pic:blipFill>
                        <pic:spPr bwMode="auto">
                          <a:xfrm>
                            <a:off x="0" y="0"/>
                            <a:ext cx="5334000" cy="296444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25:</w:t>
            </w:r>
            <w:r>
              <w:t xml:space="preserve"> </w:t>
            </w:r>
            <w:r>
              <w:rPr>
                <w:b/>
                <w:bCs/>
              </w:rPr>
              <w:t xml:space="preserve">Effort degraded evidence quality upstream but did not amplify heuristic responding or produce within-run accumulation-stage exhaustion; the only credible temporal effect was a modest boundary relaxation across run halves.</w:t>
            </w:r>
            <w:r>
              <w:t xml:space="preserve"> </w:t>
            </w:r>
            <w:r>
              <w:rPr>
                <w:b/>
                <w:bCs/>
              </w:rPr>
              <w:t xml:space="preserve">(A)</w:t>
            </w:r>
            <w:r>
              <w:t xml:space="preserve"> </w:t>
            </w:r>
            <w:r>
              <w:t xml:space="preserve">Population-average boundary separation (</w:t>
            </w:r>
            <m:oMath>
              <m:r>
                <m:t>a</m:t>
              </m:r>
            </m:oMath>
            <w:r>
              <w:t xml:space="preserve">, exponentiated scale) across the first and second halves of each 30-trial run, by effort condition (95% CrI).</w:t>
            </w:r>
            <w:r>
              <w:t xml:space="preserve"> </w:t>
            </w:r>
            <w:r>
              <w:rPr>
                <w:b/>
                <w:bCs/>
              </w:rPr>
              <w:t xml:space="preserve">(B)</w:t>
            </w:r>
            <w:r>
              <w:t xml:space="preserve"> </w:t>
            </w:r>
            <w:r>
              <w:t xml:space="preserve">Focal coefficients from the within-run fatigue model; only the 2nd-vs-1st-half boundary decline (marked *) has a 95% CrI excluding zero; the effort</w:t>
            </w:r>
            <w:r>
              <w:t xml:space="preserve"> </w:t>
            </w:r>
            <m:oMath>
              <m:r>
                <m:rPr>
                  <m:sty m:val="p"/>
                </m:rPr>
                <m:t>×</m:t>
              </m:r>
            </m:oMath>
            <w:r>
              <w:t xml:space="preserve"> </w:t>
            </w:r>
            <w:r>
              <w:t xml:space="preserve">run-half interaction on</w:t>
            </w:r>
            <w:r>
              <w:t xml:space="preserve"> </w:t>
            </w:r>
            <m:oMath>
              <m:r>
                <m:t>a</m:t>
              </m:r>
            </m:oMath>
            <w:r>
              <w:t xml:space="preserve"> </w:t>
            </w:r>
            <w:r>
              <w:t xml:space="preserve">and the effort</w:t>
            </w:r>
            <w:r>
              <w:t xml:space="preserve"> </w:t>
            </w:r>
            <m:oMath>
              <m:r>
                <m:rPr>
                  <m:sty m:val="p"/>
                </m:rPr>
                <m:t>×</m:t>
              </m:r>
            </m:oMath>
            <w:r>
              <w:t xml:space="preserve"> </w:t>
            </w:r>
            <w:r>
              <w:t xml:space="preserve">run-half interaction on</w:t>
            </w:r>
            <w:r>
              <w:t xml:space="preserve"> </w:t>
            </w:r>
            <m:oMath>
              <m:r>
                <m:t>v</m:t>
              </m:r>
            </m:oMath>
            <w:r>
              <w:t xml:space="preserve"> </w:t>
            </w:r>
            <w:r>
              <w:t xml:space="preserve">both span zero.</w:t>
            </w:r>
            <w:r>
              <w:t xml:space="preserve"> </w:t>
            </w:r>
            <w:r>
              <w:rPr>
                <w:b/>
                <w:bCs/>
              </w:rPr>
              <w:t xml:space="preserve">(C)</w:t>
            </w:r>
            <w:r>
              <w:t xml:space="preserve"> </w:t>
            </w:r>
            <w:r>
              <w:t xml:space="preserve">Posterior distributions of the perseveration-on-bias coefficient and the effort</w:t>
            </w:r>
            <w:r>
              <w:t xml:space="preserve"> </w:t>
            </w:r>
            <m:oMath>
              <m:r>
                <m:rPr>
                  <m:sty m:val="p"/>
                </m:rPr>
                <m:t>×</m:t>
              </m:r>
            </m:oMath>
            <w:r>
              <w:t xml:space="preserve"> </w:t>
            </w:r>
            <w:r>
              <w:t xml:space="preserve">previous-response interaction on bias, from the history model (teal) and WSLS model (gold), plotted on the logit scale. Statistical note: Boundary decline, 2nd vs. 1st half:</w:t>
            </w:r>
            <w:r>
              <w:t xml:space="preserve"> </w:t>
            </w:r>
            <m:oMath>
              <m:acc>
                <m:accPr>
                  <m:chr m:val="̂"/>
                </m:accPr>
                <m:e>
                  <m:r>
                    <m:t>β</m:t>
                  </m:r>
                </m:e>
              </m:acc>
              <m:r>
                <m:rPr>
                  <m:sty m:val="p"/>
                </m:rPr>
                <m:t>=</m:t>
              </m:r>
              <m:r>
                <m:rPr>
                  <m:sty m:val="p"/>
                </m:rPr>
                <m:t>−</m:t>
              </m:r>
              <m:r>
                <m:t>0.022</m:t>
              </m:r>
            </m:oMath>
            <w:r>
              <w:t xml:space="preserve">, 95% CrI [</w:t>
            </w:r>
            <m:oMath>
              <m:r>
                <m:rPr>
                  <m:sty m:val="p"/>
                </m:rPr>
                <m:t>−</m:t>
              </m:r>
              <m:r>
                <m:t>0.040</m:t>
              </m:r>
            </m:oMath>
            <w:r>
              <w:t xml:space="preserve">,</w:t>
            </w:r>
            <w:r>
              <w:t xml:space="preserve"> </w:t>
            </w:r>
            <m:oMath>
              <m:r>
                <m:rPr>
                  <m:sty m:val="p"/>
                </m:rPr>
                <m:t>−</m:t>
              </m:r>
              <m:r>
                <m:t>0.004</m:t>
              </m:r>
            </m:oMath>
            <w:r>
              <w:t xml:space="preserve">],</w:t>
            </w:r>
            <w:r>
              <w:t xml:space="preserve"> </w:t>
            </w:r>
            <m:oMath>
              <m:r>
                <m:t>P</m:t>
              </m:r>
              <m:d>
                <m:dPr>
                  <m:begChr m:val="("/>
                  <m:sepChr m:val=""/>
                  <m:endChr m:val=")"/>
                  <m:grow/>
                </m:dPr>
                <m:e>
                  <m:r>
                    <m:t>β</m:t>
                  </m:r>
                  <m:r>
                    <m:rPr>
                      <m:sty m:val="p"/>
                    </m:rPr>
                    <m:t>&lt;</m:t>
                  </m:r>
                  <m:r>
                    <m:t>0</m:t>
                  </m:r>
                </m:e>
              </m:d>
              <m:r>
                <m:rPr>
                  <m:sty m:val="p"/>
                </m:rPr>
                <m:t>=</m:t>
              </m:r>
              <m:r>
                <m:t>99.3</m:t>
              </m:r>
            </m:oMath>
            <w:r>
              <w:t xml:space="preserve">%. Effort</w:t>
            </w:r>
            <w:r>
              <w:t xml:space="preserve"> </w:t>
            </w:r>
            <m:oMath>
              <m:r>
                <m:rPr>
                  <m:sty m:val="p"/>
                </m:rPr>
                <m:t>×</m:t>
              </m:r>
            </m:oMath>
            <w:r>
              <w:t xml:space="preserve"> </w:t>
            </w:r>
            <w:r>
              <w:t xml:space="preserve">run-half on boundary:</w:t>
            </w:r>
            <w:r>
              <w:t xml:space="preserve"> </w:t>
            </w:r>
            <m:oMath>
              <m:acc>
                <m:accPr>
                  <m:chr m:val="̂"/>
                </m:accPr>
                <m:e>
                  <m:r>
                    <m:t>β</m:t>
                  </m:r>
                </m:e>
              </m:acc>
              <m:r>
                <m:rPr>
                  <m:sty m:val="p"/>
                </m:rPr>
                <m:t>=</m:t>
              </m:r>
              <m:r>
                <m:rPr>
                  <m:sty m:val="p"/>
                </m:rPr>
                <m:t>+</m:t>
              </m:r>
              <m:r>
                <m:t>0.011</m:t>
              </m:r>
            </m:oMath>
            <w:r>
              <w:t xml:space="preserve"> </w:t>
            </w:r>
            <w:r>
              <w:t xml:space="preserve">[</w:t>
            </w:r>
            <m:oMath>
              <m:r>
                <m:rPr>
                  <m:sty m:val="p"/>
                </m:rPr>
                <m:t>−</m:t>
              </m:r>
              <m:r>
                <m:t>0.014</m:t>
              </m:r>
            </m:oMath>
            <w:r>
              <w:t xml:space="preserve">,</w:t>
            </w:r>
            <w:r>
              <w:t xml:space="preserve"> </w:t>
            </w:r>
            <m:oMath>
              <m:r>
                <m:t>0.037</m:t>
              </m:r>
            </m:oMath>
            <w:r>
              <w:t xml:space="preserve">]. Effort</w:t>
            </w:r>
            <w:r>
              <w:t xml:space="preserve"> </w:t>
            </w:r>
            <m:oMath>
              <m:r>
                <m:rPr>
                  <m:sty m:val="p"/>
                </m:rPr>
                <m:t>×</m:t>
              </m:r>
            </m:oMath>
            <w:r>
              <w:t xml:space="preserve"> </w:t>
            </w:r>
            <w:r>
              <w:t xml:space="preserve">previous-response on bias:</w:t>
            </w:r>
            <w:r>
              <w:t xml:space="preserve"> </w:t>
            </w:r>
            <m:oMath>
              <m:acc>
                <m:accPr>
                  <m:chr m:val="̂"/>
                </m:accPr>
                <m:e>
                  <m:r>
                    <m:t>β</m:t>
                  </m:r>
                </m:e>
              </m:acc>
              <m:r>
                <m:rPr>
                  <m:sty m:val="p"/>
                </m:rPr>
                <m:t>=</m:t>
              </m:r>
              <m:r>
                <m:rPr>
                  <m:sty m:val="p"/>
                </m:rPr>
                <m:t>−</m:t>
              </m:r>
              <m:r>
                <m:t>0.001</m:t>
              </m:r>
            </m:oMath>
            <w:r>
              <w:t xml:space="preserve"> </w:t>
            </w:r>
            <w:r>
              <w:t xml:space="preserve">[</w:t>
            </w:r>
            <m:oMath>
              <m:r>
                <m:rPr>
                  <m:sty m:val="p"/>
                </m:rPr>
                <m:t>−</m:t>
              </m:r>
              <m:r>
                <m:t>0.065</m:t>
              </m:r>
            </m:oMath>
            <w:r>
              <w:t xml:space="preserve">,</w:t>
            </w:r>
            <w:r>
              <w:t xml:space="preserve"> </w:t>
            </w:r>
            <m:oMath>
              <m:r>
                <m:t>0.064</m:t>
              </m:r>
            </m:oMath>
            <w:r>
              <w:t xml:space="preserve">]. Perseveration on bias:</w:t>
            </w:r>
            <w:r>
              <w:t xml:space="preserve"> </w:t>
            </w:r>
            <m:oMath>
              <m:acc>
                <m:accPr>
                  <m:chr m:val="̂"/>
                </m:accPr>
                <m:e>
                  <m:r>
                    <m:t>β</m:t>
                  </m:r>
                </m:e>
              </m:acc>
              <m:r>
                <m:rPr>
                  <m:sty m:val="p"/>
                </m:rPr>
                <m:t>=</m:t>
              </m:r>
              <m:r>
                <m:t>0.065</m:t>
              </m:r>
            </m:oMath>
            <w:r>
              <w:t xml:space="preserve"> </w:t>
            </w:r>
            <w:r>
              <w:t xml:space="preserve">[</w:t>
            </w:r>
            <m:oMath>
              <m:r>
                <m:t>0.005</m:t>
              </m:r>
            </m:oMath>
            <w:r>
              <w:t xml:space="preserve">,</w:t>
            </w:r>
            <w:r>
              <w:t xml:space="preserve"> </w:t>
            </w:r>
            <m:oMath>
              <m:r>
                <m:t>0.125</m:t>
              </m:r>
            </m:oMath>
            <w:r>
              <w:t xml:space="preserve">],</w:t>
            </w:r>
            <w:r>
              <w:t xml:space="preserve"> </w:t>
            </w:r>
            <m:oMath>
              <m:r>
                <m:t>P</m:t>
              </m:r>
              <m:d>
                <m:dPr>
                  <m:begChr m:val="("/>
                  <m:sepChr m:val=""/>
                  <m:endChr m:val=")"/>
                  <m:grow/>
                </m:dPr>
                <m:e>
                  <m:r>
                    <m:t>β</m:t>
                  </m:r>
                  <m:r>
                    <m:rPr>
                      <m:sty m:val="p"/>
                    </m:rPr>
                    <m:t>&gt;</m:t>
                  </m:r>
                  <m:r>
                    <m:t>0</m:t>
                  </m:r>
                </m:e>
              </m:d>
              <m:r>
                <m:rPr>
                  <m:sty m:val="p"/>
                </m:rPr>
                <m:t>=</m:t>
              </m:r>
              <m:r>
                <m:t>98.2</m:t>
              </m:r>
            </m:oMath>
            <w:r>
              <w:t xml:space="preserve">%.</w:t>
            </w:r>
          </w:p>
          <w:bookmarkEnd w:id="227"/>
        </w:tc>
      </w:tr>
    </w:tbl>
    <w:bookmarkEnd w:id="228"/>
    <w:bookmarkEnd w:id="229"/>
    <w:bookmarkEnd w:id="230"/>
    <w:bookmarkStart w:id="348" w:name="references"/>
    <w:p>
      <w:pPr>
        <w:pStyle w:val="Heading1"/>
      </w:pPr>
      <w:r>
        <w:t xml:space="preserve">References</w:t>
      </w:r>
    </w:p>
    <w:bookmarkStart w:id="347" w:name="refs"/>
    <w:bookmarkStart w:id="232" w:name="ref-quarto"/>
    <w:p>
      <w:pPr>
        <w:pStyle w:val="Bibliography"/>
      </w:pPr>
      <w:r>
        <w:t xml:space="preserve">Allaire, J., Xie, Y., Dervieux, C., McPherson, J., Luraschi, J., Ushey, K., Atkins, A., Wickham, H., Cheng, J., Chang, W., &amp; Iannone, R. (2022).</w:t>
      </w:r>
      <w:r>
        <w:t xml:space="preserve"> </w:t>
      </w:r>
      <w:r>
        <w:rPr>
          <w:i/>
          <w:iCs/>
        </w:rPr>
        <w:t xml:space="preserve">Quarto</w:t>
      </w:r>
      <w:r>
        <w:t xml:space="preserve">.</w:t>
      </w:r>
      <w:r>
        <w:t xml:space="preserve"> </w:t>
      </w:r>
      <w:hyperlink r:id="rId231">
        <w:r>
          <w:rPr>
            <w:rStyle w:val="Hyperlink"/>
          </w:rPr>
          <w:t xml:space="preserve">https://quarto.org</w:t>
        </w:r>
      </w:hyperlink>
    </w:p>
    <w:bookmarkEnd w:id="232"/>
    <w:bookmarkStart w:id="234" w:name="ref-broommixed"/>
    <w:p>
      <w:pPr>
        <w:pStyle w:val="Bibliography"/>
      </w:pPr>
      <w:r>
        <w:t xml:space="preserve">Anderson, Z., Robbins, A., Gabry, J., Couch, S., Seidel, D., &amp; Wickham, H. (2024).</w:t>
      </w:r>
      <w:r>
        <w:t xml:space="preserve"> </w:t>
      </w:r>
      <w:r>
        <w:rPr>
          <w:i/>
          <w:iCs/>
        </w:rPr>
        <w:t xml:space="preserve">Broom.mixed: Tidying methods for mixed models</w:t>
      </w:r>
      <w:r>
        <w:t xml:space="preserve">.</w:t>
      </w:r>
      <w:r>
        <w:t xml:space="preserve"> </w:t>
      </w:r>
      <w:hyperlink r:id="rId233">
        <w:r>
          <w:rPr>
            <w:rStyle w:val="Hyperlink"/>
          </w:rPr>
          <w:t xml:space="preserve">https://CRAN.R-project.org/package=broom.mixed</w:t>
        </w:r>
      </w:hyperlink>
    </w:p>
    <w:bookmarkEnd w:id="234"/>
    <w:bookmarkStart w:id="236" w:name="ref-astonjones2005"/>
    <w:p>
      <w:pPr>
        <w:pStyle w:val="Bibliography"/>
      </w:pPr>
      <w:r>
        <w:t xml:space="preserve">Aston-Jones, G., &amp; Cohen, J. D. (2005). An integrative theory of locus coeruleus–norepinephrine function: Adaptive gain and optimal performance.</w:t>
      </w:r>
      <w:r>
        <w:t xml:space="preserve"> </w:t>
      </w:r>
      <w:r>
        <w:rPr>
          <w:i/>
          <w:iCs/>
        </w:rPr>
        <w:t xml:space="preserve">Annual Review of Neuroscience</w:t>
      </w:r>
      <w:r>
        <w:t xml:space="preserve">,</w:t>
      </w:r>
      <w:r>
        <w:t xml:space="preserve"> </w:t>
      </w:r>
      <w:r>
        <w:rPr>
          <w:i/>
          <w:iCs/>
        </w:rPr>
        <w:t xml:space="preserve">28</w:t>
      </w:r>
      <w:r>
        <w:t xml:space="preserve">, 403–450.</w:t>
      </w:r>
      <w:r>
        <w:t xml:space="preserve"> </w:t>
      </w:r>
      <w:hyperlink r:id="rId235">
        <w:r>
          <w:rPr>
            <w:rStyle w:val="Hyperlink"/>
          </w:rPr>
          <w:t xml:space="preserve">https://doi.org/10.1146/annurev.neuro.28.061604.135709</w:t>
        </w:r>
      </w:hyperlink>
    </w:p>
    <w:bookmarkEnd w:id="236"/>
    <w:bookmarkStart w:id="238" w:name="ref-azer2023"/>
    <w:p>
      <w:pPr>
        <w:pStyle w:val="Bibliography"/>
      </w:pPr>
      <w:r>
        <w:t xml:space="preserve">Azer, L., Xie, W., Park, H.-B., &amp; Zhang, W. (2023). Detrimental effects of effortful physical exertion on a working memory dual-task in older adults.</w:t>
      </w:r>
      <w:r>
        <w:t xml:space="preserve"> </w:t>
      </w:r>
      <w:r>
        <w:rPr>
          <w:i/>
          <w:iCs/>
        </w:rPr>
        <w:t xml:space="preserve">Psychology and Aging</w:t>
      </w:r>
      <w:r>
        <w:t xml:space="preserve">,</w:t>
      </w:r>
      <w:r>
        <w:t xml:space="preserve"> </w:t>
      </w:r>
      <w:r>
        <w:rPr>
          <w:i/>
          <w:iCs/>
        </w:rPr>
        <w:t xml:space="preserve">38</w:t>
      </w:r>
      <w:r>
        <w:t xml:space="preserve">(4), 291–304.</w:t>
      </w:r>
      <w:r>
        <w:t xml:space="preserve"> </w:t>
      </w:r>
      <w:hyperlink r:id="rId237">
        <w:r>
          <w:rPr>
            <w:rStyle w:val="Hyperlink"/>
          </w:rPr>
          <w:t xml:space="preserve">https://doi.org/10.1037/pag0000730</w:t>
        </w:r>
      </w:hyperlink>
    </w:p>
    <w:bookmarkEnd w:id="238"/>
    <w:bookmarkStart w:id="240" w:name="ref-bates2015lme4"/>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239">
        <w:r>
          <w:rPr>
            <w:rStyle w:val="Hyperlink"/>
          </w:rPr>
          <w:t xml:space="preserve">https://doi.org/10.18637/jss.v067.i01</w:t>
        </w:r>
      </w:hyperlink>
    </w:p>
    <w:bookmarkEnd w:id="240"/>
    <w:bookmarkStart w:id="242" w:name="ref-beatty1982"/>
    <w:p>
      <w:pPr>
        <w:pStyle w:val="Bibliography"/>
      </w:pPr>
      <w:r>
        <w:t xml:space="preserve">Beatty, J. (1982). Task-evoked pupillary responses, processing load, and the structure of processing resources.</w:t>
      </w:r>
      <w:r>
        <w:t xml:space="preserve"> </w:t>
      </w:r>
      <w:r>
        <w:rPr>
          <w:i/>
          <w:iCs/>
        </w:rPr>
        <w:t xml:space="preserve">Psychological Bulletin</w:t>
      </w:r>
      <w:r>
        <w:t xml:space="preserve">,</w:t>
      </w:r>
      <w:r>
        <w:t xml:space="preserve"> </w:t>
      </w:r>
      <w:r>
        <w:rPr>
          <w:i/>
          <w:iCs/>
        </w:rPr>
        <w:t xml:space="preserve">91</w:t>
      </w:r>
      <w:r>
        <w:t xml:space="preserve">(2), 276–292.</w:t>
      </w:r>
      <w:r>
        <w:t xml:space="preserve"> </w:t>
      </w:r>
      <w:hyperlink r:id="rId241">
        <w:r>
          <w:rPr>
            <w:rStyle w:val="Hyperlink"/>
          </w:rPr>
          <w:t xml:space="preserve">https://doi.org/10.1037/0033-2909.91.2.276</w:t>
        </w:r>
      </w:hyperlink>
    </w:p>
    <w:bookmarkEnd w:id="242"/>
    <w:bookmarkStart w:id="244" w:name="ref-bennett2024lc"/>
    <w:p>
      <w:pPr>
        <w:pStyle w:val="Bibliography"/>
      </w:pPr>
      <w:r>
        <w:t xml:space="preserve">Bennett, I. J., Langley, J., Sun, A., Solis, K., Seitz, A. R., &amp; Hu, X. P. (2024). Locus coeruleus contrast and diffusivity metrics differentially relate to age and memory performance.</w:t>
      </w:r>
      <w:r>
        <w:t xml:space="preserve"> </w:t>
      </w:r>
      <w:r>
        <w:rPr>
          <w:i/>
          <w:iCs/>
        </w:rPr>
        <w:t xml:space="preserve">Scientific Reports</w:t>
      </w:r>
      <w:r>
        <w:t xml:space="preserve">,</w:t>
      </w:r>
      <w:r>
        <w:t xml:space="preserve"> </w:t>
      </w:r>
      <w:r>
        <w:rPr>
          <w:i/>
          <w:iCs/>
        </w:rPr>
        <w:t xml:space="preserve">14</w:t>
      </w:r>
      <w:r>
        <w:t xml:space="preserve">, 15372.</w:t>
      </w:r>
      <w:r>
        <w:t xml:space="preserve"> </w:t>
      </w:r>
      <w:hyperlink r:id="rId243">
        <w:r>
          <w:rPr>
            <w:rStyle w:val="Hyperlink"/>
          </w:rPr>
          <w:t xml:space="preserve">https://doi.org/10.1038/s41598-024-66238-z</w:t>
        </w:r>
      </w:hyperlink>
    </w:p>
    <w:bookmarkEnd w:id="244"/>
    <w:bookmarkStart w:id="245" w:name="ref-birren1965age"/>
    <w:p>
      <w:pPr>
        <w:pStyle w:val="Bibliography"/>
      </w:pPr>
      <w:r>
        <w:t xml:space="preserve">Birren, J. E. (1965). Age changes in speed of behavior: Its central nature and physiological correlates.</w:t>
      </w:r>
      <w:r>
        <w:t xml:space="preserve"> </w:t>
      </w:r>
      <w:r>
        <w:rPr>
          <w:i/>
          <w:iCs/>
        </w:rPr>
        <w:t xml:space="preserve">Behavior, Aging, and the Nervous System</w:t>
      </w:r>
      <w:r>
        <w:t xml:space="preserve">, 191–216.</w:t>
      </w:r>
    </w:p>
    <w:bookmarkEnd w:id="245"/>
    <w:bookmarkStart w:id="246" w:name="ref-brainard1997psychophysics"/>
    <w:p>
      <w:pPr>
        <w:pStyle w:val="Bibliography"/>
      </w:pPr>
      <w:r>
        <w:t xml:space="preserve">Brainard, D. H., &amp; Vision, S. (1997). The psychophysics toolbox.</w:t>
      </w:r>
      <w:r>
        <w:t xml:space="preserve"> </w:t>
      </w:r>
      <w:r>
        <w:rPr>
          <w:i/>
          <w:iCs/>
        </w:rPr>
        <w:t xml:space="preserve">Spatial Vision</w:t>
      </w:r>
      <w:r>
        <w:t xml:space="preserve">,</w:t>
      </w:r>
      <w:r>
        <w:t xml:space="preserve"> </w:t>
      </w:r>
      <w:r>
        <w:rPr>
          <w:i/>
          <w:iCs/>
        </w:rPr>
        <w:t xml:space="preserve">10</w:t>
      </w:r>
      <w:r>
        <w:t xml:space="preserve">(4), 433–436.</w:t>
      </w:r>
    </w:p>
    <w:bookmarkEnd w:id="246"/>
    <w:bookmarkStart w:id="248" w:name="ref-burkner2017brms"/>
    <w:p>
      <w:pPr>
        <w:pStyle w:val="Bibliography"/>
      </w:pPr>
      <w:r>
        <w:t xml:space="preserve">Bürkner, P.-C. (2017). Brms: An</w:t>
      </w:r>
      <w:r>
        <w:t xml:space="preserve"> </w:t>
      </w:r>
      <w:r>
        <w:t xml:space="preserve">R</w:t>
      </w:r>
      <w:r>
        <w:t xml:space="preserve"> </w:t>
      </w:r>
      <w:r>
        <w:t xml:space="preserve">package for bayesian 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247">
        <w:r>
          <w:rPr>
            <w:rStyle w:val="Hyperlink"/>
          </w:rPr>
          <w:t xml:space="preserve">https://doi.org/10.18637/jss.v080.i01</w:t>
        </w:r>
      </w:hyperlink>
    </w:p>
    <w:bookmarkEnd w:id="248"/>
    <w:bookmarkStart w:id="250" w:name="ref-burkner2018brms"/>
    <w:p>
      <w:pPr>
        <w:pStyle w:val="Bibliography"/>
      </w:pPr>
      <w:r>
        <w:t xml:space="preserve">Bürkner, P.-C. (2018). Advanced bayesian 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
          <w:iCs/>
        </w:rPr>
        <w:t xml:space="preserve">The R Journal</w:t>
      </w:r>
      <w:r>
        <w:t xml:space="preserve">,</w:t>
      </w:r>
      <w:r>
        <w:t xml:space="preserve"> </w:t>
      </w:r>
      <w:r>
        <w:rPr>
          <w:i/>
          <w:iCs/>
        </w:rPr>
        <w:t xml:space="preserve">10</w:t>
      </w:r>
      <w:r>
        <w:t xml:space="preserve">(1), 395–411.</w:t>
      </w:r>
      <w:r>
        <w:t xml:space="preserve"> </w:t>
      </w:r>
      <w:hyperlink r:id="rId249">
        <w:r>
          <w:rPr>
            <w:rStyle w:val="Hyperlink"/>
          </w:rPr>
          <w:t xml:space="preserve">https://doi.org/10.32614/RJ-2018-017</w:t>
        </w:r>
      </w:hyperlink>
    </w:p>
    <w:bookmarkEnd w:id="250"/>
    <w:bookmarkStart w:id="252" w:name="ref-burkner2022posterior"/>
    <w:p>
      <w:pPr>
        <w:pStyle w:val="Bibliography"/>
      </w:pPr>
      <w:r>
        <w:t xml:space="preserve">Bürkner, P.-C., Gabry, J., Kay, M., &amp; Vehtari, A. (2022). Posterior: Tools for working with posterior distributions.</w:t>
      </w:r>
      <w:r>
        <w:t xml:space="preserve"> </w:t>
      </w:r>
      <w:r>
        <w:rPr>
          <w:i/>
          <w:iCs/>
        </w:rPr>
        <w:t xml:space="preserve">Journal of Statistical Software</w:t>
      </w:r>
      <w:r>
        <w:t xml:space="preserve">,</w:t>
      </w:r>
      <w:r>
        <w:t xml:space="preserve"> </w:t>
      </w:r>
      <w:r>
        <w:rPr>
          <w:i/>
          <w:iCs/>
        </w:rPr>
        <w:t xml:space="preserve">102</w:t>
      </w:r>
      <w:r>
        <w:t xml:space="preserve">(10), 1–37.</w:t>
      </w:r>
      <w:r>
        <w:t xml:space="preserve"> </w:t>
      </w:r>
      <w:hyperlink r:id="rId251">
        <w:r>
          <w:rPr>
            <w:rStyle w:val="Hyperlink"/>
          </w:rPr>
          <w:t xml:space="preserve">https://doi.org/10.18637/jss.v102.i10</w:t>
        </w:r>
      </w:hyperlink>
    </w:p>
    <w:bookmarkEnd w:id="252"/>
    <w:bookmarkStart w:id="254" w:name="ref-cavanagh2014"/>
    <w:p>
      <w:pPr>
        <w:pStyle w:val="Bibliography"/>
      </w:pPr>
      <w:r>
        <w:t xml:space="preserve">Cavanagh, J. F., Wiecki, T. V., Kochar, A., &amp; Frank, M. J. (2014). Eye tracking and pupillometry are indicators of dissociable latent decision processes.</w:t>
      </w:r>
      <w:r>
        <w:t xml:space="preserve"> </w:t>
      </w:r>
      <w:r>
        <w:rPr>
          <w:i/>
          <w:iCs/>
        </w:rPr>
        <w:t xml:space="preserve">Journal of Experimental Psychology: General</w:t>
      </w:r>
      <w:r>
        <w:t xml:space="preserve">,</w:t>
      </w:r>
      <w:r>
        <w:t xml:space="preserve"> </w:t>
      </w:r>
      <w:r>
        <w:rPr>
          <w:i/>
          <w:iCs/>
        </w:rPr>
        <w:t xml:space="preserve">143</w:t>
      </w:r>
      <w:r>
        <w:t xml:space="preserve">(4), 1476–1488.</w:t>
      </w:r>
      <w:r>
        <w:t xml:space="preserve"> </w:t>
      </w:r>
      <w:hyperlink r:id="rId253">
        <w:r>
          <w:rPr>
            <w:rStyle w:val="Hyperlink"/>
          </w:rPr>
          <w:t xml:space="preserve">https://doi.org/10.1037/a0035813</w:t>
        </w:r>
      </w:hyperlink>
    </w:p>
    <w:bookmarkEnd w:id="254"/>
    <w:bookmarkStart w:id="255" w:name="ref-de2017dynamic"/>
    <w:p>
      <w:pPr>
        <w:pStyle w:val="Bibliography"/>
      </w:pPr>
      <w:r>
        <w:t xml:space="preserve">de Gee, J. W., Colizoli, O., Kloosterman, N. A., Knapen, T., Nieuwenhuis, S., &amp; Donner, T. H. (2017). Dynamic modulation of decision biases by brainstem arousal systems.</w:t>
      </w:r>
      <w:r>
        <w:t xml:space="preserve"> </w:t>
      </w:r>
      <w:r>
        <w:rPr>
          <w:i/>
          <w:iCs/>
        </w:rPr>
        <w:t xml:space="preserve">Elife</w:t>
      </w:r>
      <w:r>
        <w:t xml:space="preserve">,</w:t>
      </w:r>
      <w:r>
        <w:t xml:space="preserve"> </w:t>
      </w:r>
      <w:r>
        <w:rPr>
          <w:i/>
          <w:iCs/>
        </w:rPr>
        <w:t xml:space="preserve">6</w:t>
      </w:r>
      <w:r>
        <w:t xml:space="preserve">, e23232.</w:t>
      </w:r>
    </w:p>
    <w:bookmarkEnd w:id="255"/>
    <w:bookmarkStart w:id="257" w:name="ref-degee2020pupil"/>
    <w:p>
      <w:pPr>
        <w:pStyle w:val="Bibliography"/>
      </w:pPr>
      <w:r>
        <w:t xml:space="preserve">de Gee, J. W., Tsetsos, K., Schwabe, L., Urai, A. E., &amp; Donner, T. H. (2020). Pupil-linked phasic arousal predicts a reduction of choice bias across species and decision domains.</w:t>
      </w:r>
      <w:r>
        <w:t xml:space="preserve"> </w:t>
      </w:r>
      <w:r>
        <w:rPr>
          <w:i/>
          <w:iCs/>
        </w:rPr>
        <w:t xml:space="preserve">eLife</w:t>
      </w:r>
      <w:r>
        <w:t xml:space="preserve">,</w:t>
      </w:r>
      <w:r>
        <w:t xml:space="preserve"> </w:t>
      </w:r>
      <w:r>
        <w:rPr>
          <w:i/>
          <w:iCs/>
        </w:rPr>
        <w:t xml:space="preserve">9</w:t>
      </w:r>
      <w:r>
        <w:t xml:space="preserve">, e54014.</w:t>
      </w:r>
      <w:r>
        <w:t xml:space="preserve"> </w:t>
      </w:r>
      <w:hyperlink r:id="rId256">
        <w:r>
          <w:rPr>
            <w:rStyle w:val="Hyperlink"/>
          </w:rPr>
          <w:t xml:space="preserve">https://doi.org/10.7554/eLife.54014</w:t>
        </w:r>
      </w:hyperlink>
    </w:p>
    <w:bookmarkEnd w:id="257"/>
    <w:bookmarkStart w:id="259" w:name="ref-drugowitsch2012"/>
    <w:p>
      <w:pPr>
        <w:pStyle w:val="Bibliography"/>
      </w:pPr>
      <w:r>
        <w:t xml:space="preserve">Drugowitsch, J., Moreno-Bote, R., Churchland, A. K., Shadlen, M. N., &amp; Pouget, A. (2012). The cost of accumulating evidence in perceptual decision making.</w:t>
      </w:r>
      <w:r>
        <w:t xml:space="preserve"> </w:t>
      </w:r>
      <w:r>
        <w:rPr>
          <w:i/>
          <w:iCs/>
        </w:rPr>
        <w:t xml:space="preserve">Journal of Neuroscience</w:t>
      </w:r>
      <w:r>
        <w:t xml:space="preserve">,</w:t>
      </w:r>
      <w:r>
        <w:t xml:space="preserve"> </w:t>
      </w:r>
      <w:r>
        <w:rPr>
          <w:i/>
          <w:iCs/>
        </w:rPr>
        <w:t xml:space="preserve">32</w:t>
      </w:r>
      <w:r>
        <w:t xml:space="preserve">(11), 3612–3628.</w:t>
      </w:r>
      <w:r>
        <w:t xml:space="preserve"> </w:t>
      </w:r>
      <w:hyperlink r:id="rId258">
        <w:r>
          <w:rPr>
            <w:rStyle w:val="Hyperlink"/>
          </w:rPr>
          <w:t xml:space="preserve">https://doi.org/10.1523/JNEUROSCI.4010-11.2012</w:t>
        </w:r>
      </w:hyperlink>
    </w:p>
    <w:bookmarkEnd w:id="259"/>
    <w:bookmarkStart w:id="261" w:name="ref-farell1985"/>
    <w:p>
      <w:pPr>
        <w:pStyle w:val="Bibliography"/>
      </w:pPr>
      <w:r>
        <w:t xml:space="preserve">Farell, B. (1985). "Same"–"different" judgments: A review of current controversies in perceptual comparisons.</w:t>
      </w:r>
      <w:r>
        <w:t xml:space="preserve"> </w:t>
      </w:r>
      <w:r>
        <w:rPr>
          <w:i/>
          <w:iCs/>
        </w:rPr>
        <w:t xml:space="preserve">Psychological Bulletin</w:t>
      </w:r>
      <w:r>
        <w:t xml:space="preserve">,</w:t>
      </w:r>
      <w:r>
        <w:t xml:space="preserve"> </w:t>
      </w:r>
      <w:r>
        <w:rPr>
          <w:i/>
          <w:iCs/>
        </w:rPr>
        <w:t xml:space="preserve">98</w:t>
      </w:r>
      <w:r>
        <w:t xml:space="preserve">(3), 419–456.</w:t>
      </w:r>
      <w:r>
        <w:t xml:space="preserve"> </w:t>
      </w:r>
      <w:hyperlink r:id="rId260">
        <w:r>
          <w:rPr>
            <w:rStyle w:val="Hyperlink"/>
          </w:rPr>
          <w:t xml:space="preserve">https://doi.org/10.1037/0033-2909.98.3.419</w:t>
        </w:r>
      </w:hyperlink>
    </w:p>
    <w:bookmarkEnd w:id="261"/>
    <w:bookmarkStart w:id="262" w:name="ref-faul2007g"/>
    <w:p>
      <w:pPr>
        <w:pStyle w:val="Bibliography"/>
      </w:pPr>
      <w:r>
        <w:t xml:space="preserve">Faul, F., Erdfelder, E., Lang, A.-G., &amp; Buchner, A. (2007). G* power 3: A flexible statistical power analysis program for the social, behavioral, and biomedical sciences.</w:t>
      </w:r>
      <w:r>
        <w:t xml:space="preserve"> </w:t>
      </w:r>
      <w:r>
        <w:rPr>
          <w:i/>
          <w:iCs/>
        </w:rPr>
        <w:t xml:space="preserve">Behavior Research Methods</w:t>
      </w:r>
      <w:r>
        <w:t xml:space="preserve">,</w:t>
      </w:r>
      <w:r>
        <w:t xml:space="preserve"> </w:t>
      </w:r>
      <w:r>
        <w:rPr>
          <w:i/>
          <w:iCs/>
        </w:rPr>
        <w:t xml:space="preserve">39</w:t>
      </w:r>
      <w:r>
        <w:t xml:space="preserve">(2), 175–191.</w:t>
      </w:r>
    </w:p>
    <w:bookmarkEnd w:id="262"/>
    <w:bookmarkStart w:id="263" w:name="ref-feller1968introduction"/>
    <w:p>
      <w:pPr>
        <w:pStyle w:val="Bibliography"/>
      </w:pPr>
      <w:r>
        <w:t xml:space="preserve">Feller, W. (1968).</w:t>
      </w:r>
      <w:r>
        <w:t xml:space="preserve"> </w:t>
      </w:r>
      <w:r>
        <w:rPr>
          <w:i/>
          <w:iCs/>
        </w:rPr>
        <w:t xml:space="preserve">An introduction to probability theory and its applications</w:t>
      </w:r>
      <w:r>
        <w:t xml:space="preserve"> </w:t>
      </w:r>
      <w:r>
        <w:t xml:space="preserve">(3rd ed., Vol. 1). John Wiley &amp; Sons.</w:t>
      </w:r>
    </w:p>
    <w:bookmarkEnd w:id="263"/>
    <w:bookmarkStart w:id="265" w:name="ref-fischer2014serial"/>
    <w:p>
      <w:pPr>
        <w:pStyle w:val="Bibliography"/>
      </w:pPr>
      <w:r>
        <w:t xml:space="preserve">Fischer, J., &amp; Whitney, D. (2014). Serial dependence in visual perception.</w:t>
      </w:r>
      <w:r>
        <w:t xml:space="preserve"> </w:t>
      </w:r>
      <w:r>
        <w:rPr>
          <w:i/>
          <w:iCs/>
        </w:rPr>
        <w:t xml:space="preserve">Nature Neuroscience</w:t>
      </w:r>
      <w:r>
        <w:t xml:space="preserve">,</w:t>
      </w:r>
      <w:r>
        <w:t xml:space="preserve"> </w:t>
      </w:r>
      <w:r>
        <w:rPr>
          <w:i/>
          <w:iCs/>
        </w:rPr>
        <w:t xml:space="preserve">17</w:t>
      </w:r>
      <w:r>
        <w:t xml:space="preserve">(5), 738–743.</w:t>
      </w:r>
      <w:r>
        <w:t xml:space="preserve"> </w:t>
      </w:r>
      <w:hyperlink r:id="rId264">
        <w:r>
          <w:rPr>
            <w:rStyle w:val="Hyperlink"/>
          </w:rPr>
          <w:t xml:space="preserve">https://doi.org/10.1038/nn.3689</w:t>
        </w:r>
      </w:hyperlink>
    </w:p>
    <w:bookmarkEnd w:id="265"/>
    <w:bookmarkStart w:id="267" w:name="ref-cmdstanr"/>
    <w:p>
      <w:pPr>
        <w:pStyle w:val="Bibliography"/>
      </w:pPr>
      <w:r>
        <w:t xml:space="preserve">Gabry, J., &amp; Češnovar, R. (2021).</w:t>
      </w:r>
      <w:r>
        <w:t xml:space="preserve"> </w:t>
      </w:r>
      <w:r>
        <w:rPr>
          <w:i/>
          <w:iCs/>
        </w:rPr>
        <w:t xml:space="preserve">Cmdstanr: R interface to ’CmdStan’</w:t>
      </w:r>
      <w:r>
        <w:t xml:space="preserve">.</w:t>
      </w:r>
      <w:r>
        <w:t xml:space="preserve"> </w:t>
      </w:r>
      <w:hyperlink r:id="rId266">
        <w:r>
          <w:rPr>
            <w:rStyle w:val="Hyperlink"/>
          </w:rPr>
          <w:t xml:space="preserve">https://doi.org/10.32614/RJ-2021-123</w:t>
        </w:r>
      </w:hyperlink>
    </w:p>
    <w:bookmarkEnd w:id="267"/>
    <w:bookmarkStart w:id="269" w:name="ref-gabry2019bayesplot"/>
    <w:p>
      <w:pPr>
        <w:pStyle w:val="Bibliography"/>
      </w:pPr>
      <w:r>
        <w:t xml:space="preserve">Gabry, J., Simpson, D., Vehtari, A., Betancourt, M., &amp; Gelman, A. (2019). Visualization in</w:t>
      </w:r>
      <w:r>
        <w:t xml:space="preserve"> </w:t>
      </w:r>
      <w:r>
        <w:t xml:space="preserve">Bayesian</w:t>
      </w:r>
      <w:r>
        <w:t xml:space="preserve"> </w:t>
      </w:r>
      <w:r>
        <w:t xml:space="preserve">workflow.</w:t>
      </w:r>
      <w:r>
        <w:t xml:space="preserve"> </w:t>
      </w:r>
      <w:r>
        <w:rPr>
          <w:i/>
          <w:iCs/>
        </w:rPr>
        <w:t xml:space="preserve">Journal of the Royal Statistical Society Series A: Statistics in Society</w:t>
      </w:r>
      <w:r>
        <w:t xml:space="preserve">,</w:t>
      </w:r>
      <w:r>
        <w:t xml:space="preserve"> </w:t>
      </w:r>
      <w:r>
        <w:rPr>
          <w:i/>
          <w:iCs/>
        </w:rPr>
        <w:t xml:space="preserve">182</w:t>
      </w:r>
      <w:r>
        <w:t xml:space="preserve">(2), 389–402.</w:t>
      </w:r>
      <w:r>
        <w:t xml:space="preserve"> </w:t>
      </w:r>
      <w:hyperlink r:id="rId268">
        <w:r>
          <w:rPr>
            <w:rStyle w:val="Hyperlink"/>
          </w:rPr>
          <w:t xml:space="preserve">https://doi.org/10.1111/rssa.12377</w:t>
        </w:r>
      </w:hyperlink>
    </w:p>
    <w:bookmarkEnd w:id="269"/>
    <w:bookmarkStart w:id="271" w:name="ref-gilzenrat2010"/>
    <w:p>
      <w:pPr>
        <w:pStyle w:val="Bibliography"/>
      </w:pPr>
      <w:r>
        <w:t xml:space="preserve">Gilzenrat, M. S., Nieuwenhuis, S., Jepma, M., &amp; Cohen, J. D. (2010). Pupil diameter tracks changes in control state predicted by the adaptive gain theory of locus coeruleus function.</w:t>
      </w:r>
      <w:r>
        <w:t xml:space="preserve"> </w:t>
      </w:r>
      <w:r>
        <w:rPr>
          <w:i/>
          <w:iCs/>
        </w:rPr>
        <w:t xml:space="preserve">Cognitive, Affective, &amp; Behavioral Neuroscience</w:t>
      </w:r>
      <w:r>
        <w:t xml:space="preserve">,</w:t>
      </w:r>
      <w:r>
        <w:t xml:space="preserve"> </w:t>
      </w:r>
      <w:r>
        <w:rPr>
          <w:i/>
          <w:iCs/>
        </w:rPr>
        <w:t xml:space="preserve">10</w:t>
      </w:r>
      <w:r>
        <w:t xml:space="preserve">(2), 252–269.</w:t>
      </w:r>
      <w:r>
        <w:t xml:space="preserve"> </w:t>
      </w:r>
      <w:hyperlink r:id="rId270">
        <w:r>
          <w:rPr>
            <w:rStyle w:val="Hyperlink"/>
          </w:rPr>
          <w:t xml:space="preserve">https://doi.org/10.3758/CABN.10.2.252</w:t>
        </w:r>
      </w:hyperlink>
    </w:p>
    <w:bookmarkEnd w:id="271"/>
    <w:bookmarkStart w:id="273" w:name="ref-hess2012"/>
    <w:p>
      <w:pPr>
        <w:pStyle w:val="Bibliography"/>
      </w:pPr>
      <w:r>
        <w:t xml:space="preserve">Hess, T. M., &amp; Ennis, G. (2012). Age differences in the effort and costs associated with cognitive activity.</w:t>
      </w:r>
      <w:r>
        <w:t xml:space="preserve"> </w:t>
      </w:r>
      <w:r>
        <w:rPr>
          <w:i/>
          <w:iCs/>
        </w:rPr>
        <w:t xml:space="preserve">Journal of Gerontology: Psychological Sciences</w:t>
      </w:r>
      <w:r>
        <w:t xml:space="preserve">,</w:t>
      </w:r>
      <w:r>
        <w:t xml:space="preserve"> </w:t>
      </w:r>
      <w:r>
        <w:rPr>
          <w:i/>
          <w:iCs/>
        </w:rPr>
        <w:t xml:space="preserve">67B</w:t>
      </w:r>
      <w:r>
        <w:t xml:space="preserve">(4), 447–455.</w:t>
      </w:r>
      <w:r>
        <w:t xml:space="preserve"> </w:t>
      </w:r>
      <w:hyperlink r:id="rId272">
        <w:r>
          <w:rPr>
            <w:rStyle w:val="Hyperlink"/>
          </w:rPr>
          <w:t xml:space="preserve">https://doi.org/10.1093/geronb/gbr129</w:t>
        </w:r>
      </w:hyperlink>
    </w:p>
    <w:bookmarkEnd w:id="273"/>
    <w:bookmarkStart w:id="274" w:name="ref-hoffman2014nuts"/>
    <w:p>
      <w:pPr>
        <w:pStyle w:val="Bibliography"/>
      </w:pPr>
      <w:r>
        <w:t xml:space="preserve">Hoffman, M. D., &amp; Gelman, A. (2014). The no-u-turn sampler: Adaptively setting path lengths in hamiltonian monte carlo.</w:t>
      </w:r>
      <w:r>
        <w:t xml:space="preserve"> </w:t>
      </w:r>
      <w:r>
        <w:rPr>
          <w:i/>
          <w:iCs/>
        </w:rPr>
        <w:t xml:space="preserve">Journal of Machine Learning Research</w:t>
      </w:r>
      <w:r>
        <w:t xml:space="preserve">,</w:t>
      </w:r>
      <w:r>
        <w:t xml:space="preserve"> </w:t>
      </w:r>
      <w:r>
        <w:rPr>
          <w:i/>
          <w:iCs/>
        </w:rPr>
        <w:t xml:space="preserve">15</w:t>
      </w:r>
      <w:r>
        <w:t xml:space="preserve">, 1593–1623.</w:t>
      </w:r>
    </w:p>
    <w:bookmarkEnd w:id="274"/>
    <w:bookmarkStart w:id="275" w:name="ref-huang2024"/>
    <w:p>
      <w:pPr>
        <w:pStyle w:val="Bibliography"/>
      </w:pPr>
      <w:r>
        <w:t xml:space="preserve">Huang, R., &amp; Clewett, D. (2024). The locus coeruleus: Where cognitive and emotional processing meet the eye. In</w:t>
      </w:r>
      <w:r>
        <w:t xml:space="preserve"> </w:t>
      </w:r>
      <w:r>
        <w:rPr>
          <w:i/>
          <w:iCs/>
        </w:rPr>
        <w:t xml:space="preserve">Modern pupillometry</w:t>
      </w:r>
      <w:r>
        <w:t xml:space="preserve"> </w:t>
      </w:r>
      <w:r>
        <w:t xml:space="preserve">(pp. 3–75). Springer International Publishing.</w:t>
      </w:r>
    </w:p>
    <w:bookmarkEnd w:id="275"/>
    <w:bookmarkStart w:id="277" w:name="ref-gt"/>
    <w:p>
      <w:pPr>
        <w:pStyle w:val="Bibliography"/>
      </w:pPr>
      <w:r>
        <w:t xml:space="preserve">Iannone, R., Cheng, J., Schloerke, B., Hughes, E., Lauer, A., &amp; Seo, J. (2024).</w:t>
      </w:r>
      <w:r>
        <w:t xml:space="preserve"> </w:t>
      </w:r>
      <w:r>
        <w:rPr>
          <w:i/>
          <w:iCs/>
        </w:rPr>
        <w:t xml:space="preserve">Gt: Easily create presentation-ready display tables</w:t>
      </w:r>
      <w:r>
        <w:t xml:space="preserve">.</w:t>
      </w:r>
      <w:r>
        <w:t xml:space="preserve"> </w:t>
      </w:r>
      <w:hyperlink r:id="rId276">
        <w:r>
          <w:rPr>
            <w:rStyle w:val="Hyperlink"/>
          </w:rPr>
          <w:t xml:space="preserve">https://CRAN.R-project.org/package=gt</w:t>
        </w:r>
      </w:hyperlink>
    </w:p>
    <w:bookmarkEnd w:id="277"/>
    <w:bookmarkStart w:id="279" w:name="ref-joshi2016"/>
    <w:p>
      <w:pPr>
        <w:pStyle w:val="Bibliography"/>
      </w:pPr>
      <w:r>
        <w:t xml:space="preserve">Joshi, S., Li, Y., Kalwani, R. M., &amp; Gold, J. I. (2016). Relationships between pupil diameter and neuronal activity in the locus coeruleus, colliculi, and cingulate cortex.</w:t>
      </w:r>
      <w:r>
        <w:t xml:space="preserve"> </w:t>
      </w:r>
      <w:r>
        <w:rPr>
          <w:i/>
          <w:iCs/>
        </w:rPr>
        <w:t xml:space="preserve">Neuron</w:t>
      </w:r>
      <w:r>
        <w:t xml:space="preserve">,</w:t>
      </w:r>
      <w:r>
        <w:t xml:space="preserve"> </w:t>
      </w:r>
      <w:r>
        <w:rPr>
          <w:i/>
          <w:iCs/>
        </w:rPr>
        <w:t xml:space="preserve">89</w:t>
      </w:r>
      <w:r>
        <w:t xml:space="preserve">(1), 221–234.</w:t>
      </w:r>
      <w:r>
        <w:t xml:space="preserve"> </w:t>
      </w:r>
      <w:hyperlink r:id="rId278">
        <w:r>
          <w:rPr>
            <w:rStyle w:val="Hyperlink"/>
          </w:rPr>
          <w:t xml:space="preserve">https://doi.org/10.1016/j.neuron.2015.11.028</w:t>
        </w:r>
      </w:hyperlink>
    </w:p>
    <w:bookmarkEnd w:id="279"/>
    <w:bookmarkStart w:id="281" w:name="ref-kahneman1966"/>
    <w:p>
      <w:pPr>
        <w:pStyle w:val="Bibliography"/>
      </w:pPr>
      <w:r>
        <w:t xml:space="preserve">Kahneman, D., &amp; Beatty, J. (1966). Pupil diameter and load on memory.</w:t>
      </w:r>
      <w:r>
        <w:t xml:space="preserve"> </w:t>
      </w:r>
      <w:r>
        <w:rPr>
          <w:i/>
          <w:iCs/>
        </w:rPr>
        <w:t xml:space="preserve">Science</w:t>
      </w:r>
      <w:r>
        <w:t xml:space="preserve">,</w:t>
      </w:r>
      <w:r>
        <w:t xml:space="preserve"> </w:t>
      </w:r>
      <w:r>
        <w:rPr>
          <w:i/>
          <w:iCs/>
        </w:rPr>
        <w:t xml:space="preserve">154</w:t>
      </w:r>
      <w:r>
        <w:t xml:space="preserve">(3756), 1583–1585.</w:t>
      </w:r>
      <w:r>
        <w:t xml:space="preserve"> </w:t>
      </w:r>
      <w:hyperlink r:id="rId280">
        <w:r>
          <w:rPr>
            <w:rStyle w:val="Hyperlink"/>
          </w:rPr>
          <w:t xml:space="preserve">https://doi.org/10.1126/science.154.3756.1583</w:t>
        </w:r>
      </w:hyperlink>
    </w:p>
    <w:bookmarkEnd w:id="281"/>
    <w:bookmarkStart w:id="282" w:name="ref-kleiner2007s"/>
    <w:p>
      <w:pPr>
        <w:pStyle w:val="Bibliography"/>
      </w:pPr>
      <w:r>
        <w:t xml:space="preserve">Kleiner, M., Brainard, D., &amp; Pelli, D. (2007).</w:t>
      </w:r>
      <w:r>
        <w:t xml:space="preserve"> </w:t>
      </w:r>
      <w:r>
        <w:rPr>
          <w:i/>
          <w:iCs/>
        </w:rPr>
        <w:t xml:space="preserve">What’s new in psychtoolbox-3?</w:t>
      </w:r>
    </w:p>
    <w:bookmarkEnd w:id="282"/>
    <w:bookmarkStart w:id="283" w:name="ref-kret2019preprocessing"/>
    <w:p>
      <w:pPr>
        <w:pStyle w:val="Bibliography"/>
      </w:pPr>
      <w:r>
        <w:t xml:space="preserve">Kret, M. E., &amp; Sjak-Shie, E. E. (2019). Preprocessing pupil size data: Guidelines and code.</w:t>
      </w:r>
      <w:r>
        <w:t xml:space="preserve"> </w:t>
      </w:r>
      <w:r>
        <w:rPr>
          <w:i/>
          <w:iCs/>
        </w:rPr>
        <w:t xml:space="preserve">Behavior Research Methods</w:t>
      </w:r>
      <w:r>
        <w:t xml:space="preserve">,</w:t>
      </w:r>
      <w:r>
        <w:t xml:space="preserve"> </w:t>
      </w:r>
      <w:r>
        <w:rPr>
          <w:i/>
          <w:iCs/>
        </w:rPr>
        <w:t xml:space="preserve">51</w:t>
      </w:r>
      <w:r>
        <w:t xml:space="preserve">(3), 1336–1342.</w:t>
      </w:r>
    </w:p>
    <w:bookmarkEnd w:id="283"/>
    <w:bookmarkStart w:id="284" w:name="ref-loewenfeld1999"/>
    <w:p>
      <w:pPr>
        <w:pStyle w:val="Bibliography"/>
      </w:pPr>
      <w:r>
        <w:t xml:space="preserve">Loewenfeld, I. E., &amp; Lowenstein, O. (1999). The pupil: Anatomy, physiology, and clinical applications.</w:t>
      </w:r>
      <w:r>
        <w:t xml:space="preserve"> </w:t>
      </w:r>
      <w:r>
        <w:rPr>
          <w:i/>
          <w:iCs/>
        </w:rPr>
        <w:t xml:space="preserve">(No Title)</w:t>
      </w:r>
      <w:r>
        <w:t xml:space="preserve">.</w:t>
      </w:r>
    </w:p>
    <w:bookmarkEnd w:id="284"/>
    <w:bookmarkStart w:id="286" w:name="ref-madden1991"/>
    <w:p>
      <w:pPr>
        <w:pStyle w:val="Bibliography"/>
      </w:pPr>
      <w:r>
        <w:t xml:space="preserve">Madden, D. J., &amp; Allen, P. A. (1991). Adult age differences in the rate of information extraction during visual search.</w:t>
      </w:r>
      <w:r>
        <w:t xml:space="preserve"> </w:t>
      </w:r>
      <w:r>
        <w:rPr>
          <w:i/>
          <w:iCs/>
        </w:rPr>
        <w:t xml:space="preserve">Journal of Gerontology</w:t>
      </w:r>
      <w:r>
        <w:t xml:space="preserve">,</w:t>
      </w:r>
      <w:r>
        <w:t xml:space="preserve"> </w:t>
      </w:r>
      <w:r>
        <w:rPr>
          <w:i/>
          <w:iCs/>
        </w:rPr>
        <w:t xml:space="preserve">46</w:t>
      </w:r>
      <w:r>
        <w:t xml:space="preserve">(3), P124–P126.</w:t>
      </w:r>
      <w:r>
        <w:t xml:space="preserve"> </w:t>
      </w:r>
      <w:hyperlink r:id="rId285">
        <w:r>
          <w:rPr>
            <w:rStyle w:val="Hyperlink"/>
          </w:rPr>
          <w:t xml:space="preserve">https://doi.org/10.1093/geronj/46.3.P124</w:t>
        </w:r>
      </w:hyperlink>
    </w:p>
    <w:bookmarkEnd w:id="286"/>
    <w:bookmarkStart w:id="288" w:name="ref-mather2016"/>
    <w:p>
      <w:pPr>
        <w:pStyle w:val="Bibliography"/>
      </w:pPr>
      <w:r>
        <w:t xml:space="preserve">Mather, M., &amp; Harley, C. W. (2016). The locus coeruleus: Essential for maintaining cognitive function and the aging brain.</w:t>
      </w:r>
      <w:r>
        <w:t xml:space="preserve"> </w:t>
      </w:r>
      <w:r>
        <w:rPr>
          <w:i/>
          <w:iCs/>
        </w:rPr>
        <w:t xml:space="preserve">Trends in Cognitive Sciences</w:t>
      </w:r>
      <w:r>
        <w:t xml:space="preserve">,</w:t>
      </w:r>
      <w:r>
        <w:t xml:space="preserve"> </w:t>
      </w:r>
      <w:r>
        <w:rPr>
          <w:i/>
          <w:iCs/>
        </w:rPr>
        <w:t xml:space="preserve">20</w:t>
      </w:r>
      <w:r>
        <w:t xml:space="preserve">(3), 214–226.</w:t>
      </w:r>
      <w:r>
        <w:t xml:space="preserve"> </w:t>
      </w:r>
      <w:hyperlink r:id="rId287">
        <w:r>
          <w:rPr>
            <w:rStyle w:val="Hyperlink"/>
          </w:rPr>
          <w:t xml:space="preserve">https://doi.org/10.1016/j.tics.2016.01.001</w:t>
        </w:r>
      </w:hyperlink>
    </w:p>
    <w:bookmarkEnd w:id="288"/>
    <w:bookmarkStart w:id="290" w:name="ref-mathot2018"/>
    <w:p>
      <w:pPr>
        <w:pStyle w:val="Bibliography"/>
      </w:pPr>
      <w:r>
        <w:t xml:space="preserve">Mathôt, S. (2018). Pupillometry: Psychology, physiology, and function.</w:t>
      </w:r>
      <w:r>
        <w:t xml:space="preserve"> </w:t>
      </w:r>
      <w:r>
        <w:rPr>
          <w:i/>
          <w:iCs/>
        </w:rPr>
        <w:t xml:space="preserve">Journal of Cognition</w:t>
      </w:r>
      <w:r>
        <w:t xml:space="preserve">,</w:t>
      </w:r>
      <w:r>
        <w:t xml:space="preserve"> </w:t>
      </w:r>
      <w:r>
        <w:rPr>
          <w:i/>
          <w:iCs/>
        </w:rPr>
        <w:t xml:space="preserve">1</w:t>
      </w:r>
      <w:r>
        <w:t xml:space="preserve">(1), 16.</w:t>
      </w:r>
      <w:r>
        <w:t xml:space="preserve"> </w:t>
      </w:r>
      <w:hyperlink r:id="rId289">
        <w:r>
          <w:rPr>
            <w:rStyle w:val="Hyperlink"/>
          </w:rPr>
          <w:t xml:space="preserve">https://doi.org/10.5334/joc.18</w:t>
        </w:r>
      </w:hyperlink>
    </w:p>
    <w:bookmarkEnd w:id="290"/>
    <w:bookmarkStart w:id="292" w:name="ref-mikneviciute2022"/>
    <w:p>
      <w:pPr>
        <w:pStyle w:val="Bibliography"/>
      </w:pPr>
      <w:r>
        <w:t xml:space="preserve">Mikneviciute, G., Ballhausen, N., Rimmele, U., &amp; Kliegel, M. (2022). Does older adults’ cognition particularly suffer from stress? A systematic review of acute stress effects on cognition in older age.</w:t>
      </w:r>
      <w:r>
        <w:t xml:space="preserve"> </w:t>
      </w:r>
      <w:r>
        <w:rPr>
          <w:i/>
          <w:iCs/>
        </w:rPr>
        <w:t xml:space="preserve">Neuroscience &amp; Biobehavioral Reviews</w:t>
      </w:r>
      <w:r>
        <w:t xml:space="preserve">,</w:t>
      </w:r>
      <w:r>
        <w:t xml:space="preserve"> </w:t>
      </w:r>
      <w:r>
        <w:rPr>
          <w:i/>
          <w:iCs/>
        </w:rPr>
        <w:t xml:space="preserve">132</w:t>
      </w:r>
      <w:r>
        <w:t xml:space="preserve">, 583–602.</w:t>
      </w:r>
      <w:r>
        <w:t xml:space="preserve"> </w:t>
      </w:r>
      <w:hyperlink r:id="rId291">
        <w:r>
          <w:rPr>
            <w:rStyle w:val="Hyperlink"/>
          </w:rPr>
          <w:t xml:space="preserve">https://doi.org/10.1016/j.neubiorev.2021.12.010</w:t>
        </w:r>
      </w:hyperlink>
    </w:p>
    <w:bookmarkEnd w:id="292"/>
    <w:bookmarkStart w:id="294" w:name="ref-nosofsky1997palmeri"/>
    <w:p>
      <w:pPr>
        <w:pStyle w:val="Bibliography"/>
      </w:pPr>
      <w:r>
        <w:t xml:space="preserve">Nosofsky, R. M., &amp; Palmeri, T. J. (1997). An exemplar-based random walk model of speeded classification.</w:t>
      </w:r>
      <w:r>
        <w:t xml:space="preserve"> </w:t>
      </w:r>
      <w:r>
        <w:rPr>
          <w:i/>
          <w:iCs/>
        </w:rPr>
        <w:t xml:space="preserve">Psychological Review</w:t>
      </w:r>
      <w:r>
        <w:t xml:space="preserve">,</w:t>
      </w:r>
      <w:r>
        <w:t xml:space="preserve"> </w:t>
      </w:r>
      <w:r>
        <w:rPr>
          <w:i/>
          <w:iCs/>
        </w:rPr>
        <w:t xml:space="preserve">104</w:t>
      </w:r>
      <w:r>
        <w:t xml:space="preserve">(2), 266–300.</w:t>
      </w:r>
      <w:r>
        <w:t xml:space="preserve"> </w:t>
      </w:r>
      <w:hyperlink r:id="rId293">
        <w:r>
          <w:rPr>
            <w:rStyle w:val="Hyperlink"/>
          </w:rPr>
          <w:t xml:space="preserve">https://doi.org/10.1037/0033-295X.104.2.266</w:t>
        </w:r>
      </w:hyperlink>
    </w:p>
    <w:bookmarkEnd w:id="294"/>
    <w:bookmarkStart w:id="296" w:name="ref-R"/>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295">
        <w:r>
          <w:rPr>
            <w:rStyle w:val="Hyperlink"/>
          </w:rPr>
          <w:t xml:space="preserve">https://www.R-project.org/</w:t>
        </w:r>
      </w:hyperlink>
    </w:p>
    <w:bookmarkEnd w:id="296"/>
    <w:bookmarkStart w:id="297" w:name="ref-rabbitt1979old"/>
    <w:p>
      <w:pPr>
        <w:pStyle w:val="Bibliography"/>
      </w:pPr>
      <w:r>
        <w:t xml:space="preserve">Rabbitt, P. (1979). How old and young subjects monitor and control responses for accuracy and speed.</w:t>
      </w:r>
      <w:r>
        <w:t xml:space="preserve"> </w:t>
      </w:r>
      <w:r>
        <w:rPr>
          <w:i/>
          <w:iCs/>
        </w:rPr>
        <w:t xml:space="preserve">British Journal of Psychology</w:t>
      </w:r>
      <w:r>
        <w:t xml:space="preserve">,</w:t>
      </w:r>
      <w:r>
        <w:t xml:space="preserve"> </w:t>
      </w:r>
      <w:r>
        <w:rPr>
          <w:i/>
          <w:iCs/>
        </w:rPr>
        <w:t xml:space="preserve">70</w:t>
      </w:r>
      <w:r>
        <w:t xml:space="preserve">(2), 305–311.</w:t>
      </w:r>
    </w:p>
    <w:bookmarkEnd w:id="297"/>
    <w:bookmarkStart w:id="299" w:name="ref-ratcliff1978theory"/>
    <w:p>
      <w:pPr>
        <w:pStyle w:val="Bibliography"/>
      </w:pPr>
      <w:r>
        <w:t xml:space="preserve">Ratcliff, R. (1978). A theory of memory retrieval.</w:t>
      </w:r>
      <w:r>
        <w:t xml:space="preserve"> </w:t>
      </w:r>
      <w:r>
        <w:rPr>
          <w:i/>
          <w:iCs/>
        </w:rPr>
        <w:t xml:space="preserve">Psychological Review</w:t>
      </w:r>
      <w:r>
        <w:t xml:space="preserve">,</w:t>
      </w:r>
      <w:r>
        <w:t xml:space="preserve"> </w:t>
      </w:r>
      <w:r>
        <w:rPr>
          <w:i/>
          <w:iCs/>
        </w:rPr>
        <w:t xml:space="preserve">85</w:t>
      </w:r>
      <w:r>
        <w:t xml:space="preserve">(2), 59–108.</w:t>
      </w:r>
      <w:r>
        <w:t xml:space="preserve"> </w:t>
      </w:r>
      <w:hyperlink r:id="rId298">
        <w:r>
          <w:rPr>
            <w:rStyle w:val="Hyperlink"/>
          </w:rPr>
          <w:t xml:space="preserve">https://doi.org/10.1037/0033-295X.85.2.59</w:t>
        </w:r>
      </w:hyperlink>
    </w:p>
    <w:bookmarkEnd w:id="299"/>
    <w:bookmarkStart w:id="301" w:name="ref-ratcliff1985"/>
    <w:p>
      <w:pPr>
        <w:pStyle w:val="Bibliography"/>
      </w:pPr>
      <w:r>
        <w:t xml:space="preserve">Ratcliff, R. (1985). Theoretical interpretations of the speed and accuracy of positive and negative responses.</w:t>
      </w:r>
      <w:r>
        <w:t xml:space="preserve"> </w:t>
      </w:r>
      <w:r>
        <w:rPr>
          <w:i/>
          <w:iCs/>
        </w:rPr>
        <w:t xml:space="preserve">Psychological Review</w:t>
      </w:r>
      <w:r>
        <w:t xml:space="preserve">,</w:t>
      </w:r>
      <w:r>
        <w:t xml:space="preserve"> </w:t>
      </w:r>
      <w:r>
        <w:rPr>
          <w:i/>
          <w:iCs/>
        </w:rPr>
        <w:t xml:space="preserve">92</w:t>
      </w:r>
      <w:r>
        <w:t xml:space="preserve">(2), 212–225.</w:t>
      </w:r>
      <w:r>
        <w:t xml:space="preserve"> </w:t>
      </w:r>
      <w:hyperlink r:id="rId300">
        <w:r>
          <w:rPr>
            <w:rStyle w:val="Hyperlink"/>
          </w:rPr>
          <w:t xml:space="preserve">https://doi.org/10.1037/0033-295X.92.2.212</w:t>
        </w:r>
      </w:hyperlink>
    </w:p>
    <w:bookmarkEnd w:id="301"/>
    <w:bookmarkStart w:id="303" w:name="ref-ratcliff2008diffusion"/>
    <w:p>
      <w:pPr>
        <w:pStyle w:val="Bibliography"/>
      </w:pPr>
      <w:r>
        <w:t xml:space="preserve">Ratcliff, R., &amp; McKoon, G. (2008). The diffusion decision model: Theory and data for two-choice decision tasks.</w:t>
      </w:r>
      <w:r>
        <w:t xml:space="preserve"> </w:t>
      </w:r>
      <w:r>
        <w:rPr>
          <w:i/>
          <w:iCs/>
        </w:rPr>
        <w:t xml:space="preserve">Neural Computation</w:t>
      </w:r>
      <w:r>
        <w:t xml:space="preserve">,</w:t>
      </w:r>
      <w:r>
        <w:t xml:space="preserve"> </w:t>
      </w:r>
      <w:r>
        <w:rPr>
          <w:i/>
          <w:iCs/>
        </w:rPr>
        <w:t xml:space="preserve">20</w:t>
      </w:r>
      <w:r>
        <w:t xml:space="preserve">(4), 873–922.</w:t>
      </w:r>
      <w:r>
        <w:t xml:space="preserve"> </w:t>
      </w:r>
      <w:hyperlink r:id="rId302">
        <w:r>
          <w:rPr>
            <w:rStyle w:val="Hyperlink"/>
          </w:rPr>
          <w:t xml:space="preserve">https://doi.org/10.1162/neco.2008.12-06-420</w:t>
        </w:r>
      </w:hyperlink>
    </w:p>
    <w:bookmarkEnd w:id="303"/>
    <w:bookmarkStart w:id="305" w:name="ref-ratcliff2001aging"/>
    <w:p>
      <w:pPr>
        <w:pStyle w:val="Bibliography"/>
      </w:pPr>
      <w:r>
        <w:t xml:space="preserve">Ratcliff, R., Thapar, A., &amp; McKoon, G. (2001). The effects of aging on reaction time in a signal detection task.</w:t>
      </w:r>
      <w:r>
        <w:t xml:space="preserve"> </w:t>
      </w:r>
      <w:r>
        <w:rPr>
          <w:i/>
          <w:iCs/>
        </w:rPr>
        <w:t xml:space="preserve">Psychology and Aging</w:t>
      </w:r>
      <w:r>
        <w:t xml:space="preserve">,</w:t>
      </w:r>
      <w:r>
        <w:t xml:space="preserve"> </w:t>
      </w:r>
      <w:r>
        <w:rPr>
          <w:i/>
          <w:iCs/>
        </w:rPr>
        <w:t xml:space="preserve">16</w:t>
      </w:r>
      <w:r>
        <w:t xml:space="preserve">(2), 323–341.</w:t>
      </w:r>
      <w:r>
        <w:t xml:space="preserve"> </w:t>
      </w:r>
      <w:hyperlink r:id="rId304">
        <w:r>
          <w:rPr>
            <w:rStyle w:val="Hyperlink"/>
          </w:rPr>
          <w:t xml:space="preserve">https://doi.org/10.1037/0882-7974.16.2.323</w:t>
        </w:r>
      </w:hyperlink>
    </w:p>
    <w:bookmarkEnd w:id="305"/>
    <w:bookmarkStart w:id="307" w:name="ref-ratcliff2004aging"/>
    <w:p>
      <w:pPr>
        <w:pStyle w:val="Bibliography"/>
      </w:pPr>
      <w:r>
        <w:t xml:space="preserve">Ratcliff, R., Thapar, A., &amp; McKoon, G. (2004). A diffusion model analysis of the effects of aging in the lexical-decision task.</w:t>
      </w:r>
      <w:r>
        <w:t xml:space="preserve"> </w:t>
      </w:r>
      <w:r>
        <w:rPr>
          <w:i/>
          <w:iCs/>
        </w:rPr>
        <w:t xml:space="preserve">Psychology and Aging</w:t>
      </w:r>
      <w:r>
        <w:t xml:space="preserve">,</w:t>
      </w:r>
      <w:r>
        <w:t xml:space="preserve"> </w:t>
      </w:r>
      <w:r>
        <w:rPr>
          <w:i/>
          <w:iCs/>
        </w:rPr>
        <w:t xml:space="preserve">19</w:t>
      </w:r>
      <w:r>
        <w:t xml:space="preserve">(2), 278–289.</w:t>
      </w:r>
      <w:r>
        <w:t xml:space="preserve"> </w:t>
      </w:r>
      <w:hyperlink r:id="rId306">
        <w:r>
          <w:rPr>
            <w:rStyle w:val="Hyperlink"/>
          </w:rPr>
          <w:t xml:space="preserve">https://doi.org/10.1037/0882-7974.19.2.278</w:t>
        </w:r>
      </w:hyperlink>
    </w:p>
    <w:bookmarkEnd w:id="307"/>
    <w:bookmarkStart w:id="308" w:name="ref-ratcliff2007application"/>
    <w:p>
      <w:pPr>
        <w:pStyle w:val="Bibliography"/>
      </w:pPr>
      <w:r>
        <w:t xml:space="preserve">Ratcliff, R., Thapar, A., &amp; McKoon, G. (2007). Application of the diffusion model to two-choice tasks for adults 75-90 years old.</w:t>
      </w:r>
      <w:r>
        <w:t xml:space="preserve"> </w:t>
      </w:r>
      <w:r>
        <w:rPr>
          <w:i/>
          <w:iCs/>
        </w:rPr>
        <w:t xml:space="preserve">Psychology and Aging</w:t>
      </w:r>
      <w:r>
        <w:t xml:space="preserve">,</w:t>
      </w:r>
      <w:r>
        <w:t xml:space="preserve"> </w:t>
      </w:r>
      <w:r>
        <w:rPr>
          <w:i/>
          <w:iCs/>
        </w:rPr>
        <w:t xml:space="preserve">22</w:t>
      </w:r>
      <w:r>
        <w:t xml:space="preserve">(1), 56.</w:t>
      </w:r>
    </w:p>
    <w:bookmarkEnd w:id="308"/>
    <w:bookmarkStart w:id="310" w:name="ref-ratcliff2002estimating"/>
    <w:p>
      <w:pPr>
        <w:pStyle w:val="Bibliography"/>
      </w:pPr>
      <w:r>
        <w:t xml:space="preserve">Ratcliff, R., &amp; Tuerlinckx, F. (2002). Estimating parameters of the diffusion model: Approaches to dealing with contaminant reaction times and parameter variability.</w:t>
      </w:r>
      <w:r>
        <w:t xml:space="preserve"> </w:t>
      </w:r>
      <w:r>
        <w:rPr>
          <w:i/>
          <w:iCs/>
        </w:rPr>
        <w:t xml:space="preserve">Psychonomic Bulletin &amp; Review</w:t>
      </w:r>
      <w:r>
        <w:t xml:space="preserve">,</w:t>
      </w:r>
      <w:r>
        <w:t xml:space="preserve"> </w:t>
      </w:r>
      <w:r>
        <w:rPr>
          <w:i/>
          <w:iCs/>
        </w:rPr>
        <w:t xml:space="preserve">9</w:t>
      </w:r>
      <w:r>
        <w:t xml:space="preserve">(3), 438–481.</w:t>
      </w:r>
      <w:r>
        <w:t xml:space="preserve"> </w:t>
      </w:r>
      <w:hyperlink r:id="rId309">
        <w:r>
          <w:rPr>
            <w:rStyle w:val="Hyperlink"/>
          </w:rPr>
          <w:t xml:space="preserve">https://doi.org/10.3758/BF03196302</w:t>
        </w:r>
      </w:hyperlink>
    </w:p>
    <w:bookmarkEnd w:id="310"/>
    <w:bookmarkStart w:id="311" w:name="ref-salthouse1985speed"/>
    <w:p>
      <w:pPr>
        <w:pStyle w:val="Bibliography"/>
      </w:pPr>
      <w:r>
        <w:t xml:space="preserve">Salthouse, T. A. (1985).</w:t>
      </w:r>
      <w:r>
        <w:t xml:space="preserve"> </w:t>
      </w:r>
      <w:r>
        <w:rPr>
          <w:i/>
          <w:iCs/>
        </w:rPr>
        <w:t xml:space="preserve">Speed of behavior and its implications for cognition.</w:t>
      </w:r>
    </w:p>
    <w:bookmarkEnd w:id="311"/>
    <w:bookmarkStart w:id="313" w:name="ref-salthouse1996"/>
    <w:p>
      <w:pPr>
        <w:pStyle w:val="Bibliography"/>
      </w:pPr>
      <w:r>
        <w:t xml:space="preserve">Salthouse, T. A. (1996). The processing-speed theory of adult age differences in cognition.</w:t>
      </w:r>
      <w:r>
        <w:t xml:space="preserve"> </w:t>
      </w:r>
      <w:r>
        <w:rPr>
          <w:i/>
          <w:iCs/>
        </w:rPr>
        <w:t xml:space="preserve">Psychological Review</w:t>
      </w:r>
      <w:r>
        <w:t xml:space="preserve">,</w:t>
      </w:r>
      <w:r>
        <w:t xml:space="preserve"> </w:t>
      </w:r>
      <w:r>
        <w:rPr>
          <w:i/>
          <w:iCs/>
        </w:rPr>
        <w:t xml:space="preserve">103</w:t>
      </w:r>
      <w:r>
        <w:t xml:space="preserve">(3), 403–428.</w:t>
      </w:r>
      <w:r>
        <w:t xml:space="preserve"> </w:t>
      </w:r>
      <w:hyperlink r:id="rId312">
        <w:r>
          <w:rPr>
            <w:rStyle w:val="Hyperlink"/>
          </w:rPr>
          <w:t xml:space="preserve">https://doi.org/10.1037/0033-295X.103.3.403</w:t>
        </w:r>
      </w:hyperlink>
    </w:p>
    <w:bookmarkEnd w:id="313"/>
    <w:bookmarkStart w:id="315" w:name="ref-spaniol2006"/>
    <w:p>
      <w:pPr>
        <w:pStyle w:val="Bibliography"/>
      </w:pPr>
      <w:r>
        <w:t xml:space="preserve">Spaniol, J., Madden, D. J., &amp; Voss, A. (2006). A diffusion model analysis of adult age differences in episodic and semantic long-term memory retrieval.</w:t>
      </w:r>
      <w:r>
        <w:t xml:space="preserve"> </w:t>
      </w:r>
      <w:r>
        <w:rPr>
          <w:i/>
          <w:iCs/>
        </w:rPr>
        <w:t xml:space="preserve">Journal of Experimental Psychology: Learning, Memory, and Cognition</w:t>
      </w:r>
      <w:r>
        <w:t xml:space="preserve">,</w:t>
      </w:r>
      <w:r>
        <w:t xml:space="preserve"> </w:t>
      </w:r>
      <w:r>
        <w:rPr>
          <w:i/>
          <w:iCs/>
        </w:rPr>
        <w:t xml:space="preserve">32</w:t>
      </w:r>
      <w:r>
        <w:t xml:space="preserve">(1), 101–117.</w:t>
      </w:r>
      <w:r>
        <w:t xml:space="preserve"> </w:t>
      </w:r>
      <w:hyperlink r:id="rId314">
        <w:r>
          <w:rPr>
            <w:rStyle w:val="Hyperlink"/>
          </w:rPr>
          <w:t xml:space="preserve">https://doi.org/10.1037/0278-7393.32.1.101</w:t>
        </w:r>
      </w:hyperlink>
    </w:p>
    <w:bookmarkEnd w:id="315"/>
    <w:bookmarkStart w:id="317" w:name="ref-cmdstan2024"/>
    <w:p>
      <w:pPr>
        <w:pStyle w:val="Bibliography"/>
      </w:pPr>
      <w:r>
        <w:t xml:space="preserve">Stan Development Team. (2024).</w:t>
      </w:r>
      <w:r>
        <w:t xml:space="preserve"> </w:t>
      </w:r>
      <w:r>
        <w:rPr>
          <w:i/>
          <w:iCs/>
        </w:rPr>
        <w:t xml:space="preserve">CmdStan user’s guide</w:t>
      </w:r>
      <w:r>
        <w:t xml:space="preserve"> </w:t>
      </w:r>
      <w:r>
        <w:t xml:space="preserve">(Version 2.34).</w:t>
      </w:r>
      <w:r>
        <w:t xml:space="preserve"> </w:t>
      </w:r>
      <w:hyperlink r:id="rId316">
        <w:r>
          <w:rPr>
            <w:rStyle w:val="Hyperlink"/>
          </w:rPr>
          <w:t xml:space="preserve">https://mc-stan.org/docs/cmdstan-guide/</w:t>
        </w:r>
      </w:hyperlink>
    </w:p>
    <w:bookmarkEnd w:id="317"/>
    <w:bookmarkStart w:id="319" w:name="ref-starns2010"/>
    <w:p>
      <w:pPr>
        <w:pStyle w:val="Bibliography"/>
      </w:pPr>
      <w:r>
        <w:t xml:space="preserve">Starns, J. J., &amp; Ratcliff, R. (2010). The effects of aging on the speed–accuracy compromise: Boundary optimality in the diffusion model.</w:t>
      </w:r>
      <w:r>
        <w:t xml:space="preserve"> </w:t>
      </w:r>
      <w:r>
        <w:rPr>
          <w:i/>
          <w:iCs/>
        </w:rPr>
        <w:t xml:space="preserve">Psychology and Aging</w:t>
      </w:r>
      <w:r>
        <w:t xml:space="preserve">,</w:t>
      </w:r>
      <w:r>
        <w:t xml:space="preserve"> </w:t>
      </w:r>
      <w:r>
        <w:rPr>
          <w:i/>
          <w:iCs/>
        </w:rPr>
        <w:t xml:space="preserve">25</w:t>
      </w:r>
      <w:r>
        <w:t xml:space="preserve">(2), 377–390.</w:t>
      </w:r>
      <w:r>
        <w:t xml:space="preserve"> </w:t>
      </w:r>
      <w:hyperlink r:id="rId318">
        <w:r>
          <w:rPr>
            <w:rStyle w:val="Hyperlink"/>
          </w:rPr>
          <w:t xml:space="preserve">https://doi.org/10.1037/a0018022</w:t>
        </w:r>
      </w:hyperlink>
    </w:p>
    <w:bookmarkEnd w:id="319"/>
    <w:bookmarkStart w:id="321" w:name="ref-tajima2016"/>
    <w:p>
      <w:pPr>
        <w:pStyle w:val="Bibliography"/>
      </w:pPr>
      <w:r>
        <w:t xml:space="preserve">Tajima, S., Drugowitsch, J., &amp; Pouget, A. (2016). Optimal policy for value-based decision-making.</w:t>
      </w:r>
      <w:r>
        <w:t xml:space="preserve"> </w:t>
      </w:r>
      <w:r>
        <w:rPr>
          <w:i/>
          <w:iCs/>
        </w:rPr>
        <w:t xml:space="preserve">Nature Communications</w:t>
      </w:r>
      <w:r>
        <w:t xml:space="preserve">,</w:t>
      </w:r>
      <w:r>
        <w:t xml:space="preserve"> </w:t>
      </w:r>
      <w:r>
        <w:rPr>
          <w:i/>
          <w:iCs/>
        </w:rPr>
        <w:t xml:space="preserve">7</w:t>
      </w:r>
      <w:r>
        <w:t xml:space="preserve">, 12400.</w:t>
      </w:r>
      <w:r>
        <w:t xml:space="preserve"> </w:t>
      </w:r>
      <w:hyperlink r:id="rId320">
        <w:r>
          <w:rPr>
            <w:rStyle w:val="Hyperlink"/>
          </w:rPr>
          <w:t xml:space="preserve">https://doi.org/10.1038/ncomms12400</w:t>
        </w:r>
      </w:hyperlink>
    </w:p>
    <w:bookmarkEnd w:id="321"/>
    <w:bookmarkStart w:id="323" w:name="ref-vangerven2004"/>
    <w:p>
      <w:pPr>
        <w:pStyle w:val="Bibliography"/>
      </w:pPr>
      <w:r>
        <w:t xml:space="preserve">Van Gerven, P. W., Paas, F., Van Merriënboer, J. J., &amp; Schmidt, H. G. (2004). Memory load and the cognitive pupillary response in aging.</w:t>
      </w:r>
      <w:r>
        <w:t xml:space="preserve"> </w:t>
      </w:r>
      <w:r>
        <w:rPr>
          <w:i/>
          <w:iCs/>
        </w:rPr>
        <w:t xml:space="preserve">Psychophysiology</w:t>
      </w:r>
      <w:r>
        <w:t xml:space="preserve">,</w:t>
      </w:r>
      <w:r>
        <w:t xml:space="preserve"> </w:t>
      </w:r>
      <w:r>
        <w:rPr>
          <w:i/>
          <w:iCs/>
        </w:rPr>
        <w:t xml:space="preserve">41</w:t>
      </w:r>
      <w:r>
        <w:t xml:space="preserve">(2), 167–174.</w:t>
      </w:r>
      <w:r>
        <w:t xml:space="preserve"> </w:t>
      </w:r>
      <w:hyperlink r:id="rId322">
        <w:r>
          <w:rPr>
            <w:rStyle w:val="Hyperlink"/>
          </w:rPr>
          <w:t xml:space="preserve">https://doi.org/10.1111/j.1469-8986.2003.00148.x</w:t>
        </w:r>
      </w:hyperlink>
    </w:p>
    <w:bookmarkEnd w:id="323"/>
    <w:bookmarkStart w:id="325" w:name="ref-vehtari2017loo"/>
    <w:p>
      <w:pPr>
        <w:pStyle w:val="Bibliography"/>
      </w:pPr>
      <w:r>
        <w:t xml:space="preserve">Vehtari, A., Gelman, A., &amp; Gabry, J. (2017). Practical bayesian model evaluation using leave-one-out cross-validation and</w:t>
      </w:r>
      <w:r>
        <w:t xml:space="preserve"> </w:t>
      </w:r>
      <w:r>
        <w:t xml:space="preserve">WAIC</w:t>
      </w:r>
      <w:r>
        <w:t xml:space="preserve">.</w:t>
      </w:r>
      <w:r>
        <w:t xml:space="preserve"> </w:t>
      </w:r>
      <w:r>
        <w:rPr>
          <w:i/>
          <w:iCs/>
        </w:rPr>
        <w:t xml:space="preserve">Statistics and Computing</w:t>
      </w:r>
      <w:r>
        <w:t xml:space="preserve">,</w:t>
      </w:r>
      <w:r>
        <w:t xml:space="preserve"> </w:t>
      </w:r>
      <w:r>
        <w:rPr>
          <w:i/>
          <w:iCs/>
        </w:rPr>
        <w:t xml:space="preserve">27</w:t>
      </w:r>
      <w:r>
        <w:t xml:space="preserve">(5), 1413–1432.</w:t>
      </w:r>
      <w:r>
        <w:t xml:space="preserve"> </w:t>
      </w:r>
      <w:hyperlink r:id="rId324">
        <w:r>
          <w:rPr>
            <w:rStyle w:val="Hyperlink"/>
          </w:rPr>
          <w:t xml:space="preserve">https://doi.org/10.1007/s11222-016-9696-4</w:t>
        </w:r>
      </w:hyperlink>
    </w:p>
    <w:bookmarkEnd w:id="325"/>
    <w:bookmarkStart w:id="327" w:name="ref-verhaeghen2003"/>
    <w:p>
      <w:pPr>
        <w:pStyle w:val="Bibliography"/>
      </w:pPr>
      <w:r>
        <w:t xml:space="preserve">Verhaeghen, P., Steitz, D. W., Sliwinski, M. J., &amp; Cerella, J. (2003). Aging and dual-task performance: A meta-analysis.</w:t>
      </w:r>
      <w:r>
        <w:t xml:space="preserve"> </w:t>
      </w:r>
      <w:r>
        <w:rPr>
          <w:i/>
          <w:iCs/>
        </w:rPr>
        <w:t xml:space="preserve">Psychology and Aging</w:t>
      </w:r>
      <w:r>
        <w:t xml:space="preserve">,</w:t>
      </w:r>
      <w:r>
        <w:t xml:space="preserve"> </w:t>
      </w:r>
      <w:r>
        <w:rPr>
          <w:i/>
          <w:iCs/>
        </w:rPr>
        <w:t xml:space="preserve">18</w:t>
      </w:r>
      <w:r>
        <w:t xml:space="preserve">(3), 443–460.</w:t>
      </w:r>
      <w:r>
        <w:t xml:space="preserve"> </w:t>
      </w:r>
      <w:hyperlink r:id="rId326">
        <w:r>
          <w:rPr>
            <w:rStyle w:val="Hyperlink"/>
          </w:rPr>
          <w:t xml:space="preserve">https://doi.org/10.1037/0882-7974.18.3.443</w:t>
        </w:r>
      </w:hyperlink>
    </w:p>
    <w:bookmarkEnd w:id="327"/>
    <w:bookmarkStart w:id="328" w:name="ref-voss2004interpreting"/>
    <w:p>
      <w:pPr>
        <w:pStyle w:val="Bibliography"/>
      </w:pPr>
      <w:r>
        <w:t xml:space="preserve">Voss, A., Rothermund, K., &amp; Voss, J. (2004). Interpreting the parameters of the diffusion model: An empirical validation.</w:t>
      </w:r>
      <w:r>
        <w:t xml:space="preserve"> </w:t>
      </w:r>
      <w:r>
        <w:rPr>
          <w:i/>
          <w:iCs/>
        </w:rPr>
        <w:t xml:space="preserve">Memory &amp; Cognition</w:t>
      </w:r>
      <w:r>
        <w:t xml:space="preserve">,</w:t>
      </w:r>
      <w:r>
        <w:t xml:space="preserve"> </w:t>
      </w:r>
      <w:r>
        <w:rPr>
          <w:i/>
          <w:iCs/>
        </w:rPr>
        <w:t xml:space="preserve">32</w:t>
      </w:r>
      <w:r>
        <w:t xml:space="preserve">(7), 1206–1220.</w:t>
      </w:r>
    </w:p>
    <w:bookmarkEnd w:id="328"/>
    <w:bookmarkStart w:id="330" w:name="ref-wabersich2014rwiener"/>
    <w:p>
      <w:pPr>
        <w:pStyle w:val="Bibliography"/>
      </w:pPr>
      <w:r>
        <w:t xml:space="preserve">Wabersich, D., &amp; Vandekerckhove, J. (2014). The</w:t>
      </w:r>
      <w:r>
        <w:t xml:space="preserve"> </w:t>
      </w:r>
      <w:r>
        <w:t xml:space="preserve">RWiener</w:t>
      </w:r>
      <w:r>
        <w:t xml:space="preserve"> </w:t>
      </w:r>
      <w:r>
        <w:t xml:space="preserve">package: An</w:t>
      </w:r>
      <w:r>
        <w:t xml:space="preserve"> </w:t>
      </w:r>
      <w:r>
        <w:t xml:space="preserve">R</w:t>
      </w:r>
      <w:r>
        <w:t xml:space="preserve"> </w:t>
      </w:r>
      <w:r>
        <w:t xml:space="preserve">package providing distribution functions for the wiener diffusion model.</w:t>
      </w:r>
      <w:r>
        <w:t xml:space="preserve"> </w:t>
      </w:r>
      <w:r>
        <w:rPr>
          <w:i/>
          <w:iCs/>
        </w:rPr>
        <w:t xml:space="preserve">The R Journal</w:t>
      </w:r>
      <w:r>
        <w:t xml:space="preserve">,</w:t>
      </w:r>
      <w:r>
        <w:t xml:space="preserve"> </w:t>
      </w:r>
      <w:r>
        <w:rPr>
          <w:i/>
          <w:iCs/>
        </w:rPr>
        <w:t xml:space="preserve">6</w:t>
      </w:r>
      <w:r>
        <w:t xml:space="preserve">(1), 49–56.</w:t>
      </w:r>
      <w:r>
        <w:t xml:space="preserve"> </w:t>
      </w:r>
      <w:hyperlink r:id="rId329">
        <w:r>
          <w:rPr>
            <w:rStyle w:val="Hyperlink"/>
          </w:rPr>
          <w:t xml:space="preserve">https://doi.org/10.32614/RJ-2014-005</w:t>
        </w:r>
      </w:hyperlink>
    </w:p>
    <w:bookmarkEnd w:id="330"/>
    <w:bookmarkStart w:id="332" w:name="ref-wickens2008"/>
    <w:p>
      <w:pPr>
        <w:pStyle w:val="Bibliography"/>
      </w:pPr>
      <w:r>
        <w:t xml:space="preserve">Wickens, C. D. (2008). Multiple resources and mental workload.</w:t>
      </w:r>
      <w:r>
        <w:t xml:space="preserve"> </w:t>
      </w:r>
      <w:r>
        <w:rPr>
          <w:i/>
          <w:iCs/>
        </w:rPr>
        <w:t xml:space="preserve">Human Factors</w:t>
      </w:r>
      <w:r>
        <w:t xml:space="preserve">,</w:t>
      </w:r>
      <w:r>
        <w:t xml:space="preserve"> </w:t>
      </w:r>
      <w:r>
        <w:rPr>
          <w:i/>
          <w:iCs/>
        </w:rPr>
        <w:t xml:space="preserve">50</w:t>
      </w:r>
      <w:r>
        <w:t xml:space="preserve">(3), 449–455.</w:t>
      </w:r>
      <w:r>
        <w:t xml:space="preserve"> </w:t>
      </w:r>
      <w:hyperlink r:id="rId331">
        <w:r>
          <w:rPr>
            <w:rStyle w:val="Hyperlink"/>
          </w:rPr>
          <w:t xml:space="preserve">https://doi.org/10.1518/001872008X288394</w:t>
        </w:r>
      </w:hyperlink>
    </w:p>
    <w:bookmarkEnd w:id="332"/>
    <w:bookmarkStart w:id="334" w:name="ref-wickham2016ggplot2"/>
    <w:p>
      <w:pPr>
        <w:pStyle w:val="Bibliography"/>
      </w:pPr>
      <w:r>
        <w:t xml:space="preserve">Wickham, H. (2016).</w:t>
      </w:r>
      <w:r>
        <w:t xml:space="preserve"> </w:t>
      </w:r>
      <w:r>
        <w:rPr>
          <w:i/>
          <w:iCs/>
        </w:rPr>
        <w:t xml:space="preserve">ggplot2: Elegant graphics for data analysis</w:t>
      </w:r>
      <w:r>
        <w:t xml:space="preserve">. Springer-Verlag New York.</w:t>
      </w:r>
      <w:r>
        <w:t xml:space="preserve"> </w:t>
      </w:r>
      <w:hyperlink r:id="rId333">
        <w:r>
          <w:rPr>
            <w:rStyle w:val="Hyperlink"/>
          </w:rPr>
          <w:t xml:space="preserve">https://ggplot2.tidyverse.org</w:t>
        </w:r>
      </w:hyperlink>
    </w:p>
    <w:bookmarkEnd w:id="334"/>
    <w:bookmarkStart w:id="336" w:name="ref-dplyr"/>
    <w:p>
      <w:pPr>
        <w:pStyle w:val="Bibliography"/>
      </w:pPr>
      <w:r>
        <w:t xml:space="preserve">Wickham, H., François, R., Henry, L., Müller, K., &amp; Vaughan, D. (2023).</w:t>
      </w:r>
      <w:r>
        <w:t xml:space="preserve"> </w:t>
      </w:r>
      <w:r>
        <w:rPr>
          <w:i/>
          <w:iCs/>
        </w:rPr>
        <w:t xml:space="preserve">Dplyr: A grammar of data manipulation</w:t>
      </w:r>
      <w:r>
        <w:t xml:space="preserve">.</w:t>
      </w:r>
      <w:r>
        <w:t xml:space="preserve"> </w:t>
      </w:r>
      <w:hyperlink r:id="rId335">
        <w:r>
          <w:rPr>
            <w:rStyle w:val="Hyperlink"/>
          </w:rPr>
          <w:t xml:space="preserve">https://CRAN.R-project.org/package=dplyr</w:t>
        </w:r>
      </w:hyperlink>
    </w:p>
    <w:bookmarkEnd w:id="336"/>
    <w:bookmarkStart w:id="338" w:name="ref-readr"/>
    <w:p>
      <w:pPr>
        <w:pStyle w:val="Bibliography"/>
      </w:pPr>
      <w:r>
        <w:t xml:space="preserve">Wickham, H., Hester, J., François, R., &amp; Bryan, J. (2024).</w:t>
      </w:r>
      <w:r>
        <w:t xml:space="preserve"> </w:t>
      </w:r>
      <w:r>
        <w:rPr>
          <w:i/>
          <w:iCs/>
        </w:rPr>
        <w:t xml:space="preserve">Readr: Read rectangular text data</w:t>
      </w:r>
      <w:r>
        <w:t xml:space="preserve">.</w:t>
      </w:r>
      <w:r>
        <w:t xml:space="preserve"> </w:t>
      </w:r>
      <w:hyperlink r:id="rId337">
        <w:r>
          <w:rPr>
            <w:rStyle w:val="Hyperlink"/>
          </w:rPr>
          <w:t xml:space="preserve">https://CRAN.R-project.org/package=readr</w:t>
        </w:r>
      </w:hyperlink>
    </w:p>
    <w:bookmarkEnd w:id="338"/>
    <w:bookmarkStart w:id="340" w:name="ref-tidyr"/>
    <w:p>
      <w:pPr>
        <w:pStyle w:val="Bibliography"/>
      </w:pPr>
      <w:r>
        <w:t xml:space="preserve">Wickham, H., Vaughan, D., &amp; Girlich, M. (2023).</w:t>
      </w:r>
      <w:r>
        <w:t xml:space="preserve"> </w:t>
      </w:r>
      <w:r>
        <w:rPr>
          <w:i/>
          <w:iCs/>
        </w:rPr>
        <w:t xml:space="preserve">Tidyr: Tidy messy data</w:t>
      </w:r>
      <w:r>
        <w:t xml:space="preserve">.</w:t>
      </w:r>
      <w:r>
        <w:t xml:space="preserve"> </w:t>
      </w:r>
      <w:hyperlink r:id="rId339">
        <w:r>
          <w:rPr>
            <w:rStyle w:val="Hyperlink"/>
          </w:rPr>
          <w:t xml:space="preserve">https://CRAN.R-project.org/package=tidyr</w:t>
        </w:r>
      </w:hyperlink>
    </w:p>
    <w:bookmarkEnd w:id="340"/>
    <w:bookmarkStart w:id="342" w:name="ref-wiecki2013hddm"/>
    <w:p>
      <w:pPr>
        <w:pStyle w:val="Bibliography"/>
      </w:pPr>
      <w:r>
        <w:t xml:space="preserve">Wiecki, T. V., Sofer, I., &amp; Frank, M. J. (2013). HDDM: Hierarchical bayesian estimation of the drift-diffusion model in python.</w:t>
      </w:r>
      <w:r>
        <w:t xml:space="preserve"> </w:t>
      </w:r>
      <w:r>
        <w:rPr>
          <w:i/>
          <w:iCs/>
        </w:rPr>
        <w:t xml:space="preserve">Frontiers in Neuroinformatics</w:t>
      </w:r>
      <w:r>
        <w:t xml:space="preserve">,</w:t>
      </w:r>
      <w:r>
        <w:t xml:space="preserve"> </w:t>
      </w:r>
      <w:r>
        <w:rPr>
          <w:i/>
          <w:iCs/>
        </w:rPr>
        <w:t xml:space="preserve">7</w:t>
      </w:r>
      <w:r>
        <w:t xml:space="preserve">, 14.</w:t>
      </w:r>
      <w:r>
        <w:t xml:space="preserve"> </w:t>
      </w:r>
      <w:hyperlink r:id="rId341">
        <w:r>
          <w:rPr>
            <w:rStyle w:val="Hyperlink"/>
          </w:rPr>
          <w:t xml:space="preserve">https://doi.org/10.3389/fninf.2013.00014</w:t>
        </w:r>
      </w:hyperlink>
    </w:p>
    <w:bookmarkEnd w:id="342"/>
    <w:bookmarkStart w:id="344" w:name="ref-woollacott2002"/>
    <w:p>
      <w:pPr>
        <w:pStyle w:val="Bibliography"/>
      </w:pPr>
      <w:r>
        <w:t xml:space="preserve">Woollacott, M., &amp; Shumway-Cook, A. (2002). Attention and the control of posture and gait: A review of an emerging area of research.</w:t>
      </w:r>
      <w:r>
        <w:t xml:space="preserve"> </w:t>
      </w:r>
      <w:r>
        <w:rPr>
          <w:i/>
          <w:iCs/>
        </w:rPr>
        <w:t xml:space="preserve">Gait &amp; Posture</w:t>
      </w:r>
      <w:r>
        <w:t xml:space="preserve">,</w:t>
      </w:r>
      <w:r>
        <w:t xml:space="preserve"> </w:t>
      </w:r>
      <w:r>
        <w:rPr>
          <w:i/>
          <w:iCs/>
        </w:rPr>
        <w:t xml:space="preserve">16</w:t>
      </w:r>
      <w:r>
        <w:t xml:space="preserve">(1), 1–14.</w:t>
      </w:r>
      <w:r>
        <w:t xml:space="preserve"> </w:t>
      </w:r>
      <w:hyperlink r:id="rId343">
        <w:r>
          <w:rPr>
            <w:rStyle w:val="Hyperlink"/>
          </w:rPr>
          <w:t xml:space="preserve">https://doi.org/10.1016/S0966-6362(01)00156-4</w:t>
        </w:r>
      </w:hyperlink>
    </w:p>
    <w:bookmarkEnd w:id="344"/>
    <w:bookmarkStart w:id="346" w:name="ref-yerkes1908"/>
    <w:p>
      <w:pPr>
        <w:pStyle w:val="Bibliography"/>
      </w:pPr>
      <w:r>
        <w:t xml:space="preserve">Yerkes, R. M., &amp; Dodson, J. D. (1908). The relation of strength of stimulus to rapidity of habit-formation.</w:t>
      </w:r>
      <w:r>
        <w:t xml:space="preserve"> </w:t>
      </w:r>
      <w:r>
        <w:rPr>
          <w:i/>
          <w:iCs/>
        </w:rPr>
        <w:t xml:space="preserve">Journal of Comparative Neurology and Psychology</w:t>
      </w:r>
      <w:r>
        <w:t xml:space="preserve">,</w:t>
      </w:r>
      <w:r>
        <w:t xml:space="preserve"> </w:t>
      </w:r>
      <w:r>
        <w:rPr>
          <w:i/>
          <w:iCs/>
        </w:rPr>
        <w:t xml:space="preserve">18</w:t>
      </w:r>
      <w:r>
        <w:t xml:space="preserve">(5), 459–482.</w:t>
      </w:r>
      <w:r>
        <w:t xml:space="preserve"> </w:t>
      </w:r>
      <w:hyperlink r:id="rId345">
        <w:r>
          <w:rPr>
            <w:rStyle w:val="Hyperlink"/>
          </w:rPr>
          <w:t xml:space="preserve">https://doi.org/10.1002/cne.920180503</w:t>
        </w:r>
      </w:hyperlink>
    </w:p>
    <w:bookmarkEnd w:id="346"/>
    <w:bookmarkEnd w:id="347"/>
    <w:bookmarkEnd w:id="3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1" Target="media/rId171.png" /><Relationship Type="http://schemas.openxmlformats.org/officeDocument/2006/relationships/image" Id="rId186" Target="media/rId18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125" Target="media/rId125.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22" Target="media/rId22.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224" Target="media/rId224.png" /><Relationship Type="http://schemas.openxmlformats.org/officeDocument/2006/relationships/image" Id="rId58" Target="media/rId58.png" /><Relationship Type="http://schemas.openxmlformats.org/officeDocument/2006/relationships/image" Id="rId89" Target="media/rId89.png" /><Relationship Type="http://schemas.openxmlformats.org/officeDocument/2006/relationships/image" Id="rId99" Target="media/rId99.png" /><Relationship Type="http://schemas.openxmlformats.org/officeDocument/2006/relationships/image" Id="rId136" Target="media/rId136.png" /><Relationship Type="http://schemas.openxmlformats.org/officeDocument/2006/relationships/image" Id="rId196" Target="media/rId196.png" /><Relationship Type="http://schemas.openxmlformats.org/officeDocument/2006/relationships/image" Id="rId145" Target="media/rId145.png" /><Relationship Type="http://schemas.openxmlformats.org/officeDocument/2006/relationships/image" Id="rId120" Target="media/rId120.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203" Target="media/rId203.png" /><Relationship Type="http://schemas.openxmlformats.org/officeDocument/2006/relationships/image" Id="rId175" Target="media/rId175.png" /><Relationship Type="http://schemas.openxmlformats.org/officeDocument/2006/relationships/image" Id="rId141" Target="media/rId141.png" /><Relationship Type="http://schemas.openxmlformats.org/officeDocument/2006/relationships/image" Id="rId165" Target="media/rId165.png" /><Relationship Type="http://schemas.openxmlformats.org/officeDocument/2006/relationships/image" Id="rId161" Target="media/rId161.png" /><Relationship Type="http://schemas.openxmlformats.org/officeDocument/2006/relationships/hyperlink" Id="rId233" Target="https://CRAN.R-project.org/package=broom.mixed" TargetMode="External" /><Relationship Type="http://schemas.openxmlformats.org/officeDocument/2006/relationships/hyperlink" Id="rId335" Target="https://CRAN.R-project.org/package=dplyr" TargetMode="External" /><Relationship Type="http://schemas.openxmlformats.org/officeDocument/2006/relationships/hyperlink" Id="rId276" Target="https://CRAN.R-project.org/package=gt" TargetMode="External" /><Relationship Type="http://schemas.openxmlformats.org/officeDocument/2006/relationships/hyperlink" Id="rId337" Target="https://CRAN.R-project.org/package=readr" TargetMode="External" /><Relationship Type="http://schemas.openxmlformats.org/officeDocument/2006/relationships/hyperlink" Id="rId339" Target="https://CRAN.R-project.org/package=tidyr" TargetMode="External" /><Relationship Type="http://schemas.openxmlformats.org/officeDocument/2006/relationships/hyperlink" Id="rId345" Target="https://doi.org/10.1002/cne.920180503" TargetMode="External" /><Relationship Type="http://schemas.openxmlformats.org/officeDocument/2006/relationships/hyperlink" Id="rId324" Target="https://doi.org/10.1007/s11222-016-9696-4" TargetMode="External" /><Relationship Type="http://schemas.openxmlformats.org/officeDocument/2006/relationships/hyperlink" Id="rId343" Target="https://doi.org/10.1016/S0966-6362(01)00156-4" TargetMode="External" /><Relationship Type="http://schemas.openxmlformats.org/officeDocument/2006/relationships/hyperlink" Id="rId291" Target="https://doi.org/10.1016/j.neubiorev.2021.12.010" TargetMode="External" /><Relationship Type="http://schemas.openxmlformats.org/officeDocument/2006/relationships/hyperlink" Id="rId278" Target="https://doi.org/10.1016/j.neuron.2015.11.028" TargetMode="External" /><Relationship Type="http://schemas.openxmlformats.org/officeDocument/2006/relationships/hyperlink" Id="rId287" Target="https://doi.org/10.1016/j.tics.2016.01.001" TargetMode="External" /><Relationship Type="http://schemas.openxmlformats.org/officeDocument/2006/relationships/hyperlink" Id="rId241" Target="https://doi.org/10.1037/0033-2909.91.2.276" TargetMode="External" /><Relationship Type="http://schemas.openxmlformats.org/officeDocument/2006/relationships/hyperlink" Id="rId260" Target="https://doi.org/10.1037/0033-2909.98.3.419" TargetMode="External" /><Relationship Type="http://schemas.openxmlformats.org/officeDocument/2006/relationships/hyperlink" Id="rId312" Target="https://doi.org/10.1037/0033-295X.103.3.403" TargetMode="External" /><Relationship Type="http://schemas.openxmlformats.org/officeDocument/2006/relationships/hyperlink" Id="rId293" Target="https://doi.org/10.1037/0033-295X.104.2.266" TargetMode="External" /><Relationship Type="http://schemas.openxmlformats.org/officeDocument/2006/relationships/hyperlink" Id="rId298" Target="https://doi.org/10.1037/0033-295X.85.2.59" TargetMode="External" /><Relationship Type="http://schemas.openxmlformats.org/officeDocument/2006/relationships/hyperlink" Id="rId300" Target="https://doi.org/10.1037/0033-295X.92.2.212" TargetMode="External" /><Relationship Type="http://schemas.openxmlformats.org/officeDocument/2006/relationships/hyperlink" Id="rId314" Target="https://doi.org/10.1037/0278-7393.32.1.101" TargetMode="External" /><Relationship Type="http://schemas.openxmlformats.org/officeDocument/2006/relationships/hyperlink" Id="rId304" Target="https://doi.org/10.1037/0882-7974.16.2.323" TargetMode="External" /><Relationship Type="http://schemas.openxmlformats.org/officeDocument/2006/relationships/hyperlink" Id="rId326" Target="https://doi.org/10.1037/0882-7974.18.3.443" TargetMode="External" /><Relationship Type="http://schemas.openxmlformats.org/officeDocument/2006/relationships/hyperlink" Id="rId306" Target="https://doi.org/10.1037/0882-7974.19.2.278" TargetMode="External" /><Relationship Type="http://schemas.openxmlformats.org/officeDocument/2006/relationships/hyperlink" Id="rId318" Target="https://doi.org/10.1037/a0018022" TargetMode="External" /><Relationship Type="http://schemas.openxmlformats.org/officeDocument/2006/relationships/hyperlink" Id="rId253" Target="https://doi.org/10.1037/a0035813" TargetMode="External" /><Relationship Type="http://schemas.openxmlformats.org/officeDocument/2006/relationships/hyperlink" Id="rId237" Target="https://doi.org/10.1037/pag0000730" TargetMode="External" /><Relationship Type="http://schemas.openxmlformats.org/officeDocument/2006/relationships/hyperlink" Id="rId320" Target="https://doi.org/10.1038/ncomms12400" TargetMode="External" /><Relationship Type="http://schemas.openxmlformats.org/officeDocument/2006/relationships/hyperlink" Id="rId264" Target="https://doi.org/10.1038/nn.3689" TargetMode="External" /><Relationship Type="http://schemas.openxmlformats.org/officeDocument/2006/relationships/hyperlink" Id="rId243" Target="https://doi.org/10.1038/s41598-024-66238-z" TargetMode="External" /><Relationship Type="http://schemas.openxmlformats.org/officeDocument/2006/relationships/hyperlink" Id="rId272" Target="https://doi.org/10.1093/geronb/gbr129" TargetMode="External" /><Relationship Type="http://schemas.openxmlformats.org/officeDocument/2006/relationships/hyperlink" Id="rId285" Target="https://doi.org/10.1093/geronj/46.3.P124" TargetMode="External" /><Relationship Type="http://schemas.openxmlformats.org/officeDocument/2006/relationships/hyperlink" Id="rId322" Target="https://doi.org/10.1111/j.1469-8986.2003.00148.x" TargetMode="External" /><Relationship Type="http://schemas.openxmlformats.org/officeDocument/2006/relationships/hyperlink" Id="rId268" Target="https://doi.org/10.1111/rssa.12377" TargetMode="External" /><Relationship Type="http://schemas.openxmlformats.org/officeDocument/2006/relationships/hyperlink" Id="rId280" Target="https://doi.org/10.1126/science.154.3756.1583" TargetMode="External" /><Relationship Type="http://schemas.openxmlformats.org/officeDocument/2006/relationships/hyperlink" Id="rId235" Target="https://doi.org/10.1146/annurev.neuro.28.061604.135709" TargetMode="External" /><Relationship Type="http://schemas.openxmlformats.org/officeDocument/2006/relationships/hyperlink" Id="rId302" Target="https://doi.org/10.1162/neco.2008.12-06-420" TargetMode="External" /><Relationship Type="http://schemas.openxmlformats.org/officeDocument/2006/relationships/hyperlink" Id="rId331" Target="https://doi.org/10.1518/001872008X288394" TargetMode="External" /><Relationship Type="http://schemas.openxmlformats.org/officeDocument/2006/relationships/hyperlink" Id="rId258" Target="https://doi.org/10.1523/JNEUROSCI.4010-11.2012" TargetMode="External" /><Relationship Type="http://schemas.openxmlformats.org/officeDocument/2006/relationships/hyperlink" Id="rId239" Target="https://doi.org/10.18637/jss.v067.i01" TargetMode="External" /><Relationship Type="http://schemas.openxmlformats.org/officeDocument/2006/relationships/hyperlink" Id="rId247" Target="https://doi.org/10.18637/jss.v080.i01" TargetMode="External" /><Relationship Type="http://schemas.openxmlformats.org/officeDocument/2006/relationships/hyperlink" Id="rId251" Target="https://doi.org/10.18637/jss.v102.i10" TargetMode="External" /><Relationship Type="http://schemas.openxmlformats.org/officeDocument/2006/relationships/hyperlink" Id="rId329" Target="https://doi.org/10.32614/RJ-2014-005" TargetMode="External" /><Relationship Type="http://schemas.openxmlformats.org/officeDocument/2006/relationships/hyperlink" Id="rId249" Target="https://doi.org/10.32614/RJ-2018-017" TargetMode="External" /><Relationship Type="http://schemas.openxmlformats.org/officeDocument/2006/relationships/hyperlink" Id="rId266" Target="https://doi.org/10.32614/RJ-2021-123" TargetMode="External" /><Relationship Type="http://schemas.openxmlformats.org/officeDocument/2006/relationships/hyperlink" Id="rId341" Target="https://doi.org/10.3389/fninf.2013.00014" TargetMode="External" /><Relationship Type="http://schemas.openxmlformats.org/officeDocument/2006/relationships/hyperlink" Id="rId309" Target="https://doi.org/10.3758/BF03196302" TargetMode="External" /><Relationship Type="http://schemas.openxmlformats.org/officeDocument/2006/relationships/hyperlink" Id="rId270" Target="https://doi.org/10.3758/CABN.10.2.252" TargetMode="External" /><Relationship Type="http://schemas.openxmlformats.org/officeDocument/2006/relationships/hyperlink" Id="rId76" Target="https://doi.org/10.5281/zenodo.18205123" TargetMode="External" /><Relationship Type="http://schemas.openxmlformats.org/officeDocument/2006/relationships/hyperlink" Id="rId289" Target="https://doi.org/10.5334/joc.18" TargetMode="External" /><Relationship Type="http://schemas.openxmlformats.org/officeDocument/2006/relationships/hyperlink" Id="rId256" Target="https://doi.org/10.7554/eLife.54014" TargetMode="External" /><Relationship Type="http://schemas.openxmlformats.org/officeDocument/2006/relationships/hyperlink" Id="rId333" Target="https://ggplot2.tidyverse.org" TargetMode="External" /><Relationship Type="http://schemas.openxmlformats.org/officeDocument/2006/relationships/hyperlink" Id="rId75" Target="https://github.com/mohdasti/modeling-pupil-DDM" TargetMode="External" /><Relationship Type="http://schemas.openxmlformats.org/officeDocument/2006/relationships/hyperlink" Id="rId316" Target="https://mc-stan.org/docs/cmdstan-guide/" TargetMode="External" /><Relationship Type="http://schemas.openxmlformats.org/officeDocument/2006/relationships/hyperlink" Id="rId231" Target="https://quarto.org" TargetMode="External" /><Relationship Type="http://schemas.openxmlformats.org/officeDocument/2006/relationships/hyperlink" Id="rId295"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233" Target="https://CRAN.R-project.org/package=broom.mixed" TargetMode="External" /><Relationship Type="http://schemas.openxmlformats.org/officeDocument/2006/relationships/hyperlink" Id="rId335" Target="https://CRAN.R-project.org/package=dplyr" TargetMode="External" /><Relationship Type="http://schemas.openxmlformats.org/officeDocument/2006/relationships/hyperlink" Id="rId276" Target="https://CRAN.R-project.org/package=gt" TargetMode="External" /><Relationship Type="http://schemas.openxmlformats.org/officeDocument/2006/relationships/hyperlink" Id="rId337" Target="https://CRAN.R-project.org/package=readr" TargetMode="External" /><Relationship Type="http://schemas.openxmlformats.org/officeDocument/2006/relationships/hyperlink" Id="rId339" Target="https://CRAN.R-project.org/package=tidyr" TargetMode="External" /><Relationship Type="http://schemas.openxmlformats.org/officeDocument/2006/relationships/hyperlink" Id="rId345" Target="https://doi.org/10.1002/cne.920180503" TargetMode="External" /><Relationship Type="http://schemas.openxmlformats.org/officeDocument/2006/relationships/hyperlink" Id="rId324" Target="https://doi.org/10.1007/s11222-016-9696-4" TargetMode="External" /><Relationship Type="http://schemas.openxmlformats.org/officeDocument/2006/relationships/hyperlink" Id="rId343" Target="https://doi.org/10.1016/S0966-6362(01)00156-4" TargetMode="External" /><Relationship Type="http://schemas.openxmlformats.org/officeDocument/2006/relationships/hyperlink" Id="rId291" Target="https://doi.org/10.1016/j.neubiorev.2021.12.010" TargetMode="External" /><Relationship Type="http://schemas.openxmlformats.org/officeDocument/2006/relationships/hyperlink" Id="rId278" Target="https://doi.org/10.1016/j.neuron.2015.11.028" TargetMode="External" /><Relationship Type="http://schemas.openxmlformats.org/officeDocument/2006/relationships/hyperlink" Id="rId287" Target="https://doi.org/10.1016/j.tics.2016.01.001" TargetMode="External" /><Relationship Type="http://schemas.openxmlformats.org/officeDocument/2006/relationships/hyperlink" Id="rId241" Target="https://doi.org/10.1037/0033-2909.91.2.276" TargetMode="External" /><Relationship Type="http://schemas.openxmlformats.org/officeDocument/2006/relationships/hyperlink" Id="rId260" Target="https://doi.org/10.1037/0033-2909.98.3.419" TargetMode="External" /><Relationship Type="http://schemas.openxmlformats.org/officeDocument/2006/relationships/hyperlink" Id="rId312" Target="https://doi.org/10.1037/0033-295X.103.3.403" TargetMode="External" /><Relationship Type="http://schemas.openxmlformats.org/officeDocument/2006/relationships/hyperlink" Id="rId293" Target="https://doi.org/10.1037/0033-295X.104.2.266" TargetMode="External" /><Relationship Type="http://schemas.openxmlformats.org/officeDocument/2006/relationships/hyperlink" Id="rId298" Target="https://doi.org/10.1037/0033-295X.85.2.59" TargetMode="External" /><Relationship Type="http://schemas.openxmlformats.org/officeDocument/2006/relationships/hyperlink" Id="rId300" Target="https://doi.org/10.1037/0033-295X.92.2.212" TargetMode="External" /><Relationship Type="http://schemas.openxmlformats.org/officeDocument/2006/relationships/hyperlink" Id="rId314" Target="https://doi.org/10.1037/0278-7393.32.1.101" TargetMode="External" /><Relationship Type="http://schemas.openxmlformats.org/officeDocument/2006/relationships/hyperlink" Id="rId304" Target="https://doi.org/10.1037/0882-7974.16.2.323" TargetMode="External" /><Relationship Type="http://schemas.openxmlformats.org/officeDocument/2006/relationships/hyperlink" Id="rId326" Target="https://doi.org/10.1037/0882-7974.18.3.443" TargetMode="External" /><Relationship Type="http://schemas.openxmlformats.org/officeDocument/2006/relationships/hyperlink" Id="rId306" Target="https://doi.org/10.1037/0882-7974.19.2.278" TargetMode="External" /><Relationship Type="http://schemas.openxmlformats.org/officeDocument/2006/relationships/hyperlink" Id="rId318" Target="https://doi.org/10.1037/a0018022" TargetMode="External" /><Relationship Type="http://schemas.openxmlformats.org/officeDocument/2006/relationships/hyperlink" Id="rId253" Target="https://doi.org/10.1037/a0035813" TargetMode="External" /><Relationship Type="http://schemas.openxmlformats.org/officeDocument/2006/relationships/hyperlink" Id="rId237" Target="https://doi.org/10.1037/pag0000730" TargetMode="External" /><Relationship Type="http://schemas.openxmlformats.org/officeDocument/2006/relationships/hyperlink" Id="rId320" Target="https://doi.org/10.1038/ncomms12400" TargetMode="External" /><Relationship Type="http://schemas.openxmlformats.org/officeDocument/2006/relationships/hyperlink" Id="rId264" Target="https://doi.org/10.1038/nn.3689" TargetMode="External" /><Relationship Type="http://schemas.openxmlformats.org/officeDocument/2006/relationships/hyperlink" Id="rId243" Target="https://doi.org/10.1038/s41598-024-66238-z" TargetMode="External" /><Relationship Type="http://schemas.openxmlformats.org/officeDocument/2006/relationships/hyperlink" Id="rId272" Target="https://doi.org/10.1093/geronb/gbr129" TargetMode="External" /><Relationship Type="http://schemas.openxmlformats.org/officeDocument/2006/relationships/hyperlink" Id="rId285" Target="https://doi.org/10.1093/geronj/46.3.P124" TargetMode="External" /><Relationship Type="http://schemas.openxmlformats.org/officeDocument/2006/relationships/hyperlink" Id="rId322" Target="https://doi.org/10.1111/j.1469-8986.2003.00148.x" TargetMode="External" /><Relationship Type="http://schemas.openxmlformats.org/officeDocument/2006/relationships/hyperlink" Id="rId268" Target="https://doi.org/10.1111/rssa.12377" TargetMode="External" /><Relationship Type="http://schemas.openxmlformats.org/officeDocument/2006/relationships/hyperlink" Id="rId280" Target="https://doi.org/10.1126/science.154.3756.1583" TargetMode="External" /><Relationship Type="http://schemas.openxmlformats.org/officeDocument/2006/relationships/hyperlink" Id="rId235" Target="https://doi.org/10.1146/annurev.neuro.28.061604.135709" TargetMode="External" /><Relationship Type="http://schemas.openxmlformats.org/officeDocument/2006/relationships/hyperlink" Id="rId302" Target="https://doi.org/10.1162/neco.2008.12-06-420" TargetMode="External" /><Relationship Type="http://schemas.openxmlformats.org/officeDocument/2006/relationships/hyperlink" Id="rId331" Target="https://doi.org/10.1518/001872008X288394" TargetMode="External" /><Relationship Type="http://schemas.openxmlformats.org/officeDocument/2006/relationships/hyperlink" Id="rId258" Target="https://doi.org/10.1523/JNEUROSCI.4010-11.2012" TargetMode="External" /><Relationship Type="http://schemas.openxmlformats.org/officeDocument/2006/relationships/hyperlink" Id="rId239" Target="https://doi.org/10.18637/jss.v067.i01" TargetMode="External" /><Relationship Type="http://schemas.openxmlformats.org/officeDocument/2006/relationships/hyperlink" Id="rId247" Target="https://doi.org/10.18637/jss.v080.i01" TargetMode="External" /><Relationship Type="http://schemas.openxmlformats.org/officeDocument/2006/relationships/hyperlink" Id="rId251" Target="https://doi.org/10.18637/jss.v102.i10" TargetMode="External" /><Relationship Type="http://schemas.openxmlformats.org/officeDocument/2006/relationships/hyperlink" Id="rId329" Target="https://doi.org/10.32614/RJ-2014-005" TargetMode="External" /><Relationship Type="http://schemas.openxmlformats.org/officeDocument/2006/relationships/hyperlink" Id="rId249" Target="https://doi.org/10.32614/RJ-2018-017" TargetMode="External" /><Relationship Type="http://schemas.openxmlformats.org/officeDocument/2006/relationships/hyperlink" Id="rId266" Target="https://doi.org/10.32614/RJ-2021-123" TargetMode="External" /><Relationship Type="http://schemas.openxmlformats.org/officeDocument/2006/relationships/hyperlink" Id="rId341" Target="https://doi.org/10.3389/fninf.2013.00014" TargetMode="External" /><Relationship Type="http://schemas.openxmlformats.org/officeDocument/2006/relationships/hyperlink" Id="rId309" Target="https://doi.org/10.3758/BF03196302" TargetMode="External" /><Relationship Type="http://schemas.openxmlformats.org/officeDocument/2006/relationships/hyperlink" Id="rId270" Target="https://doi.org/10.3758/CABN.10.2.252" TargetMode="External" /><Relationship Type="http://schemas.openxmlformats.org/officeDocument/2006/relationships/hyperlink" Id="rId76" Target="https://doi.org/10.5281/zenodo.18205123" TargetMode="External" /><Relationship Type="http://schemas.openxmlformats.org/officeDocument/2006/relationships/hyperlink" Id="rId289" Target="https://doi.org/10.5334/joc.18" TargetMode="External" /><Relationship Type="http://schemas.openxmlformats.org/officeDocument/2006/relationships/hyperlink" Id="rId256" Target="https://doi.org/10.7554/eLife.54014" TargetMode="External" /><Relationship Type="http://schemas.openxmlformats.org/officeDocument/2006/relationships/hyperlink" Id="rId333" Target="https://ggplot2.tidyverse.org" TargetMode="External" /><Relationship Type="http://schemas.openxmlformats.org/officeDocument/2006/relationships/hyperlink" Id="rId75" Target="https://github.com/mohdasti/modeling-pupil-DDM" TargetMode="External" /><Relationship Type="http://schemas.openxmlformats.org/officeDocument/2006/relationships/hyperlink" Id="rId316" Target="https://mc-stan.org/docs/cmdstan-guide/" TargetMode="External" /><Relationship Type="http://schemas.openxmlformats.org/officeDocument/2006/relationships/hyperlink" Id="rId231" Target="https://quarto.org" TargetMode="External" /><Relationship Type="http://schemas.openxmlformats.org/officeDocument/2006/relationships/hyperlink" Id="rId295"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Effort Reduces Evidence Accumulation Quality in Older Adults: A Hierarchical Diffusion Decision Model Analysis</dc:title>
  <dc:creator>Mohammad Dastgheib</dc:creator>
  <cp:keywords/>
  <dcterms:created xsi:type="dcterms:W3CDTF">2026-06-21T23:56:29Z</dcterms:created>
  <dcterms:modified xsi:type="dcterms:W3CDTF">2026-06-21T23:56:29Z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apa-7th-edition.csl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rams">
    <vt:lpwstr/>
  </property>
  <property fmtid="{D5CDD505-2E9C-101B-9397-08002B2CF9AE}" pid="14" name="toc-title">
    <vt:lpwstr>Table of contents</vt:lpwstr>
  </property>
</Properties>
</file>