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df" ContentType="application/pdf"/>
  <Override PartName="/word/media/rId23.pdf" ContentType="application/pdf"/>
  <Override PartName="/word/media/rId49.pdf" ContentType="application/pdf"/>
  <Override PartName="/word/media/rId52.pdf" ContentType="application/pdf"/>
  <Override PartName="/word/media/rId43.pdf" ContentType="application/pdf"/>
  <Override PartName="/word/media/rId38.pdf" ContentType="application/pdf"/>
  <Override PartName="/word/media/rId73.pdf" ContentType="application/pdf"/>
  <Override PartName="/word/media/rId61.pdf" ContentType="application/pdf"/>
  <Override PartName="/word/media/rId6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Diffusion Modeling with Pupil-Linked Arousal (Response-Signal Design)</w:t>
      </w:r>
    </w:p>
    <w:p>
      <w:pPr>
        <w:pStyle w:val="Author"/>
      </w:pPr>
      <w:r>
        <w:t xml:space="preserve">DDM Analysis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1"/>
      </w:pPr>
      <w:r>
        <w:t xml:space="preserve">1. Overview</w:t>
      </w:r>
    </w:p>
    <w:p>
      <w:pPr>
        <w:pStyle w:val="FirstParagraph"/>
      </w:pPr>
      <w:r>
        <w:t xml:space="preserve">This chapter presents a hierarchical Wiener diffusion decision model (DDM) for a response-signal change-detection task in older adults. The primary model maps task difficulty to drift rate (v), boundary separation (a), and starting-point bias (z), with small condition effects on non-decision time (t₀). We report comprehensive quality assurance checks, manipulation checks independent of the DDM, model comparison via LOO cross-validation, and extensive posterior predictive checks with emphasis on subject-wise mid-body RT quantiles.</w:t>
      </w:r>
    </w:p>
    <w:bookmarkEnd w:id="20"/>
    <w:bookmarkStart w:id="27" w:name="sample-experimental-design"/>
    <w:p>
      <w:pPr>
        <w:pStyle w:val="Heading1"/>
      </w:pPr>
      <w:r>
        <w:t xml:space="preserve">2. Sample &amp; Experimental Design</w:t>
      </w:r>
    </w:p>
    <w:bookmarkStart w:id="21" w:name="participants"/>
    <w:p>
      <w:pPr>
        <w:pStyle w:val="Heading2"/>
      </w:pPr>
      <w:r>
        <w:t xml:space="preserve">2.1 Participants</w:t>
      </w:r>
    </w:p>
    <w:p>
      <w:pPr>
        <w:pStyle w:val="FirstParagraph"/>
      </w:pPr>
      <w:r>
        <w:rPr>
          <w:b/>
          <w:bCs/>
        </w:rPr>
        <w:t xml:space="preserve">N = 67</w:t>
      </w:r>
      <w:r>
        <w:t xml:space="preserve"> </w:t>
      </w:r>
      <w:r>
        <w:t xml:space="preserve">older adults (≥65 years; mean age = 71.3 years, SD = 4.8). This analysis uses the same dataset and participants as described in the LC behavioral report manuscript (see References). All participants provided written informed consent in accordance with the Institutional Review Board protocol. No participants were excluded for sub-chance performance.</w:t>
      </w:r>
    </w:p>
    <w:bookmarkEnd w:id="21"/>
    <w:bookmarkStart w:id="22" w:name="tasks-and-conditions"/>
    <w:p>
      <w:pPr>
        <w:pStyle w:val="Heading2"/>
      </w:pPr>
      <w:r>
        <w:t xml:space="preserve">2.2 Tasks and Conditions</w:t>
      </w:r>
    </w:p>
    <w:p>
      <w:pPr>
        <w:pStyle w:val="FirstParagraph"/>
      </w:pPr>
      <w:r>
        <w:rPr>
          <w:b/>
          <w:bCs/>
        </w:rPr>
        <w:t xml:space="preserve">Tasks</w:t>
      </w:r>
      <w:r>
        <w:t xml:space="preserve">: Auditory Detection Task (ADT) and Visual Detection Task (VDT) are separate experimental conditions, not factor levels in a single design.</w:t>
      </w:r>
      <w:r>
        <w:t xml:space="preserve"> </w:t>
      </w:r>
      <w:r>
        <w:rPr>
          <w:i/>
          <w:iCs/>
        </w:rPr>
        <w:t xml:space="preserve">[Detailed task descriptions, stimulus parameters, and equipment specifications are provided in the LC behavioral report manuscript; see References.]</w:t>
      </w:r>
    </w:p>
    <w:p>
      <w:pPr>
        <w:pStyle w:val="BodyText"/>
      </w:pPr>
      <w:r>
        <w:rPr>
          <w:b/>
          <w:bCs/>
        </w:rPr>
        <w:t xml:space="preserve">Conditions</w:t>
      </w:r>
      <w:r>
        <w:t xml:space="preserve"> </w:t>
      </w:r>
      <w:r>
        <w:t xml:space="preserve">(within-subjects, fully crossed):</w:t>
      </w:r>
    </w:p>
    <w:p>
      <w:pPr>
        <w:pStyle w:val="Compact"/>
        <w:numPr>
          <w:ilvl w:val="0"/>
          <w:numId w:val="1001"/>
        </w:numPr>
      </w:pPr>
      <w:r>
        <w:rPr>
          <w:b/>
          <w:bCs/>
        </w:rPr>
        <w:t xml:space="preserve">Difficulty</w:t>
      </w:r>
      <w:r>
        <w:t xml:space="preserve">: Standard (Δ=0), Easy, Hard</w:t>
      </w:r>
    </w:p>
    <w:p>
      <w:pPr>
        <w:pStyle w:val="Compact"/>
        <w:numPr>
          <w:ilvl w:val="0"/>
          <w:numId w:val="1001"/>
        </w:numPr>
      </w:pPr>
      <w:r>
        <w:rPr>
          <w:b/>
          <w:bCs/>
        </w:rPr>
        <w:t xml:space="preserve">Effort</w:t>
      </w:r>
      <w:r>
        <w:t xml:space="preserve">: Low (5% MVC), High (40% MVC)</w:t>
      </w:r>
    </w:p>
    <w:p>
      <w:pPr>
        <w:pStyle w:val="FirstParagraph"/>
      </w:pPr>
      <w:r>
        <w:rPr>
          <w:b/>
          <w:bCs/>
        </w:rPr>
        <w:t xml:space="preserve">Total design cells</w:t>
      </w:r>
      <w:r>
        <w:t xml:space="preserve">: 2 tasks × 3 difficulty levels × 2 effort conditions = 12 cells per subject.</w:t>
      </w:r>
    </w:p>
    <w:p>
      <w:pPr>
        <w:pStyle w:val="BodyText"/>
      </w:pPr>
      <w:r>
        <w:rPr>
          <w:b/>
          <w:bCs/>
        </w:rPr>
        <w:t xml:space="preserve">Total trials analyzed</w:t>
      </w:r>
      <w:r>
        <w:t xml:space="preserve">: 17,243 (after exclusions).</w:t>
      </w:r>
    </w:p>
    <w:bookmarkEnd w:id="22"/>
    <w:bookmarkStart w:id="26" w:name="trial-timeline-response-signal-design"/>
    <w:p>
      <w:pPr>
        <w:pStyle w:val="Heading2"/>
      </w:pPr>
      <w:r>
        <w:t xml:space="preserve">2.3 Trial Timeline (Response-Signal Design)</w:t>
      </w:r>
    </w:p>
    <w:p>
      <w:pPr>
        <w:pStyle w:val="CaptionedFigure"/>
      </w:pPr>
      <w:r>
        <w:drawing>
          <wp:inline>
            <wp:extent cx="5334000" cy="1866900"/>
            <wp:effectExtent b="0" l="0" r="0" t="0"/>
            <wp:docPr descr="Design Timeline. Trial structure for the response-signal task. RT is measured from the onset of the response screen (950 ms post-trial-onset), not from stimulus onset. This design constrains the interpretation of non-decision time (t₀) to primarily reflect motor execution and response selection." title="" id="24" name="Picture"/>
            <a:graphic>
              <a:graphicData uri="http://schemas.openxmlformats.org/drawingml/2006/picture">
                <pic:pic>
                  <pic:nvPicPr>
                    <pic:cNvPr descr="../output/figures/fig_design_timeline.pdf" id="25" name="Picture"/>
                    <pic:cNvPicPr>
                      <a:picLocks noChangeArrowheads="1" noChangeAspect="1"/>
                    </pic:cNvPicPr>
                  </pic:nvPicPr>
                  <pic:blipFill>
                    <a:blip r:embed="rId23"/>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Design Timeline. Trial structure for the response-signal task. RT is measured from the onset of the response screen (950 ms post-trial-onset), not from stimulus onset. This design constrains the interpretation of non-decision time (t₀) to primarily reflect motor execution and response selection.</w:t>
      </w:r>
    </w:p>
    <w:p>
      <w:pPr>
        <w:pStyle w:val="BodyText"/>
      </w:pPr>
      <w:r>
        <w:rPr>
          <w:b/>
          <w:bCs/>
        </w:rPr>
        <w:t xml:space="preserve">Timeline</w:t>
      </w:r>
      <w:r>
        <w:t xml:space="preserve">:</w:t>
      </w:r>
    </w:p>
    <w:p>
      <w:pPr>
        <w:pStyle w:val="Compact"/>
        <w:numPr>
          <w:ilvl w:val="0"/>
          <w:numId w:val="1002"/>
        </w:numPr>
      </w:pPr>
      <w:r>
        <w:t xml:space="preserve">Standard tone/stimulus (100 ms)</w:t>
      </w:r>
    </w:p>
    <w:p>
      <w:pPr>
        <w:pStyle w:val="Compact"/>
        <w:numPr>
          <w:ilvl w:val="0"/>
          <w:numId w:val="1002"/>
        </w:numPr>
      </w:pPr>
      <w:r>
        <w:t xml:space="preserve">Inter-stimulus interval (500 ms)</w:t>
      </w:r>
    </w:p>
    <w:p>
      <w:pPr>
        <w:pStyle w:val="Compact"/>
        <w:numPr>
          <w:ilvl w:val="0"/>
          <w:numId w:val="1002"/>
        </w:numPr>
      </w:pPr>
      <w:r>
        <w:t xml:space="preserve">Target tone/stimulus (100 ms)</w:t>
      </w:r>
    </w:p>
    <w:p>
      <w:pPr>
        <w:pStyle w:val="Compact"/>
        <w:numPr>
          <w:ilvl w:val="0"/>
          <w:numId w:val="1002"/>
        </w:numPr>
      </w:pPr>
      <w:r>
        <w:t xml:space="preserve">Blank screen (250 ms)</w:t>
      </w:r>
    </w:p>
    <w:p>
      <w:pPr>
        <w:pStyle w:val="Compact"/>
        <w:numPr>
          <w:ilvl w:val="0"/>
          <w:numId w:val="1002"/>
        </w:numPr>
      </w:pPr>
      <w:r>
        <w:rPr>
          <w:b/>
          <w:bCs/>
        </w:rPr>
        <w:t xml:space="preserve">Response screen onset</w:t>
      </w:r>
      <w:r>
        <w:t xml:space="preserve"> </w:t>
      </w:r>
      <w:r>
        <w:t xml:space="preserve">(time 0 for RT measurement)</w:t>
      </w:r>
    </w:p>
    <w:p>
      <w:pPr>
        <w:pStyle w:val="Compact"/>
        <w:numPr>
          <w:ilvl w:val="0"/>
          <w:numId w:val="1002"/>
        </w:numPr>
      </w:pPr>
      <w:r>
        <w:t xml:space="preserve">Response window (3,000 ms)</w:t>
      </w:r>
    </w:p>
    <w:p>
      <w:pPr>
        <w:pStyle w:val="FirstParagraph"/>
      </w:pPr>
      <w:r>
        <w:rPr>
          <w:i/>
          <w:iCs/>
        </w:rPr>
        <w:t xml:space="preserve">[Stimulus presentation parameters, equipment specifications, and response collection methods are detailed in the LC behavioral report manuscript; see References.]</w:t>
      </w:r>
    </w:p>
    <w:p>
      <w:pPr>
        <w:pStyle w:val="BodyText"/>
      </w:pPr>
      <w:r>
        <w:rPr>
          <w:b/>
          <w:bCs/>
        </w:rPr>
        <w:t xml:space="preserve">RT definition</w:t>
      </w:r>
      <w:r>
        <w:t xml:space="preserve">: Time from response-screen onset (response-signal design). This is a critical methodological detail: RTs do not include early perceptual/encoding processes, which are absorbed into the</w:t>
      </w:r>
      <w:r>
        <w:t xml:space="preserve"> </w:t>
      </w:r>
      <w:r>
        <w:t xml:space="preserve">“standard”</w:t>
      </w:r>
      <w:r>
        <w:t xml:space="preserve"> </w:t>
      </w:r>
      <w:r>
        <w:t xml:space="preserve">+ ISI +</w:t>
      </w:r>
      <w:r>
        <w:t xml:space="preserve"> </w:t>
      </w:r>
      <w:r>
        <w:t xml:space="preserve">“target”</w:t>
      </w:r>
      <w:r>
        <w:t xml:space="preserve"> </w:t>
      </w:r>
      <w:r>
        <w:t xml:space="preserve">+ blank period. Thus,</w:t>
      </w:r>
      <w:r>
        <w:t xml:space="preserve"> </w:t>
      </w:r>
      <w:r>
        <w:rPr>
          <w:b/>
          <w:bCs/>
        </w:rPr>
        <w:t xml:space="preserve">t₀ (non-decision time) primarily reflects motor execution</w:t>
      </w:r>
      <w:r>
        <w:t xml:space="preserve"> </w:t>
      </w:r>
      <w:r>
        <w:t xml:space="preserve">rather than the sum of encoding + motor time as in traditional RT tasks. The response-signal design rationale is described in detail in the LC behavioral report manuscript.</w:t>
      </w:r>
    </w:p>
    <w:p>
      <w:pPr>
        <w:pStyle w:val="BodyText"/>
      </w:pPr>
      <w:r>
        <w:rPr>
          <w:b/>
          <w:bCs/>
        </w:rPr>
        <w:t xml:space="preserve">Filtering</w:t>
      </w:r>
      <w:r>
        <w:t xml:space="preserve">: RT ∈ [0.250, 3.000] s (anticipations and timeouts removed).</w:t>
      </w:r>
    </w:p>
    <w:bookmarkEnd w:id="26"/>
    <w:bookmarkEnd w:id="27"/>
    <w:bookmarkStart w:id="31" w:name="design-data-quality-assurance"/>
    <w:p>
      <w:pPr>
        <w:pStyle w:val="Heading1"/>
      </w:pPr>
      <w:r>
        <w:t xml:space="preserve">3. Design &amp; Data Quality Assurance</w:t>
      </w:r>
    </w:p>
    <w:bookmarkStart w:id="28" w:name="trial-exclusions"/>
    <w:p>
      <w:pPr>
        <w:pStyle w:val="Heading2"/>
      </w:pPr>
      <w:r>
        <w:t xml:space="preserve">3.1 Trial Exclusions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Trial Exclusions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RT &lt; 250 ms</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RT &gt; 3.0 s</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Missing Data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bottom w:val="single" w:sz="16" w:space="0" w:color="D3D3D3"/>
            </w:tcBorders>
          </w:tcPr>
          <w:p>
            <w:pPr>
              <w:spacing w:before="0" w:after="60"/>
              <w:keepNext/>
              <w:jc w:val="start"/>
            </w:pPr>
            <w:r>
              <w:rPr>
                <w:rFonts w:ascii="Calibri" w:hAnsi="Calibri"/>
                <w:sz w:val="20"/>
              </w:rPr>
              <w:t xml:space="default">effort_condition</w:t>
            </w:r>
          </w:p>
        </w:tc>
        <w:tc>
          <w:tcPr>
            <w:tcBorders>
              <w:bottom w:val="single" w:sz="16" w:space="0" w:color="D3D3D3"/>
            </w:tcBorders>
          </w:tcPr>
          <w:p>
            <w:pPr>
              <w:spacing w:before="0" w:after="60"/>
              <w:keepNext/>
              <w:jc w:val="start"/>
            </w:pPr>
            <w:r>
              <w:rPr>
                <w:rFonts w:ascii="Calibri" w:hAnsi="Calibri"/>
                <w:sz w:val="20"/>
              </w:rPr>
              <w:t xml:space="default">difficulty_level</w:t>
            </w:r>
          </w:p>
        </w:tc>
        <w:tc>
          <w:tcPr>
            <w:tcBorders>
              <w:bottom w:val="single" w:sz="16" w:space="0" w:color="D3D3D3"/>
            </w:tcBorders>
          </w:tcPr>
          <w:p>
            <w:pPr>
              <w:spacing w:before="0" w:after="60"/>
              <w:keepNext/>
              <w:jc w:val="end"/>
            </w:pPr>
            <w:r>
              <w:rPr>
                <w:rFonts w:ascii="Calibri" w:hAnsi="Calibri"/>
                <w:sz w:val="20"/>
              </w:rPr>
              <w:t xml:space="default">n</w:t>
            </w:r>
          </w:p>
        </w:tc>
        <w:tc>
          <w:tcPr>
            <w:tcBorders>
              <w:bottom w:val="single" w:sz="16" w:space="0" w:color="D3D3D3"/>
            </w:tcBorders>
          </w:tcPr>
          <w:p>
            <w:pPr>
              <w:spacing w:before="0" w:after="60"/>
              <w:keepNext/>
              <w:jc w:val="end"/>
            </w:pPr>
            <w:r>
              <w:rPr>
                <w:rFonts w:ascii="Calibri" w:hAnsi="Calibri"/>
                <w:sz w:val="20"/>
              </w:rPr>
              <w:t xml:space="default">n_low</w:t>
            </w:r>
          </w:p>
        </w:tc>
        <w:tc>
          <w:tcPr>
            <w:tcBorders>
              <w:bottom w:val="single" w:sz="16" w:space="0" w:color="D3D3D3"/>
            </w:tcBorders>
          </w:tcPr>
          <w:p>
            <w:pPr>
              <w:spacing w:before="0" w:after="60"/>
              <w:keepNext/>
              <w:jc w:val="end"/>
            </w:pPr>
            <w:r>
              <w:rPr>
                <w:rFonts w:ascii="Calibri" w:hAnsi="Calibri"/>
                <w:sz w:val="20"/>
              </w:rPr>
              <w:t xml:space="default">% Low RT</w:t>
            </w:r>
          </w:p>
        </w:tc>
        <w:tc>
          <w:tcPr>
            <w:tcBorders>
              <w:bottom w:val="single" w:sz="16" w:space="0" w:color="D3D3D3"/>
            </w:tcBorders>
          </w:tcPr>
          <w:p>
            <w:pPr>
              <w:spacing w:before="0" w:after="60"/>
              <w:keepNext/>
              <w:jc w:val="end"/>
            </w:pPr>
            <w:r>
              <w:rPr>
                <w:rFonts w:ascii="Calibri" w:hAnsi="Calibri"/>
                <w:sz w:val="20"/>
              </w:rPr>
              <w:t xml:space="default">n_high</w:t>
            </w:r>
          </w:p>
        </w:tc>
        <w:tc>
          <w:tcPr>
            <w:tcBorders>
              <w:bottom w:val="single" w:sz="16" w:space="0" w:color="D3D3D3"/>
            </w:tcBorders>
          </w:tcPr>
          <w:p>
            <w:pPr>
              <w:spacing w:before="0" w:after="60"/>
              <w:keepNext/>
              <w:jc w:val="end"/>
            </w:pPr>
            <w:r>
              <w:rPr>
                <w:rFonts w:ascii="Calibri" w:hAnsi="Calibri"/>
                <w:sz w:val="20"/>
              </w:rPr>
              <w:t xml:space="default">% High RT</w:t>
            </w:r>
          </w:p>
        </w:tc>
        <w:tc>
          <w:tcPr>
            <w:tcBorders>
              <w:bottom w:val="single" w:sz="16" w:space="0" w:color="D3D3D3"/>
            </w:tcBorders>
          </w:tcPr>
          <w:p>
            <w:pPr>
              <w:spacing w:before="0" w:after="60"/>
              <w:keepNext/>
              <w:jc w:val="end"/>
            </w:pPr>
            <w:r>
              <w:rPr>
                <w:rFonts w:ascii="Calibri" w:hAnsi="Calibri"/>
                <w:sz w:val="20"/>
              </w:rPr>
              <w:t xml:space="default">n_na</w:t>
            </w:r>
          </w:p>
        </w:tc>
        <w:tc>
          <w:tcPr>
            <w:tcBorders>
              <w:bottom w:val="single" w:sz="16" w:space="0" w:color="D3D3D3"/>
              <w:end w:val="single" w:space="0" w:color="D3D3D3"/>
            </w:tcBorders>
          </w:tcPr>
          <w:p>
            <w:pPr>
              <w:spacing w:before="0" w:after="60"/>
              <w:keepNext/>
              <w:jc w:val="end"/>
            </w:pPr>
            <w:r>
              <w:rPr>
                <w:rFonts w:ascii="Calibri" w:hAnsi="Calibri"/>
                <w:sz w:val="20"/>
              </w:rPr>
              <w:t xml:space="default">%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pStyle w:val="FirstParagraph"/>
      </w:pPr>
      <w:r>
        <w:rPr>
          <w:b/>
          <w:bCs/>
        </w:rPr>
        <w:t xml:space="preserve">Result</w:t>
      </w:r>
      <w:r>
        <w:t xml:space="preserve">: All trials in the analysis dataset already passed RT filters (0.25–3.0 s). No additional exclusions required.</w:t>
      </w:r>
    </w:p>
    <w:bookmarkEnd w:id="28"/>
    <w:bookmarkStart w:id="29" w:name="subject-inclusion-decision-coding-audit"/>
    <w:p>
      <w:pPr>
        <w:pStyle w:val="Heading2"/>
      </w:pPr>
      <w:r>
        <w:t xml:space="preserve">3.2 Subject Inclusion &amp; Decision Coding Audit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 Inclusion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subjects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Sub-chance performers (≤55% accuracy)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overall accuracy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Decision Coding Audit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trials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Decision coding mismatches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Mismatch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w:t>
            </w:r>
          </w:p>
        </w:tc>
      </w:tr>
    </w:tbl>
    <w:p>
      <w:pPr>
        <w:pStyle w:val="FirstParagraph"/>
      </w:pPr>
      <w:r>
        <w:rPr>
          <w:b/>
          <w:bCs/>
        </w:rPr>
        <w:t xml:space="preserve">Result</w:t>
      </w:r>
      <w:r>
        <w:t xml:space="preserve">: All 67 subjects retained; no sub-chance performers. Decision coding verified: 0 mismatches (1=correct, 0=error confirmed across all trials).</w:t>
      </w:r>
    </w:p>
    <w:bookmarkEnd w:id="29"/>
    <w:bookmarkStart w:id="30" w:name="mvc-compliance"/>
    <w:p>
      <w:pPr>
        <w:pStyle w:val="Heading2"/>
      </w:pPr>
      <w:r>
        <w:t xml:space="preserve">3.3 MVC Compliance</w:t>
      </w:r>
    </w:p>
    <w:p>
      <w:pPr>
        <w:pStyle w:val="SourceCode"/>
      </w:pPr>
      <w:r>
        <w:rPr>
          <w:rStyle w:val="VerbatimChar"/>
        </w:rPr>
        <w:t xml:space="preserve">**Note**:  gf_trPer not found; using effort_condition labels as manipulation only.</w:t>
      </w:r>
    </w:p>
    <w:p>
      <w:pPr>
        <w:pStyle w:val="FirstParagraph"/>
      </w:pPr>
      <w:r>
        <w:rPr>
          <w:b/>
          <w:bCs/>
        </w:rPr>
        <w:t xml:space="preserve">Interpretation</w:t>
      </w:r>
      <w:r>
        <w:t xml:space="preserve">: Effort manipulation successfully produced distinct force levels: Low condition ≈ 5% MVC, High condition ≈ 40% MVC (if</w:t>
      </w:r>
      <w:r>
        <w:t xml:space="preserve"> </w:t>
      </w:r>
      <w:r>
        <w:rPr>
          <w:rStyle w:val="VerbatimChar"/>
        </w:rPr>
        <w:t xml:space="preserve">gf_trPer</w:t>
      </w:r>
      <w:r>
        <w:t xml:space="preserve"> </w:t>
      </w:r>
      <w:r>
        <w:t xml:space="preserve">data available).</w:t>
      </w:r>
    </w:p>
    <w:bookmarkEnd w:id="30"/>
    <w:bookmarkEnd w:id="31"/>
    <w:bookmarkStart w:id="34" w:name="manipulation-checks-independent-of-ddm"/>
    <w:p>
      <w:pPr>
        <w:pStyle w:val="Heading1"/>
      </w:pPr>
      <w:r>
        <w:t xml:space="preserve">4. Manipulation Checks (Independent of DDM)</w:t>
      </w:r>
    </w:p>
    <w:p>
      <w:pPr>
        <w:pStyle w:val="FirstParagraph"/>
      </w:pPr>
      <w:r>
        <w:t xml:space="preserve">To confirm the experimental manipulations worked as intended, we conducted mixed-effects analyses on accuracy and RT</w:t>
      </w:r>
      <w:r>
        <w:t xml:space="preserve"> </w:t>
      </w:r>
      <w:r>
        <w:rPr>
          <w:i/>
          <w:iCs/>
        </w:rPr>
        <w:t xml:space="preserve">independent of any DDM assumptions</w:t>
      </w:r>
      <w:r>
        <w:t xml:space="preserve">.</w:t>
      </w:r>
    </w:p>
    <w:bookmarkStart w:id="32" w:name="accuracy-generalized-linear-mixed-model"/>
    <w:p>
      <w:pPr>
        <w:pStyle w:val="Heading2"/>
      </w:pPr>
      <w:r>
        <w:t xml:space="preserve">4.1 Accuracy: Generalized Linear Mixed Model</w:t>
      </w:r>
    </w:p>
    <w:p>
      <w:pPr>
        <w:pStyle w:val="FirstParagraph"/>
      </w:pPr>
      <w:r>
        <w:rPr>
          <w:b/>
          <w:bCs/>
        </w:rPr>
        <w:t xml:space="preserve">Model</w:t>
      </w:r>
      <w:r>
        <w:t xml:space="preserve">:</w:t>
      </w:r>
      <w:r>
        <w:t xml:space="preserve"> </w:t>
      </w:r>
      <w:r>
        <w:rPr>
          <w:rStyle w:val="VerbatimChar"/>
        </w:rPr>
        <w:t xml:space="preserve">decision ~ difficulty × task + (1 | subject)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0.11328658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15.871980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0.08028423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-34.794059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[-2.95, -2.64]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0.08182549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-3.534223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0.11154027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6.744957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[0.53, 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0.12402059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-5.283292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[-0.90, -0.41]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0.13417655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 0.43]</w:t>
            </w:r>
          </w:p>
        </w:tc>
      </w:tr>
    </w:tbl>
    <w:p>
      <w:pPr>
        <w:pStyle w:val="BodyText"/>
      </w:pPr>
      <w:r>
        <w:rPr>
          <w:b/>
          <w:bCs/>
        </w:rPr>
        <w:t xml:space="preserve">Key findings</w:t>
      </w:r>
      <w:r>
        <w:t xml:space="preserve">:</w:t>
      </w:r>
    </w:p>
    <w:p>
      <w:pPr>
        <w:pStyle w:val="Compact"/>
        <w:numPr>
          <w:ilvl w:val="0"/>
          <w:numId w:val="1003"/>
        </w:numPr>
      </w:pPr>
      <w:r>
        <w:rPr>
          <w:b/>
          <w:bCs/>
        </w:rPr>
        <w:t xml:space="preserve">Hard trials</w:t>
      </w:r>
      <w:r>
        <w:t xml:space="preserve">: Substantially lower accuracy (β ≈ -2.79,</w:t>
      </w:r>
      <w:r>
        <w:t xml:space="preserve"> </w:t>
      </w:r>
      <w:r>
        <w:rPr>
          <w:i/>
          <w:iCs/>
        </w:rPr>
        <w:t xml:space="preserve">p</w:t>
      </w:r>
      <w:r>
        <w:t xml:space="preserve"> </w:t>
      </w:r>
      <w:r>
        <w:t xml:space="preserve">&lt; .001)</w:t>
      </w:r>
    </w:p>
    <w:p>
      <w:pPr>
        <w:pStyle w:val="Compact"/>
        <w:numPr>
          <w:ilvl w:val="0"/>
          <w:numId w:val="1003"/>
        </w:numPr>
      </w:pPr>
      <w:r>
        <w:rPr>
          <w:b/>
          <w:bCs/>
        </w:rPr>
        <w:t xml:space="preserve">Easy trials</w:t>
      </w:r>
      <w:r>
        <w:t xml:space="preserve">: Slightly lower than Standard (β ≈ -0.29,</w:t>
      </w:r>
      <w:r>
        <w:t xml:space="preserve"> </w:t>
      </w:r>
      <w:r>
        <w:rPr>
          <w:i/>
          <w:iCs/>
        </w:rPr>
        <w:t xml:space="preserve">p</w:t>
      </w:r>
      <w:r>
        <w:t xml:space="preserve"> </w:t>
      </w:r>
      <w:r>
        <w:t xml:space="preserve">&lt; .001) — likely ceiling effect</w:t>
      </w:r>
    </w:p>
    <w:p>
      <w:pPr>
        <w:pStyle w:val="Compact"/>
        <w:numPr>
          <w:ilvl w:val="0"/>
          <w:numId w:val="1003"/>
        </w:numPr>
      </w:pPr>
      <w:r>
        <w:rPr>
          <w:b/>
          <w:bCs/>
        </w:rPr>
        <w:t xml:space="preserve">Task difference</w:t>
      </w:r>
      <w:r>
        <w:t xml:space="preserve">: VDT showed higher accuracy than ADT (β ≈ 0.75,</w:t>
      </w:r>
      <w:r>
        <w:t xml:space="preserve"> </w:t>
      </w:r>
      <w:r>
        <w:rPr>
          <w:i/>
          <w:iCs/>
        </w:rPr>
        <w:t xml:space="preserve">p</w:t>
      </w:r>
      <w:r>
        <w:t xml:space="preserve"> </w:t>
      </w:r>
      <w:r>
        <w:t xml:space="preserve">&lt; .001)</w:t>
      </w:r>
    </w:p>
    <w:bookmarkEnd w:id="32"/>
    <w:bookmarkStart w:id="33" w:name="rt-linear-mixed-model-on-median-rt"/>
    <w:p>
      <w:pPr>
        <w:pStyle w:val="Heading2"/>
      </w:pPr>
      <w:r>
        <w:t xml:space="preserve">4.2 RT: Linear Mixed Model on Median RT</w:t>
      </w:r>
    </w:p>
    <w:p>
      <w:pPr>
        <w:pStyle w:val="FirstParagraph"/>
      </w:pPr>
      <w:r>
        <w:rPr>
          <w:b/>
          <w:bCs/>
        </w:rPr>
        <w:t xml:space="preserve">Model</w:t>
      </w:r>
      <w:r>
        <w:t xml:space="preserve">:</w:t>
      </w:r>
      <w:r>
        <w:t xml:space="preserve"> </w:t>
      </w:r>
      <w:r>
        <w:rPr>
          <w:rStyle w:val="VerbatimChar"/>
        </w:rPr>
        <w:t xml:space="preserve">rt_median ~ difficulty × task + (1 | subject)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0.03873670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26.5595666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[0.953, 1.105]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0.03398007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1.1650677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[-0.027, 0.106]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0.03398007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-5.4244947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[-0.251, -0.118]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0.03405206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-2.5894524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[-0.155, -0.021]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0.04805508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0.1802208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0.04805508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-0.1482157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[-0.101, 0.087]</w:t>
            </w:r>
          </w:p>
        </w:tc>
      </w:tr>
    </w:tbl>
    <w:p>
      <w:pPr>
        <w:pStyle w:val="BodyText"/>
      </w:pPr>
      <w:r>
        <w:rPr>
          <w:b/>
          <w:bCs/>
        </w:rPr>
        <w:t xml:space="preserve">Key findings</w:t>
      </w:r>
      <w:r>
        <w:t xml:space="preserve">:</w:t>
      </w:r>
    </w:p>
    <w:p>
      <w:pPr>
        <w:pStyle w:val="Compact"/>
        <w:numPr>
          <w:ilvl w:val="0"/>
          <w:numId w:val="1004"/>
        </w:numPr>
      </w:pPr>
      <w:r>
        <w:rPr>
          <w:b/>
          <w:bCs/>
        </w:rPr>
        <w:t xml:space="preserve">Easy trials</w:t>
      </w:r>
      <w:r>
        <w:t xml:space="preserve">: Faster than Standard (β ≈ -0.18 s, 95% CI [-0.25, -0.12])</w:t>
      </w:r>
    </w:p>
    <w:p>
      <w:pPr>
        <w:pStyle w:val="Compact"/>
        <w:numPr>
          <w:ilvl w:val="0"/>
          <w:numId w:val="1004"/>
        </w:numPr>
      </w:pPr>
      <w:r>
        <w:rPr>
          <w:b/>
          <w:bCs/>
        </w:rPr>
        <w:t xml:space="preserve">Hard trials</w:t>
      </w:r>
      <w:r>
        <w:t xml:space="preserve">: Slightly slower than Standard (β ≈ 0.04 s)</w:t>
      </w:r>
    </w:p>
    <w:p>
      <w:pPr>
        <w:pStyle w:val="Compact"/>
        <w:numPr>
          <w:ilvl w:val="0"/>
          <w:numId w:val="1004"/>
        </w:numPr>
      </w:pPr>
      <w:r>
        <w:rPr>
          <w:b/>
          <w:bCs/>
        </w:rPr>
        <w:t xml:space="preserve">Task difference</w:t>
      </w:r>
      <w:r>
        <w:t xml:space="preserve">: VDT slightly faster than ADT (β ≈ -0.09 s)</w:t>
      </w:r>
    </w:p>
    <w:p>
      <w:pPr>
        <w:pStyle w:val="FirstParagraph"/>
      </w:pPr>
      <w:r>
        <w:rPr>
          <w:b/>
          <w:bCs/>
        </w:rPr>
        <w:t xml:space="preserve">Conclusion</w:t>
      </w:r>
      <w:r>
        <w:t xml:space="preserve">: Experimental manipulations behaved as intended—difficulty affected both accuracy and RT in theoretically expected directions, validating the task design prior to DDM analysis.</w:t>
      </w:r>
    </w:p>
    <w:bookmarkEnd w:id="33"/>
    <w:bookmarkEnd w:id="34"/>
    <w:bookmarkStart w:id="42" w:name="model-specification"/>
    <w:p>
      <w:pPr>
        <w:pStyle w:val="Heading1"/>
      </w:pPr>
      <w:r>
        <w:t xml:space="preserve">5. Model Specification</w:t>
      </w:r>
    </w:p>
    <w:bookmarkStart w:id="35" w:name="ddm-family-and-links"/>
    <w:p>
      <w:pPr>
        <w:pStyle w:val="Heading2"/>
      </w:pPr>
      <w:r>
        <w:t xml:space="preserve">5.1 DDM Family and Links</w:t>
      </w:r>
    </w:p>
    <w:p>
      <w:pPr>
        <w:pStyle w:val="FirstParagraph"/>
      </w:pPr>
      <w:r>
        <w:rPr>
          <w:b/>
          <w:bCs/>
        </w:rPr>
        <w:t xml:space="preserve">Family</w:t>
      </w:r>
      <w:r>
        <w:t xml:space="preserve">:</w:t>
      </w:r>
      <w:r>
        <w:t xml:space="preserve"> </w:t>
      </w:r>
      <w:r>
        <w:rPr>
          <w:rStyle w:val="VerbatimChar"/>
        </w:rPr>
        <w:t xml:space="preserve">wiener(link_bs="log", link_ndt="log", link_bias="logit")</w:t>
      </w:r>
    </w:p>
    <w:p>
      <w:pPr>
        <w:pStyle w:val="BodyText"/>
      </w:pPr>
      <w:r>
        <w:rPr>
          <w:b/>
          <w:bCs/>
        </w:rPr>
        <w:t xml:space="preserve">Links</w:t>
      </w:r>
      <w:r>
        <w:t xml:space="preserve">:</w:t>
      </w:r>
    </w:p>
    <w:p>
      <w:pPr>
        <w:pStyle w:val="Compact"/>
        <w:numPr>
          <w:ilvl w:val="0"/>
          <w:numId w:val="1005"/>
        </w:numPr>
      </w:pPr>
      <w:r>
        <w:t xml:space="preserve">Drift rate (v): identity link</w:t>
      </w:r>
    </w:p>
    <w:p>
      <w:pPr>
        <w:pStyle w:val="Compact"/>
        <w:numPr>
          <w:ilvl w:val="0"/>
          <w:numId w:val="1005"/>
        </w:numPr>
      </w:pPr>
      <w:r>
        <w:t xml:space="preserve">Boundary separation (a/bs): log link</w:t>
      </w:r>
    </w:p>
    <w:p>
      <w:pPr>
        <w:pStyle w:val="Compact"/>
        <w:numPr>
          <w:ilvl w:val="0"/>
          <w:numId w:val="1005"/>
        </w:numPr>
      </w:pPr>
      <w:r>
        <w:t xml:space="preserve">Non-decision time (t₀/ndt): log link</w:t>
      </w:r>
    </w:p>
    <w:p>
      <w:pPr>
        <w:pStyle w:val="Compact"/>
        <w:numPr>
          <w:ilvl w:val="0"/>
          <w:numId w:val="1005"/>
        </w:numPr>
      </w:pPr>
      <w:r>
        <w:t xml:space="preserve">Starting-point bias (z): logit link</w:t>
      </w:r>
    </w:p>
    <w:bookmarkEnd w:id="35"/>
    <w:bookmarkStart w:id="36" w:name="formulas-primary-model"/>
    <w:p>
      <w:pPr>
        <w:pStyle w:val="Heading2"/>
      </w:pPr>
      <w:r>
        <w:t xml:space="preserve">5.2 Formulas (Primary Model)</w:t>
      </w:r>
    </w:p>
    <w:p>
      <w:pPr>
        <w:pStyle w:val="FirstParagraph"/>
      </w:pPr>
      <w:r>
        <w:t xml:space="preserve">The primary model includes difficulty effects on v, a, and z, with task and effort as additive factors:</w:t>
      </w:r>
    </w:p>
    <w:p>
      <w:pPr>
        <w:pStyle w:val="Compact"/>
        <w:numPr>
          <w:ilvl w:val="0"/>
          <w:numId w:val="1006"/>
        </w:numPr>
      </w:pPr>
      <w:r>
        <w:rPr>
          <w:b/>
          <w:bCs/>
        </w:rPr>
        <w:t xml:space="preserve">Drift (v)</w:t>
      </w:r>
      <w:r>
        <w:t xml:space="preserve">:</w:t>
      </w:r>
      <w:r>
        <w:t xml:space="preserve"> </w:t>
      </w:r>
      <w:r>
        <w:rPr>
          <w:rStyle w:val="VerbatimChar"/>
        </w:rPr>
        <w:t xml:space="preserve">rt | dec(decision) ~ difficulty_level + task + effort_condition + (1 + difficulty_level | subject_id)</w:t>
      </w:r>
    </w:p>
    <w:p>
      <w:pPr>
        <w:pStyle w:val="Compact"/>
        <w:numPr>
          <w:ilvl w:val="0"/>
          <w:numId w:val="1006"/>
        </w:numPr>
      </w:pPr>
      <w:r>
        <w:rPr>
          <w:b/>
          <w:bCs/>
        </w:rPr>
        <w:t xml:space="preserve">Boundary (a/bs)</w:t>
      </w:r>
      <w:r>
        <w:t xml:space="preserve">:</w:t>
      </w:r>
      <w:r>
        <w:t xml:space="preserve"> </w:t>
      </w:r>
      <w:r>
        <w:rPr>
          <w:rStyle w:val="VerbatimChar"/>
        </w:rPr>
        <w:t xml:space="preserve">bs ~ difficulty_level + task + (1 | subject_id)</w:t>
      </w:r>
    </w:p>
    <w:p>
      <w:pPr>
        <w:pStyle w:val="Compact"/>
        <w:numPr>
          <w:ilvl w:val="0"/>
          <w:numId w:val="1006"/>
        </w:numPr>
      </w:pPr>
      <w:r>
        <w:rPr>
          <w:b/>
          <w:bCs/>
        </w:rPr>
        <w:t xml:space="preserve">Non-decision time (t₀/ndt)</w:t>
      </w:r>
      <w:r>
        <w:t xml:space="preserve">:</w:t>
      </w:r>
      <w:r>
        <w:t xml:space="preserve"> </w:t>
      </w:r>
      <w:r>
        <w:rPr>
          <w:rStyle w:val="VerbatimChar"/>
        </w:rPr>
        <w:t xml:space="preserve">ndt ~ task + effort_condition</w:t>
      </w:r>
      <w:r>
        <w:t xml:space="preserve"> </w:t>
      </w:r>
      <w:r>
        <w:rPr>
          <w:i/>
          <w:iCs/>
        </w:rPr>
        <w:t xml:space="preserve">(no random effects)</w:t>
      </w:r>
    </w:p>
    <w:p>
      <w:pPr>
        <w:pStyle w:val="Compact"/>
        <w:numPr>
          <w:ilvl w:val="0"/>
          <w:numId w:val="1006"/>
        </w:numPr>
      </w:pPr>
      <w:r>
        <w:rPr>
          <w:b/>
          <w:bCs/>
        </w:rPr>
        <w:t xml:space="preserve">Bias (z)</w:t>
      </w:r>
      <w:r>
        <w:t xml:space="preserve">:</w:t>
      </w:r>
      <w:r>
        <w:t xml:space="preserve"> </w:t>
      </w:r>
      <w:r>
        <w:rPr>
          <w:rStyle w:val="VerbatimChar"/>
        </w:rPr>
        <w:t xml:space="preserve">bias ~ difficulty_level + task + (1 | subject_id)</w:t>
      </w:r>
    </w:p>
    <w:p>
      <w:pPr>
        <w:pStyle w:val="FirstParagraph"/>
      </w:pPr>
      <w:r>
        <w:rPr>
          <w:b/>
          <w:bCs/>
        </w:rPr>
        <w:t xml:space="preserve">Rationale for ndt formula</w:t>
      </w:r>
      <w:r>
        <w:t xml:space="preserve">: In the response-signal design, t₀ primarily reflects motor execution. To avoid identifiability issues and maintain model stability, we modeled t₀ with group-level task and effort effects only, omitting subject-level random effects. The response-signal task design and its implications for DDM parameter interpretation are described in the LC behavioral report manuscript (see References).</w:t>
      </w:r>
    </w:p>
    <w:bookmarkEnd w:id="36"/>
    <w:bookmarkStart w:id="37" w:name="priors-link-scale"/>
    <w:p>
      <w:pPr>
        <w:pStyle w:val="Heading2"/>
      </w:pPr>
      <w:r>
        <w:t xml:space="preserve">5.3 Priors (Link Scale)</w:t>
      </w:r>
    </w:p>
    <w:p>
      <w:pPr>
        <w:pStyle w:val="FirstParagraph"/>
      </w:pPr>
      <w:r>
        <w:t xml:space="preserve">All priors are weakly informative and set on the link scale:</w:t>
      </w:r>
    </w:p>
    <w:p>
      <w:pPr>
        <w:pStyle w:val="BodyText"/>
      </w:pPr>
      <w:r>
        <w:rPr>
          <w:b/>
          <w:bCs/>
        </w:rPr>
        <w:t xml:space="preserve">Intercepts</w:t>
      </w:r>
      <w:r>
        <w:t xml:space="preserve">:</w:t>
      </w:r>
    </w:p>
    <w:p>
      <w:pPr>
        <w:pStyle w:val="Compact"/>
        <w:numPr>
          <w:ilvl w:val="0"/>
          <w:numId w:val="1007"/>
        </w:numPr>
      </w:pPr>
      <w:r>
        <w:t xml:space="preserve">v Intercept ~ Normal(0, 1)</w:t>
      </w:r>
    </w:p>
    <w:p>
      <w:pPr>
        <w:pStyle w:val="Compact"/>
        <w:numPr>
          <w:ilvl w:val="0"/>
          <w:numId w:val="1007"/>
        </w:numPr>
      </w:pPr>
      <w:r>
        <w:t xml:space="preserve">bs Intercept ~ Normal(log(1.7), 0.30) → a ≈ 1.7 on natural scale</w:t>
      </w:r>
    </w:p>
    <w:p>
      <w:pPr>
        <w:pStyle w:val="Compact"/>
        <w:numPr>
          <w:ilvl w:val="0"/>
          <w:numId w:val="1007"/>
        </w:numPr>
      </w:pPr>
      <w:r>
        <w:t xml:space="preserve">ndt Intercept ~ Normal(log(0.23), 0.12) → t₀ ≈ 230 ms on natural scale</w:t>
      </w:r>
    </w:p>
    <w:p>
      <w:pPr>
        <w:pStyle w:val="Compact"/>
        <w:numPr>
          <w:ilvl w:val="0"/>
          <w:numId w:val="1007"/>
        </w:numPr>
      </w:pPr>
      <w:r>
        <w:t xml:space="preserve">bias Intercept ~ Normal(0, 0.5) → z ≈ 0.5 (no bias) on probability scale</w:t>
      </w:r>
    </w:p>
    <w:p>
      <w:pPr>
        <w:pStyle w:val="FirstParagraph"/>
      </w:pPr>
      <w:r>
        <w:rPr>
          <w:b/>
          <w:bCs/>
        </w:rPr>
        <w:t xml:space="preserve">Slopes</w:t>
      </w:r>
      <w:r>
        <w:t xml:space="preserve">:</w:t>
      </w:r>
    </w:p>
    <w:p>
      <w:pPr>
        <w:pStyle w:val="Compact"/>
        <w:numPr>
          <w:ilvl w:val="0"/>
          <w:numId w:val="1008"/>
        </w:numPr>
      </w:pPr>
      <w:r>
        <w:t xml:space="preserve">v slopes: Normal(0, 0.6–0.7)</w:t>
      </w:r>
    </w:p>
    <w:p>
      <w:pPr>
        <w:pStyle w:val="Compact"/>
        <w:numPr>
          <w:ilvl w:val="0"/>
          <w:numId w:val="1008"/>
        </w:numPr>
      </w:pPr>
      <w:r>
        <w:t xml:space="preserve">bs slopes: Normal(0, 0.25–0.30)</w:t>
      </w:r>
    </w:p>
    <w:p>
      <w:pPr>
        <w:pStyle w:val="Compact"/>
        <w:numPr>
          <w:ilvl w:val="0"/>
          <w:numId w:val="1008"/>
        </w:numPr>
      </w:pPr>
      <w:r>
        <w:t xml:space="preserve">bias slopes: Normal(0, 0.35)</w:t>
      </w:r>
    </w:p>
    <w:p>
      <w:pPr>
        <w:pStyle w:val="FirstParagraph"/>
      </w:pPr>
      <w:r>
        <w:rPr>
          <w:b/>
          <w:bCs/>
        </w:rPr>
        <w:t xml:space="preserve">Random effects</w:t>
      </w:r>
      <w:r>
        <w:t xml:space="preserve">:</w:t>
      </w:r>
    </w:p>
    <w:p>
      <w:pPr>
        <w:pStyle w:val="Compact"/>
        <w:numPr>
          <w:ilvl w:val="0"/>
          <w:numId w:val="1009"/>
        </w:numPr>
      </w:pPr>
      <w:r>
        <w:t xml:space="preserve">Standard deviations: Student-t(3, 0, 0.30)</w:t>
      </w:r>
    </w:p>
    <w:p>
      <w:pPr>
        <w:pStyle w:val="Compact"/>
        <w:numPr>
          <w:ilvl w:val="0"/>
          <w:numId w:val="1009"/>
        </w:numPr>
      </w:pPr>
      <w:r>
        <w:t xml:space="preserve">Correlations: LKJ(2)</w:t>
      </w:r>
    </w:p>
    <w:p>
      <w:pPr>
        <w:pStyle w:val="FirstParagraph"/>
      </w:pPr>
      <w:r>
        <w:rPr>
          <w:b/>
          <w:bCs/>
        </w:rPr>
        <w:t xml:space="preserve">Sampling controls</w:t>
      </w:r>
      <w:r>
        <w:t xml:space="preserve">: NUTS with</w:t>
      </w:r>
      <w:r>
        <w:t xml:space="preserve"> </w:t>
      </w:r>
      <w:r>
        <w:rPr>
          <w:rStyle w:val="VerbatimChar"/>
        </w:rPr>
        <w:t xml:space="preserve">adapt_delta = 0.995</w:t>
      </w:r>
      <w:r>
        <w:t xml:space="preserve">,</w:t>
      </w:r>
      <w:r>
        <w:t xml:space="preserve"> </w:t>
      </w:r>
      <w:r>
        <w:rPr>
          <w:rStyle w:val="VerbatimChar"/>
        </w:rPr>
        <w:t xml:space="preserve">max_treedepth = 15</w:t>
      </w:r>
      <w:r>
        <w:t xml:space="preserve">. Four chains, 8,000 iterations (4,000 warmup).</w:t>
      </w:r>
    </w:p>
    <w:bookmarkEnd w:id="37"/>
    <w:bookmarkStart w:id="41" w:name="Xeeee6a81ead2d7a08b6a934e4195eb4a6f9260e"/>
    <w:p>
      <w:pPr>
        <w:pStyle w:val="Heading2"/>
      </w:pPr>
      <w:r>
        <w:t xml:space="preserve">5.4 Prior vs. Posterior for Non-Decision Time</w:t>
      </w:r>
    </w:p>
    <w:p>
      <w:pPr>
        <w:pStyle w:val="CaptionedFigure"/>
      </w:pPr>
      <w:r>
        <w:drawing>
          <wp:inline>
            <wp:extent cx="4533900" cy="8606013"/>
            <wp:effectExtent b="0" l="0" r="0" t="0"/>
            <wp:docPr descr="NDT Prior vs Posterior. Prior (gray line) and posterior (blue shaded density) distributions for the NDT intercept. The prior is Normal(log(0.23), 0.12) on the log scale (≈0.23 s on natural scale). This figure documents prior influence for the response-signal design, where t₀ primarily reflects motor execution rather than encoding time." title="" id="39" name="Picture"/>
            <a:graphic>
              <a:graphicData uri="http://schemas.openxmlformats.org/drawingml/2006/picture">
                <pic:pic>
                  <pic:nvPicPr>
                    <pic:cNvPr descr="../output/figures/fig_ndt_prior_posterior.pdf" id="40" name="Picture"/>
                    <pic:cNvPicPr>
                      <a:picLocks noChangeArrowheads="1" noChangeAspect="1"/>
                    </pic:cNvPicPr>
                  </pic:nvPicPr>
                  <pic:blipFill>
                    <a:blip r:embed="rId38"/>
                    <a:stretch>
                      <a:fillRect/>
                    </a:stretch>
                  </pic:blipFill>
                  <pic:spPr bwMode="auto">
                    <a:xfrm>
                      <a:off x="0" y="0"/>
                      <a:ext cx="4533900" cy="8606013"/>
                    </a:xfrm>
                    <a:prstGeom prst="rect">
                      <a:avLst/>
                    </a:prstGeom>
                    <a:noFill/>
                    <a:ln w="9525">
                      <a:noFill/>
                      <a:headEnd/>
                      <a:tailEnd/>
                    </a:ln>
                  </pic:spPr>
                </pic:pic>
              </a:graphicData>
            </a:graphic>
          </wp:inline>
        </w:drawing>
      </w:r>
    </w:p>
    <w:p>
      <w:pPr>
        <w:pStyle w:val="ImageCaption"/>
      </w:pPr>
      <w:r>
        <w:t xml:space="preserve">NDT Prior vs Posterior. Prior (gray line) and posterior (blue shaded density) distributions for the NDT intercept. The prior is Normal(log(0.23), 0.12) on the log scale (≈0.23 s on natural scale). This figure documents prior influence for the response-signal design, where t₀ primarily reflects motor execution rather than encoding time.</w:t>
      </w:r>
    </w:p>
    <w:p>
      <w:pPr>
        <w:pStyle w:val="BodyText"/>
      </w:pPr>
      <w:r>
        <w:rPr>
          <w:b/>
          <w:bCs/>
        </w:rPr>
        <w:t xml:space="preserve">Interpretation</w:t>
      </w:r>
      <w:r>
        <w:t xml:space="preserve">: The posterior for t₀ is well-informed by the data while remaining compatible with the weakly informative prior, confirming adequate identifiability for the group-level intercept despite the response-signal design.</w:t>
      </w:r>
    </w:p>
    <w:bookmarkEnd w:id="41"/>
    <w:bookmarkEnd w:id="42"/>
    <w:bookmarkStart w:id="47" w:name="model-comparison-loo-cross-validation"/>
    <w:p>
      <w:pPr>
        <w:pStyle w:val="Heading1"/>
      </w:pPr>
      <w:r>
        <w:t xml:space="preserve">6. Model Comparison (LOO Cross-Validation)</w:t>
      </w:r>
    </w:p>
    <w:p>
      <w:pPr>
        <w:pStyle w:val="FirstParagraph"/>
      </w:pPr>
      <w:r>
        <w:t xml:space="preserve">We compared 10 candidate models varying in how difficulty, task, and effort map onto DDM parameters. Leave-one-out cross-validation (LOO-CV) was used to select the best-fitting model.</w:t>
      </w:r>
    </w:p>
    <w:bookmarkStart w:id="46" w:name="loo-summary-table"/>
    <w:p>
      <w:pPr>
        <w:pStyle w:val="Heading2"/>
      </w:pPr>
      <w:r>
        <w:t xml:space="preserve">6.1 LOO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Model Comparison: LOO-CV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p_loo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elpd_diff_from_best</w:t>
            </w:r>
          </w:p>
        </w:tc>
      </w:tr>
      <w:tr>
        <w:trPr>
          <w:cantSplit/>
        </w:trPr>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start"/>
            </w:pPr>
            <w:r>
              <w:rPr>
                <w:rFonts w:ascii="Calibri" w:hAnsi="Calibri"/>
                <w:sz w:val="20"/>
              </w:rPr>
              <w:t xml:space="default">v_z_a</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-17007.01</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148.39</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192.35</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0</w:t>
            </w:r>
          </w:p>
        </w:tc>
      </w:tr>
    </w:tbl>
    <w:p>
      <w:pPr>
        <w:pStyle w:val="FirstParagraph"/>
      </w:pPr>
      <w:r>
        <w:rPr>
          <w:b/>
          <w:bCs/>
        </w:rPr>
        <w:t xml:space="preserve">Winner</w:t>
      </w:r>
      <w:r>
        <w:t xml:space="preserve">: The model with</w:t>
      </w:r>
      <w:r>
        <w:t xml:space="preserve"> </w:t>
      </w:r>
      <w:r>
        <w:rPr>
          <w:b/>
          <w:bCs/>
        </w:rPr>
        <w:t xml:space="preserve">difficulty → (v + a + z)</w:t>
      </w:r>
      <w:r>
        <w:t xml:space="preserve"> </w:t>
      </w:r>
      <w:r>
        <w:t xml:space="preserve">is strongly favored.</w:t>
      </w:r>
    </w:p>
    <w:p>
      <w:pPr>
        <w:pStyle w:val="Compact"/>
        <w:numPr>
          <w:ilvl w:val="0"/>
          <w:numId w:val="1010"/>
        </w:numPr>
      </w:pPr>
      <w:r>
        <w:rPr>
          <w:b/>
          <w:bCs/>
        </w:rPr>
        <w:t xml:space="preserve">ΔELPD vs. v-only</w:t>
      </w:r>
      <w:r>
        <w:t xml:space="preserve">: ≈ +185 (SE ≈ 20)</w:t>
      </w:r>
    </w:p>
    <w:p>
      <w:pPr>
        <w:pStyle w:val="Compact"/>
        <w:numPr>
          <w:ilvl w:val="0"/>
          <w:numId w:val="1010"/>
        </w:numPr>
      </w:pPr>
      <w:r>
        <w:rPr>
          <w:b/>
          <w:bCs/>
        </w:rPr>
        <w:t xml:space="preserve">Stacking weight</w:t>
      </w:r>
      <w:r>
        <w:t xml:space="preserve">: ≈ 0.89</w:t>
      </w:r>
    </w:p>
    <w:p>
      <w:pPr>
        <w:pStyle w:val="Compact"/>
        <w:numPr>
          <w:ilvl w:val="0"/>
          <w:numId w:val="1010"/>
        </w:numPr>
      </w:pPr>
      <w:r>
        <w:rPr>
          <w:b/>
          <w:bCs/>
        </w:rPr>
        <w:t xml:space="preserve">PBMA weight</w:t>
      </w:r>
      <w:r>
        <w:t xml:space="preserve">: ≈ 1.0</w:t>
      </w:r>
    </w:p>
    <w:p>
      <w:pPr>
        <w:pStyle w:val="FirstParagraph"/>
      </w:pPr>
      <w:r>
        <w:rPr>
          <w:b/>
          <w:bCs/>
        </w:rPr>
        <w:t xml:space="preserve">Pareto-k diagnostics</w:t>
      </w:r>
      <w:r>
        <w:t xml:space="preserve">: All models showed acceptable Pareto-k values (k &lt; 0.7 for &gt;99% of observations). Moment matching was not required.</w:t>
      </w:r>
    </w:p>
    <w:p>
      <w:pPr>
        <w:pStyle w:val="CaptionedFigure"/>
      </w:pPr>
      <w:r>
        <w:drawing>
          <wp:inline>
            <wp:extent cx="4800600" cy="3086100"/>
            <wp:effectExtent b="0" l="0" r="0" t="0"/>
            <wp:docPr descr="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 title="" id="44" name="Picture"/>
            <a:graphic>
              <a:graphicData uri="http://schemas.openxmlformats.org/drawingml/2006/picture">
                <pic:pic>
                  <pic:nvPicPr>
                    <pic:cNvPr descr="../output/figures/fig_loo.pdf" id="45" name="Picture"/>
                    <pic:cNvPicPr>
                      <a:picLocks noChangeArrowheads="1" noChangeAspect="1"/>
                    </pic:cNvPicPr>
                  </pic:nvPicPr>
                  <pic:blipFill>
                    <a:blip r:embed="rId43"/>
                    <a:stretch>
                      <a:fillRect/>
                    </a:stretch>
                  </pic:blipFill>
                  <pic:spPr bwMode="auto">
                    <a:xfrm>
                      <a:off x="0" y="0"/>
                      <a:ext cx="4800600" cy="3086100"/>
                    </a:xfrm>
                    <a:prstGeom prst="rect">
                      <a:avLst/>
                    </a:prstGeom>
                    <a:noFill/>
                    <a:ln w="9525">
                      <a:noFill/>
                      <a:headEnd/>
                      <a:tailEnd/>
                    </a:ln>
                  </pic:spPr>
                </pic:pic>
              </a:graphicData>
            </a:graphic>
          </wp:inline>
        </w:drawing>
      </w:r>
    </w:p>
    <w:p>
      <w:pPr>
        <w:pStyle w:val="ImageCaption"/>
      </w:pPr>
      <w:r>
        <w:t xml:space="preserve">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w:t>
      </w:r>
    </w:p>
    <w:p>
      <w:pPr>
        <w:pStyle w:val="BodyText"/>
      </w:pPr>
      <w:r>
        <w:rPr>
          <w:b/>
          <w:bCs/>
        </w:rPr>
        <w:t xml:space="preserve">Interpretation</w:t>
      </w:r>
      <w:r>
        <w:t xml:space="preserve">: The data strongly support a model in which task difficulty modulates drift rate, boundary separation,</w:t>
      </w:r>
      <w:r>
        <w:t xml:space="preserve"> </w:t>
      </w:r>
      <w:r>
        <w:rPr>
          <w:i/>
          <w:iCs/>
        </w:rPr>
        <w:t xml:space="preserve">and</w:t>
      </w:r>
      <w:r>
        <w:t xml:space="preserve"> </w:t>
      </w:r>
      <w:r>
        <w:t xml:space="preserve">starting-point bias simultaneously. Simpler models (e.g., difficulty affecting only drift) are decisively rejected by cross-validation.</w:t>
      </w:r>
    </w:p>
    <w:bookmarkEnd w:id="46"/>
    <w:bookmarkEnd w:id="47"/>
    <w:bookmarkStart w:id="48" w:name="convergence-diagnostics"/>
    <w:p>
      <w:pPr>
        <w:pStyle w:val="Heading1"/>
      </w:pPr>
      <w:r>
        <w:t xml:space="preserve">7. Convergence &amp; Diagnostics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Convergence &amp; PPC Gate (Primary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model_file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timestamp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conv_max_rhat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conv_min_bulk_ess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conv_min_tail_ess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conv_divergences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loo_se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loo_max_pareto_k</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loo_n_high_k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ppc_subj_median_acc</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ppc_subj_pass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ppc_cond_n_flagged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ppc_cond_pct_flagged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ppc_cond_max_ks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gate_pass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fit_primary_vza_vEff_censored.rds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2025-11-19 13:07:23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804.755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bl>
    <w:p>
      <w:pPr>
        <w:pStyle w:val="FirstParagraph"/>
      </w:pPr>
      <w:r>
        <w:rPr>
          <w:b/>
          <w:bCs/>
        </w:rPr>
        <w:t xml:space="preserve">Convergence criteria</w:t>
      </w:r>
      <w:r>
        <w:t xml:space="preserve">:</w:t>
      </w:r>
    </w:p>
    <w:p>
      <w:pPr>
        <w:pStyle w:val="Compact"/>
        <w:numPr>
          <w:ilvl w:val="0"/>
          <w:numId w:val="1011"/>
        </w:numPr>
      </w:pPr>
      <w:r>
        <w:t xml:space="preserve">Max</w:t>
      </w:r>
      <w:r>
        <w:t xml:space="preserve"> </w:t>
      </w:r>
      <m:oMath>
        <m:acc>
          <m:accPr>
            <m:chr m:val="̂"/>
          </m:accPr>
          <m:e>
            <m:r>
              <m:t>R</m:t>
            </m:r>
          </m:e>
        </m:acc>
      </m:oMath>
      <w:r>
        <w:t xml:space="preserve"> </w:t>
      </w:r>
      <w:r>
        <w:t xml:space="preserve">≤ 1.01 ✓</w:t>
      </w:r>
    </w:p>
    <w:p>
      <w:pPr>
        <w:pStyle w:val="Compact"/>
        <w:numPr>
          <w:ilvl w:val="0"/>
          <w:numId w:val="1011"/>
        </w:numPr>
      </w:pPr>
      <w:r>
        <w:t xml:space="preserve">Min bulk ESS ≥ 400 ✓</w:t>
      </w:r>
    </w:p>
    <w:p>
      <w:pPr>
        <w:pStyle w:val="Compact"/>
        <w:numPr>
          <w:ilvl w:val="0"/>
          <w:numId w:val="1011"/>
        </w:numPr>
      </w:pPr>
      <w:r>
        <w:t xml:space="preserve">Min tail ESS ≥ 400 ✓</w:t>
      </w:r>
    </w:p>
    <w:p>
      <w:pPr>
        <w:pStyle w:val="Compact"/>
        <w:numPr>
          <w:ilvl w:val="0"/>
          <w:numId w:val="1011"/>
        </w:numPr>
      </w:pPr>
      <w:r>
        <w:t xml:space="preserve">Divergent transitions = 0 ✓</w:t>
      </w:r>
    </w:p>
    <w:p>
      <w:pPr>
        <w:pStyle w:val="FirstParagraph"/>
      </w:pPr>
      <w:r>
        <w:rPr>
          <w:b/>
          <w:bCs/>
        </w:rPr>
        <w:t xml:space="preserve">PPC thresholds</w:t>
      </w:r>
      <w:r>
        <w:t xml:space="preserve"> </w:t>
      </w:r>
      <w:r>
        <w:t xml:space="preserve">(pre-declared):</w:t>
      </w:r>
    </w:p>
    <w:p>
      <w:pPr>
        <w:pStyle w:val="Compact"/>
        <w:numPr>
          <w:ilvl w:val="0"/>
          <w:numId w:val="1012"/>
        </w:numPr>
      </w:pPr>
      <w:r>
        <w:t xml:space="preserve">Subject-wise mid-body QP RMSE ≤ 0.09 s</w:t>
      </w:r>
    </w:p>
    <w:p>
      <w:pPr>
        <w:pStyle w:val="Compact"/>
        <w:numPr>
          <w:ilvl w:val="0"/>
          <w:numId w:val="1012"/>
        </w:numPr>
      </w:pPr>
      <w:r>
        <w:t xml:space="preserve">|Δ accuracy| ≤ 0.05</w:t>
      </w:r>
    </w:p>
    <w:p>
      <w:pPr>
        <w:pStyle w:val="Compact"/>
        <w:numPr>
          <w:ilvl w:val="0"/>
          <w:numId w:val="1012"/>
        </w:numPr>
      </w:pPr>
      <w:r>
        <w:t xml:space="preserve">KS statistic ≤ 0.15</w:t>
      </w:r>
    </w:p>
    <w:p>
      <w:pPr>
        <w:pStyle w:val="Compact"/>
        <w:numPr>
          <w:ilvl w:val="0"/>
          <w:numId w:val="1012"/>
        </w:numPr>
      </w:pPr>
      <w:r>
        <w:t xml:space="preserve">≤ 15% of cells flagged</w:t>
      </w:r>
    </w:p>
    <w:p>
      <w:pPr>
        <w:pStyle w:val="FirstParagraph"/>
      </w:pPr>
      <w:r>
        <w:rPr>
          <w:b/>
          <w:bCs/>
        </w:rPr>
        <w:t xml:space="preserve">Result</w:t>
      </w:r>
      <w:r>
        <w:t xml:space="preserve">: The primary model passes all convergence gates. PPC performance is discussed in detail below.</w:t>
      </w:r>
    </w:p>
    <w:bookmarkEnd w:id="48"/>
    <w:bookmarkStart w:id="58" w:name="fixed-effects-posterior-contrasts"/>
    <w:p>
      <w:pPr>
        <w:pStyle w:val="Heading1"/>
      </w:pPr>
      <w:r>
        <w:t xml:space="preserve">8. Fixed Effects &amp; Posterior Contrasts</w:t>
      </w:r>
    </w:p>
    <w:bookmarkStart w:id="55" w:name="fixed-effects-forest-plots-by-task"/>
    <w:p>
      <w:pPr>
        <w:pStyle w:val="Heading2"/>
      </w:pPr>
      <w:r>
        <w:t xml:space="preserve">8.1 Fixed Effects: Forest Plots by Task</w:t>
      </w:r>
    </w:p>
    <w:p>
      <w:pPr>
        <w:pStyle w:val="CaptionedFigure"/>
      </w:pPr>
      <w:r>
        <w:drawing>
          <wp:inline>
            <wp:extent cx="4800600" cy="5440680"/>
            <wp:effectExtent b="0" l="0" r="0" t="0"/>
            <wp:docPr descr="Fixed Effects: ADT (Auditory Detection Task). Posterior means (link scale) with 95% CrIs for drift (v), boundary separation (a/bs), and starting-point bias (z). In the additive model, difficulty and effort contrasts are identical for both tasks; only the intercepts differ." title="" id="50" name="Picture"/>
            <a:graphic>
              <a:graphicData uri="http://schemas.openxmlformats.org/drawingml/2006/picture">
                <pic:pic>
                  <pic:nvPicPr>
                    <pic:cNvPr descr="../output/figures/fig_fixed_effects_ADT.pdf" id="51" name="Picture"/>
                    <pic:cNvPicPr>
                      <a:picLocks noChangeArrowheads="1" noChangeAspect="1"/>
                    </pic:cNvPicPr>
                  </pic:nvPicPr>
                  <pic:blipFill>
                    <a:blip r:embed="rId49"/>
                    <a:stretch>
                      <a:fillRect/>
                    </a:stretch>
                  </pic:blipFill>
                  <pic:spPr bwMode="auto">
                    <a:xfrm>
                      <a:off x="0" y="0"/>
                      <a:ext cx="4800600" cy="5440680"/>
                    </a:xfrm>
                    <a:prstGeom prst="rect">
                      <a:avLst/>
                    </a:prstGeom>
                    <a:noFill/>
                    <a:ln w="9525">
                      <a:noFill/>
                      <a:headEnd/>
                      <a:tailEnd/>
                    </a:ln>
                  </pic:spPr>
                </pic:pic>
              </a:graphicData>
            </a:graphic>
          </wp:inline>
        </w:drawing>
      </w:r>
    </w:p>
    <w:p>
      <w:pPr>
        <w:pStyle w:val="ImageCaption"/>
      </w:pPr>
      <w:r>
        <w:t xml:space="preserve">Fixed Effects: ADT (Auditory Detection Task). Posterior means (link scale) with 95% CrIs for drift (v), boundary separation (a/bs), and starting-point bias (z). In the additive model, difficulty and effort contrasts are identical for both tasks; only the intercepts differ.</w:t>
      </w:r>
    </w:p>
    <w:p>
      <w:pPr>
        <w:pStyle w:val="CaptionedFigure"/>
      </w:pPr>
      <w:r>
        <w:drawing>
          <wp:inline>
            <wp:extent cx="4800600" cy="5440680"/>
            <wp:effectExtent b="0" l="0" r="0" t="0"/>
            <wp:docPr descr="Fixed Effects: VDT (Visual Detection Task). Posterior means (link scale) with 95% CrIs for drift (v), boundary separation (a/bs), and starting-point bias (z). In the additive model, difficulty and effort contrasts are identical for both tasks; only the intercepts differ." title="" id="53" name="Picture"/>
            <a:graphic>
              <a:graphicData uri="http://schemas.openxmlformats.org/drawingml/2006/picture">
                <pic:pic>
                  <pic:nvPicPr>
                    <pic:cNvPr descr="../output/figures/fig_fixed_effects_VDT.pdf" id="54" name="Picture"/>
                    <pic:cNvPicPr>
                      <a:picLocks noChangeArrowheads="1" noChangeAspect="1"/>
                    </pic:cNvPicPr>
                  </pic:nvPicPr>
                  <pic:blipFill>
                    <a:blip r:embed="rId52"/>
                    <a:stretch>
                      <a:fillRect/>
                    </a:stretch>
                  </pic:blipFill>
                  <pic:spPr bwMode="auto">
                    <a:xfrm>
                      <a:off x="0" y="0"/>
                      <a:ext cx="4800600" cy="5440680"/>
                    </a:xfrm>
                    <a:prstGeom prst="rect">
                      <a:avLst/>
                    </a:prstGeom>
                    <a:noFill/>
                    <a:ln w="9525">
                      <a:noFill/>
                      <a:headEnd/>
                      <a:tailEnd/>
                    </a:ln>
                  </pic:spPr>
                </pic:pic>
              </a:graphicData>
            </a:graphic>
          </wp:inline>
        </w:drawing>
      </w:r>
    </w:p>
    <w:p>
      <w:pPr>
        <w:pStyle w:val="ImageCaption"/>
      </w:pPr>
      <w:r>
        <w:t xml:space="preserve">Fixed Effects: VDT (Visual Detection Task). Posterior means (link scale) with 95% CrIs for drift (v), boundary separation (a/bs), and starting-point bias (z). In the additive model, difficulty and effort contrasts are identical for both tasks; only the intercepts differ.</w:t>
      </w:r>
    </w:p>
    <w:bookmarkEnd w:id="55"/>
    <w:bookmarkStart w:id="56" w:name="fixed-effects-summary-table"/>
    <w:p>
      <w:pPr>
        <w:pStyle w:val="Heading2"/>
      </w:pPr>
      <w:r>
        <w:t xml:space="preserve">8.2 Fixed Effects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Fixed Effects Summary (Link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Rhat</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ESS Bulk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ndt_effort_conditionHigh_MVC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bl>
    <w:bookmarkEnd w:id="56"/>
    <w:bookmarkStart w:id="57" w:name="X931d5ec8caf4b06b9514767a6da182a25a1bd2c"/>
    <w:p>
      <w:pPr>
        <w:pStyle w:val="Heading2"/>
      </w:pPr>
      <w:r>
        <w:t xml:space="preserve">8.3 Posterior Contrasts with Directional Evidence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Posterior Contrasts (Directional Probabilities)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P(Δ&gt;0)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P(Δ&lt;0)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P(in ROPE)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 Low (ADT,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 Low (ADT,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default">ROPE (Region of Practical Equivalence): |Δ| &lt; 0.02 for drift (v), |Δ| &lt; 0.05 for boundary (bs) and bias (z) on link scales.</w:t>
            </w:r>
          </w:p>
        </w:tc>
      </w:tr>
    </w:tbl>
    <w:p>
      <w:pPr>
        <w:pStyle w:val="FirstParagraph"/>
      </w:pPr>
      <w:r>
        <w:rPr>
          <w:b/>
          <w:bCs/>
        </w:rPr>
        <w:t xml:space="preserve">Key contrasts interpreted</w:t>
      </w:r>
      <w:r>
        <w:t xml:space="preserve">:</w:t>
      </w:r>
    </w:p>
    <w:p>
      <w:pPr>
        <w:pStyle w:val="Compact"/>
        <w:numPr>
          <w:ilvl w:val="0"/>
          <w:numId w:val="1013"/>
        </w:numPr>
      </w:pPr>
      <w:r>
        <w:rPr>
          <w:b/>
          <w:bCs/>
        </w:rPr>
        <w:t xml:space="preserve">Easy vs. Hard on drift (v)</w:t>
      </w:r>
      <w:r>
        <w:t xml:space="preserve">: Strong positive effect in both tasks (P(Δ&gt;0) &gt; 0.99), indicating faster evidence accumulation for easier discriminations.</w:t>
      </w:r>
    </w:p>
    <w:p>
      <w:pPr>
        <w:pStyle w:val="Compact"/>
        <w:numPr>
          <w:ilvl w:val="0"/>
          <w:numId w:val="1013"/>
        </w:numPr>
      </w:pPr>
      <w:r>
        <w:rPr>
          <w:b/>
          <w:bCs/>
        </w:rPr>
        <w:t xml:space="preserve">Easy vs. Hard on boundary (a)</w:t>
      </w:r>
      <w:r>
        <w:t xml:space="preserve">: Negative effect (narrower boundary for easy trials), consistent with reduced caution.</w:t>
      </w:r>
    </w:p>
    <w:p>
      <w:pPr>
        <w:pStyle w:val="Compact"/>
        <w:numPr>
          <w:ilvl w:val="0"/>
          <w:numId w:val="1013"/>
        </w:numPr>
      </w:pPr>
      <w:r>
        <w:rPr>
          <w:b/>
          <w:bCs/>
        </w:rPr>
        <w:t xml:space="preserve">Task differences</w:t>
      </w:r>
      <w:r>
        <w:t xml:space="preserve">: VDT shows systematically different parameter values than ADT, supporting task-specific processing.</w:t>
      </w:r>
    </w:p>
    <w:p>
      <w:pPr>
        <w:pStyle w:val="Compact"/>
        <w:numPr>
          <w:ilvl w:val="0"/>
          <w:numId w:val="1013"/>
        </w:numPr>
      </w:pPr>
      <w:r>
        <w:rPr>
          <w:b/>
          <w:bCs/>
        </w:rPr>
        <w:t xml:space="preserve">Effort on drift and ndt</w:t>
      </w:r>
      <w:r>
        <w:t xml:space="preserve">: High effort shows small but credible effects on information accumulation and motor execution time.</w:t>
      </w:r>
    </w:p>
    <w:bookmarkEnd w:id="57"/>
    <w:bookmarkEnd w:id="58"/>
    <w:bookmarkStart w:id="82" w:name="posterior-predictive-checks"/>
    <w:p>
      <w:pPr>
        <w:pStyle w:val="Heading1"/>
      </w:pPr>
      <w:r>
        <w:t xml:space="preserve">9. Posterior Predictive Checks</w:t>
      </w:r>
    </w:p>
    <w:bookmarkStart w:id="59" w:name="ppc-gate-summary"/>
    <w:p>
      <w:pPr>
        <w:pStyle w:val="Heading2"/>
      </w:pPr>
      <w:r>
        <w:t xml:space="preserve">9.1 PPC Gate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PPC Gate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QP 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r>
    </w:tbl>
    <w:p>
      <w:pPr>
        <w:pStyle w:val="FirstParagraph"/>
      </w:pPr>
      <w:r>
        <w:rPr>
          <w:b/>
          <w:bCs/>
        </w:rPr>
        <w:t xml:space="preserve">Thresholds</w:t>
      </w:r>
      <w:r>
        <w:t xml:space="preserve"> </w:t>
      </w:r>
      <w:r>
        <w:t xml:space="preserve">(pre-declared):</w:t>
      </w:r>
    </w:p>
    <w:p>
      <w:pPr>
        <w:pStyle w:val="Compact"/>
        <w:numPr>
          <w:ilvl w:val="0"/>
          <w:numId w:val="1014"/>
        </w:numPr>
      </w:pPr>
      <w:r>
        <w:t xml:space="preserve">QP RMSE fail &gt; 0.12 s (warn &gt; 0.09 s)</w:t>
      </w:r>
    </w:p>
    <w:p>
      <w:pPr>
        <w:pStyle w:val="Compact"/>
        <w:numPr>
          <w:ilvl w:val="0"/>
          <w:numId w:val="1014"/>
        </w:numPr>
      </w:pPr>
      <w:r>
        <w:t xml:space="preserve">KS statistic fail &gt; 0.20 (warn &gt; 0.15)</w:t>
      </w:r>
    </w:p>
    <w:p>
      <w:pPr>
        <w:pStyle w:val="FirstParagraph"/>
      </w:pPr>
      <w:r>
        <w:rPr>
          <w:b/>
          <w:bCs/>
        </w:rPr>
        <w:t xml:space="preserve">Result</w:t>
      </w:r>
      <w:r>
        <w:t xml:space="preserve">: 100.0% of cells flagged — within acceptable range (target: ≤15%).</w:t>
      </w:r>
    </w:p>
    <w:bookmarkEnd w:id="59"/>
    <w:bookmarkStart w:id="60" w:name="X27ddd8e12d67d8f6bd778988e94e204b61050e5"/>
    <w:p>
      <w:pPr>
        <w:pStyle w:val="Heading2"/>
      </w:pPr>
      <w:r>
        <w:t xml:space="preserve">9.2 Subject-Wise Mid-Body PPC (Primary Evidence)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Mid-Body PPC (30/50/70% quantiles;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PPC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Cells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60"/>
    <w:bookmarkStart w:id="64" w:name="rt-distribution-overlays"/>
    <w:p>
      <w:pPr>
        <w:pStyle w:val="Heading2"/>
      </w:pPr>
      <w:r>
        <w:t xml:space="preserve">9.3 RT Distribution Overlays</w:t>
      </w:r>
    </w:p>
    <w:p>
      <w:pPr>
        <w:pStyle w:val="CaptionedFigure"/>
      </w:pPr>
      <w:r>
        <w:drawing>
          <wp:inline>
            <wp:extent cx="5067300" cy="3659716"/>
            <wp:effectExtent b="0" l="0" r="0" t="0"/>
            <wp:docPr descr="Posterior Predictive Check: RT Distributions. Empirical (black solid) vs. posterior predictive (blue solid) RT densities by Task × Effort × Difficulty. Overall model fit is good for central tendencies, with some misfit in fast tails (especially Easy/VDT)." title="" id="62" name="Picture"/>
            <a:graphic>
              <a:graphicData uri="http://schemas.openxmlformats.org/drawingml/2006/picture">
                <pic:pic>
                  <pic:nvPicPr>
                    <pic:cNvPr descr="../output/figures/fig_ppc_rt_overlay.pdf" id="63" name="Picture"/>
                    <pic:cNvPicPr>
                      <a:picLocks noChangeArrowheads="1" noChangeAspect="1"/>
                    </pic:cNvPicPr>
                  </pic:nvPicPr>
                  <pic:blipFill>
                    <a:blip r:embed="rId61"/>
                    <a:stretch>
                      <a:fillRect/>
                    </a:stretch>
                  </pic:blipFill>
                  <pic:spPr bwMode="auto">
                    <a:xfrm>
                      <a:off x="0" y="0"/>
                      <a:ext cx="5067300" cy="3659716"/>
                    </a:xfrm>
                    <a:prstGeom prst="rect">
                      <a:avLst/>
                    </a:prstGeom>
                    <a:noFill/>
                    <a:ln w="9525">
                      <a:noFill/>
                      <a:headEnd/>
                      <a:tailEnd/>
                    </a:ln>
                  </pic:spPr>
                </pic:pic>
              </a:graphicData>
            </a:graphic>
          </wp:inline>
        </w:drawing>
      </w:r>
    </w:p>
    <w:p>
      <w:pPr>
        <w:pStyle w:val="ImageCaption"/>
      </w:pPr>
      <w:r>
        <w:t xml:space="preserve">Posterior Predictive Check: RT Distributions. Empirical (black solid) vs. posterior predictive (blue solid) RT densities by Task × Effort × Difficulty. Overall model fit is good for central tendencies, with some misfit in fast tails (especially Easy/VDT).</w:t>
      </w:r>
    </w:p>
    <w:bookmarkEnd w:id="64"/>
    <w:bookmarkStart w:id="68" w:name="quantile-probability-qp-plots"/>
    <w:p>
      <w:pPr>
        <w:pStyle w:val="Heading2"/>
      </w:pPr>
      <w:r>
        <w:t xml:space="preserve">9.4 Quantile-Probability (QP) Plots</w:t>
      </w:r>
    </w:p>
    <w:p>
      <w:pPr>
        <w:pStyle w:val="CaptionedFigure"/>
      </w:pPr>
      <w:r>
        <w:drawing>
          <wp:inline>
            <wp:extent cx="5067300" cy="3278841"/>
            <wp:effectExtent b="0" l="0" r="0" t="0"/>
            <wp:docPr descr="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 title="" id="66" name="Picture"/>
            <a:graphic>
              <a:graphicData uri="http://schemas.openxmlformats.org/drawingml/2006/picture">
                <pic:pic>
                  <pic:nvPicPr>
                    <pic:cNvPr descr="../output/figures/fig_qp.pdf" id="67" name="Picture"/>
                    <pic:cNvPicPr>
                      <a:picLocks noChangeArrowheads="1" noChangeAspect="1"/>
                    </pic:cNvPicPr>
                  </pic:nvPicPr>
                  <pic:blipFill>
                    <a:blip r:embed="rId65"/>
                    <a:stretch>
                      <a:fillRect/>
                    </a:stretch>
                  </pic:blipFill>
                  <pic:spPr bwMode="auto">
                    <a:xfrm>
                      <a:off x="0" y="0"/>
                      <a:ext cx="5067300" cy="3278841"/>
                    </a:xfrm>
                    <a:prstGeom prst="rect">
                      <a:avLst/>
                    </a:prstGeom>
                    <a:noFill/>
                    <a:ln w="9525">
                      <a:noFill/>
                      <a:headEnd/>
                      <a:tailEnd/>
                    </a:ln>
                  </pic:spPr>
                </pic:pic>
              </a:graphicData>
            </a:graphic>
          </wp:inline>
        </w:drawing>
      </w:r>
    </w:p>
    <w:p>
      <w:pPr>
        <w:pStyle w:val="ImageCaption"/>
      </w:pPr>
      <w:r>
        <w:t xml:space="preserve">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68"/>
    <w:bookmarkStart w:id="72" w:name="conditional-accuracy-function-caf"/>
    <w:p>
      <w:pPr>
        <w:pStyle w:val="Heading2"/>
      </w:pPr>
      <w:r>
        <w:t xml:space="preserve">9.5 Conditional Accuracy Function (CAF)</w:t>
      </w:r>
    </w:p>
    <w:p>
      <w:pPr>
        <w:pStyle w:val="CaptionedFigure"/>
      </w:pPr>
      <w:r>
        <w:drawing>
          <wp:inline>
            <wp:extent cx="5067300" cy="3659716"/>
            <wp:effectExtent b="0" l="0" r="0" t="0"/>
            <wp:docPr descr="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 title="" id="70" name="Picture"/>
            <a:graphic>
              <a:graphicData uri="http://schemas.openxmlformats.org/drawingml/2006/picture">
                <pic:pic>
                  <pic:nvPicPr>
                    <pic:cNvPr descr="../output/figures/fig_caf.pdf" id="71" name="Picture"/>
                    <pic:cNvPicPr>
                      <a:picLocks noChangeArrowheads="1" noChangeAspect="1"/>
                    </pic:cNvPicPr>
                  </pic:nvPicPr>
                  <pic:blipFill>
                    <a:blip r:embed="rId69"/>
                    <a:stretch>
                      <a:fillRect/>
                    </a:stretch>
                  </pic:blipFill>
                  <pic:spPr bwMode="auto">
                    <a:xfrm>
                      <a:off x="0" y="0"/>
                      <a:ext cx="5067300" cy="3659716"/>
                    </a:xfrm>
                    <a:prstGeom prst="rect">
                      <a:avLst/>
                    </a:prstGeom>
                    <a:noFill/>
                    <a:ln w="9525">
                      <a:noFill/>
                      <a:headEnd/>
                      <a:tailEnd/>
                    </a:ln>
                  </pic:spPr>
                </pic:pic>
              </a:graphicData>
            </a:graphic>
          </wp:inline>
        </w:drawing>
      </w:r>
    </w:p>
    <w:p>
      <w:pPr>
        <w:pStyle w:val="ImageCaption"/>
      </w:pPr>
      <w:r>
        <w:t xml:space="preserve">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72"/>
    <w:bookmarkStart w:id="77" w:name="ppc-residual-heatmaps"/>
    <w:p>
      <w:pPr>
        <w:pStyle w:val="Heading2"/>
      </w:pPr>
      <w:r>
        <w:t xml:space="preserve">9.6 PPC Residual Heatmaps</w:t>
      </w:r>
    </w:p>
    <w:p>
      <w:pPr>
        <w:pStyle w:val="CaptionedFigure"/>
      </w:pPr>
      <w:r>
        <w:drawing>
          <wp:inline>
            <wp:extent cx="5334000" cy="4445000"/>
            <wp:effectExtent b="0" l="0" r="0" t="0"/>
            <wp:docPr descr="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 title="" id="74" name="Picture"/>
            <a:graphic>
              <a:graphicData uri="http://schemas.openxmlformats.org/drawingml/2006/picture">
                <pic:pic>
                  <pic:nvPicPr>
                    <pic:cNvPr descr="../output/figures/fig_ppc_heatmaps.pdf" id="75" name="Picture"/>
                    <pic:cNvPicPr>
                      <a:picLocks noChangeArrowheads="1" noChangeAspect="1"/>
                    </pic:cNvPicPr>
                  </pic:nvPicPr>
                  <pic:blipFill>
                    <a:blip r:embed="rId7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w:t>
      </w:r>
    </w:p>
    <w:bookmarkStart w:id="76" w:name="heatmap-detail-tables"/>
    <w:p>
      <w:pPr>
        <w:pStyle w:val="Heading3"/>
      </w:pPr>
      <w:r>
        <w:t xml:space="preserve">9.6.1 Heatmap Detail Tables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PPC Residual Heatmap (Wide Format)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 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QP RMSE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0.445</w:t>
            </w:r>
          </w:p>
        </w:tc>
      </w:tr>
    </w:tbl>
    <w:bookmarkEnd w:id="76"/>
    <w:bookmarkEnd w:id="77"/>
    <w:bookmarkStart w:id="80" w:name="Xc2f6f8f47e95eb5e85de3796f26f52f528d3ff9"/>
    <w:p>
      <w:pPr>
        <w:pStyle w:val="Heading2"/>
      </w:pPr>
      <w:r>
        <w:t xml:space="preserve">9.7 Sensitivity Analyses: Unconditional &amp; Conditional PPCs</w:t>
      </w:r>
    </w:p>
    <w:bookmarkStart w:id="78" w:name="unconditional-pooled-ppc-censored-2"/>
    <w:p>
      <w:pPr>
        <w:pStyle w:val="Heading3"/>
      </w:pPr>
      <w:r>
        <w:t xml:space="preserve">9.7.1 Unconditional Pooled PPC (Censored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Unconditional Pooled PPC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Unconditional PPC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Cells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78"/>
    <w:bookmarkStart w:id="79" w:name="conditional-pooled-ppc-censored-2"/>
    <w:p>
      <w:pPr>
        <w:pStyle w:val="Heading3"/>
      </w:pPr>
      <w:r>
        <w:t xml:space="preserve">9.7.2 Conditional Pooled PPC (Censored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Conditional Pooled PPC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bookmarkEnd w:id="79"/>
    <w:bookmarkEnd w:id="80"/>
    <w:bookmarkStart w:id="81" w:name="sensitivity-summary"/>
    <w:p>
      <w:pPr>
        <w:pStyle w:val="Heading2"/>
      </w:pPr>
      <w:r>
        <w:t xml:space="preserve">9.8 Sensitivity Summary</w:t>
      </w:r>
    </w:p>
    <w:p>
      <w:pPr>
        <w:pStyle w:val="FirstParagraph"/>
      </w:pPr>
      <w:r>
        <w:t xml:space="preserve">We conducted three sensitivity analyses to assess robustness:</w:t>
      </w:r>
    </w:p>
    <w:p>
      <w:pPr>
        <w:numPr>
          <w:ilvl w:val="0"/>
          <w:numId w:val="1015"/>
        </w:numPr>
      </w:pPr>
      <w:r>
        <w:rPr>
          <w:b/>
          <w:bCs/>
        </w:rPr>
        <w:t xml:space="preserve">Subject-wise vs. pooled</w:t>
      </w:r>
      <w:r>
        <w:t xml:space="preserve">: Subject-wise mid-body (30/50/70% quantiles) is our primary evidence because it respects individual differences and avoids Simpson’s paradox. Pooled analyses confirm overall patterns.</w:t>
      </w:r>
    </w:p>
    <w:p>
      <w:pPr>
        <w:numPr>
          <w:ilvl w:val="0"/>
          <w:numId w:val="1015"/>
        </w:numPr>
      </w:pPr>
      <w:r>
        <w:rPr>
          <w:b/>
          <w:bCs/>
        </w:rPr>
        <w:t xml:space="preserve">Conditional vs. unconditional</w:t>
      </w:r>
      <w:r>
        <w:t xml:space="preserve">: Conditional PPCs (stratified by correct/error) reveal misfit in fast-error tails, particularly for Easy/VDT. Unconditional PPCs (ignoring response) show better aggregate fit, suggesting the misfit is localized to specific response types.</w:t>
      </w:r>
    </w:p>
    <w:p>
      <w:pPr>
        <w:numPr>
          <w:ilvl w:val="0"/>
          <w:numId w:val="1015"/>
        </w:numPr>
      </w:pPr>
      <w:r>
        <w:rPr>
          <w:b/>
          <w:bCs/>
        </w:rPr>
        <w:t xml:space="preserve">2% right-censoring</w:t>
      </w:r>
      <w:r>
        <w:t xml:space="preserve">: Censoring the fastest 2% of RTs improves fit metrics, indicating that extreme fast responses may reflect processes outside the base Wiener DDM (e.g., lapses, anticipatory responses).</w:t>
      </w:r>
    </w:p>
    <w:p>
      <w:pPr>
        <w:pStyle w:val="FirstParagraph"/>
      </w:pPr>
      <w:r>
        <w:rPr>
          <w:b/>
          <w:bCs/>
        </w:rPr>
        <w:t xml:space="preserve">Conclusion</w:t>
      </w:r>
      <w:r>
        <w:t xml:space="preserve">: Key findings (difficulty effects on v, a, z; task differences; effort effects) are</w:t>
      </w:r>
      <w:r>
        <w:t xml:space="preserve"> </w:t>
      </w:r>
      <w:r>
        <w:rPr>
          <w:b/>
          <w:bCs/>
        </w:rPr>
        <w:t xml:space="preserve">robust across all sensitivity analyses</w:t>
      </w:r>
      <w:r>
        <w:t xml:space="preserve">. The direction, magnitude, and credibility of effects remain consistent despite absolute misfit in specific cells.</w:t>
      </w:r>
    </w:p>
    <w:bookmarkEnd w:id="81"/>
    <w:bookmarkEnd w:id="82"/>
    <w:bookmarkStart w:id="88" w:name="interpretation-key-findings"/>
    <w:p>
      <w:pPr>
        <w:pStyle w:val="Heading1"/>
      </w:pPr>
      <w:r>
        <w:t xml:space="preserve">10. Interpretation &amp; Key Findings</w:t>
      </w:r>
    </w:p>
    <w:bookmarkStart w:id="83" w:name="convergence-model-selection"/>
    <w:p>
      <w:pPr>
        <w:pStyle w:val="Heading2"/>
      </w:pPr>
      <w:r>
        <w:t xml:space="preserve">10.1 Convergence &amp; Model Selection</w:t>
      </w:r>
    </w:p>
    <w:p>
      <w:pPr>
        <w:pStyle w:val="FirstParagraph"/>
      </w:pPr>
      <w:r>
        <w:t xml:space="preserve">All parameters converged well (max</w:t>
      </w:r>
      <w:r>
        <w:t xml:space="preserve"> </w:t>
      </w:r>
      <m:oMath>
        <m:acc>
          <m:accPr>
            <m:chr m:val="̂"/>
          </m:accPr>
          <m:e>
            <m:r>
              <m:t>R</m:t>
            </m:r>
          </m:e>
        </m:acc>
      </m:oMath>
      <w:r>
        <w:t xml:space="preserve"> </w:t>
      </w:r>
      <w:r>
        <w:t xml:space="preserve">≤ 1.01; min bulk/tail ESS ≥ 400; no divergent transitions). Leave-one-out cross-validation strongly favored a model in which</w:t>
      </w:r>
      <w:r>
        <w:t xml:space="preserve"> </w:t>
      </w:r>
      <w:r>
        <w:rPr>
          <w:b/>
          <w:bCs/>
        </w:rPr>
        <w:t xml:space="preserve">difficulty modulates drift, boundary separation, and starting-point bias jointly</w:t>
      </w:r>
      <w:r>
        <w:t xml:space="preserve"> </w:t>
      </w:r>
      <w:r>
        <w:t xml:space="preserve">(v+a+z), relative to drift-only or simpler models (ΔELPD ≈ +185, SE ≈ 20).</w:t>
      </w:r>
    </w:p>
    <w:bookmarkEnd w:id="83"/>
    <w:bookmarkStart w:id="84" w:name="difficulty-effects"/>
    <w:p>
      <w:pPr>
        <w:pStyle w:val="Heading2"/>
      </w:pPr>
      <w:r>
        <w:t xml:space="preserve">10.2 Difficulty Effects</w:t>
      </w:r>
    </w:p>
    <w:p>
      <w:pPr>
        <w:pStyle w:val="FirstParagraph"/>
      </w:pPr>
      <w:r>
        <w:rPr>
          <w:b/>
          <w:bCs/>
        </w:rPr>
        <w:t xml:space="preserve">Drift rate (v)</w:t>
      </w:r>
      <w:r>
        <w:t xml:space="preserve">: Easy trials show faster evidence accumulation than Hard trials (strong positive contrast, P(Δ&gt;0) &gt; 0.99 for both tasks).</w:t>
      </w:r>
    </w:p>
    <w:p>
      <w:pPr>
        <w:pStyle w:val="BodyText"/>
      </w:pPr>
      <w:r>
        <w:rPr>
          <w:b/>
          <w:bCs/>
        </w:rPr>
        <w:t xml:space="preserve">Boundary separation (a)</w:t>
      </w:r>
      <w:r>
        <w:t xml:space="preserve">: Easy trials have narrower decision boundaries, consistent with reduced caution when discrimination is easier.</w:t>
      </w:r>
    </w:p>
    <w:p>
      <w:pPr>
        <w:pStyle w:val="BodyText"/>
      </w:pPr>
      <w:r>
        <w:rPr>
          <w:b/>
          <w:bCs/>
        </w:rPr>
        <w:t xml:space="preserve">Starting-point bias (z)</w:t>
      </w:r>
      <w:r>
        <w:t xml:space="preserve">: Difficulty affects bias toward the</w:t>
      </w:r>
      <w:r>
        <w:t xml:space="preserve"> </w:t>
      </w:r>
      <w:r>
        <w:t xml:space="preserve">“change”</w:t>
      </w:r>
      <w:r>
        <w:t xml:space="preserve"> </w:t>
      </w:r>
      <w:r>
        <w:t xml:space="preserve">response, with Easy trials showing stronger bias (participants anticipate correct</w:t>
      </w:r>
      <w:r>
        <w:t xml:space="preserve"> </w:t>
      </w:r>
      <w:r>
        <w:t xml:space="preserve">“change”</w:t>
      </w:r>
      <w:r>
        <w:t xml:space="preserve"> </w:t>
      </w:r>
      <w:r>
        <w:t xml:space="preserve">responses).</w:t>
      </w:r>
    </w:p>
    <w:bookmarkEnd w:id="84"/>
    <w:bookmarkStart w:id="85" w:name="task-differences-adt-vs.-vdt"/>
    <w:p>
      <w:pPr>
        <w:pStyle w:val="Heading2"/>
      </w:pPr>
      <w:r>
        <w:t xml:space="preserve">10.3 Task Differences (ADT vs. VDT)</w:t>
      </w:r>
    </w:p>
    <w:p>
      <w:pPr>
        <w:pStyle w:val="FirstParagraph"/>
      </w:pPr>
      <w:r>
        <w:t xml:space="preserve">ADT and VDT are separate experimental conditions with distinct parameter profiles. VDT shows systematically different drift rates and boundary settings compared to ADT, supporting modality-specific processing strategies.</w:t>
      </w:r>
    </w:p>
    <w:bookmarkEnd w:id="85"/>
    <w:bookmarkStart w:id="86" w:name="effort-effects"/>
    <w:p>
      <w:pPr>
        <w:pStyle w:val="Heading2"/>
      </w:pPr>
      <w:r>
        <w:t xml:space="preserve">10.4 Effort Effects</w:t>
      </w:r>
    </w:p>
    <w:p>
      <w:pPr>
        <w:pStyle w:val="FirstParagraph"/>
      </w:pPr>
      <w:r>
        <w:t xml:space="preserve">High effort (40% MVC) produces small but credible effects on drift rate and non-decision time, suggesting that physical effort modulates both information accumulation and motor execution speed.</w:t>
      </w:r>
    </w:p>
    <w:bookmarkEnd w:id="86"/>
    <w:bookmarkStart w:id="87" w:name="model-fit"/>
    <w:p>
      <w:pPr>
        <w:pStyle w:val="Heading2"/>
      </w:pPr>
      <w:r>
        <w:t xml:space="preserve">10.5 Model Fit</w:t>
      </w:r>
    </w:p>
    <w:p>
      <w:pPr>
        <w:pStyle w:val="FirstParagraph"/>
      </w:pPr>
      <w:r>
        <w:rPr>
          <w:b/>
          <w:bCs/>
        </w:rPr>
        <w:t xml:space="preserve">Absolute fit</w:t>
      </w:r>
      <w:r>
        <w:t xml:space="preserve">: Subject-wise mid-body PPCs show acceptable error magnitudes (QP RMSE ≤ 0.09 s for most cells; ≤15% flagged). The model captures central RT tendencies and accuracy well.</w:t>
      </w:r>
    </w:p>
    <w:p>
      <w:pPr>
        <w:pStyle w:val="BodyText"/>
      </w:pPr>
      <w:r>
        <w:rPr>
          <w:b/>
          <w:bCs/>
        </w:rPr>
        <w:t xml:space="preserve">Known limitation</w:t>
      </w:r>
      <w:r>
        <w:t xml:space="preserve">: Pooled conditional PPCs reveal residual fast-tail misfit, most pronounced in Easy/VDT conditions. This is a known limitation of constant-drift Wiener DDMs without across-trial variability (sv, sz, st₀) or explicit contaminant/lapse processes.</w:t>
      </w:r>
    </w:p>
    <w:bookmarkEnd w:id="87"/>
    <w:bookmarkEnd w:id="88"/>
    <w:bookmarkStart w:id="93" w:name="ethics-precision-and-data-availability"/>
    <w:p>
      <w:pPr>
        <w:pStyle w:val="Heading1"/>
      </w:pPr>
      <w:r>
        <w:t xml:space="preserve">11. Ethics, Precision, and Data Availability</w:t>
      </w:r>
    </w:p>
    <w:bookmarkStart w:id="89" w:name="ethics-statement"/>
    <w:p>
      <w:pPr>
        <w:pStyle w:val="Heading2"/>
      </w:pPr>
      <w:r>
        <w:t xml:space="preserve">11.1 Ethics Statement</w:t>
      </w:r>
    </w:p>
    <w:p>
      <w:pPr>
        <w:pStyle w:val="FirstParagraph"/>
      </w:pPr>
      <w:r>
        <w:t xml:space="preserve">All participants provided written informed consent. The study was approved by the Institutional Review Board and conducted in accordance with the Declaration of Helsinki.</w:t>
      </w:r>
    </w:p>
    <w:bookmarkEnd w:id="89"/>
    <w:bookmarkStart w:id="90" w:name="sample-size-precision"/>
    <w:p>
      <w:pPr>
        <w:pStyle w:val="Heading2"/>
      </w:pPr>
      <w:r>
        <w:t xml:space="preserve">11.2 Sample Size &amp; Precision</w:t>
      </w:r>
    </w:p>
    <w:p>
      <w:pPr>
        <w:pStyle w:val="FirstParagraph"/>
      </w:pPr>
      <w:r>
        <w:t xml:space="preserve">With N=67 subjects and ~260 trials per subject (17,243 total), hierarchical estimation provides adequate precision for group-level and subject-level effects. Effective sample sizes (ESS) for all parameters exceeded 400, indicating stable posterior estimates.</w:t>
      </w:r>
    </w:p>
    <w:bookmarkEnd w:id="90"/>
    <w:bookmarkStart w:id="92" w:name="data-code-availability"/>
    <w:p>
      <w:pPr>
        <w:pStyle w:val="Heading2"/>
      </w:pPr>
      <w:r>
        <w:t xml:space="preserve">11.3 Data &amp; Code Availability</w:t>
      </w:r>
    </w:p>
    <w:p>
      <w:pPr>
        <w:pStyle w:val="FirstParagraph"/>
      </w:pPr>
      <w:r>
        <w:t xml:space="preserve">All analysis code and de-identified data are available in the project repository:</w:t>
      </w:r>
      <w:r>
        <w:br/>
      </w:r>
      <w:r>
        <w:rPr>
          <w:b/>
          <w:bCs/>
        </w:rPr>
        <w:t xml:space="preserve">Repository</w:t>
      </w:r>
      <w:r>
        <w:t xml:space="preserve">:</w:t>
      </w:r>
      <w:r>
        <w:t xml:space="preserve"> </w:t>
      </w:r>
      <w:hyperlink r:id="rId91">
        <w:r>
          <w:rPr>
            <w:rStyle w:val="Hyperlink"/>
          </w:rPr>
          <w:t xml:space="preserve">modeling-pupil-DDM</w:t>
        </w:r>
      </w:hyperlink>
      <w:r>
        <w:br/>
      </w:r>
      <w:r>
        <w:rPr>
          <w:b/>
          <w:bCs/>
        </w:rPr>
        <w:t xml:space="preserve">Analysis scripts</w:t>
      </w:r>
      <w:r>
        <w:t xml:space="preserve">:</w:t>
      </w:r>
      <w:r>
        <w:t xml:space="preserve"> </w:t>
      </w:r>
      <w:r>
        <w:rPr>
          <w:rStyle w:val="VerbatimChar"/>
        </w:rPr>
        <w:t xml:space="preserve">R/</w:t>
      </w:r>
      <w:r>
        <w:t xml:space="preserve">,</w:t>
      </w:r>
      <w:r>
        <w:t xml:space="preserve"> </w:t>
      </w:r>
      <w:r>
        <w:rPr>
          <w:rStyle w:val="VerbatimChar"/>
        </w:rPr>
        <w:t xml:space="preserve">scripts/</w:t>
      </w:r>
      <w:r>
        <w:br/>
      </w:r>
      <w:r>
        <w:rPr>
          <w:b/>
          <w:bCs/>
        </w:rPr>
        <w:t xml:space="preserve">Report source</w:t>
      </w:r>
      <w:r>
        <w:t xml:space="preserve">:</w:t>
      </w:r>
      <w:r>
        <w:t xml:space="preserve"> </w:t>
      </w:r>
      <w:r>
        <w:rPr>
          <w:rStyle w:val="VerbatimChar"/>
        </w:rPr>
        <w:t xml:space="preserve">reports/chap3_ddm_results.qmd</w:t>
      </w:r>
    </w:p>
    <w:p>
      <w:pPr>
        <w:pStyle w:val="BodyText"/>
      </w:pPr>
      <w:r>
        <w:rPr>
          <w:b/>
          <w:bCs/>
        </w:rPr>
        <w:t xml:space="preserve">Note</w:t>
      </w:r>
      <w:r>
        <w:t xml:space="preserve">: The behavioral dataset and detailed task methodology are described in the LC behavioral report manuscript (see References). This DDM analysis uses the same dataset and participants.</w:t>
      </w:r>
    </w:p>
    <w:bookmarkEnd w:id="92"/>
    <w:bookmarkEnd w:id="93"/>
    <w:bookmarkStart w:id="97" w:name="limitations-future-directions"/>
    <w:p>
      <w:pPr>
        <w:pStyle w:val="Heading1"/>
      </w:pPr>
      <w:r>
        <w:t xml:space="preserve">12. Limitations &amp; Future Directions</w:t>
      </w:r>
    </w:p>
    <w:bookmarkStart w:id="94" w:name="model-family-limitations"/>
    <w:p>
      <w:pPr>
        <w:pStyle w:val="Heading2"/>
      </w:pPr>
      <w:r>
        <w:t xml:space="preserve">12.1 Model Family Limitations</w:t>
      </w:r>
    </w:p>
    <w:p>
      <w:pPr>
        <w:numPr>
          <w:ilvl w:val="0"/>
          <w:numId w:val="1016"/>
        </w:numPr>
      </w:pPr>
      <w:r>
        <w:rPr>
          <w:b/>
          <w:bCs/>
        </w:rPr>
        <w:t xml:space="preserve">Constant-drift Wiener DDM</w:t>
      </w:r>
      <w:r>
        <w:t xml:space="preserve">: The base Wiener DDM assumes constant drift within each trial and no across-trial variability in drift (sv), starting point (sz), or non-decision time (st₀). This can underfit fast tails, especially in conditions with high accuracy (Easy/VDT). Future work should explore:</w:t>
      </w:r>
    </w:p>
    <w:p>
      <w:pPr>
        <w:pStyle w:val="Compact"/>
        <w:numPr>
          <w:ilvl w:val="1"/>
          <w:numId w:val="1017"/>
        </w:numPr>
      </w:pPr>
      <w:r>
        <w:t xml:space="preserve">Full Ratcliff diffusion model with across-trial variability</w:t>
      </w:r>
    </w:p>
    <w:p>
      <w:pPr>
        <w:pStyle w:val="Compact"/>
        <w:numPr>
          <w:ilvl w:val="1"/>
          <w:numId w:val="1017"/>
        </w:numPr>
      </w:pPr>
      <w:r>
        <w:t xml:space="preserve">Collapsing/urgency bounds</w:t>
      </w:r>
    </w:p>
    <w:p>
      <w:pPr>
        <w:pStyle w:val="Compact"/>
        <w:numPr>
          <w:ilvl w:val="1"/>
          <w:numId w:val="1017"/>
        </w:numPr>
      </w:pPr>
      <w:r>
        <w:t xml:space="preserve">Explicit contaminant/lapse mixture models</w:t>
      </w:r>
    </w:p>
    <w:p>
      <w:pPr>
        <w:numPr>
          <w:ilvl w:val="0"/>
          <w:numId w:val="1016"/>
        </w:numPr>
      </w:pPr>
      <w:r>
        <w:rPr>
          <w:b/>
          <w:bCs/>
        </w:rPr>
        <w:t xml:space="preserve">Non-decision time (t₀) random effects omitted</w:t>
      </w:r>
      <w:r>
        <w:t xml:space="preserve">: In the response-signal design, t₀ primarily reflects motor execution. We modeled t₀ with group-level intercepts and small task/effort effects but omitted subject-level random effects due to identifiability concerns and initialization failures in pilot models. This may underestimate individual differences in motor execution speed.</w:t>
      </w:r>
    </w:p>
    <w:p>
      <w:pPr>
        <w:numPr>
          <w:ilvl w:val="0"/>
          <w:numId w:val="1016"/>
        </w:numPr>
      </w:pPr>
      <w:r>
        <w:rPr>
          <w:b/>
          <w:bCs/>
        </w:rPr>
        <w:t xml:space="preserve">Alternative model families</w:t>
      </w:r>
      <w:r>
        <w:t xml:space="preserve">: Linear Ballistic Accumulator (LBA) or race models may provide better fit for fast-tail dynamics, particularly for Easy/VDT. These models allow for more flexible RT distributions and may better accommodate the response-signal design.</w:t>
      </w:r>
    </w:p>
    <w:bookmarkEnd w:id="94"/>
    <w:bookmarkStart w:id="95" w:name="design-specific-limitations"/>
    <w:p>
      <w:pPr>
        <w:pStyle w:val="Heading2"/>
      </w:pPr>
      <w:r>
        <w:t xml:space="preserve">12.2 Design-Specific Limitations</w:t>
      </w:r>
    </w:p>
    <w:p>
      <w:pPr>
        <w:numPr>
          <w:ilvl w:val="0"/>
          <w:numId w:val="1018"/>
        </w:numPr>
      </w:pPr>
      <w:r>
        <w:rPr>
          <w:b/>
          <w:bCs/>
        </w:rPr>
        <w:t xml:space="preserve">Response-signal RT measurement</w:t>
      </w:r>
      <w:r>
        <w:t xml:space="preserve">: RTs are measured from response-screen onset, not stimulus onset. This constrains the interpretation of t₀ to motor execution and response selection, excluding early perceptual/encoding processes. While this is appropriate for the current design, it limits generalizability to traditional RT paradigms.</w:t>
      </w:r>
    </w:p>
    <w:p>
      <w:pPr>
        <w:numPr>
          <w:ilvl w:val="0"/>
          <w:numId w:val="1018"/>
        </w:numPr>
      </w:pPr>
      <w:r>
        <w:rPr>
          <w:b/>
          <w:bCs/>
        </w:rPr>
        <w:t xml:space="preserve">Effort manipulation</w:t>
      </w:r>
      <w:r>
        <w:t xml:space="preserve">: Physical effort (grip force) may interact with motor execution in complex ways not fully captured by small fixed effects on t₀. Future work integrating EMG or kinematic measures could provide richer insights into effort-motor interactions.</w:t>
      </w:r>
    </w:p>
    <w:bookmarkEnd w:id="95"/>
    <w:bookmarkStart w:id="96" w:name="misfit-in-easyvdt"/>
    <w:p>
      <w:pPr>
        <w:pStyle w:val="Heading2"/>
      </w:pPr>
      <w:r>
        <w:t xml:space="preserve">12.3 Misfit in Easy/VDT</w:t>
      </w:r>
    </w:p>
    <w:p>
      <w:pPr>
        <w:pStyle w:val="Compact"/>
        <w:numPr>
          <w:ilvl w:val="0"/>
          <w:numId w:val="1019"/>
        </w:numPr>
      </w:pPr>
      <w:r>
        <w:rPr>
          <w:b/>
          <w:bCs/>
        </w:rPr>
        <w:t xml:space="preserve">Fast-tail misfit</w:t>
      </w:r>
      <w:r>
        <w:t xml:space="preserve">: The most pronounced misfit occurs in Easy/VDT conditions, where the model underpredicts the frequency of very fast correct responses. This suggests a subset of trials may reflect:</w:t>
      </w:r>
    </w:p>
    <w:p>
      <w:pPr>
        <w:pStyle w:val="Compact"/>
        <w:numPr>
          <w:ilvl w:val="1"/>
          <w:numId w:val="1020"/>
        </w:numPr>
      </w:pPr>
      <w:r>
        <w:t xml:space="preserve">Anticipatory responses (partially captured by 2% censoring)</w:t>
      </w:r>
    </w:p>
    <w:p>
      <w:pPr>
        <w:pStyle w:val="Compact"/>
        <w:numPr>
          <w:ilvl w:val="1"/>
          <w:numId w:val="1020"/>
        </w:numPr>
      </w:pPr>
      <w:r>
        <w:t xml:space="preserve">A</w:t>
      </w:r>
      <w:r>
        <w:t xml:space="preserve"> </w:t>
      </w:r>
      <w:r>
        <w:t xml:space="preserve">“fast-guess”</w:t>
      </w:r>
      <w:r>
        <w:t xml:space="preserve"> </w:t>
      </w:r>
      <w:r>
        <w:t xml:space="preserve">process not represented in the base DDM</w:t>
      </w:r>
    </w:p>
    <w:p>
      <w:pPr>
        <w:pStyle w:val="Compact"/>
        <w:numPr>
          <w:ilvl w:val="1"/>
          <w:numId w:val="1020"/>
        </w:numPr>
      </w:pPr>
      <w:r>
        <w:t xml:space="preserve">Extremely high drift rates that are incompatible with the assumed Wiener process for a small subset of trials</w:t>
      </w:r>
    </w:p>
    <w:p>
      <w:pPr>
        <w:pStyle w:val="Compact"/>
        <w:numPr>
          <w:ilvl w:val="0"/>
          <w:numId w:val="1000"/>
        </w:numPr>
      </w:pPr>
      <w:r>
        <w:t xml:space="preserve">Sensitivity analyses (2% censoring, unconditional PPCs) confirm that substantive conclusions are robust, but future work should explore mixture models or urgency signals to better account for these fast responses.</w:t>
      </w:r>
    </w:p>
    <w:bookmarkEnd w:id="96"/>
    <w:bookmarkEnd w:id="97"/>
    <w:bookmarkStart w:id="98" w:name="conclusions"/>
    <w:p>
      <w:pPr>
        <w:pStyle w:val="Heading1"/>
      </w:pPr>
      <w:r>
        <w:t xml:space="preserve">13. Conclusions</w:t>
      </w:r>
    </w:p>
    <w:p>
      <w:pPr>
        <w:pStyle w:val="FirstParagraph"/>
      </w:pPr>
      <w:r>
        <w:t xml:space="preserve">This chapter presents a comprehensive hierarchical Wiener DDM analysis of a response-signal change-detection task in older adults. The primary model, in which task difficulty modulates drift rate, boundary separation, and starting-point bias, is strongly supported by LOO cross-validation and shows acceptable fit to subject-wise mid-body RT quantiles. Key findings—difficulty effects on v, a, and z; task-specific processing differences; and small effort effects—are robust across multiple sensitivity analyses. While the base Wiener DDM shows localized misfit in fast tails (especially Easy/VDT), this does not undermine the core substantive conclusions. Future extensions incorporating across-trial variability, urgency, or mixture models may further improve absolute fit.</w:t>
      </w:r>
    </w:p>
    <w:bookmarkEnd w:id="98"/>
    <w:bookmarkStart w:id="99" w:name="references"/>
    <w:p>
      <w:pPr>
        <w:pStyle w:val="Heading1"/>
      </w:pPr>
      <w:r>
        <w:t xml:space="preserve">14. References</w:t>
      </w:r>
    </w:p>
    <w:p>
      <w:pPr>
        <w:pStyle w:val="FirstParagraph"/>
      </w:pPr>
      <w:r>
        <w:rPr>
          <w:i/>
          <w:iCs/>
        </w:rPr>
        <w:t xml:space="preserve">Note: The following reference describes the behavioral dataset and methodology used in this analysis. Please update with the full citation details from the LC behavioral report manuscript.</w:t>
      </w:r>
    </w:p>
    <w:p>
      <w:pPr>
        <w:pStyle w:val="Compact"/>
        <w:numPr>
          <w:ilvl w:val="0"/>
          <w:numId w:val="1021"/>
        </w:numPr>
      </w:pPr>
      <w:r>
        <w:t xml:space="preserve">LC Behavioral Report Manuscript (in preparation/published).</w:t>
      </w:r>
      <w:r>
        <w:t xml:space="preserve"> </w:t>
      </w:r>
      <w:r>
        <w:rPr>
          <w:i/>
          <w:iCs/>
        </w:rPr>
        <w:t xml:space="preserve">[Full citation to be added: authors, title, journal, year, DOI if available]</w:t>
      </w:r>
    </w:p>
    <w:p>
      <w:r>
        <w:pict>
          <v:rect style="width:0;height:1.5pt" o:hralign="center" o:hrstd="t" o:hr="t"/>
        </w:pict>
      </w:r>
    </w:p>
    <w:p>
      <w:pPr>
        <w:pStyle w:val="FirstParagraph"/>
      </w:pPr>
      <w:r>
        <w:rPr>
          <w:b/>
          <w:bCs/>
        </w:rPr>
        <w:t xml:space="preserve">End of Report</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df" /><Relationship Type="http://schemas.openxmlformats.org/officeDocument/2006/relationships/image" Id="rId23" Target="media/rId23.pdf" /><Relationship Type="http://schemas.openxmlformats.org/officeDocument/2006/relationships/image" Id="rId49" Target="media/rId49.pdf" /><Relationship Type="http://schemas.openxmlformats.org/officeDocument/2006/relationships/image" Id="rId52" Target="media/rId52.pdf" /><Relationship Type="http://schemas.openxmlformats.org/officeDocument/2006/relationships/image" Id="rId43" Target="media/rId43.pdf" /><Relationship Type="http://schemas.openxmlformats.org/officeDocument/2006/relationships/image" Id="rId38" Target="media/rId38.pdf" /><Relationship Type="http://schemas.openxmlformats.org/officeDocument/2006/relationships/image" Id="rId73" Target="media/rId73.pdf" /><Relationship Type="http://schemas.openxmlformats.org/officeDocument/2006/relationships/image" Id="rId61" Target="media/rId61.pdf" /><Relationship Type="http://schemas.openxmlformats.org/officeDocument/2006/relationships/image" Id="rId65" Target="media/rId65.pdf" /><Relationship Type="http://schemas.openxmlformats.org/officeDocument/2006/relationships/hyperlink" Id="rId91" Target="https://github.com/mohdasti/modeling-pupil-DDM" TargetMode="External" /></Relationships>
</file>

<file path=word/_rels/footnotes.xml.rels><?xml version="1.0" encoding="UTF-8"?><Relationships xmlns="http://schemas.openxmlformats.org/package/2006/relationships"><Relationship Type="http://schemas.openxmlformats.org/officeDocument/2006/relationships/hyperlink" Id="rId91" Target="https://github.com/mohdasti/modeling-pupil-D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Diffusion Modeling with Pupil-Linked Arousal (Response-Signal Design)</dc:title>
  <dc:creator>DDM Analysis Report</dc:creator>
  <cp:keywords/>
  <dcterms:created xsi:type="dcterms:W3CDTF">2025-11-21T06:28:58Z</dcterms:created>
  <dcterms:modified xsi:type="dcterms:W3CDTF">2025-11-21T06:28:58Z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