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40.png" ContentType="image/png"/>
  <Override PartName="/word/media/rId143.png" ContentType="image/png"/>
  <Override PartName="/word/media/rId127.png" ContentType="image/png"/>
  <Override PartName="/word/media/rId138.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effort, but it is unclear how physical effort changes decision-making in older adults. Effort could reduce the quality of the evidence people accumulate, change how much evidence they require before responding, or bias them toward one response. We tested these possibilities in 67 older adults who judged whether two tones or two visual patterns were the same or different while holding a handgrip at low (5%) or high (40%) force, with pupil size recorded throughout. A hierarchical drift-diffusion model separated the components of each decision. High effort did not reduce the quality of the evidence overall, although it lowered evidence for</w:t>
      </w:r>
      <w:r>
        <w:t xml:space="preserve"> </w:t>
      </w:r>
      <w:r>
        <w:t xml:space="preserve">“different”</w:t>
      </w:r>
      <w:r>
        <w:t xml:space="preserve"> </w:t>
      </w:r>
      <w:r>
        <w:t xml:space="preserve">slightly more on the hardest discriminations than on the easiest. Its main effect was to shift evidence accumulation toward</w:t>
      </w:r>
      <w:r>
        <w:t xml:space="preserve"> </w:t>
      </w:r>
      <w:r>
        <w:t xml:space="preserve">“same”</w:t>
      </w:r>
      <w:r>
        <w:t xml:space="preserve"> </w:t>
      </w:r>
      <w:r>
        <w:t xml:space="preserve">responses on every trial, which lowered accuracy on the most difficult trials with a different probe. Effort did not meaningfully change how much evidence participants required, and it did not change their starting bias. High effort increased pupil size during the grip in the auditory task only. Pupil responses during the decision were larger on trials with wider boundaries, but no pupil measure taken before the decision predicted boundary separation. Physical effort therefore mainly changed how older adults mapped evidence onto responses, rather than how well they took in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same handgrip manipulation. Harder trials were less accurate and slower in every task, high effort slowed responses in the visual discrimination task only, and task difficulty and physical effort did not interact on any measure, suggesting that the two drew on separate resources at these effort levels. Pupil size across the trial was larger under high effort in every task, whereas task difficulty affected only an exploratory measure of the response to the probe. The present chapter asks how the same manipulation changes decision-making in older adults, using a model that separates the processes that accuracy and response time (RT) combine. In this chapter, effort refers to physical effort throughout.</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w:t>
      </w:r>
    </w:p>
    <w:p>
      <w:pPr>
        <w:pStyle w:val="BodyText"/>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w:t>
      </w:r>
      <w:r>
        <w:t xml:space="preserve"> </w:t>
      </w:r>
      <w:r>
        <w:t xml:space="preserve">Theisen et al.</w:t>
      </w:r>
      <w:r>
        <w:t xml:space="preserve">,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response caution, which in the diffusion model is boundary separation.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 Because a shared capacity limit should cost most where discrimination is hardest</w:t>
      </w:r>
      <w:r>
        <w:t xml:space="preserve"> </w:t>
      </w:r>
      <w:r>
        <w:t xml:space="preserve">(Kahneman, 1973)</w:t>
      </w:r>
      <w:r>
        <w:t xml:space="preserve">, this account also predicts that any loss of evidence quality is largest on the hardest trials, so that effort and task difficulty interact.</w:t>
      </w:r>
    </w:p>
    <w:p>
      <w:pPr>
        <w:pStyle w:val="BodyText"/>
      </w:pPr>
      <w:r>
        <w:t xml:space="preserve">The second account treats effort as a change in how participants set their decision policy, not in the evidence itself. Under high effort, participants could require more evidence before responding, to protect accuracy, or less evidence, to end each effortful trial sooner. The first possibility predicts wider boundaries under high effort and the second narrower ones, so the direction of the effort effect on boundary separation distinguishes them. Effort could also bias responding. A bias set before the stimulus appears would move the starting point, whereas a bias in how evidence is evaluated would shift the drift criterion. Neither predicts a loss of evidence quality.</w:t>
      </w:r>
    </w:p>
    <w:p>
      <w:pPr>
        <w:pStyle w:val="BodyText"/>
      </w:pPr>
      <w:r>
        <w:t xml:space="preserve">Pupil size provides a trial-by-trial measure that increases with processing load</w:t>
      </w:r>
      <w:r>
        <w:t xml:space="preserve"> </w:t>
      </w:r>
      <w:r>
        <w:t xml:space="preserve">(Beatty, 1982;</w:t>
      </w:r>
      <w:r>
        <w:t xml:space="preserve"> </w:t>
      </w:r>
      <w:r>
        <w:t xml:space="preserve">van der Wel &amp; van Steenbergen</w:t>
      </w:r>
      <w:r>
        <w:t xml:space="preserve">, 2018)</w:t>
      </w:r>
      <w:r>
        <w:t xml:space="preserve"> </w:t>
      </w:r>
      <w:r>
        <w:t xml:space="preserve">and with physical exertion</w:t>
      </w:r>
      <w:r>
        <w:t xml:space="preserve"> </w:t>
      </w:r>
      <w:r>
        <w:t xml:space="preserve">(Zénon et al., 2014)</w:t>
      </w:r>
      <w:r>
        <w:t xml:space="preserve">. Older adults have smaller pupils and a narrower range of dilation than younger adults</w:t>
      </w:r>
      <w:r>
        <w:t xml:space="preserve"> </w:t>
      </w:r>
      <w:r>
        <w:t xml:space="preserve">(Piquado et al., 2010; Winn et al., 1994)</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and across several decision tasks, larger pupil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the pupil response came before the boundary was set.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whether pupil size tracked the effort effect, which decision parameter tracked the task-evoked pupil response, and whether pupil measures taken before the decision predicted boundary separation.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each sample was placed on a time axis at 4-ms steps from 3 s before squeeze onset. This axis spans the recorded epoch, which ends with the confidence window 10.7 s after squeeze onset.</w:t>
      </w:r>
    </w:p>
    <w:p>
      <w:pPr>
        <w:pStyle w:val="BodyText"/>
      </w:pPr>
      <w:r>
        <w:t xml:space="preserve">The task-evoked pupil response (TEPR) was the mean pupil size 0.3–3.3 s after probe onset (4.65–7.65 s after squeeze onset) minus the mean pupil size in the 0.5 s before the probe (3.85–4.35 s, the interstimulus interval).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6,299 trials from 51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w:t>
      </w:r>
      <w:r>
        <w:t xml:space="preserve">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S2</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S5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a pupil change before the decision. First, P3 was refit after removing the slowest 20% of trials in each participant × task cell (P3 without the slowest trials).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The TEPR was compared between effort levels relative to both the pre-probe and the pre-squeeze baseline.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S3</w:t>
        </w:r>
      </w:hyperlink>
      <w:r>
        <w:t xml:space="preserve">).</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.552 [.536, .568]; VDT:</w:t>
      </w:r>
      <w:r>
        <w:t xml:space="preserve"> </w:t>
      </w:r>
      <w:r>
        <w:rPr>
          <w:i/>
          <w:iCs/>
        </w:rPr>
        <w:t xml:space="preserve">z</w:t>
      </w:r>
      <w:r>
        <w:t xml:space="preserve"> </w:t>
      </w:r>
      <w:r>
        <w:t xml:space="preserve">= .538 [.522, .555]),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comparison stimulus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 Allowing the effort effects on drift and boundary separation to vary with difficulty did not improve prediction (M2 vs. M1: ΔELPD = 0.7 ± 3.0). In M2, the effort effect on drift was more negative on Hard than on Easy trials (Hard − Easy: β = −0.078, 95% CrI [−0.154, −0.001], P(β &lt; 0) = .977), whereas the corresponding contrast on boundary separation included zero (β = 0.014, 95% CrI [−0.018, 0.046], P(β &gt; 0) = .808;</w:t>
      </w:r>
      <w:r>
        <w:t xml:space="preserve"> </w:t>
      </w:r>
      <w:hyperlink w:anchor="supptbl-m2-interactions">
        <w:r>
          <w:rPr>
            <w:rStyle w:val="Hyperlink"/>
          </w:rPr>
          <w:t xml:space="preserve">Table S4</w:t>
        </w:r>
      </w:hyperlink>
      <w:r>
        <w:t xml:space="preserv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449"/>
              <w:gridCol w:w="734"/>
              <w:gridCol w:w="1388"/>
              <w:gridCol w:w="1306"/>
              <w:gridCol w:w="653"/>
              <w:gridCol w:w="1388"/>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 DDM coefficients are given to three decimals because the effects are small relative to the region of practical equivalence.</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S9</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increased pupil size during the grip in the ADT (</w:t>
      </w:r>
      <w:r>
        <w:rPr>
          <w:i/>
          <w:iCs/>
        </w:rPr>
        <w:t xml:space="preserve">M</w:t>
      </w:r>
      <w:r>
        <w:rPr>
          <w:vertAlign w:val="subscript"/>
        </w:rPr>
        <w:t xml:space="preserve">diff</w:t>
      </w:r>
      <w:r>
        <w:t xml:space="preserve"> </w:t>
      </w:r>
      <w:r>
        <w:t xml:space="preserve">= 0.36, t(34) = 2.31, p = .027) and did not differ reliably in the VDT (</w:t>
      </w:r>
      <w:r>
        <w:rPr>
          <w:i/>
          <w:iCs/>
        </w:rPr>
        <w:t xml:space="preserve">M</w:t>
      </w:r>
      <w:r>
        <w:rPr>
          <w:vertAlign w:val="subscript"/>
        </w:rPr>
        <w:t xml:space="preserve">diff</w:t>
      </w:r>
      <w:r>
        <w:t xml:space="preserve"> </w:t>
      </w:r>
      <w:r>
        <w:t xml:space="preserve">= 0.20, t(40) = 1.62, p = .114). Relative to the pre-probe baseline, the TEPR was smaller under high effort in both tasks (ADT:</w:t>
      </w:r>
      <w:r>
        <w:t xml:space="preserve"> </w:t>
      </w:r>
      <w:r>
        <w:rPr>
          <w:i/>
          <w:iCs/>
        </w:rPr>
        <w:t xml:space="preserve">M</w:t>
      </w:r>
      <w:r>
        <w:rPr>
          <w:vertAlign w:val="subscript"/>
        </w:rPr>
        <w:t xml:space="preserve">diff</w:t>
      </w:r>
      <w:r>
        <w:t xml:space="preserve"> </w:t>
      </w:r>
      <w:r>
        <w:t xml:space="preserve">= −0.43, t(35) = −4.37, p &lt; .001; VDT:</w:t>
      </w:r>
      <w:r>
        <w:t xml:space="preserve"> </w:t>
      </w:r>
      <w:r>
        <w:rPr>
          <w:i/>
          <w:iCs/>
        </w:rPr>
        <w:t xml:space="preserve">M</w:t>
      </w:r>
      <w:r>
        <w:rPr>
          <w:vertAlign w:val="subscript"/>
        </w:rPr>
        <w:t xml:space="preserve">diff</w:t>
      </w:r>
      <w:r>
        <w:t xml:space="preserve"> </w:t>
      </w:r>
      <w:r>
        <w:t xml:space="preserve">= −0.17, t(40) = −2.23, p = .031). Relative to the pre-squeeze baseline, it did not differ between effort levels (ADT:</w:t>
      </w:r>
      <w:r>
        <w:t xml:space="preserve"> </w:t>
      </w:r>
      <w:r>
        <w:rPr>
          <w:i/>
          <w:iCs/>
        </w:rPr>
        <w:t xml:space="preserve">M</w:t>
      </w:r>
      <w:r>
        <w:rPr>
          <w:vertAlign w:val="subscript"/>
        </w:rPr>
        <w:t xml:space="preserve">diff</w:t>
      </w:r>
      <w:r>
        <w:t xml:space="preserve"> </w:t>
      </w:r>
      <w:r>
        <w:t xml:space="preserve">= 0.15, t(35) = 0.91, p = .369; VDT:</w:t>
      </w:r>
      <w:r>
        <w:t xml:space="preserve"> </w:t>
      </w:r>
      <w:r>
        <w:rPr>
          <w:i/>
          <w:iCs/>
        </w:rPr>
        <w:t xml:space="preserve">M</w:t>
      </w:r>
      <w:r>
        <w:rPr>
          <w:vertAlign w:val="subscript"/>
        </w:rPr>
        <w:t xml:space="preserve">diff</w:t>
      </w:r>
      <w:r>
        <w:t xml:space="preserve"> </w:t>
      </w:r>
      <w:r>
        <w:t xml:space="preserve">= 0.09, t(40) = 0.92, p = .361;</w:t>
      </w:r>
      <w:r>
        <w:t xml:space="preserve"> </w:t>
      </w:r>
      <w:hyperlink w:anchor="supptbl-pupil-descriptives">
        <w:r>
          <w:rPr>
            <w:rStyle w:val="Hyperlink"/>
          </w:rPr>
          <w:t xml:space="preserve">Table S14</w:t>
        </w:r>
      </w:hyperlink>
      <w:r>
        <w:t xml:space="preserve">;</w:t>
      </w:r>
      <w:r>
        <w:t xml:space="preserve"> </w:t>
      </w:r>
      <w:hyperlink w:anchor="suppfig-tepr">
        <w:r>
          <w:rPr>
            <w:rStyle w:val="Hyperlink"/>
          </w:rPr>
          <w:t xml:space="preserve">Figure S4</w:t>
        </w:r>
      </w:hyperlink>
      <w:r>
        <w:t xml:space="preserve">). In the pupil sample, high effort widened the boundary (β = 0.029, 95% CrI [0.006, 0.052], P(β &gt; 0) = .992; +2.9% [0.6, 5.4]), and the drift criterion shift had the same sign as in the full sample, with an interval that included zero (β = −0.074, 95% CrI [−0.159, 0.011], P(β &lt; 0) = .957).</w:t>
      </w:r>
    </w:p>
    <w:p>
      <w:pPr>
        <w:pStyle w:val="BodyText"/>
      </w:pPr>
      <w:r>
        <w:rPr>
          <w:b/>
          <w:bCs/>
        </w:rPr>
        <w:t xml:space="preserve">Pupil predictors of decision parameters.</w:t>
      </w:r>
      <w:r>
        <w:t xml:space="preserve"> </w:t>
      </w:r>
      <w:r>
        <w:t xml:space="preserve">Each within-person SD increase in TEPR was associated with a +4.3% [3.2, 5.4] wider boundary, and adding TEPR improved out-of-sample prediction (P3: ΔELPD = 28.0 ± 6.7;</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−0.009, 95% CrI [−0.036, 0.020], P(β &lt; 0) = .720, ΔELPD = −0.6 ± 0.5) or drift (P2, TEPR: β = 0.015, 95% CrI [−0.017, 0.048], P(β &gt; 0) = .819; TEPR × stimulus: β = −0.015, 95% CrI [−0.047, 0.018], P(β &lt; 0) = .819; ΔELPD = −1.8 ± 1.6;</w:t>
      </w:r>
      <w:r>
        <w:t xml:space="preserve"> </w:t>
      </w:r>
      <w:hyperlink w:anchor="supptbl-pupil-models">
        <w:r>
          <w:rPr>
            <w:rStyle w:val="Hyperlink"/>
          </w:rPr>
          <w:t xml:space="preserve">Table S13</w:t>
        </w:r>
      </w:hyperlink>
      <w:r>
        <w:t xml:space="preserve">).</w:t>
      </w:r>
    </w:p>
    <w:p>
      <w:pPr>
        <w:pStyle w:val="BodyText"/>
      </w:pPr>
      <w:r>
        <w:rPr>
          <w:b/>
          <w:bCs/>
        </w:rPr>
        <w:t xml:space="preserve">Timing of the TEPR–boundary association.</w:t>
      </w:r>
      <w:r>
        <w:t xml:space="preserve"> </w:t>
      </w:r>
      <w:r>
        <w:t xml:space="preserve">TEPR correlated with RT within participants (r = .16 [.10, .22]). After the slowest 20% of trials in each participant and task were removed, each SD increase in TEPR was associated with a +2.5% [1.1, 4.0] wider boundary, and the predictive gain was less than twice its standard error (P3 without slowest trials: ΔELPD = 5.2 ± 3.1). Pupil size in the 0.5 s before the response was associated with wider boundaries and improved prediction (P7: +3.4% [2.1, 4.7], ΔELPD = 13.0 ± 4.4). The measures taken before the decision did not predict boundary separation: previous-trial TEPR (P6: +0.1% [−1.0, 1.3], ΔELPD = −1.5 ± 0.3), pre-squeeze baseline pupil (P5: +1.0% [−0.2, 2.2], ΔELPD = 0.7 ± 1.4) and grip-period pupil (P8: −0.6% [−1.7, 0.7], ΔELPD = −0.4 ± 0.8). The pre-squeeze baseline did not predict the starting point either (P4: β = 0.008, 95% CrI [−0.020, 0.036], P(β &gt; 0) = .714, ΔELPD = −0.2 ± 0.5).</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872153"/>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1470"/>
              <w:gridCol w:w="2262"/>
              <w:gridCol w:w="1301"/>
              <w:gridCol w:w="1018"/>
              <w:gridCol w:w="735"/>
              <w:gridCol w:w="396"/>
              <w:gridCol w:w="735"/>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w:t>
                  </w:r>
                  <w:r>
                    <w:t xml:space="preserve"> </w:t>
                  </w:r>
                  <w:r>
                    <w:rPr>
                      <w:i/>
                      <w:iCs/>
                    </w:rPr>
                    <w:t xml:space="preserve">SE</w:t>
                  </w:r>
                </w:p>
              </w:tc>
              <w:tc>
                <w:tcPr/>
                <w:p>
                  <w:pPr>
                    <w:pStyle w:val="Compact"/>
                    <w:jc w:val="right"/>
                    <w:jc w:val="center"/>
                  </w:pPr>
                  <w:r>
                    <w:t xml:space="preserve">Trials</w:t>
                  </w:r>
                </w:p>
              </w:tc>
              <w:tc>
                <w:tcPr/>
                <w:p>
                  <w:pPr>
                    <w:pStyle w:val="Compact"/>
                    <w:jc w:val="right"/>
                    <w:jc w:val="center"/>
                  </w:pPr>
                  <w:r>
                    <w:t xml:space="preserve">Participants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0.042 [0.031,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c>
                <w:tcPr/>
                <w:p>
                  <w:pPr>
                    <w:pStyle w:val="Compact"/>
                    <w:jc w:val="right"/>
                    <w:jc w:val="center"/>
                  </w:pPr>
                  <w:r>
                    <w:t xml:space="preserve">51</w:t>
                  </w:r>
                </w:p>
              </w:tc>
            </w:tr>
            <w:tr>
              <w:tc>
                <w:tcPr/>
                <w:p>
                  <w:pPr>
                    <w:pStyle w:val="Compact"/>
                    <w:jc w:val="left"/>
                    <w:jc w:val="center"/>
                  </w:pPr>
                  <w:r>
                    <w:t xml:space="preserve">P3 without slowest trials</w:t>
                  </w:r>
                </w:p>
              </w:tc>
              <w:tc>
                <w:tcPr/>
                <w:p>
                  <w:pPr>
                    <w:pStyle w:val="Compact"/>
                    <w:jc w:val="right"/>
                    <w:jc w:val="center"/>
                  </w:pPr>
                  <w:r>
                    <w:t xml:space="preserve">Post-probe TEPR, slowest 20% removed</w:t>
                  </w:r>
                </w:p>
              </w:tc>
              <w:tc>
                <w:tcPr/>
                <w:p>
                  <w:pPr>
                    <w:pStyle w:val="Compact"/>
                    <w:jc w:val="right"/>
                    <w:jc w:val="center"/>
                  </w:pPr>
                  <w:r>
                    <w:t xml:space="preserve">0.025 [0.011, 0.039]</w:t>
                  </w:r>
                </w:p>
              </w:tc>
              <w:tc>
                <w:tcPr/>
                <w:p>
                  <w:pPr>
                    <w:pStyle w:val="Compact"/>
                    <w:jc w:val="right"/>
                    <w:jc w:val="center"/>
                  </w:pPr>
                  <w:r>
                    <w:t xml:space="preserve">+2.5% [1.1, 4.0]</w:t>
                  </w:r>
                </w:p>
              </w:tc>
              <w:tc>
                <w:tcPr/>
                <w:p>
                  <w:pPr>
                    <w:pStyle w:val="Compact"/>
                    <w:jc w:val="right"/>
                    <w:jc w:val="center"/>
                  </w:pPr>
                  <w:r>
                    <w:t xml:space="preserve">5.2 ± 3.1</w:t>
                  </w:r>
                </w:p>
              </w:tc>
              <w:tc>
                <w:tcPr/>
                <w:p>
                  <w:pPr>
                    <w:pStyle w:val="Compact"/>
                    <w:jc w:val="right"/>
                    <w:jc w:val="center"/>
                  </w:pPr>
                  <w:r>
                    <w:t xml:space="preserve">5,074</w:t>
                  </w:r>
                </w:p>
              </w:tc>
              <w:tc>
                <w:tcPr/>
                <w:p>
                  <w:pPr>
                    <w:pStyle w:val="Compact"/>
                    <w:jc w:val="right"/>
                    <w:jc w:val="center"/>
                  </w:pPr>
                  <w:r>
                    <w:t xml:space="preserve">51</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0.033 [0.021, 0.046]</w:t>
                  </w:r>
                </w:p>
              </w:tc>
              <w:tc>
                <w:tcPr/>
                <w:p>
                  <w:pPr>
                    <w:pStyle w:val="Compact"/>
                    <w:jc w:val="right"/>
                    <w:jc w:val="center"/>
                  </w:pPr>
                  <w:r>
                    <w:t xml:space="preserve">+3.4% [2.1, 4.7]</w:t>
                  </w:r>
                </w:p>
              </w:tc>
              <w:tc>
                <w:tcPr/>
                <w:p>
                  <w:pPr>
                    <w:pStyle w:val="Compact"/>
                    <w:jc w:val="right"/>
                    <w:jc w:val="center"/>
                  </w:pPr>
                  <w:r>
                    <w:t xml:space="preserve">13.0 ± 4.4</w:t>
                  </w:r>
                </w:p>
              </w:tc>
              <w:tc>
                <w:tcPr/>
                <w:p>
                  <w:pPr>
                    <w:pStyle w:val="Compact"/>
                    <w:jc w:val="right"/>
                    <w:jc w:val="center"/>
                  </w:pPr>
                  <w:r>
                    <w:t xml:space="preserve">5,049</w:t>
                  </w:r>
                </w:p>
              </w:tc>
              <w:tc>
                <w:tcPr/>
                <w:p>
                  <w:pPr>
                    <w:pStyle w:val="Compact"/>
                    <w:jc w:val="right"/>
                    <w:jc w:val="center"/>
                  </w:pPr>
                  <w:r>
                    <w:t xml:space="preserve">51</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0.001 [−0.010, 0.012]</w:t>
                  </w:r>
                </w:p>
              </w:tc>
              <w:tc>
                <w:tcPr/>
                <w:p>
                  <w:pPr>
                    <w:pStyle w:val="Compact"/>
                    <w:jc w:val="right"/>
                    <w:jc w:val="center"/>
                  </w:pPr>
                  <w:r>
                    <w:t xml:space="preserve">+0.1% [−1.0, 1.3]</w:t>
                  </w:r>
                </w:p>
              </w:tc>
              <w:tc>
                <w:tcPr/>
                <w:p>
                  <w:pPr>
                    <w:pStyle w:val="Compact"/>
                    <w:jc w:val="right"/>
                    <w:jc w:val="center"/>
                  </w:pPr>
                  <w:r>
                    <w:t xml:space="preserve">−1.5 ± 0.3</w:t>
                  </w:r>
                </w:p>
              </w:tc>
              <w:tc>
                <w:tcPr/>
                <w:p>
                  <w:pPr>
                    <w:pStyle w:val="Compact"/>
                    <w:jc w:val="right"/>
                    <w:jc w:val="center"/>
                  </w:pPr>
                  <w:r>
                    <w:t xml:space="preserve">5,981</w:t>
                  </w:r>
                </w:p>
              </w:tc>
              <w:tc>
                <w:tcPr/>
                <w:p>
                  <w:pPr>
                    <w:pStyle w:val="Compact"/>
                    <w:jc w:val="right"/>
                    <w:jc w:val="center"/>
                  </w:pPr>
                  <w:r>
                    <w:t xml:space="preserve">51</w:t>
                  </w:r>
                </w:p>
              </w:tc>
            </w:tr>
            <w:tr>
              <w:tc>
                <w:tcPr/>
                <w:p>
                  <w:pPr>
                    <w:pStyle w:val="Compact"/>
                    <w:jc w:val="left"/>
                    <w:jc w:val="center"/>
                  </w:pPr>
                  <w:r>
                    <w:t xml:space="preserve">P5</w:t>
                  </w:r>
                </w:p>
              </w:tc>
              <w:tc>
                <w:tcPr/>
                <w:p>
                  <w:pPr>
                    <w:pStyle w:val="Compact"/>
                    <w:jc w:val="right"/>
                    <w:jc w:val="center"/>
                  </w:pPr>
                  <w:r>
                    <w:t xml:space="preserve">Pre-squeeze baseline pupil</w:t>
                  </w:r>
                </w:p>
              </w:tc>
              <w:tc>
                <w:tcPr/>
                <w:p>
                  <w:pPr>
                    <w:pStyle w:val="Compact"/>
                    <w:jc w:val="right"/>
                    <w:jc w:val="center"/>
                  </w:pPr>
                  <w:r>
                    <w:t xml:space="preserve">0.010 [−0.002, 0.021]</w:t>
                  </w:r>
                </w:p>
              </w:tc>
              <w:tc>
                <w:tcPr/>
                <w:p>
                  <w:pPr>
                    <w:pStyle w:val="Compact"/>
                    <w:jc w:val="right"/>
                    <w:jc w:val="center"/>
                  </w:pPr>
                  <w:r>
                    <w:t xml:space="preserve">+1.0% [−0.2, 2.2]</w:t>
                  </w:r>
                </w:p>
              </w:tc>
              <w:tc>
                <w:tcPr/>
                <w:p>
                  <w:pPr>
                    <w:pStyle w:val="Compact"/>
                    <w:jc w:val="right"/>
                    <w:jc w:val="center"/>
                  </w:pPr>
                  <w:r>
                    <w:t xml:space="preserve">0.7 ± 1.4</w:t>
                  </w:r>
                </w:p>
              </w:tc>
              <w:tc>
                <w:tcPr/>
                <w:p>
                  <w:pPr>
                    <w:pStyle w:val="Compact"/>
                    <w:jc w:val="right"/>
                    <w:jc w:val="center"/>
                  </w:pPr>
                  <w:r>
                    <w:t xml:space="preserve">5,856</w:t>
                  </w:r>
                </w:p>
              </w:tc>
              <w:tc>
                <w:tcPr/>
                <w:p>
                  <w:pPr>
                    <w:pStyle w:val="Compact"/>
                    <w:jc w:val="right"/>
                    <w:jc w:val="center"/>
                  </w:pPr>
                  <w:r>
                    <w:t xml:space="preserve">51</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−0.006 [−0.017, 0.007]</w:t>
                  </w:r>
                </w:p>
              </w:tc>
              <w:tc>
                <w:tcPr/>
                <w:p>
                  <w:pPr>
                    <w:pStyle w:val="Compact"/>
                    <w:jc w:val="right"/>
                    <w:jc w:val="center"/>
                  </w:pPr>
                  <w:r>
                    <w:t xml:space="preserve">−0.6% [−1.7, 0.7]</w:t>
                  </w:r>
                </w:p>
              </w:tc>
              <w:tc>
                <w:tcPr/>
                <w:p>
                  <w:pPr>
                    <w:pStyle w:val="Compact"/>
                    <w:jc w:val="right"/>
                    <w:jc w:val="center"/>
                  </w:pPr>
                  <w:r>
                    <w:t xml:space="preserve">−0.4 ± 0.8</w:t>
                  </w:r>
                </w:p>
              </w:tc>
              <w:tc>
                <w:tcPr/>
                <w:p>
                  <w:pPr>
                    <w:pStyle w:val="Compact"/>
                    <w:jc w:val="right"/>
                    <w:jc w:val="center"/>
                  </w:pPr>
                  <w:r>
                    <w:t xml:space="preserve">5,655</w:t>
                  </w:r>
                </w:p>
              </w:tc>
              <w:tc>
                <w:tcPr/>
                <w:p>
                  <w:pPr>
                    <w:pStyle w:val="Compact"/>
                    <w:jc w:val="right"/>
                    <w:jc w:val="center"/>
                  </w:pPr>
                  <w:r>
                    <w:t xml:space="preserve">50</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across predictors, and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S8</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In the primary model,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 In the pupil sample, trials with larger pupil responses during the decision had wider boundaries, whereas no pupil measure taken before the decision predicted boundary separation.</w:t>
      </w:r>
    </w:p>
    <w:bookmarkStart w:id="48" w:name="drift-criterion-and-evidence-quality"/>
    <w:p>
      <w:pPr>
        <w:pStyle w:val="Heading2"/>
      </w:pPr>
      <w:r>
        <w:t xml:space="preserve">4.1 Drift criterion and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and its interval allowed a small decline but not a large one. A capacity cost concentrated on the hardest trials would also make the effort effect depend on difficulty</w:t>
      </w:r>
      <w:r>
        <w:t xml:space="preserve"> </w:t>
      </w:r>
      <w:r>
        <w:t xml:space="preserve">(Kahneman, 1973)</w:t>
      </w:r>
      <w:r>
        <w:t xml:space="preserve">. In the model that allowed this, effort lowered drift more on Hard than on Easy trials, a contrast whose interval only just excluded zero, but allowing the effort effects to vary with difficulty did not improve prediction (ΔELPD = 0.7 ± 3.0;</w:t>
      </w:r>
      <w:r>
        <w:t xml:space="preserve"> </w:t>
      </w:r>
      <w:hyperlink w:anchor="supptbl-model-comparison">
        <w:r>
          <w:rPr>
            <w:rStyle w:val="Hyperlink"/>
          </w:rPr>
          <w:t xml:space="preserve">Table S3</w:t>
        </w:r>
      </w:hyperlink>
      <w:r>
        <w:t xml:space="preserve">;</w:t>
      </w:r>
      <w:r>
        <w:t xml:space="preserve"> </w:t>
      </w:r>
      <w:hyperlink w:anchor="supptbl-m2-interactions">
        <w:r>
          <w:rPr>
            <w:rStyle w:val="Hyperlink"/>
          </w:rPr>
          <w:t xml:space="preserve">Table S4</w:t>
        </w:r>
      </w:hyperlink>
      <w:r>
        <w:t xml:space="preserve">). The data therefore leave room for a small capacity cost on the hardest discriminations, in addition to the criterion shift. The main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w:t>
      </w:r>
      <w:r>
        <w:t xml:space="preserve">the criterion shift lowers drift on trials with a different probe, so those trials more often end in</w:t>
      </w:r>
      <w:r>
        <w:t xml:space="preserve"> </w:t>
      </w:r>
      <w:r>
        <w:t xml:space="preserve">“same.”</w:t>
      </w:r>
      <w:r>
        <w:t xml:space="preserve"> </w:t>
      </w:r>
      <w:r>
        <w:t xml:space="preserve">On Standard trials the same shift moves drift further toward the correct response. The accuracy pattern follows from this. The Hard-trial cost is the change that a capacity account would predict, but here it arises mainly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on any measure, which suggested that the two draw on separate resources at these effort levels. Chapter 2 reached the same conclusion from psychometric functions fitted to the same cohort’s responses: high effort lowered</w:t>
      </w:r>
      <w:r>
        <w:t xml:space="preserve"> </w:t>
      </w:r>
      <w:r>
        <w:t xml:space="preserve">“different”</w:t>
      </w:r>
      <w:r>
        <w:t xml:space="preserve"> </w:t>
      </w:r>
      <w:r>
        <w:t xml:space="preserve">responses on identical and different trials alike, without making the psychometric function shallower.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8"/>
    <w:bookmarkStart w:id="49" w:name="effort-and-pupil-size"/>
    <w:p>
      <w:pPr>
        <w:pStyle w:val="Heading2"/>
      </w:pPr>
      <w:r>
        <w:t xml:space="preserve">4.2 Effort and pupil size</w:t>
      </w:r>
    </w:p>
    <w:p>
      <w:pPr>
        <w:pStyle w:val="FirstParagraph"/>
      </w:pPr>
      <w:r>
        <w:t xml:space="preserve">High effort increased pupil size during the grip in the auditory task, as expected from the pupil’s sensitivity to physical exertion</w:t>
      </w:r>
      <w:r>
        <w:t xml:space="preserve"> </w:t>
      </w:r>
      <w:r>
        <w:t xml:space="preserve">(Zénon et al., 2014)</w:t>
      </w:r>
      <w:r>
        <w:t xml:space="preserve">; in the visual task the difference had the same sign but was not reliable. After the probe, the pupil rose less under high effort from its level before the probe, but pupil size after the probe, measured from before the squeeze, did not differ between effort levels. The smaller response under high effort therefore reflects the higher level from which the pupil rose, not a smaller pupil after the probe, which is why the choice of baseline matters for effort comparisons</w:t>
      </w:r>
      <w:r>
        <w:t xml:space="preserve"> </w:t>
      </w:r>
      <w:r>
        <w:t xml:space="preserve">(Mathôt, 2018)</w:t>
      </w:r>
      <w:r>
        <w:t xml:space="preserve">. One interpretation of effort-related pupil changes comes from adaptive gain theory, which links pupil size to activity of the locus coeruleus–noradrenaline system</w:t>
      </w:r>
      <w:r>
        <w:t xml:space="preserve"> </w:t>
      </w:r>
      <w:r>
        <w:t xml:space="preserve">(Aston-Jones &amp; Cohen, 2005; Joshi et al., 2016)</w:t>
      </w:r>
      <w:r>
        <w:t xml:space="preserve">. Isometric handgrip engages this system</w:t>
      </w:r>
      <w:r>
        <w:t xml:space="preserve"> </w:t>
      </w:r>
      <w:r>
        <w:t xml:space="preserve">(Mather et al., 2020)</w:t>
      </w:r>
      <w:r>
        <w:t xml:space="preserve">, and the locus coeruleus is vulnerable in aging</w:t>
      </w:r>
      <w:r>
        <w:t xml:space="preserve"> </w:t>
      </w:r>
      <w:r>
        <w:t xml:space="preserve">(Mather &amp; Harley, 2016)</w:t>
      </w:r>
      <w:r>
        <w:t xml:space="preserve">. This study, however, neither manipulated nor measured locus coeruleus activity during the task, and pupil size also covaries with activity outside the locus coeruleus</w:t>
      </w:r>
      <w:r>
        <w:t xml:space="preserve"> </w:t>
      </w:r>
      <w:r>
        <w:t xml:space="preserve">(Joshi et al., 2016)</w:t>
      </w:r>
      <w:r>
        <w:t xml:space="preserve">.</w:t>
      </w:r>
    </w:p>
    <w:bookmarkEnd w:id="49"/>
    <w:bookmarkStart w:id="50" w:name="pupil-size-and-boundary-separation"/>
    <w:p>
      <w:pPr>
        <w:pStyle w:val="Heading2"/>
      </w:pPr>
      <w:r>
        <w:t xml:space="preserve">4.3 Pupil size and boundary separation</w:t>
      </w:r>
    </w:p>
    <w:p>
      <w:pPr>
        <w:pStyle w:val="FirstParagraph"/>
      </w:pPr>
      <w:r>
        <w:t xml:space="preserve">Of the pupil measures, trial-wise TEPR had the strongest association with boundary separation, which parallels work in which larger pupil dilation on high-conflict choices predicted higher decision thresholds</w:t>
      </w:r>
      <w:r>
        <w:t xml:space="preserve"> </w:t>
      </w:r>
      <w:r>
        <w:t xml:space="preserve">(Cavanagh et al., 2014)</w:t>
      </w:r>
      <w:r>
        <w:t xml:space="preserve">. Two results limit how far the association can be read as the pupil response setting the boundary. First, the TEPR window overlapped the response, TEPR correlated with RT within participants, and when the slowest trials were removed the association was about half as large and its predictive gain was no longer clearly above its standard error. A wider boundary lengthens the decision, and a longer decision lets more of the pupil response accumulate in the window. Second, none of the measures taken before the decision (the pre-squeeze baseline, the grip-period pupil and the previous trial’s TEPR) predicted boundary separation.</w:t>
      </w:r>
    </w:p>
    <w:p>
      <w:pPr>
        <w:pStyle w:val="BodyText"/>
      </w:pPr>
      <w:r>
        <w:t xml:space="preserve">Pupil size in the 0.5 s before the response did predict wider boundaries, so the association is not confined to processing after the response. Because that window was placed relative to the response, however, it sampled later points of the evoked response on longer decisions, so it cannot separate a pupil change that set the boundary from one that accompanied a longer decision. Taken together, pupil size tracked the decision as it unfolded, not a state measured before it. A window fixed to the probe and ending before the earliest response would separate the two, but in this design the 0.35 s between probe onset and the response cue is too short for the pupil response to develop</w:t>
      </w:r>
      <w:r>
        <w:t xml:space="preserve"> </w:t>
      </w:r>
      <w:r>
        <w:t xml:space="preserve">(Mathôt, 2018)</w:t>
      </w:r>
      <w:r>
        <w:t xml:space="preserve">.</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51 of the 67 participants, selected on recording quality, and they are correlational at the level of trials. In that subsample, the effort effects on the drift criterion and boundary separation had the same sign as in the full sample. The TEPR window included post-decision processing, and because the pre-probe baseline began shortly after the standard, it included the onset of the pupil response to the standard, so the TEPR measures the response to the probe on top of a still-rising response to the standard. The grip-period measure combined effort-related dilation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effort.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p>
      <w:pPr>
        <w:pStyle w:val="BodyText"/>
      </w:pPr>
      <w:r>
        <w:rPr>
          <w:b/>
          <w:bCs/>
        </w:rPr>
        <w:t xml:space="preserve">Response mapping.</w:t>
      </w:r>
      <w:r>
        <w:t xml:space="preserve"> </w:t>
      </w:r>
      <w:r>
        <w:t xml:space="preserve">“Different”</w:t>
      </w:r>
      <w:r>
        <w:t xml:space="preserve"> </w:t>
      </w:r>
      <w:r>
        <w:t xml:space="preserve">was always given with the right index finger and</w:t>
      </w:r>
      <w:r>
        <w:t xml:space="preserve"> </w:t>
      </w:r>
      <w:r>
        <w:t xml:space="preserve">“same”</w:t>
      </w:r>
      <w:r>
        <w:t xml:space="preserve"> </w:t>
      </w:r>
      <w:r>
        <w:t xml:space="preserve">with the right middle finger, while the left hand held the grip. A bias acting on the evidence for one response therefore cannot be separated from the finger that gave that response; counterbalancing the mapping across participants would separate them.</w:t>
      </w:r>
    </w:p>
    <w:p>
      <w:pPr>
        <w:pStyle w:val="BodyText"/>
      </w:pPr>
      <w:r>
        <w:rPr>
          <w:b/>
          <w:bCs/>
        </w:rPr>
        <w:t xml:space="preserve">Physiological measures.</w:t>
      </w:r>
      <w:r>
        <w:t xml:space="preserve"> </w:t>
      </w:r>
      <w:r>
        <w:t xml:space="preserve">Pupil size was the only physiological measure. Because locus coeruleus activity was not measured during the task, links between the pupil results and the noradrenergic system remain interpretive.</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w:t>
      </w:r>
      <w:r>
        <w:t xml:space="preserve">It did not reduce the overall quality of the evidence accumulated or change response caution in a meaningful way. Pupil responses during the decision were larger on trials with wider boundaries, but pupil size measured before the decision did not predict boundary separation.</w:t>
      </w:r>
    </w:p>
    <w:bookmarkEnd w:id="52"/>
    <w:bookmarkEnd w:id="53"/>
    <w:bookmarkStart w:id="126" w:name="references"/>
    <w:p>
      <w:pPr>
        <w:pStyle w:val="Heading1"/>
      </w:pPr>
      <w:r>
        <w:t xml:space="preserve">References</w:t>
      </w:r>
    </w:p>
    <w:bookmarkStart w:id="125"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0">
        <w:r>
          <w:rPr>
            <w:rStyle w:val="Hyperlink"/>
          </w:rPr>
          <w:t xml:space="preserve">https://doi.org/10.1016/j.jml.2012.11.001</w:t>
        </w:r>
      </w:hyperlink>
    </w:p>
    <w:bookmarkEnd w:id="61"/>
    <w:bookmarkStart w:id="63"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2">
        <w:r>
          <w:rPr>
            <w:rStyle w:val="Hyperlink"/>
          </w:rPr>
          <w:t xml:space="preserve">https://doi.org/10.48550/arXiv.1506.04967</w:t>
        </w:r>
      </w:hyperlink>
    </w:p>
    <w:bookmarkEnd w:id="63"/>
    <w:bookmarkStart w:id="65"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4">
        <w:r>
          <w:rPr>
            <w:rStyle w:val="Hyperlink"/>
          </w:rPr>
          <w:t xml:space="preserve">https://doi.org/10.18637/jss.v067.i01</w:t>
        </w:r>
      </w:hyperlink>
    </w:p>
    <w:bookmarkEnd w:id="65"/>
    <w:bookmarkStart w:id="67"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6">
        <w:r>
          <w:rPr>
            <w:rStyle w:val="Hyperlink"/>
          </w:rPr>
          <w:t xml:space="preserve">https://doi.org/10.1037/0033-2909.91.2.276</w:t>
        </w:r>
      </w:hyperlink>
    </w:p>
    <w:bookmarkEnd w:id="67"/>
    <w:bookmarkStart w:id="69" w:name="ref-brainard1997psychophysics"/>
    <w:p>
      <w:pPr>
        <w:pStyle w:val="Bibliography"/>
      </w:pPr>
      <w:r>
        <w:t xml:space="preserve">Brainard, D. H. (1997). The</w:t>
      </w:r>
      <w:r>
        <w:t xml:space="preserve"> </w:t>
      </w:r>
      <w:r>
        <w:t xml:space="preserve">Psychophysics Toolbox</w:t>
      </w:r>
      <w:r>
        <w:t xml:space="preserve">.</w:t>
      </w:r>
      <w:r>
        <w:t xml:space="preserve"> </w:t>
      </w:r>
      <w:r>
        <w:rPr>
          <w:i/>
          <w:iCs/>
        </w:rPr>
        <w:t xml:space="preserve">Spatial Vision</w:t>
      </w:r>
      <w:r>
        <w:t xml:space="preserve">,</w:t>
      </w:r>
      <w:r>
        <w:t xml:space="preserve"> </w:t>
      </w:r>
      <w:r>
        <w:rPr>
          <w:i/>
          <w:iCs/>
        </w:rPr>
        <w:t xml:space="preserve">10</w:t>
      </w:r>
      <w:r>
        <w:t xml:space="preserve">(4), 433–436.</w:t>
      </w:r>
      <w:r>
        <w:t xml:space="preserve"> </w:t>
      </w:r>
      <w:hyperlink r:id="rId68">
        <w:r>
          <w:rPr>
            <w:rStyle w:val="Hyperlink"/>
          </w:rPr>
          <w:t xml:space="preserve">https://doi.org/10.1163/156856897X00357</w:t>
        </w:r>
      </w:hyperlink>
    </w:p>
    <w:bookmarkEnd w:id="69"/>
    <w:bookmarkStart w:id="71"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0">
        <w:r>
          <w:rPr>
            <w:rStyle w:val="Hyperlink"/>
          </w:rPr>
          <w:t xml:space="preserve">https://doi.org/10.1037/met0000159</w:t>
        </w:r>
      </w:hyperlink>
    </w:p>
    <w:bookmarkEnd w:id="71"/>
    <w:bookmarkStart w:id="73" w:name="ref-burkner2017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2">
        <w:r>
          <w:rPr>
            <w:rStyle w:val="Hyperlink"/>
          </w:rPr>
          <w:t xml:space="preserve">https://doi.org/10.18637/jss.v080.i01</w:t>
        </w:r>
      </w:hyperlink>
    </w:p>
    <w:bookmarkEnd w:id="73"/>
    <w:bookmarkStart w:id="75"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4">
        <w:r>
          <w:rPr>
            <w:rStyle w:val="Hyperlink"/>
          </w:rPr>
          <w:t xml:space="preserve">https://doi.org/10.1037/a0035813</w:t>
        </w:r>
      </w:hyperlink>
    </w:p>
    <w:bookmarkEnd w:id="75"/>
    <w:bookmarkStart w:id="77"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6">
        <w:r>
          <w:rPr>
            <w:rStyle w:val="Hyperlink"/>
          </w:rPr>
          <w:t xml:space="preserve">https://doi.org/10.3758/s13415-020-00843-z</w:t>
        </w:r>
      </w:hyperlink>
    </w:p>
    <w:bookmarkEnd w:id="77"/>
    <w:bookmarkStart w:id="79"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8">
        <w:r>
          <w:rPr>
            <w:rStyle w:val="Hyperlink"/>
          </w:rPr>
          <w:t xml:space="preserve">https://doi.org/10.7554/eLife.54014</w:t>
        </w:r>
      </w:hyperlink>
    </w:p>
    <w:bookmarkEnd w:id="79"/>
    <w:bookmarkStart w:id="81"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0">
        <w:r>
          <w:rPr>
            <w:rStyle w:val="Hyperlink"/>
          </w:rPr>
          <w:t xml:space="preserve">https://doi.org/10.1016/j.neuron.2015.11.028</w:t>
        </w:r>
      </w:hyperlink>
    </w:p>
    <w:bookmarkEnd w:id="81"/>
    <w:bookmarkStart w:id="82" w:name="ref-kahneman1973attention"/>
    <w:p>
      <w:pPr>
        <w:pStyle w:val="Bibliography"/>
      </w:pPr>
      <w:r>
        <w:t xml:space="preserve">Kahneman, D. (1973).</w:t>
      </w:r>
      <w:r>
        <w:t xml:space="preserve"> </w:t>
      </w:r>
      <w:r>
        <w:rPr>
          <w:i/>
          <w:iCs/>
        </w:rPr>
        <w:t xml:space="preserve">Attention and effort</w:t>
      </w:r>
      <w:r>
        <w:t xml:space="preserve">. Prentice-Hall.</w:t>
      </w:r>
    </w:p>
    <w:bookmarkEnd w:id="82"/>
    <w:bookmarkStart w:id="84" w:name="ref-kleiner2007s"/>
    <w:p>
      <w:pPr>
        <w:pStyle w:val="Bibliography"/>
      </w:pPr>
      <w:r>
        <w:t xml:space="preserve">Kleiner, M., Brainard, D., &amp; Pelli, D. (2007). What’s new in</w:t>
      </w:r>
      <w:r>
        <w:t xml:space="preserve"> </w:t>
      </w:r>
      <w:r>
        <w:t xml:space="preserve">Psychtoolbox-3</w:t>
      </w:r>
      <w:r>
        <w:t xml:space="preserve">?</w:t>
      </w:r>
      <w:r>
        <w:t xml:space="preserve"> </w:t>
      </w:r>
      <w:r>
        <w:rPr>
          <w:i/>
          <w:iCs/>
        </w:rPr>
        <w:t xml:space="preserve">Perception</w:t>
      </w:r>
      <w:r>
        <w:t xml:space="preserve">,</w:t>
      </w:r>
      <w:r>
        <w:t xml:space="preserve"> </w:t>
      </w:r>
      <w:r>
        <w:rPr>
          <w:i/>
          <w:iCs/>
        </w:rPr>
        <w:t xml:space="preserve">36</w:t>
      </w:r>
      <w:r>
        <w:t xml:space="preserve">(ECVP Abstract Supplement), 14.</w:t>
      </w:r>
      <w:r>
        <w:t xml:space="preserve"> </w:t>
      </w:r>
      <w:hyperlink r:id="rId83">
        <w:r>
          <w:rPr>
            <w:rStyle w:val="Hyperlink"/>
          </w:rPr>
          <w:t xml:space="preserve">https://pure.mpg.de/rest/items/item_1790332/component/file_3136265/content</w:t>
        </w:r>
      </w:hyperlink>
    </w:p>
    <w:bookmarkEnd w:id="84"/>
    <w:bookmarkStart w:id="86"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85">
        <w:r>
          <w:rPr>
            <w:rStyle w:val="Hyperlink"/>
          </w:rPr>
          <w:t xml:space="preserve">https://doi.org/10.1177/2515245918771304</w:t>
        </w:r>
      </w:hyperlink>
    </w:p>
    <w:bookmarkEnd w:id="86"/>
    <w:bookmarkStart w:id="88" w:name="ref-lenth2024emmeans"/>
    <w:p>
      <w:pPr>
        <w:pStyle w:val="Bibliography"/>
      </w:pPr>
      <w:r>
        <w:t xml:space="preserve">Lenth, R. V., &amp; Piaskowski, J. (2026).</w:t>
      </w:r>
      <w:r>
        <w:t xml:space="preserve"> </w:t>
      </w:r>
      <w:r>
        <w:rPr>
          <w:i/>
          <w:iCs/>
        </w:rPr>
        <w:t xml:space="preserve">emmeans</w:t>
      </w:r>
      <w:r>
        <w:rPr>
          <w:i/>
          <w:iCs/>
        </w:rPr>
        <w:t xml:space="preserve">: Estimated marginal means, aka least-squares means</w:t>
      </w:r>
      <w:r>
        <w:t xml:space="preserve">.</w:t>
      </w:r>
      <w:r>
        <w:t xml:space="preserve"> </w:t>
      </w:r>
      <w:hyperlink r:id="rId87">
        <w:r>
          <w:rPr>
            <w:rStyle w:val="Hyperlink"/>
          </w:rPr>
          <w:t xml:space="preserve">https://doi.org/10.32614/CRAN.package.emmeans</w:t>
        </w:r>
      </w:hyperlink>
    </w:p>
    <w:bookmarkEnd w:id="88"/>
    <w:bookmarkStart w:id="90" w:name="ref-mather2016locus"/>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89">
        <w:r>
          <w:rPr>
            <w:rStyle w:val="Hyperlink"/>
          </w:rPr>
          <w:t xml:space="preserve">https://doi.org/10.1016/j.tics.2016.01.001</w:t>
        </w:r>
      </w:hyperlink>
    </w:p>
    <w:bookmarkEnd w:id="90"/>
    <w:bookmarkStart w:id="92"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1">
        <w:r>
          <w:rPr>
            <w:rStyle w:val="Hyperlink"/>
          </w:rPr>
          <w:t xml:space="preserve">https://doi.org/10.1016/j.neuroimage.2020.116560</w:t>
        </w:r>
      </w:hyperlink>
    </w:p>
    <w:bookmarkEnd w:id="92"/>
    <w:bookmarkStart w:id="94"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3">
        <w:r>
          <w:rPr>
            <w:rStyle w:val="Hyperlink"/>
          </w:rPr>
          <w:t xml:space="preserve">https://doi.org/10.5334/joc.18</w:t>
        </w:r>
      </w:hyperlink>
    </w:p>
    <w:bookmarkEnd w:id="94"/>
    <w:bookmarkStart w:id="96" w:name="ref-piquado2010pupillometry"/>
    <w:p>
      <w:pPr>
        <w:pStyle w:val="Bibliography"/>
      </w:pPr>
      <w:r>
        <w:t xml:space="preserve">Piquado, T., Isaacowitz, D., &amp; Wingfield, A. (2010). Pupillometry as a measure of cognitive effort in younger and older adults.</w:t>
      </w:r>
      <w:r>
        <w:t xml:space="preserve"> </w:t>
      </w:r>
      <w:r>
        <w:rPr>
          <w:i/>
          <w:iCs/>
        </w:rPr>
        <w:t xml:space="preserve">Psychophysiology</w:t>
      </w:r>
      <w:r>
        <w:t xml:space="preserve">,</w:t>
      </w:r>
      <w:r>
        <w:t xml:space="preserve"> </w:t>
      </w:r>
      <w:r>
        <w:rPr>
          <w:i/>
          <w:iCs/>
        </w:rPr>
        <w:t xml:space="preserve">47</w:t>
      </w:r>
      <w:r>
        <w:t xml:space="preserve">(3), 560–569.</w:t>
      </w:r>
      <w:r>
        <w:t xml:space="preserve"> </w:t>
      </w:r>
      <w:hyperlink r:id="rId95">
        <w:r>
          <w:rPr>
            <w:rStyle w:val="Hyperlink"/>
          </w:rPr>
          <w:t xml:space="preserve">https://doi.org/10.1111/j.1469-8986.2009.00947.x</w:t>
        </w:r>
      </w:hyperlink>
    </w:p>
    <w:bookmarkEnd w:id="96"/>
    <w:bookmarkStart w:id="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7">
        <w:r>
          <w:rPr>
            <w:rStyle w:val="Hyperlink"/>
          </w:rPr>
          <w:t xml:space="preserve">https://doi.org/10.1162/neco.2008.12-06-420</w:t>
        </w:r>
      </w:hyperlink>
    </w:p>
    <w:bookmarkEnd w:id="98"/>
    <w:bookmarkStart w:id="1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9">
        <w:r>
          <w:rPr>
            <w:rStyle w:val="Hyperlink"/>
          </w:rPr>
          <w:t xml:space="preserve">https://doi.org/10.1037/0882-7974.16.2.323</w:t>
        </w:r>
      </w:hyperlink>
    </w:p>
    <w:bookmarkEnd w:id="100"/>
    <w:bookmarkStart w:id="102"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1">
        <w:r>
          <w:rPr>
            <w:rStyle w:val="Hyperlink"/>
          </w:rPr>
          <w:t xml:space="preserve">https://doi.org/10.3758/BF03196302</w:t>
        </w:r>
      </w:hyperlink>
    </w:p>
    <w:bookmarkEnd w:id="102"/>
    <w:bookmarkStart w:id="104"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3">
        <w:r>
          <w:rPr>
            <w:rStyle w:val="Hyperlink"/>
          </w:rPr>
          <w:t xml:space="preserve">https://mc-stan.org/docs/cmdstan-guide/</w:t>
        </w:r>
      </w:hyperlink>
    </w:p>
    <w:bookmarkEnd w:id="104"/>
    <w:bookmarkStart w:id="106"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105">
        <w:r>
          <w:rPr>
            <w:rStyle w:val="Hyperlink"/>
          </w:rPr>
          <w:t xml:space="preserve">https://doi.org/10.1037/a0018022</w:t>
        </w:r>
      </w:hyperlink>
    </w:p>
    <w:bookmarkEnd w:id="106"/>
    <w:bookmarkStart w:id="108" w:name="ref-theisen2021age"/>
    <w:p>
      <w:pPr>
        <w:pStyle w:val="Bibliography"/>
      </w:pPr>
      <w:r>
        <w:t xml:space="preserve">Theisen, M., Lerche, V., von Krause, M., &amp; Voss, A.</w:t>
      </w:r>
      <w:r>
        <w:t xml:space="preserve">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7">
        <w:r>
          <w:rPr>
            <w:rStyle w:val="Hyperlink"/>
          </w:rPr>
          <w:t xml:space="preserve">https://doi.org/10.1007/s00426-020-01371-8</w:t>
        </w:r>
      </w:hyperlink>
    </w:p>
    <w:bookmarkEnd w:id="108"/>
    <w:bookmarkStart w:id="110"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9">
        <w:r>
          <w:rPr>
            <w:rStyle w:val="Hyperlink"/>
          </w:rPr>
          <w:t xml:space="preserve">https://doi.org/10.1038/ncomms14637</w:t>
        </w:r>
      </w:hyperlink>
    </w:p>
    <w:bookmarkEnd w:id="110"/>
    <w:bookmarkStart w:id="112" w:name="ref-vanderwel2018pupil"/>
    <w:p>
      <w:pPr>
        <w:pStyle w:val="Bibliography"/>
      </w:pPr>
      <w:r>
        <w:t xml:space="preserve">van der Wel, P., &amp; van Steenbergen, H.</w:t>
      </w:r>
      <w:r>
        <w:t xml:space="preserve">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111">
        <w:r>
          <w:rPr>
            <w:rStyle w:val="Hyperlink"/>
          </w:rPr>
          <w:t xml:space="preserve">https://doi.org/10.3758/s13423-018-1432-y</w:t>
        </w:r>
      </w:hyperlink>
    </w:p>
    <w:bookmarkEnd w:id="112"/>
    <w:bookmarkStart w:id="114"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13">
        <w:r>
          <w:rPr>
            <w:rStyle w:val="Hyperlink"/>
          </w:rPr>
          <w:t xml:space="preserve">https://doi.org/10.1007/s11222-016-9696-4</w:t>
        </w:r>
      </w:hyperlink>
    </w:p>
    <w:bookmarkEnd w:id="114"/>
    <w:bookmarkStart w:id="116"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5">
        <w:r>
          <w:rPr>
            <w:rStyle w:val="Hyperlink"/>
          </w:rPr>
          <w:t xml:space="preserve">https://doi.org/10.1214/20-BA1221</w:t>
        </w:r>
      </w:hyperlink>
    </w:p>
    <w:bookmarkEnd w:id="116"/>
    <w:bookmarkStart w:id="118"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7">
        <w:r>
          <w:rPr>
            <w:rStyle w:val="Hyperlink"/>
          </w:rPr>
          <w:t xml:space="preserve">https://doi.org/10.1037/0882-7974.18.3.443</w:t>
        </w:r>
      </w:hyperlink>
    </w:p>
    <w:bookmarkEnd w:id="118"/>
    <w:bookmarkStart w:id="120"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9">
        <w:r>
          <w:rPr>
            <w:rStyle w:val="Hyperlink"/>
          </w:rPr>
          <w:t xml:space="preserve">https://doi.org/10.1518/001872008X288394</w:t>
        </w:r>
      </w:hyperlink>
    </w:p>
    <w:bookmarkEnd w:id="120"/>
    <w:bookmarkStart w:id="122" w:name="ref-winn1994factors"/>
    <w:p>
      <w:pPr>
        <w:pStyle w:val="Bibliography"/>
      </w:pPr>
      <w:r>
        <w:t xml:space="preserve">Winn, B., Whitaker, D., Elliott, D. B., &amp; Phillips, N. J. (1994). Factors affecting light-adapted pupil size in normal human subjects.</w:t>
      </w:r>
      <w:r>
        <w:t xml:space="preserve"> </w:t>
      </w:r>
      <w:r>
        <w:rPr>
          <w:i/>
          <w:iCs/>
        </w:rPr>
        <w:t xml:space="preserve">Investigative Ophthalmology &amp; Visual Science</w:t>
      </w:r>
      <w:r>
        <w:t xml:space="preserve">,</w:t>
      </w:r>
      <w:r>
        <w:t xml:space="preserve"> </w:t>
      </w:r>
      <w:r>
        <w:rPr>
          <w:i/>
          <w:iCs/>
        </w:rPr>
        <w:t xml:space="preserve">35</w:t>
      </w:r>
      <w:r>
        <w:t xml:space="preserve">(3), 1132–1137.</w:t>
      </w:r>
      <w:r>
        <w:t xml:space="preserve"> </w:t>
      </w:r>
      <w:hyperlink r:id="rId121">
        <w:r>
          <w:rPr>
            <w:rStyle w:val="Hyperlink"/>
          </w:rPr>
          <w:t xml:space="preserve">https://iovs.arvojournals.org/article.aspx?articleid=2161149</w:t>
        </w:r>
      </w:hyperlink>
    </w:p>
    <w:bookmarkEnd w:id="122"/>
    <w:bookmarkStart w:id="124" w:name="ref-zenon2014pupil"/>
    <w:p>
      <w:pPr>
        <w:pStyle w:val="Bibliography"/>
      </w:pPr>
      <w:r>
        <w:t xml:space="preserve">Zénon, A., Sidibé, M., &amp; Olivier, E. (2014). Pupil size variations correlate with physical effort perception.</w:t>
      </w:r>
      <w:r>
        <w:t xml:space="preserve"> </w:t>
      </w:r>
      <w:r>
        <w:rPr>
          <w:i/>
          <w:iCs/>
        </w:rPr>
        <w:t xml:space="preserve">Frontiers in Behavioral Neuroscience</w:t>
      </w:r>
      <w:r>
        <w:t xml:space="preserve">,</w:t>
      </w:r>
      <w:r>
        <w:t xml:space="preserve"> </w:t>
      </w:r>
      <w:r>
        <w:rPr>
          <w:i/>
          <w:iCs/>
        </w:rPr>
        <w:t xml:space="preserve">8</w:t>
      </w:r>
      <w:r>
        <w:t xml:space="preserve">, 286.</w:t>
      </w:r>
      <w:r>
        <w:t xml:space="preserve"> </w:t>
      </w:r>
      <w:hyperlink r:id="rId123">
        <w:r>
          <w:rPr>
            <w:rStyle w:val="Hyperlink"/>
          </w:rPr>
          <w:t xml:space="preserve">https://doi.org/10.3389/fnbeh.2014.00286</w:t>
        </w:r>
      </w:hyperlink>
    </w:p>
    <w:bookmarkEnd w:id="124"/>
    <w:bookmarkEnd w:id="125"/>
    <w:bookmarkEnd w:id="126"/>
    <w:bookmarkStart w:id="160" w:name="supplementary-materials"/>
    <w:p>
      <w:pPr>
        <w:pStyle w:val="Heading1"/>
      </w:pPr>
      <w:r>
        <w:t xml:space="preserve">Supplementary Materials</w:t>
      </w:r>
    </w:p>
    <w:bookmarkStart w:id="147" w:name="model-estimation-and-fit"/>
    <w:p>
      <w:pPr>
        <w:pStyle w:val="Heading2"/>
      </w:pPr>
      <w:r>
        <w:t xml:space="preserve">Model estimation and fit</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30" w:name="suppfig-flow"/>
          <w:p>
            <w:pPr>
              <w:jc w:val="center"/>
            </w:pPr>
            <w:r>
              <w:drawing>
                <wp:inline>
                  <wp:extent cx="5334000" cy="6574465"/>
                  <wp:effectExtent b="0" l="0" r="0" t="0"/>
                  <wp:docPr descr="" title="" id="128" name="Picture"/>
                  <a:graphic>
                    <a:graphicData uri="http://schemas.openxmlformats.org/drawingml/2006/picture">
                      <pic:pic>
                        <pic:nvPicPr>
                          <pic:cNvPr descr="../output/ddm_refits/runs/final_20261016/figures/final/S_participant_flow.png" id="129" name="Picture"/>
                          <pic:cNvPicPr>
                            <a:picLocks noChangeArrowheads="1" noChangeAspect="1"/>
                          </pic:cNvPicPr>
                        </pic:nvPicPr>
                        <pic:blipFill>
                          <a:blip r:embed="rId127"/>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supptbl-trial-counts"/>
          <w:p>
            <w:pPr>
              <w:jc w:val="center"/>
            </w:pPr>
            <w:pPr>
              <w:jc w:val="left"/>
              <w:spacing w:before="200"/>
              <w:pStyle w:val="ImageCaption"/>
            </w:pPr>
            <w:r>
              <w:t xml:space="preserve">Table S1: Trials in the primary analysis by task, stimulus type and effort</w:t>
            </w:r>
          </w:p>
          <w:tbl>
            <w:tblPr>
              <w:tblStyle w:val="Table"/>
              <w:tblW w:type="pct" w:w="5000"/>
              <w:tblLayout w:type="fixed"/>
              <w:tblLook w:firstRow="1" w:lastRow="0" w:firstColumn="0" w:lastColumn="0" w:noHBand="0" w:noVBand="0" w:val="0020"/>
            </w:tblPr>
            <w:tblGrid>
              <w:gridCol w:w="600"/>
              <w:gridCol w:w="1320"/>
              <w:gridCol w:w="840"/>
              <w:gridCol w:w="840"/>
              <w:gridCol w:w="1560"/>
              <w:gridCol w:w="276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Trials per participant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31"/>
          <w:p/>
        </w:tc>
      </w:tr>
    </w:tbl>
    <w:p>
      <w:pPr>
        <w:pStyle w:val="BodyText"/>
      </w:pPr>
      <w:r>
        <w:t xml:space="preserve">Prior distributions are listed in Table S2.</w:t>
      </w:r>
    </w:p>
    <w:tbl>
      <w:tblPr>
        <w:tblStyle w:val="Table"/>
        <w:tblW w:type="pct" w:w="5000"/>
        <w:tblLayout w:type="fixed"/>
        <w:tblLook w:firstRow="0" w:lastRow="0" w:firstColumn="0" w:lastColumn="0" w:noHBand="0" w:noVBand="0" w:val="0000"/>
      </w:tblPr>
      <w:tblGrid>
        <w:gridCol w:w="7920"/>
      </w:tblGrid>
      <w:tr>
        <w:tc>
          <w:tcPr/>
          <w:bookmarkStart w:id="132" w:name="supptbl-priors"/>
          <w:p>
            <w:pPr>
              <w:jc w:val="center"/>
            </w:pPr>
            <w:pPr>
              <w:jc w:val="left"/>
              <w:spacing w:before="200"/>
              <w:pStyle w:val="ImageCaption"/>
            </w:pPr>
            <w:r>
              <w:t xml:space="preserve">Table S2: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32"/>
        </w:tc>
      </w:tr>
    </w:tbl>
    <w:p>
      <w:pPr>
        <w:pStyle w:val="BodyText"/>
      </w:pPr>
      <w:r>
        <w:t xml:space="preserve">Table S3 compares the nested behavioral models, and Table S5 lists convergence diagnostics for every model reported in the chapter. Tables S6 and S7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33" w:name="supptbl-model-comparison"/>
          <w:p>
            <w:pPr>
              <w:jc w:val="center"/>
            </w:pPr>
            <w:pPr>
              <w:jc w:val="left"/>
              <w:spacing w:before="200"/>
              <w:pStyle w:val="ImageCaption"/>
            </w:pPr>
            <w:r>
              <w:t xml:space="preserve">Table S3: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86"/>
              <w:gridCol w:w="977"/>
              <w:gridCol w:w="586"/>
              <w:gridCol w:w="1271"/>
              <w:gridCol w:w="977"/>
              <w:gridCol w:w="977"/>
              <w:gridCol w:w="782"/>
              <w:gridCol w:w="1271"/>
              <w:gridCol w:w="488"/>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rPr>
                      <w:i/>
                      <w:iCs/>
                    </w:rPr>
                    <w:t xml:space="preserve">SE</w:t>
                  </w:r>
                </w:p>
              </w:tc>
              <w:tc>
                <w:tcPr/>
                <w:p>
                  <w:pPr>
                    <w:pStyle w:val="Compact"/>
                    <w:jc w:val="right"/>
                    <w:jc w:val="center"/>
                  </w:pPr>
                  <w:r>
                    <w:t xml:space="preserve">ΔELPD vs. M4</w:t>
                  </w:r>
                </w:p>
              </w:tc>
              <w:tc>
                <w:tcPr/>
                <w:p>
                  <w:pPr>
                    <w:pStyle w:val="Compact"/>
                    <w:jc w:val="right"/>
                    <w:jc w:val="center"/>
                  </w:pPr>
                  <w:r>
                    <w:rPr>
                      <w:i/>
                      <w:iCs/>
                    </w:rPr>
                    <w:t xml:space="preserve">SE</w:t>
                  </w:r>
                  <w:r>
                    <w:t xml:space="preserve"> </w:t>
                  </w:r>
                  <w:r>
                    <w:t xml:space="preserve">of Δ</w:t>
                  </w:r>
                </w:p>
              </w:tc>
              <w:tc>
                <w:tcPr/>
                <w:p>
                  <w:pPr>
                    <w:pStyle w:val="Compact"/>
                    <w:jc w:val="right"/>
                    <w:jc w:val="center"/>
                  </w:pPr>
                  <w:r>
                    <w:rPr>
                      <w:i/>
                      <w:iCs/>
                    </w:rPr>
                    <w:t xml:space="preserve">k</w:t>
                  </w:r>
                  <w:r>
                    <w:t xml:space="preserve"> </w:t>
                  </w:r>
                  <w:r>
                    <w:t xml:space="preserve">&gt; 0.7</w:t>
                  </w:r>
                </w:p>
              </w:tc>
              <w:tc>
                <w:tcPr/>
                <w:p>
                  <w:pPr>
                    <w:pStyle w:val="Compact"/>
                    <w:jc w:val="right"/>
                    <w:jc w:val="center"/>
                  </w:pPr>
                  <w:r>
                    <w:t xml:space="preserve">Max</w:t>
                  </w:r>
                  <w:r>
                    <w:t xml:space="preserve"> </w:t>
                  </w:r>
                  <w:r>
                    <w:rPr>
                      <w:i/>
                      <w:iCs/>
                    </w:rPr>
                    <w:t xml:space="preserve">R̂</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m2-interactions"/>
          <w:p>
            <w:pPr>
              <w:jc w:val="center"/>
            </w:pPr>
            <w:pPr>
              <w:jc w:val="left"/>
              <w:spacing w:before="200"/>
              <w:pStyle w:val="ImageCaption"/>
            </w:pPr>
            <w:r>
              <w:t xml:space="preserve">Table S4: Difficulty × effort terms in M2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Term</w:t>
                  </w:r>
                </w:p>
              </w:tc>
              <w:tc>
                <w:tcPr/>
                <w:p>
                  <w:pPr>
                    <w:pStyle w:val="Compact"/>
                    <w:jc w:val="right"/>
                    <w:jc w:val="center"/>
                  </w:pPr>
                  <w:r>
                    <w:t xml:space="preserve">Estimate [95% CrI]</w:t>
                  </w:r>
                </w:p>
              </w:tc>
              <w:tc>
                <w:tcPr/>
                <w:p>
                  <w:pPr>
                    <w:pStyle w:val="Compact"/>
                    <w:jc w:val="right"/>
                    <w:jc w:val="center"/>
                  </w:pPr>
                  <w:r>
                    <w:t xml:space="preserve">P(&lt; 0)</w:t>
                  </w:r>
                </w:p>
              </w:tc>
            </w:tr>
            <w:tr>
              <w:tc>
                <w:tcPr/>
                <w:p>
                  <w:pPr>
                    <w:pStyle w:val="Compact"/>
                    <w:jc w:val="left"/>
                    <w:jc w:val="center"/>
                  </w:pPr>
                  <w:r>
                    <w:t xml:space="preserve">Drift, Hard × high</w:t>
                  </w:r>
                </w:p>
              </w:tc>
              <w:tc>
                <w:tcPr/>
                <w:p>
                  <w:pPr>
                    <w:pStyle w:val="Compact"/>
                    <w:jc w:val="right"/>
                    <w:jc w:val="center"/>
                  </w:pPr>
                  <w:r>
                    <w:t xml:space="preserve">−0.020 [−0.114, 0.072]</w:t>
                  </w:r>
                </w:p>
              </w:tc>
              <w:tc>
                <w:tcPr/>
                <w:p>
                  <w:pPr>
                    <w:pStyle w:val="Compact"/>
                    <w:jc w:val="right"/>
                    <w:jc w:val="center"/>
                  </w:pPr>
                  <w:r>
                    <w:t xml:space="preserve">.664</w:t>
                  </w:r>
                </w:p>
              </w:tc>
            </w:tr>
            <w:tr>
              <w:tc>
                <w:tcPr/>
                <w:p>
                  <w:pPr>
                    <w:pStyle w:val="Compact"/>
                    <w:jc w:val="left"/>
                    <w:jc w:val="center"/>
                  </w:pPr>
                  <w:r>
                    <w:t xml:space="preserve">Drift, Easy × high</w:t>
                  </w:r>
                </w:p>
              </w:tc>
              <w:tc>
                <w:tcPr/>
                <w:p>
                  <w:pPr>
                    <w:pStyle w:val="Compact"/>
                    <w:jc w:val="right"/>
                    <w:jc w:val="center"/>
                  </w:pPr>
                  <w:r>
                    <w:t xml:space="preserve">0.057 [−0.040, 0.157]</w:t>
                  </w:r>
                </w:p>
              </w:tc>
              <w:tc>
                <w:tcPr/>
                <w:p>
                  <w:pPr>
                    <w:pStyle w:val="Compact"/>
                    <w:jc w:val="right"/>
                    <w:jc w:val="center"/>
                  </w:pPr>
                  <w:r>
                    <w:t xml:space="preserve">.124</w:t>
                  </w:r>
                </w:p>
              </w:tc>
            </w:tr>
            <w:tr>
              <w:tc>
                <w:tcPr/>
                <w:p>
                  <w:pPr>
                    <w:pStyle w:val="Compact"/>
                    <w:jc w:val="left"/>
                    <w:jc w:val="center"/>
                  </w:pPr>
                  <w:r>
                    <w:t xml:space="preserve">Drift, Hard − Easy</w:t>
                  </w:r>
                </w:p>
              </w:tc>
              <w:tc>
                <w:tcPr/>
                <w:p>
                  <w:pPr>
                    <w:pStyle w:val="Compact"/>
                    <w:jc w:val="right"/>
                    <w:jc w:val="center"/>
                  </w:pPr>
                  <w:r>
                    <w:t xml:space="preserve">−0.078 [−0.154, −0.001]</w:t>
                  </w:r>
                </w:p>
              </w:tc>
              <w:tc>
                <w:tcPr/>
                <w:p>
                  <w:pPr>
                    <w:pStyle w:val="Compact"/>
                    <w:jc w:val="right"/>
                    <w:jc w:val="center"/>
                  </w:pPr>
                  <w:r>
                    <w:t xml:space="preserve">.977</w:t>
                  </w:r>
                </w:p>
              </w:tc>
            </w:tr>
            <w:tr>
              <w:tc>
                <w:tcPr/>
                <w:p>
                  <w:pPr>
                    <w:pStyle w:val="Compact"/>
                    <w:jc w:val="left"/>
                    <w:jc w:val="center"/>
                  </w:pPr>
                  <w:r>
                    <w:t xml:space="preserve">Boundary, Hard × high</w:t>
                  </w:r>
                </w:p>
              </w:tc>
              <w:tc>
                <w:tcPr/>
                <w:p>
                  <w:pPr>
                    <w:pStyle w:val="Compact"/>
                    <w:jc w:val="right"/>
                    <w:jc w:val="center"/>
                  </w:pPr>
                  <w:r>
                    <w:t xml:space="preserve">−0.028 [−0.067, 0.010]</w:t>
                  </w:r>
                </w:p>
              </w:tc>
              <w:tc>
                <w:tcPr/>
                <w:p>
                  <w:pPr>
                    <w:pStyle w:val="Compact"/>
                    <w:jc w:val="right"/>
                    <w:jc w:val="center"/>
                  </w:pPr>
                  <w:r>
                    <w:t xml:space="preserve">.925</w:t>
                  </w:r>
                </w:p>
              </w:tc>
            </w:tr>
            <w:tr>
              <w:tc>
                <w:tcPr/>
                <w:p>
                  <w:pPr>
                    <w:pStyle w:val="Compact"/>
                    <w:jc w:val="left"/>
                    <w:jc w:val="center"/>
                  </w:pPr>
                  <w:r>
                    <w:t xml:space="preserve">Boundary, Easy × high</w:t>
                  </w:r>
                </w:p>
              </w:tc>
              <w:tc>
                <w:tcPr/>
                <w:p>
                  <w:pPr>
                    <w:pStyle w:val="Compact"/>
                    <w:jc w:val="right"/>
                    <w:jc w:val="center"/>
                  </w:pPr>
                  <w:r>
                    <w:t xml:space="preserve">−0.042 [−0.084, −0.001]</w:t>
                  </w:r>
                </w:p>
              </w:tc>
              <w:tc>
                <w:tcPr/>
                <w:p>
                  <w:pPr>
                    <w:pStyle w:val="Compact"/>
                    <w:jc w:val="right"/>
                    <w:jc w:val="center"/>
                  </w:pPr>
                  <w:r>
                    <w:t xml:space="preserve">.976</w:t>
                  </w:r>
                </w:p>
              </w:tc>
            </w:tr>
            <w:tr>
              <w:tc>
                <w:tcPr/>
                <w:p>
                  <w:pPr>
                    <w:pStyle w:val="Compact"/>
                    <w:jc w:val="left"/>
                    <w:jc w:val="center"/>
                  </w:pPr>
                  <w:r>
                    <w:t xml:space="preserve">Boundary, Hard − Easy</w:t>
                  </w:r>
                </w:p>
              </w:tc>
              <w:tc>
                <w:tcPr/>
                <w:p>
                  <w:pPr>
                    <w:pStyle w:val="Compact"/>
                    <w:jc w:val="right"/>
                    <w:jc w:val="center"/>
                  </w:pPr>
                  <w:r>
                    <w:t xml:space="preserve">0.014 [−0.018, 0.046]</w:t>
                  </w:r>
                </w:p>
              </w:tc>
              <w:tc>
                <w:tcPr/>
                <w:p>
                  <w:pPr>
                    <w:pStyle w:val="Compact"/>
                    <w:jc w:val="right"/>
                    <w:jc w:val="center"/>
                  </w:pPr>
                  <w:r>
                    <w:t xml:space="preserve">.192</w:t>
                  </w:r>
                </w:p>
              </w:tc>
            </w:tr>
          </w:tbl>
          <w:p>
            <w:pPr>
              <w:jc w:val="center"/>
            </w:pPr>
            <w:r>
              <w:rPr>
                <w:i/>
                <w:iCs/>
              </w:rPr>
              <w:t xml:space="preserve">Note.</w:t>
            </w:r>
            <w:r>
              <w:t xml:space="preserve"> </w:t>
            </w:r>
            <w:r>
              <w:t xml:space="preserve">Terms are deviations of the high-effort effect from its value on Standard trials. Hard − Easy is the difference between the two deviations. Estimates are on the link scale.</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supptbl-convergence"/>
          <w:p>
            <w:pPr>
              <w:jc w:val="center"/>
            </w:pPr>
            <w:pPr>
              <w:jc w:val="left"/>
              <w:spacing w:before="200"/>
              <w:pStyle w:val="ImageCaption"/>
            </w:pPr>
            <w:r>
              <w:t xml:space="preserve">Table S5: Convergence diagnostics for all reported models</w:t>
            </w:r>
          </w:p>
          <w:tbl>
            <w:tblPr>
              <w:tblStyle w:val="Table"/>
              <w:tblW w:type="pct" w:w="5000"/>
              <w:tblLayout w:type="fixed"/>
              <w:tblLook w:firstRow="1" w:lastRow="0" w:firstColumn="0" w:lastColumn="0" w:noHBand="0" w:noVBand="0" w:val="0020"/>
            </w:tblPr>
            <w:tblGrid>
              <w:gridCol w:w="2451"/>
              <w:gridCol w:w="2137"/>
              <w:gridCol w:w="628"/>
              <w:gridCol w:w="817"/>
              <w:gridCol w:w="817"/>
              <w:gridCol w:w="754"/>
              <w:gridCol w:w="314"/>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1,921</w:t>
                  </w:r>
                </w:p>
              </w:tc>
              <w:tc>
                <w:tcPr/>
                <w:p>
                  <w:pPr>
                    <w:pStyle w:val="Compact"/>
                    <w:jc w:val="right"/>
                    <w:jc w:val="center"/>
                  </w:pPr>
                  <w:r>
                    <w:t xml:space="preserve">3,873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P4–P5</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1,242</w:t>
                  </w:r>
                </w:p>
              </w:tc>
              <w:tc>
                <w:tcPr/>
                <w:p>
                  <w:pPr>
                    <w:pStyle w:val="Compact"/>
                    <w:jc w:val="right"/>
                    <w:jc w:val="center"/>
                  </w:pPr>
                  <w:r>
                    <w:t xml:space="preserve">2,480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P3 without slowest trials</w:t>
                  </w:r>
                </w:p>
              </w:tc>
              <w:tc>
                <w:tcPr/>
                <w:p>
                  <w:pPr>
                    <w:pStyle w:val="Compact"/>
                    <w:jc w:val="right"/>
                    <w:jc w:val="center"/>
                  </w:pPr>
                  <w:r>
                    <w:t xml:space="preserve">pupil-ordering baseline</w:t>
                  </w:r>
                </w:p>
              </w:tc>
              <w:tc>
                <w:tcPr/>
                <w:p>
                  <w:pPr>
                    <w:pStyle w:val="Compact"/>
                    <w:jc w:val="right"/>
                    <w:jc w:val="center"/>
                  </w:pPr>
                  <w:r>
                    <w:t xml:space="preserve">1.004</w:t>
                  </w:r>
                </w:p>
              </w:tc>
              <w:tc>
                <w:tcPr/>
                <w:p>
                  <w:pPr>
                    <w:pStyle w:val="Compact"/>
                    <w:jc w:val="right"/>
                    <w:jc w:val="center"/>
                  </w:pPr>
                  <w:r>
                    <w:t xml:space="preserve">1,579</w:t>
                  </w:r>
                </w:p>
              </w:tc>
              <w:tc>
                <w:tcPr/>
                <w:p>
                  <w:pPr>
                    <w:pStyle w:val="Compact"/>
                    <w:jc w:val="right"/>
                    <w:jc w:val="center"/>
                  </w:pPr>
                  <w:r>
                    <w:t xml:space="preserve">3,059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P6</w:t>
                  </w:r>
                </w:p>
              </w:tc>
              <w:tc>
                <w:tcPr/>
                <w:p>
                  <w:pPr>
                    <w:pStyle w:val="Compact"/>
                    <w:jc w:val="right"/>
                    <w:jc w:val="center"/>
                  </w:pPr>
                  <w:r>
                    <w:t xml:space="preserve">pupil-ordering baseline</w:t>
                  </w:r>
                </w:p>
              </w:tc>
              <w:tc>
                <w:tcPr/>
                <w:p>
                  <w:pPr>
                    <w:pStyle w:val="Compact"/>
                    <w:jc w:val="right"/>
                    <w:jc w:val="center"/>
                  </w:pPr>
                  <w:r>
                    <w:t xml:space="preserve">1.008</w:t>
                  </w:r>
                </w:p>
              </w:tc>
              <w:tc>
                <w:tcPr/>
                <w:p>
                  <w:pPr>
                    <w:pStyle w:val="Compact"/>
                    <w:jc w:val="right"/>
                    <w:jc w:val="center"/>
                  </w:pPr>
                  <w:r>
                    <w:t xml:space="preserve">1,211</w:t>
                  </w:r>
                </w:p>
              </w:tc>
              <w:tc>
                <w:tcPr/>
                <w:p>
                  <w:pPr>
                    <w:pStyle w:val="Compact"/>
                    <w:jc w:val="right"/>
                    <w:jc w:val="center"/>
                  </w:pPr>
                  <w:r>
                    <w:t xml:space="preserve">2,227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P7</w:t>
                  </w:r>
                </w:p>
              </w:tc>
              <w:tc>
                <w:tcPr/>
                <w:p>
                  <w:pPr>
                    <w:pStyle w:val="Compact"/>
                    <w:jc w:val="right"/>
                    <w:jc w:val="center"/>
                  </w:pPr>
                  <w:r>
                    <w:t xml:space="preserve">pupil-ordering baseline</w:t>
                  </w:r>
                </w:p>
              </w:tc>
              <w:tc>
                <w:tcPr/>
                <w:p>
                  <w:pPr>
                    <w:pStyle w:val="Compact"/>
                    <w:jc w:val="right"/>
                    <w:jc w:val="center"/>
                  </w:pPr>
                  <w:r>
                    <w:t xml:space="preserve">1.007</w:t>
                  </w:r>
                </w:p>
              </w:tc>
              <w:tc>
                <w:tcPr/>
                <w:p>
                  <w:pPr>
                    <w:pStyle w:val="Compact"/>
                    <w:jc w:val="right"/>
                    <w:jc w:val="center"/>
                  </w:pPr>
                  <w:r>
                    <w:t xml:space="preserve">954</w:t>
                  </w:r>
                </w:p>
              </w:tc>
              <w:tc>
                <w:tcPr/>
                <w:p>
                  <w:pPr>
                    <w:pStyle w:val="Compact"/>
                    <w:jc w:val="right"/>
                    <w:jc w:val="center"/>
                  </w:pPr>
                  <w:r>
                    <w:t xml:space="preserve">2,367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P8</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2,064</w:t>
                  </w:r>
                </w:p>
              </w:tc>
              <w:tc>
                <w:tcPr/>
                <w:p>
                  <w:pPr>
                    <w:pStyle w:val="Compact"/>
                    <w:jc w:val="right"/>
                    <w:jc w:val="center"/>
                  </w:pPr>
                  <w:r>
                    <w:t xml:space="preserve">4,686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1,307</w:t>
                  </w:r>
                </w:p>
              </w:tc>
              <w:tc>
                <w:tcPr/>
                <w:p>
                  <w:pPr>
                    <w:pStyle w:val="Compact"/>
                    <w:jc w:val="right"/>
                    <w:jc w:val="center"/>
                  </w:pPr>
                  <w:r>
                    <w:t xml:space="preserve">2,207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914</w:t>
                  </w:r>
                </w:p>
              </w:tc>
              <w:tc>
                <w:tcPr/>
                <w:p>
                  <w:pPr>
                    <w:pStyle w:val="Compact"/>
                    <w:jc w:val="right"/>
                    <w:jc w:val="center"/>
                  </w:pPr>
                  <w:r>
                    <w:t xml:space="preserve">2,101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1.005</w:t>
                  </w:r>
                </w:p>
              </w:tc>
              <w:tc>
                <w:tcPr/>
                <w:p>
                  <w:pPr>
                    <w:pStyle w:val="Compact"/>
                    <w:jc w:val="right"/>
                    <w:jc w:val="center"/>
                  </w:pPr>
                  <w:r>
                    <w:t xml:space="preserve">1,101</w:t>
                  </w:r>
                </w:p>
              </w:tc>
              <w:tc>
                <w:tcPr/>
                <w:p>
                  <w:pPr>
                    <w:pStyle w:val="Compact"/>
                    <w:jc w:val="right"/>
                    <w:jc w:val="center"/>
                  </w:pPr>
                  <w:r>
                    <w:t xml:space="preserve">2,126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 without slowest trials</w:t>
                  </w:r>
                </w:p>
              </w:tc>
              <w:tc>
                <w:tcPr/>
                <w:p>
                  <w:pPr>
                    <w:pStyle w:val="Compact"/>
                    <w:jc w:val="right"/>
                    <w:jc w:val="center"/>
                  </w:pPr>
                  <w:r>
                    <w:t xml:space="preserve">pupil-ordering</w:t>
                  </w:r>
                </w:p>
              </w:tc>
              <w:tc>
                <w:tcPr/>
                <w:p>
                  <w:pPr>
                    <w:pStyle w:val="Compact"/>
                    <w:jc w:val="right"/>
                    <w:jc w:val="center"/>
                  </w:pPr>
                  <w:r>
                    <w:t xml:space="preserve">1.005</w:t>
                  </w:r>
                </w:p>
              </w:tc>
              <w:tc>
                <w:tcPr/>
                <w:p>
                  <w:pPr>
                    <w:pStyle w:val="Compact"/>
                    <w:jc w:val="right"/>
                    <w:jc w:val="center"/>
                  </w:pPr>
                  <w:r>
                    <w:t xml:space="preserve">1,585</w:t>
                  </w:r>
                </w:p>
              </w:tc>
              <w:tc>
                <w:tcPr/>
                <w:p>
                  <w:pPr>
                    <w:pStyle w:val="Compact"/>
                    <w:jc w:val="right"/>
                    <w:jc w:val="center"/>
                  </w:pPr>
                  <w:r>
                    <w:t xml:space="preserve">2,740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1.006</w:t>
                  </w:r>
                </w:p>
              </w:tc>
              <w:tc>
                <w:tcPr/>
                <w:p>
                  <w:pPr>
                    <w:pStyle w:val="Compact"/>
                    <w:jc w:val="right"/>
                    <w:jc w:val="center"/>
                  </w:pPr>
                  <w:r>
                    <w:t xml:space="preserve">1,161</w:t>
                  </w:r>
                </w:p>
              </w:tc>
              <w:tc>
                <w:tcPr/>
                <w:p>
                  <w:pPr>
                    <w:pStyle w:val="Compact"/>
                    <w:jc w:val="right"/>
                    <w:jc w:val="center"/>
                  </w:pPr>
                  <w:r>
                    <w:t xml:space="preserve">2,446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1,207</w:t>
                  </w:r>
                </w:p>
              </w:tc>
              <w:tc>
                <w:tcPr/>
                <w:p>
                  <w:pPr>
                    <w:pStyle w:val="Compact"/>
                    <w:jc w:val="right"/>
                    <w:jc w:val="center"/>
                  </w:pPr>
                  <w:r>
                    <w:t xml:space="preserve">2,209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1,116</w:t>
                  </w:r>
                </w:p>
              </w:tc>
              <w:tc>
                <w:tcPr/>
                <w:p>
                  <w:pPr>
                    <w:pStyle w:val="Compact"/>
                    <w:jc w:val="right"/>
                    <w:jc w:val="center"/>
                  </w:pPr>
                  <w:r>
                    <w:t xml:space="preserve">2,146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1,176</w:t>
                  </w:r>
                </w:p>
              </w:tc>
              <w:tc>
                <w:tcPr/>
                <w:p>
                  <w:pPr>
                    <w:pStyle w:val="Compact"/>
                    <w:jc w:val="right"/>
                    <w:jc w:val="center"/>
                  </w:pPr>
                  <w:r>
                    <w:t xml:space="preserve">2,313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1,008</w:t>
                  </w:r>
                </w:p>
              </w:tc>
              <w:tc>
                <w:tcPr/>
                <w:p>
                  <w:pPr>
                    <w:pStyle w:val="Compact"/>
                    <w:jc w:val="right"/>
                    <w:jc w:val="center"/>
                  </w:pPr>
                  <w:r>
                    <w:t xml:space="preserve">2,353</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supptbl-fixef-m4"/>
          <w:p>
            <w:pPr>
              <w:jc w:val="center"/>
            </w:pPr>
            <w:pPr>
              <w:jc w:val="left"/>
              <w:spacing w:before="200"/>
              <w:pStyle w:val="ImageCaption"/>
            </w:pPr>
            <w:r>
              <w:t xml:space="preserve">Table S6: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supptbl-condition-cells"/>
          <w:p>
            <w:pPr>
              <w:jc w:val="center"/>
            </w:pPr>
            <w:pPr>
              <w:jc w:val="left"/>
              <w:spacing w:before="200"/>
              <w:pStyle w:val="ImageCaption"/>
            </w:pPr>
            <w:r>
              <w:t xml:space="preserve">Table S7: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37"/>
        </w:tc>
      </w:tr>
    </w:tbl>
    <w:p>
      <w:pPr>
        <w:pStyle w:val="BodyText"/>
      </w:pPr>
      <w:r>
        <w:t xml:space="preserve">M4 reproduced choice proportions closely (Table S8;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41" w:name="suppfig-ppc"/>
          <w:p>
            <w:pPr>
              <w:jc w:val="center"/>
            </w:pPr>
            <w:r>
              <w:drawing>
                <wp:inline>
                  <wp:extent cx="5334000" cy="4461163"/>
                  <wp:effectExtent b="0" l="0" r="0" t="0"/>
                  <wp:docPr descr="" title="" id="139" name="Picture"/>
                  <a:graphic>
                    <a:graphicData uri="http://schemas.openxmlformats.org/drawingml/2006/picture">
                      <pic:pic>
                        <pic:nvPicPr>
                          <pic:cNvPr descr="../output/ddm_refits/runs/final_20261016/figures/final/S_ppc_M4.png" id="140" name="Picture"/>
                          <pic:cNvPicPr>
                            <a:picLocks noChangeArrowheads="1" noChangeAspect="1"/>
                          </pic:cNvPicPr>
                        </pic:nvPicPr>
                        <pic:blipFill>
                          <a:blip r:embed="rId138"/>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ppc-choice"/>
          <w:p>
            <w:pPr>
              <w:jc w:val="center"/>
            </w:pPr>
            <w:pPr>
              <w:jc w:val="left"/>
              <w:spacing w:before="200"/>
              <w:pStyle w:val="ImageCaption"/>
            </w:pPr>
            <w:r>
              <w:t xml:space="preserve">Table S8: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.303</w:t>
                  </w:r>
                </w:p>
              </w:tc>
              <w:tc>
                <w:tcPr/>
                <w:p>
                  <w:pPr>
                    <w:pStyle w:val="Compact"/>
                    <w:jc w:val="right"/>
                    <w:jc w:val="center"/>
                  </w:pPr>
                  <w:r>
                    <w:t xml:space="preserve">.291</w:t>
                  </w:r>
                </w:p>
              </w:tc>
              <w:tc>
                <w:tcPr/>
                <w:p>
                  <w:pPr>
                    <w:pStyle w:val="Compact"/>
                    <w:jc w:val="right"/>
                    <w:jc w:val="center"/>
                  </w:pPr>
                  <w:r>
                    <w:t xml:space="preserve">[.269, .317]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.812</w:t>
                  </w:r>
                </w:p>
              </w:tc>
              <w:tc>
                <w:tcPr/>
                <w:p>
                  <w:pPr>
                    <w:pStyle w:val="Compact"/>
                    <w:jc w:val="right"/>
                    <w:jc w:val="center"/>
                  </w:pPr>
                  <w:r>
                    <w:t xml:space="preserve">.827</w:t>
                  </w:r>
                </w:p>
              </w:tc>
              <w:tc>
                <w:tcPr/>
                <w:p>
                  <w:pPr>
                    <w:pStyle w:val="Compact"/>
                    <w:jc w:val="right"/>
                    <w:jc w:val="center"/>
                  </w:pPr>
                  <w:r>
                    <w:t xml:space="preserve">[.808, .851]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.121</w:t>
                  </w:r>
                </w:p>
              </w:tc>
              <w:tc>
                <w:tcPr/>
                <w:p>
                  <w:pPr>
                    <w:pStyle w:val="Compact"/>
                    <w:jc w:val="right"/>
                    <w:jc w:val="center"/>
                  </w:pPr>
                  <w:r>
                    <w:t xml:space="preserve">.113</w:t>
                  </w:r>
                </w:p>
              </w:tc>
              <w:tc>
                <w:tcPr/>
                <w:p>
                  <w:pPr>
                    <w:pStyle w:val="Compact"/>
                    <w:jc w:val="right"/>
                    <w:jc w:val="center"/>
                  </w:pPr>
                  <w:r>
                    <w:t xml:space="preserve">[.088, .138]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.831</w:t>
                  </w:r>
                </w:p>
              </w:tc>
              <w:tc>
                <w:tcPr/>
                <w:p>
                  <w:pPr>
                    <w:pStyle w:val="Compact"/>
                    <w:jc w:val="right"/>
                    <w:jc w:val="center"/>
                  </w:pPr>
                  <w:r>
                    <w:t xml:space="preserve">.844</w:t>
                  </w:r>
                </w:p>
              </w:tc>
              <w:tc>
                <w:tcPr/>
                <w:p>
                  <w:pPr>
                    <w:pStyle w:val="Compact"/>
                    <w:jc w:val="right"/>
                    <w:jc w:val="center"/>
                  </w:pPr>
                  <w:r>
                    <w:t xml:space="preserve">[.825, .864]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[.235, .288]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.153</w:t>
                  </w:r>
                </w:p>
              </w:tc>
              <w:tc>
                <w:tcPr/>
                <w:p>
                  <w:pPr>
                    <w:pStyle w:val="Compact"/>
                    <w:jc w:val="right"/>
                    <w:jc w:val="center"/>
                  </w:pPr>
                  <w:r>
                    <w:t xml:space="preserve">.128</w:t>
                  </w:r>
                </w:p>
              </w:tc>
              <w:tc>
                <w:tcPr/>
                <w:p>
                  <w:pPr>
                    <w:pStyle w:val="Compact"/>
                    <w:jc w:val="right"/>
                    <w:jc w:val="center"/>
                  </w:pPr>
                  <w:r>
                    <w:t xml:space="preserve">[.101, .154]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.289</w:t>
                  </w:r>
                </w:p>
              </w:tc>
              <w:tc>
                <w:tcPr/>
                <w:p>
                  <w:pPr>
                    <w:pStyle w:val="Compact"/>
                    <w:jc w:val="right"/>
                    <w:jc w:val="center"/>
                  </w:pPr>
                  <w:r>
                    <w:t xml:space="preserve">.275</w:t>
                  </w:r>
                </w:p>
              </w:tc>
              <w:tc>
                <w:tcPr/>
                <w:p>
                  <w:pPr>
                    <w:pStyle w:val="Compact"/>
                    <w:jc w:val="right"/>
                    <w:jc w:val="center"/>
                  </w:pPr>
                  <w:r>
                    <w:t xml:space="preserve">[.249, .302]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.337</w:t>
                  </w:r>
                </w:p>
              </w:tc>
              <w:tc>
                <w:tcPr/>
                <w:p>
                  <w:pPr>
                    <w:pStyle w:val="Compact"/>
                    <w:jc w:val="right"/>
                    <w:jc w:val="center"/>
                  </w:pPr>
                  <w:r>
                    <w:t xml:space="preserve">.308</w:t>
                  </w:r>
                </w:p>
              </w:tc>
              <w:tc>
                <w:tcPr/>
                <w:p>
                  <w:pPr>
                    <w:pStyle w:val="Compact"/>
                    <w:jc w:val="right"/>
                    <w:jc w:val="center"/>
                  </w:pPr>
                  <w:r>
                    <w:t xml:space="preserve">[.281, .332]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.909</w:t>
                  </w:r>
                </w:p>
              </w:tc>
              <w:tc>
                <w:tcPr/>
                <w:p>
                  <w:pPr>
                    <w:pStyle w:val="Compact"/>
                    <w:jc w:val="right"/>
                    <w:jc w:val="center"/>
                  </w:pPr>
                  <w:r>
                    <w:t xml:space="preserve">.920</w:t>
                  </w:r>
                </w:p>
              </w:tc>
              <w:tc>
                <w:tcPr/>
                <w:p>
                  <w:pPr>
                    <w:pStyle w:val="Compact"/>
                    <w:jc w:val="right"/>
                    <w:jc w:val="center"/>
                  </w:pPr>
                  <w:r>
                    <w:t xml:space="preserve">[.907, .935]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.075</w:t>
                  </w:r>
                </w:p>
              </w:tc>
              <w:tc>
                <w:tcPr/>
                <w:p>
                  <w:pPr>
                    <w:pStyle w:val="Compact"/>
                    <w:jc w:val="right"/>
                    <w:jc w:val="center"/>
                  </w:pPr>
                  <w:r>
                    <w:t xml:space="preserve">.067</w:t>
                  </w:r>
                </w:p>
              </w:tc>
              <w:tc>
                <w:tcPr/>
                <w:p>
                  <w:pPr>
                    <w:pStyle w:val="Compact"/>
                    <w:jc w:val="right"/>
                    <w:jc w:val="center"/>
                  </w:pPr>
                  <w:r>
                    <w:t xml:space="preserve">[.047, .084]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.912</w:t>
                  </w:r>
                </w:p>
              </w:tc>
              <w:tc>
                <w:tcPr/>
                <w:p>
                  <w:pPr>
                    <w:pStyle w:val="Compact"/>
                    <w:jc w:val="right"/>
                    <w:jc w:val="center"/>
                  </w:pPr>
                  <w:r>
                    <w:t xml:space="preserve">.927</w:t>
                  </w:r>
                </w:p>
              </w:tc>
              <w:tc>
                <w:tcPr/>
                <w:p>
                  <w:pPr>
                    <w:pStyle w:val="Compact"/>
                    <w:jc w:val="right"/>
                    <w:jc w:val="center"/>
                  </w:pPr>
                  <w:r>
                    <w:t xml:space="preserve">[.914, .941]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.078</w:t>
                  </w:r>
                </w:p>
              </w:tc>
              <w:tc>
                <w:tcPr/>
                <w:p>
                  <w:pPr>
                    <w:pStyle w:val="Compact"/>
                    <w:jc w:val="right"/>
                    <w:jc w:val="center"/>
                  </w:pPr>
                  <w:r>
                    <w:t xml:space="preserve">.076</w:t>
                  </w:r>
                </w:p>
              </w:tc>
              <w:tc>
                <w:tcPr/>
                <w:p>
                  <w:pPr>
                    <w:pStyle w:val="Compact"/>
                    <w:jc w:val="right"/>
                    <w:jc w:val="center"/>
                  </w:pPr>
                  <w:r>
                    <w:t xml:space="preserve">[.056, .099]</w:t>
                  </w:r>
                </w:p>
              </w:tc>
              <w:tc>
                <w:tcPr/>
                <w:p>
                  <w:pPr>
                    <w:pStyle w:val="Compact"/>
                    <w:jc w:val="right"/>
                    <w:jc w:val="center"/>
                  </w:pPr>
                  <w:r>
                    <w:t xml:space="preserve">Yes</w:t>
                  </w:r>
                </w:p>
              </w:tc>
            </w:tr>
          </w:tbl>
          <w:bookmarkEnd w:id="142"/>
          <w:p/>
        </w:tc>
      </w:tr>
    </w:tbl>
    <w:p>
      <w:pPr>
        <w:pStyle w:val="BodyText"/>
      </w:pPr>
      <w:r>
        <w:t xml:space="preserve">The non-decision-time posterior lay well below its upper bound (Figure S3).</w:t>
      </w:r>
    </w:p>
    <w:tbl>
      <w:tblPr>
        <w:tblStyle w:val="Table"/>
        <w:tblW w:type="pct" w:w="5000"/>
        <w:tblLayout w:type="fixed"/>
        <w:tblLook w:firstRow="0" w:lastRow="0" w:firstColumn="0" w:lastColumn="0" w:noHBand="0" w:noVBand="0" w:val="0000"/>
      </w:tblPr>
      <w:tblGrid>
        <w:gridCol w:w="7920"/>
      </w:tblGrid>
      <w:tr>
        <w:tc>
          <w:tcPr/>
          <w:bookmarkStart w:id="146" w:name="suppfig-ndt"/>
          <w:p>
            <w:pPr>
              <w:jc w:val="center"/>
            </w:pPr>
            <w:r>
              <w:drawing>
                <wp:inline>
                  <wp:extent cx="5334000" cy="5506064"/>
                  <wp:effectExtent b="0" l="0" r="0" t="0"/>
                  <wp:docPr descr="" title="" id="144" name="Picture"/>
                  <a:graphic>
                    <a:graphicData uri="http://schemas.openxmlformats.org/drawingml/2006/picture">
                      <pic:pic>
                        <pic:nvPicPr>
                          <pic:cNvPr descr="../output/ddm_refits/runs/final_20261016/figures/final/S_ndt_prior_posterior.png" id="145" name="Picture"/>
                          <pic:cNvPicPr>
                            <a:picLocks noChangeArrowheads="1" noChangeAspect="1"/>
                          </pic:cNvPicPr>
                        </pic:nvPicPr>
                        <pic:blipFill>
                          <a:blip r:embed="rId143"/>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Prior (bottom) and posterior (top) distributions of non-decision time in M4. The dashed line marks the upper bound set from the shortest RT.</w:t>
            </w:r>
          </w:p>
          <w:bookmarkEnd w:id="146"/>
        </w:tc>
      </w:tr>
    </w:tbl>
    <w:bookmarkEnd w:id="147"/>
    <w:bookmarkStart w:id="152" w:name="robustness"/>
    <w:p>
      <w:pPr>
        <w:pStyle w:val="Heading2"/>
      </w:pPr>
      <w:r>
        <w:t xml:space="preserve">Robustness</w:t>
      </w:r>
    </w:p>
    <w:p>
      <w:pPr>
        <w:pStyle w:val="FirstParagraph"/>
      </w:pPr>
      <w:r>
        <w:t xml:space="preserve">Table S9 reports the effort effects in each model variant, Table S10 the between-participant variability of the effort effects, and Table S11 the task-specific effort effects. Table S12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48" w:name="supptbl-robustness"/>
          <w:p>
            <w:pPr>
              <w:jc w:val="center"/>
            </w:pPr>
            <w:pPr>
              <w:jc w:val="left"/>
              <w:spacing w:before="200"/>
              <w:pStyle w:val="ImageCaption"/>
            </w:pPr>
            <w:r>
              <w:t xml:space="preserve">Table S9: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736"/>
              <w:gridCol w:w="2084"/>
              <w:gridCol w:w="625"/>
              <w:gridCol w:w="1181"/>
              <w:gridCol w:w="555"/>
              <w:gridCol w:w="486"/>
              <w:gridCol w:w="903"/>
              <w:gridCol w:w="347"/>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Hard and Easy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Standard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Standard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Hard and Easy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Standard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supptbl-random-slopes"/>
          <w:p>
            <w:pPr>
              <w:jc w:val="center"/>
            </w:pPr>
            <w:pPr>
              <w:jc w:val="left"/>
              <w:spacing w:before="200"/>
              <w:pStyle w:val="ImageCaption"/>
            </w:pPr>
            <w:r>
              <w:t xml:space="preserve">Table S10: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supptbl-m4b"/>
          <w:p>
            <w:pPr>
              <w:jc w:val="center"/>
            </w:pPr>
            <w:pPr>
              <w:jc w:val="left"/>
              <w:spacing w:before="200"/>
              <w:pStyle w:val="ImageCaption"/>
            </w:pPr>
            <w:r>
              <w:t xml:space="preserve">Table S11: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supptbl-acc-contrasts"/>
          <w:p>
            <w:pPr>
              <w:jc w:val="center"/>
            </w:pPr>
            <w:pPr>
              <w:jc w:val="left"/>
              <w:spacing w:before="200"/>
              <w:pStyle w:val="ImageCaption"/>
            </w:pPr>
            <w:r>
              <w:t xml:space="preserve">Table S12: Observed accuracy, high minus low effort, at each stimulus type. Estimates are from a binomial GLMM with a random intercept for participant (see the behavioral mixed-effects models in the dissertation version); percentage points are averaged over task.</w:t>
            </w:r>
          </w:p>
          <w:tbl>
            <w:tblPr>
              <w:tblStyle w:val="Table"/>
              <w:tblW w:type="pct" w:w="5000"/>
              <w:tblLayout w:type="fixed"/>
              <w:tblLook w:firstRow="1" w:lastRow="0" w:firstColumn="0" w:lastColumn="0" w:noHBand="0" w:noVBand="0" w:val="0020"/>
            </w:tblPr>
            <w:tblGrid>
              <w:gridCol w:w="1102"/>
              <w:gridCol w:w="1604"/>
              <w:gridCol w:w="1503"/>
              <w:gridCol w:w="1102"/>
              <w:gridCol w:w="1303"/>
              <w:gridCol w:w="601"/>
              <w:gridCol w:w="701"/>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rPr>
                      <w:i/>
                      <w:iCs/>
                    </w:rPr>
                    <w:t xml:space="preserve">z</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51"/>
        </w:tc>
      </w:tr>
    </w:tbl>
    <w:bookmarkEnd w:id="152"/>
    <w:bookmarkStart w:id="159" w:name="pupil-data"/>
    <w:p>
      <w:pPr>
        <w:pStyle w:val="Heading2"/>
      </w:pPr>
      <w:r>
        <w:t xml:space="preserve">Pupil data</w:t>
      </w:r>
    </w:p>
    <w:p>
      <w:pPr>
        <w:pStyle w:val="FirstParagraph"/>
      </w:pPr>
      <w:r>
        <w:t xml:space="preserve">The pupil sample was 6,299 trials from 51 participants.</w:t>
      </w:r>
    </w:p>
    <w:tbl>
      <w:tblPr>
        <w:tblStyle w:val="Table"/>
        <w:tblW w:type="pct" w:w="5000"/>
        <w:tblLayout w:type="fixed"/>
        <w:tblLook w:firstRow="0" w:lastRow="0" w:firstColumn="0" w:lastColumn="0" w:noHBand="0" w:noVBand="0" w:val="0000"/>
      </w:tblPr>
      <w:tblGrid>
        <w:gridCol w:w="7920"/>
      </w:tblGrid>
      <w:tr>
        <w:tc>
          <w:tcPr/>
          <w:bookmarkStart w:id="153" w:name="supptbl-pupil-models"/>
          <w:p>
            <w:pPr>
              <w:jc w:val="center"/>
            </w:pPr>
            <w:pPr>
              <w:jc w:val="left"/>
              <w:spacing w:before="200"/>
              <w:pStyle w:val="ImageCaption"/>
            </w:pPr>
            <w:r>
              <w:t xml:space="preserve">Table S13: Slopes from the pupil-linked models and the effort effects in that sample.</w:t>
            </w:r>
          </w:p>
          <w:tbl>
            <w:tblPr>
              <w:tblStyle w:val="Table"/>
              <w:tblW w:type="pct" w:w="5000"/>
              <w:tblLayout w:type="fixed"/>
              <w:tblLook w:firstRow="1" w:lastRow="0" w:firstColumn="0" w:lastColumn="0" w:noHBand="0" w:noVBand="0" w:val="0020"/>
            </w:tblPr>
            <w:tblGrid>
              <w:gridCol w:w="2255"/>
              <w:gridCol w:w="314"/>
              <w:gridCol w:w="2202"/>
              <w:gridCol w:w="472"/>
              <w:gridCol w:w="839"/>
              <w:gridCol w:w="891"/>
              <w:gridCol w:w="576"/>
              <w:gridCol w:w="367"/>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−0.009</w:t>
                  </w:r>
                </w:p>
              </w:tc>
              <w:tc>
                <w:tcPr/>
                <w:p>
                  <w:pPr>
                    <w:pStyle w:val="Compact"/>
                    <w:jc w:val="right"/>
                    <w:jc w:val="center"/>
                  </w:pPr>
                  <w:r>
                    <w:t xml:space="preserve">[−0.036, 0.020]</w:t>
                  </w:r>
                </w:p>
              </w:tc>
              <w:tc>
                <w:tcPr/>
                <w:p>
                  <w:pPr>
                    <w:pStyle w:val="Compact"/>
                  </w:pPr>
                </w:p>
              </w:tc>
              <w:tc>
                <w:tcPr/>
                <w:p>
                  <w:pPr>
                    <w:pStyle w:val="Compact"/>
                    <w:jc w:val="right"/>
                    <w:jc w:val="center"/>
                  </w:pPr>
                  <w:r>
                    <w:t xml:space="preserve">−0.6 ± 0.5</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0.015</w:t>
                  </w:r>
                </w:p>
              </w:tc>
              <w:tc>
                <w:tcPr/>
                <w:p>
                  <w:pPr>
                    <w:pStyle w:val="Compact"/>
                    <w:jc w:val="right"/>
                    <w:jc w:val="center"/>
                  </w:pPr>
                  <w:r>
                    <w:t xml:space="preserve">[−0.017, 0.048]</w:t>
                  </w:r>
                </w:p>
              </w:tc>
              <w:tc>
                <w:tcPr/>
                <w:p>
                  <w:pPr>
                    <w:pStyle w:val="Compact"/>
                  </w:pPr>
                </w:p>
              </w:tc>
              <w:tc>
                <w:tcPr/>
                <w:p>
                  <w:pPr>
                    <w:pStyle w:val="Compact"/>
                    <w:jc w:val="right"/>
                    <w:jc w:val="center"/>
                  </w:pPr>
                  <w:r>
                    <w:t xml:space="preserve">−1.8 ± 1.6</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−0.015</w:t>
                  </w:r>
                </w:p>
              </w:tc>
              <w:tc>
                <w:tcPr/>
                <w:p>
                  <w:pPr>
                    <w:pStyle w:val="Compact"/>
                    <w:jc w:val="right"/>
                    <w:jc w:val="center"/>
                  </w:pPr>
                  <w:r>
                    <w:t xml:space="preserve">[−0.047, 0.018]</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0.042</w:t>
                  </w:r>
                </w:p>
              </w:tc>
              <w:tc>
                <w:tcPr/>
                <w:p>
                  <w:pPr>
                    <w:pStyle w:val="Compact"/>
                    <w:jc w:val="right"/>
                    <w:jc w:val="center"/>
                  </w:pPr>
                  <w:r>
                    <w:t xml:space="preserve">[0.031,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0.008</w:t>
                  </w:r>
                </w:p>
              </w:tc>
              <w:tc>
                <w:tcPr/>
                <w:p>
                  <w:pPr>
                    <w:pStyle w:val="Compact"/>
                    <w:jc w:val="right"/>
                    <w:jc w:val="center"/>
                  </w:pPr>
                  <w:r>
                    <w:t xml:space="preserve">[−0.020, 0.036]</w:t>
                  </w:r>
                </w:p>
              </w:tc>
              <w:tc>
                <w:tcPr/>
                <w:p>
                  <w:pPr>
                    <w:pStyle w:val="Compact"/>
                  </w:pPr>
                </w:p>
              </w:tc>
              <w:tc>
                <w:tcPr/>
                <w:p>
                  <w:pPr>
                    <w:pStyle w:val="Compact"/>
                    <w:jc w:val="right"/>
                    <w:jc w:val="center"/>
                  </w:pPr>
                  <w:r>
                    <w:t xml:space="preserve">−0.2 ± 0.5</w:t>
                  </w:r>
                </w:p>
              </w:tc>
              <w:tc>
                <w:tcPr/>
                <w:p>
                  <w:pPr>
                    <w:pStyle w:val="Compact"/>
                    <w:jc w:val="right"/>
                    <w:jc w:val="center"/>
                  </w:pPr>
                  <w:r>
                    <w:t xml:space="preserve">5,856</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−0.074</w:t>
                  </w:r>
                </w:p>
              </w:tc>
              <w:tc>
                <w:tcPr/>
                <w:p>
                  <w:pPr>
                    <w:pStyle w:val="Compact"/>
                    <w:jc w:val="right"/>
                    <w:jc w:val="center"/>
                  </w:pPr>
                  <w:r>
                    <w:t xml:space="preserve">[−0.159, 0.011]</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0.032</w:t>
                  </w:r>
                </w:p>
              </w:tc>
              <w:tc>
                <w:tcPr/>
                <w:p>
                  <w:pPr>
                    <w:pStyle w:val="Compact"/>
                    <w:jc w:val="right"/>
                    <w:jc w:val="center"/>
                  </w:pPr>
                  <w:r>
                    <w:t xml:space="preserve">[−0.036, 0.100]</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0.029</w:t>
                  </w:r>
                </w:p>
              </w:tc>
              <w:tc>
                <w:tcPr/>
                <w:p>
                  <w:pPr>
                    <w:pStyle w:val="Compact"/>
                    <w:jc w:val="right"/>
                    <w:jc w:val="center"/>
                  </w:pPr>
                  <w:r>
                    <w:t xml:space="preserve">[0.006, 0.052]</w:t>
                  </w:r>
                </w:p>
              </w:tc>
              <w:tc>
                <w:tcPr/>
                <w:p>
                  <w:pPr>
                    <w:pStyle w:val="Compact"/>
                    <w:jc w:val="right"/>
                    <w:jc w:val="center"/>
                  </w:pPr>
                  <w:r>
                    <w:t xml:space="preserve">+2.9% [0.6, 5.4]</w:t>
                  </w: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−0.008</w:t>
                  </w:r>
                </w:p>
              </w:tc>
              <w:tc>
                <w:tcPr/>
                <w:p>
                  <w:pPr>
                    <w:pStyle w:val="Compact"/>
                    <w:jc w:val="right"/>
                    <w:jc w:val="center"/>
                  </w:pPr>
                  <w:r>
                    <w:t xml:space="preserve">[−0.082, 0.065]</w:t>
                  </w:r>
                </w:p>
              </w:tc>
              <w:tc>
                <w:tcPr/>
                <w:p>
                  <w:pPr>
                    <w:pStyle w:val="Compact"/>
                  </w:pPr>
                </w:p>
              </w:tc>
              <w:tc>
                <w:tcPr/>
                <w:p>
                  <w:pPr>
                    <w:pStyle w:val="Compact"/>
                  </w:pPr>
                </w:p>
              </w:tc>
              <w:tc>
                <w:tcPr/>
                <w:p>
                  <w:pPr>
                    <w:pStyle w:val="Compact"/>
                    <w:jc w:val="right"/>
                    <w:jc w:val="center"/>
                  </w:pPr>
                  <w:r>
                    <w:t xml:space="preserve">6,299</w:t>
                  </w:r>
                </w:p>
              </w:tc>
            </w:tr>
          </w:tbl>
          <w:p>
            <w:pPr>
              <w:jc w:val="center"/>
            </w:pPr>
            <w:r>
              <w:rPr>
                <w:i/>
                <w:iCs/>
              </w:rPr>
              <w:t xml:space="preserve">Note.</w:t>
            </w:r>
            <w:r>
              <w:t xml:space="preserve"> </w:t>
            </w:r>
            <w:r>
              <w:t xml:space="preserve">P1, P2, and P3 are compared with P0. P4 and P5 are compared with the baseline for P4–P5. P3 without the slowest trials is compared with its own baseline. P6 is compared with the baseline for P6, P7 with the baseline for P7, and P8 with the baseline for P8. P5, P3 without the slowest trials, P6, P7, and P8 are in the ordering table rather than this slope table.</w:t>
            </w:r>
          </w:p>
          <w:bookmarkEnd w:id="1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supptbl-pupil-descriptives"/>
          <w:p>
            <w:pPr>
              <w:jc w:val="center"/>
            </w:pPr>
            <w:pPr>
              <w:jc w:val="left"/>
              <w:spacing w:before="200"/>
              <w:pStyle w:val="ImageCaption"/>
            </w:pPr>
            <w:r>
              <w:t xml:space="preserve">Table S14: Mean pupil by effort and task. The pre-squeeze row is the mean over the TEPR window.</w:t>
            </w:r>
          </w:p>
          <w:tbl>
            <w:tblPr>
              <w:tblStyle w:val="Table"/>
              <w:tblW w:type="pct" w:w="5000"/>
              <w:tblLayout w:type="fixed"/>
              <w:tblLook w:firstRow="1" w:lastRow="0" w:firstColumn="0" w:lastColumn="0" w:noHBand="0" w:noVBand="0" w:val="0020"/>
            </w:tblPr>
            <w:tblGrid>
              <w:gridCol w:w="2489"/>
              <w:gridCol w:w="377"/>
              <w:gridCol w:w="301"/>
              <w:gridCol w:w="1206"/>
              <w:gridCol w:w="1131"/>
              <w:gridCol w:w="829"/>
              <w:gridCol w:w="1056"/>
              <w:gridCol w:w="528"/>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rPr>
                      <w:i/>
                      <w:iCs/>
                    </w:rPr>
                    <w:t xml:space="preserve">n</w:t>
                  </w:r>
                </w:p>
              </w:tc>
              <w:tc>
                <w:tcPr/>
                <w:p>
                  <w:pPr>
                    <w:pStyle w:val="Compact"/>
                    <w:jc w:val="right"/>
                    <w:jc w:val="center"/>
                  </w:pPr>
                  <w:r>
                    <w:t xml:space="preserve">High</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Low</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High − Low</w:t>
                  </w:r>
                </w:p>
              </w:tc>
              <w:tc>
                <w:tcPr/>
                <w:p>
                  <w:pPr>
                    <w:pStyle w:val="Compact"/>
                    <w:jc w:val="right"/>
                    <w:jc w:val="center"/>
                  </w:pPr>
                  <w:r>
                    <w:rPr>
                      <w:i/>
                      <w:iCs/>
                    </w:rPr>
                    <w:t xml:space="preserve">t</w:t>
                  </w:r>
                  <w:r>
                    <w:t xml:space="preserve"> </w:t>
                  </w:r>
                  <w:r>
                    <w:t xml:space="preserve">(df)</w:t>
                  </w:r>
                </w:p>
              </w:tc>
              <w:tc>
                <w:tcPr/>
                <w:p>
                  <w:pPr>
                    <w:pStyle w:val="Compact"/>
                    <w:jc w:val="right"/>
                    <w:jc w:val="center"/>
                  </w:pPr>
                  <w:r>
                    <w:rPr>
                      <w:i/>
                      <w:iCs/>
                    </w:rP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0.881 (0.953)</w:t>
                  </w:r>
                </w:p>
              </w:tc>
              <w:tc>
                <w:tcPr/>
                <w:p>
                  <w:pPr>
                    <w:pStyle w:val="Compact"/>
                    <w:jc w:val="right"/>
                    <w:jc w:val="center"/>
                  </w:pPr>
                  <w:r>
                    <w:t xml:space="preserve">1.312 (1.026)</w:t>
                  </w:r>
                </w:p>
              </w:tc>
              <w:tc>
                <w:tcPr/>
                <w:p>
                  <w:pPr>
                    <w:pStyle w:val="Compact"/>
                    <w:jc w:val="right"/>
                    <w:jc w:val="center"/>
                  </w:pPr>
                  <w:r>
                    <w:t xml:space="preserve">−0.430</w:t>
                  </w:r>
                </w:p>
              </w:tc>
              <w:tc>
                <w:tcPr/>
                <w:p>
                  <w:pPr>
                    <w:pStyle w:val="Compact"/>
                    <w:jc w:val="right"/>
                    <w:jc w:val="center"/>
                  </w:pPr>
                  <w:r>
                    <w:t xml:space="preserve">t(35) = −4.37</w:t>
                  </w:r>
                </w:p>
              </w:tc>
              <w:tc>
                <w:tcPr/>
                <w:p>
                  <w:pPr>
                    <w:pStyle w:val="Compact"/>
                    <w:jc w:val="right"/>
                    <w:jc w:val="center"/>
                  </w:pPr>
                  <w:r>
                    <w:t xml:space="preserve">&lt; .001</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0.754 (0.718)</w:t>
                  </w:r>
                </w:p>
              </w:tc>
              <w:tc>
                <w:tcPr/>
                <w:p>
                  <w:pPr>
                    <w:pStyle w:val="Compact"/>
                    <w:jc w:val="right"/>
                    <w:jc w:val="center"/>
                  </w:pPr>
                  <w:r>
                    <w:t xml:space="preserve">0.929 (0.869)</w:t>
                  </w:r>
                </w:p>
              </w:tc>
              <w:tc>
                <w:tcPr/>
                <w:p>
                  <w:pPr>
                    <w:pStyle w:val="Compact"/>
                    <w:jc w:val="right"/>
                    <w:jc w:val="center"/>
                  </w:pPr>
                  <w:r>
                    <w:t xml:space="preserve">−0.174</w:t>
                  </w:r>
                </w:p>
              </w:tc>
              <w:tc>
                <w:tcPr/>
                <w:p>
                  <w:pPr>
                    <w:pStyle w:val="Compact"/>
                    <w:jc w:val="right"/>
                    <w:jc w:val="center"/>
                  </w:pPr>
                  <w:r>
                    <w:t xml:space="preserve">t(40) = −2.23</w:t>
                  </w:r>
                </w:p>
              </w:tc>
              <w:tc>
                <w:tcPr/>
                <w:p>
                  <w:pPr>
                    <w:pStyle w:val="Compact"/>
                    <w:jc w:val="right"/>
                    <w:jc w:val="center"/>
                  </w:pPr>
                  <w:r>
                    <w:t xml:space="preserve">.031</w:t>
                  </w:r>
                </w:p>
              </w:tc>
            </w:tr>
            <w:tr>
              <w:tc>
                <w:tcPr/>
                <w:p>
                  <w:pPr>
                    <w:pStyle w:val="Compact"/>
                    <w:jc w:val="left"/>
                    <w:jc w:val="center"/>
                  </w:pPr>
                  <w:r>
                    <w:t xml:space="preserve">Mean TEPR (pre-squeeze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0.582 (1.336)</w:t>
                  </w:r>
                </w:p>
              </w:tc>
              <w:tc>
                <w:tcPr/>
                <w:p>
                  <w:pPr>
                    <w:pStyle w:val="Compact"/>
                    <w:jc w:val="right"/>
                    <w:jc w:val="center"/>
                  </w:pPr>
                  <w:r>
                    <w:t xml:space="preserve">0.430 (1.440)</w:t>
                  </w:r>
                </w:p>
              </w:tc>
              <w:tc>
                <w:tcPr/>
                <w:p>
                  <w:pPr>
                    <w:pStyle w:val="Compact"/>
                    <w:jc w:val="right"/>
                    <w:jc w:val="center"/>
                  </w:pPr>
                  <w:r>
                    <w:t xml:space="preserve">0.152</w:t>
                  </w:r>
                </w:p>
              </w:tc>
              <w:tc>
                <w:tcPr/>
                <w:p>
                  <w:pPr>
                    <w:pStyle w:val="Compact"/>
                    <w:jc w:val="right"/>
                    <w:jc w:val="center"/>
                  </w:pPr>
                  <w:r>
                    <w:t xml:space="preserve">t(35) = 0.91</w:t>
                  </w:r>
                </w:p>
              </w:tc>
              <w:tc>
                <w:tcPr/>
                <w:p>
                  <w:pPr>
                    <w:pStyle w:val="Compact"/>
                    <w:jc w:val="right"/>
                    <w:jc w:val="center"/>
                  </w:pPr>
                  <w:r>
                    <w:t xml:space="preserve">.369</w:t>
                  </w:r>
                </w:p>
              </w:tc>
            </w:tr>
            <w:tr>
              <w:tc>
                <w:tcPr/>
                <w:p>
                  <w:pPr>
                    <w:pStyle w:val="Compact"/>
                    <w:jc w:val="left"/>
                    <w:jc w:val="center"/>
                  </w:pPr>
                  <w:r>
                    <w:t xml:space="preserve">Mean TEPR (pre-squeeze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0.362 (1.054)</w:t>
                  </w:r>
                </w:p>
              </w:tc>
              <w:tc>
                <w:tcPr/>
                <w:p>
                  <w:pPr>
                    <w:pStyle w:val="Compact"/>
                    <w:jc w:val="right"/>
                    <w:jc w:val="center"/>
                  </w:pPr>
                  <w:r>
                    <w:t xml:space="preserve">0.267 (0.998)</w:t>
                  </w:r>
                </w:p>
              </w:tc>
              <w:tc>
                <w:tcPr/>
                <w:p>
                  <w:pPr>
                    <w:pStyle w:val="Compact"/>
                    <w:jc w:val="right"/>
                    <w:jc w:val="center"/>
                  </w:pPr>
                  <w:r>
                    <w:t xml:space="preserve">0.095</w:t>
                  </w:r>
                </w:p>
              </w:tc>
              <w:tc>
                <w:tcPr/>
                <w:p>
                  <w:pPr>
                    <w:pStyle w:val="Compact"/>
                    <w:jc w:val="right"/>
                    <w:jc w:val="center"/>
                  </w:pPr>
                  <w:r>
                    <w:t xml:space="preserve">t(40) = 0.92</w:t>
                  </w:r>
                </w:p>
              </w:tc>
              <w:tc>
                <w:tcPr/>
                <w:p>
                  <w:pPr>
                    <w:pStyle w:val="Compact"/>
                    <w:jc w:val="right"/>
                    <w:jc w:val="center"/>
                  </w:pPr>
                  <w:r>
                    <w:t xml:space="preserve">.361</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35</w:t>
                  </w:r>
                </w:p>
              </w:tc>
              <w:tc>
                <w:tcPr/>
                <w:p>
                  <w:pPr>
                    <w:pStyle w:val="Compact"/>
                    <w:jc w:val="right"/>
                    <w:jc w:val="center"/>
                  </w:pPr>
                  <w:r>
                    <w:t xml:space="preserve">−0.164 (1.061)</w:t>
                  </w:r>
                </w:p>
              </w:tc>
              <w:tc>
                <w:tcPr/>
                <w:p>
                  <w:pPr>
                    <w:pStyle w:val="Compact"/>
                    <w:jc w:val="right"/>
                    <w:jc w:val="center"/>
                  </w:pPr>
                  <w:r>
                    <w:t xml:space="preserve">−0.524 (0.950)</w:t>
                  </w:r>
                </w:p>
              </w:tc>
              <w:tc>
                <w:tcPr/>
                <w:p>
                  <w:pPr>
                    <w:pStyle w:val="Compact"/>
                    <w:jc w:val="right"/>
                    <w:jc w:val="center"/>
                  </w:pPr>
                  <w:r>
                    <w:t xml:space="preserve">0.360</w:t>
                  </w:r>
                </w:p>
              </w:tc>
              <w:tc>
                <w:tcPr/>
                <w:p>
                  <w:pPr>
                    <w:pStyle w:val="Compact"/>
                    <w:jc w:val="right"/>
                    <w:jc w:val="center"/>
                  </w:pPr>
                  <w:r>
                    <w:t xml:space="preserve">t(34) = 2.31</w:t>
                  </w:r>
                </w:p>
              </w:tc>
              <w:tc>
                <w:tcPr/>
                <w:p>
                  <w:pPr>
                    <w:pStyle w:val="Compact"/>
                    <w:jc w:val="right"/>
                    <w:jc w:val="center"/>
                  </w:pPr>
                  <w:r>
                    <w:t xml:space="preserve">.027</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−0.210 (0.885)</w:t>
                  </w:r>
                </w:p>
              </w:tc>
              <w:tc>
                <w:tcPr/>
                <w:p>
                  <w:pPr>
                    <w:pStyle w:val="Compact"/>
                    <w:jc w:val="right"/>
                    <w:jc w:val="center"/>
                  </w:pPr>
                  <w:r>
                    <w:t xml:space="preserve">−0.406 (0.942)</w:t>
                  </w:r>
                </w:p>
              </w:tc>
              <w:tc>
                <w:tcPr/>
                <w:p>
                  <w:pPr>
                    <w:pStyle w:val="Compact"/>
                    <w:jc w:val="right"/>
                    <w:jc w:val="center"/>
                  </w:pPr>
                  <w:r>
                    <w:t xml:space="preserve">0.196</w:t>
                  </w:r>
                </w:p>
              </w:tc>
              <w:tc>
                <w:tcPr/>
                <w:p>
                  <w:pPr>
                    <w:pStyle w:val="Compact"/>
                    <w:jc w:val="right"/>
                    <w:jc w:val="center"/>
                  </w:pPr>
                  <w:r>
                    <w:t xml:space="preserve">t(40) = 1.62</w:t>
                  </w:r>
                </w:p>
              </w:tc>
              <w:tc>
                <w:tcPr/>
                <w:p>
                  <w:pPr>
                    <w:pStyle w:val="Compact"/>
                    <w:jc w:val="right"/>
                    <w:jc w:val="center"/>
                  </w:pPr>
                  <w:r>
                    <w:t xml:space="preserve">.114</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51 participants.</w:t>
            </w:r>
          </w:p>
          <w:bookmarkEnd w:id="1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suppfig-tepr"/>
          <w:p>
            <w:pPr>
              <w:jc w:val="center"/>
            </w:pPr>
            <w:r>
              <w:drawing>
                <wp:inline>
                  <wp:extent cx="5334000" cy="4878658"/>
                  <wp:effectExtent b="0" l="0" r="0" t="0"/>
                  <wp:docPr descr="" title="" id="156" name="Picture"/>
                  <a:graphic>
                    <a:graphicData uri="http://schemas.openxmlformats.org/drawingml/2006/picture">
                      <pic:pic>
                        <pic:nvPicPr>
                          <pic:cNvPr descr="../output/ddm_refits/runs/final_20261016/figures/final/S_tepr_timecourse.png" id="157" name="Picture"/>
                          <pic:cNvPicPr>
                            <a:picLocks noChangeArrowheads="1" noChangeAspect="1"/>
                          </pic:cNvPicPr>
                        </pic:nvPicPr>
                        <pic:blipFill>
                          <a:blip r:embed="rId155"/>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Mean baseline-corrected pupil by task and effort. The grey band is the grip period and the blue band is the TEPR window. The solid line is probe onset and the dashed line is the response cue. Dotted lines: gauge offset (3.00 s) and standard onset (3.75 s). The brief dip at 6.02 s in the VDT comes from one sample in 58 trials from two participants whose recordings were segmented from eye-tracker event codes; it changes those trials’ TEPR by less than 5% of a within-person SD.</w:t>
            </w:r>
          </w:p>
          <w:bookmarkEnd w:id="158"/>
        </w:tc>
      </w:tr>
    </w:tbl>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143" Target="media/rId143.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55" Target="media/rId155.png" /><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2026-10-26T06:38:27Z</dcterms:created>
  <dcterms:modified xsi:type="dcterms:W3CDTF">2026-10-26T06:38:27Z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False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