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9.png" ContentType="image/png"/>
  <Override PartName="/word/media/rId33.png" ContentType="image/png"/>
  <Override PartName="/word/media/rId175.png" ContentType="image/png"/>
  <Override PartName="/word/media/rId40.png" ContentType="image/png"/>
  <Override PartName="/word/media/rId165.png" ContentType="image/png"/>
  <Override PartName="/word/media/rId179.png" ContentType="image/png"/>
  <Override PartName="/word/media/rId143.png" ContentType="image/png"/>
  <Override PartName="/word/media/rId127.png" ContentType="image/png"/>
  <Override PartName="/word/media/rId138.png" ContentType="image/png"/>
  <Override PartName="/word/media/rId183.png" ContentType="image/pn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Physical Effort Shifts the Decision Criterion, Not Evidence Quality, in Older Adults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ct"/>
    <w:p>
      <w:pPr>
        <w:pStyle w:val="Heading1"/>
      </w:pPr>
      <w:r>
        <w:t xml:space="preserve">Abstract</w:t>
      </w:r>
    </w:p>
    <w:p>
      <w:pPr>
        <w:pStyle w:val="FirstParagraph"/>
      </w:pPr>
      <w:r>
        <w:t xml:space="preserve">Everyday decisions are often made during physical effort, but it is unclear how physical effort changes decision-making in older adults. Effort could reduce the quality of the evidence people accumulate, change how much evidence they require before responding, or bias them toward one response. We tested these possibilities in 67 older adults who judged whether two tones or two visual patterns were the same or different while holding a handgrip at low (5%) or high (40%) force, with pupil size recorded throughout. A hierarchical drift-diffusion model separated the components of each decision. High effort did not reduce the quality of the evidence overall, although it lowered evidence for</w:t>
      </w:r>
      <w:r>
        <w:t xml:space="preserve"> </w:t>
      </w:r>
      <w:r>
        <w:t xml:space="preserve">“different”</w:t>
      </w:r>
      <w:r>
        <w:t xml:space="preserve"> </w:t>
      </w:r>
      <w:r>
        <w:t xml:space="preserve">slightly more on the hardest discriminations than on the easiest. Its main effect was to shift evidence accumulation toward</w:t>
      </w:r>
      <w:r>
        <w:t xml:space="preserve"> </w:t>
      </w:r>
      <w:r>
        <w:t xml:space="preserve">“same”</w:t>
      </w:r>
      <w:r>
        <w:t xml:space="preserve"> </w:t>
      </w:r>
      <w:r>
        <w:t xml:space="preserve">responses on every trial, which lowered accuracy on the most difficult trials with a different probe. Effort did not meaningfully change how much evidence participants required, and it did not change their starting bias. High effort increased pupil size during the grip in the auditory task only. Pupil responses during the decision were larger on trials with wider boundaries, but no pupil measure taken before the decision predicted boundary separation. Physical effort therefore mainly changed how older adults mapped evidence onto responses, rather than how well they took in that evidence.</w:t>
      </w:r>
    </w:p>
    <w:bookmarkEnd w:id="9"/>
    <w:bookmarkStart w:id="10" w:name="introduction"/>
    <w:p>
      <w:pPr>
        <w:pStyle w:val="Heading1"/>
      </w:pPr>
      <w:r>
        <w:t xml:space="preserve">1 Introduction</w:t>
      </w:r>
    </w:p>
    <w:p>
      <w:pPr>
        <w:pStyle w:val="FirstParagraph"/>
      </w:pPr>
      <w:r>
        <w:t xml:space="preserve">Many everyday decisions are made while the body is working: judging a gap in traffic while gripping a steering wheel, or reading a label while carrying groceries. Laboratory work shows that combining a cognitive task with a motor task costs older adults more than younger adults</w:t>
      </w:r>
      <w:r>
        <w:t xml:space="preserve"> </w:t>
      </w:r>
      <w:r>
        <w:t xml:space="preserve">(Verhaeghen et al., 2003)</w:t>
      </w:r>
      <w:r>
        <w:t xml:space="preserve">. Sustained isometric force is one such motor demand. Effortful handgrip impairs cognitive control</w:t>
      </w:r>
      <w:r>
        <w:t xml:space="preserve"> </w:t>
      </w:r>
      <w:r>
        <w:t xml:space="preserve">(Azer et al., 2021)</w:t>
      </w:r>
      <w:r>
        <w:t xml:space="preserve"> </w:t>
      </w:r>
      <w:r>
        <w:t xml:space="preserve">and working memory</w:t>
      </w:r>
      <w:r>
        <w:t xml:space="preserve"> </w:t>
      </w:r>
      <w:r>
        <w:t xml:space="preserve">(Azer et al., 2023)</w:t>
      </w:r>
      <w:r>
        <w:t xml:space="preserve"> </w:t>
      </w:r>
      <w:r>
        <w:t xml:space="preserve">in older adults. Chapter 1 tested younger adults with the same handgrip manipulation. Harder trials were less accurate and slower in every task, high effort slowed responses in the visual discrimination task only, and task difficulty and physical effort did not interact on any measure, suggesting that the two drew on separate resources at these effort levels. Pupil size across the trial was larger under high effort in every task, whereas task difficulty affected only an exploratory measure of the response to the probe. The present chapter asks how the same manipulation changes decision-making in older adults, using a model that separates the processes that accuracy and response time (RT) combine. In this chapter, effort refers to physical effort throughout.</w:t>
      </w:r>
    </w:p>
    <w:p>
      <w:pPr>
        <w:pStyle w:val="BodyText"/>
      </w:pPr>
      <w:r>
        <w:t xml:space="preserve">Accuracy and RT alone cannot say why performance changes under effort. Lower accuracy could mean that the stimulus was encoded less well, or that participants answered on less evidence. The drift-diffusion model separates these possibilities</w:t>
      </w:r>
      <w:r>
        <w:t xml:space="preserve"> </w:t>
      </w:r>
      <w:r>
        <w:t xml:space="preserve">(Ratcliff &amp; McKoon, 2008)</w:t>
      </w:r>
      <w:r>
        <w:t xml:space="preserve">. It treats a two-choice decision as noisy evidence accumulating until it reaches one of two boundaries. Drift rate (</w:t>
      </w:r>
      <w:r>
        <w:rPr>
          <w:i/>
          <w:iCs/>
        </w:rPr>
        <w:t xml:space="preserve">v</w:t>
      </w:r>
      <w:r>
        <w:t xml:space="preserve">) is the average direction and speed of accumulation, boundary separation (</w:t>
      </w:r>
      <w:r>
        <w:rPr>
          <w:i/>
          <w:iCs/>
        </w:rPr>
        <w:t xml:space="preserve">a</w:t>
      </w:r>
      <w:r>
        <w:t xml:space="preserve">) is how much evidence is required before responding, the starting point (</w:t>
      </w:r>
      <w:r>
        <w:rPr>
          <w:i/>
          <w:iCs/>
        </w:rPr>
        <w:t xml:space="preserve">z</w:t>
      </w:r>
      <w:r>
        <w:t xml:space="preserve">) is a bias toward one response before the stimulus appears, and non-decision time (</w:t>
      </w:r>
      <w:r>
        <w:rPr>
          <w:i/>
          <w:iCs/>
        </w:rPr>
        <w:t xml:space="preserve">t</w:t>
      </w:r>
      <w:r>
        <w:rPr>
          <w:vertAlign w:val="subscript"/>
        </w:rPr>
        <w:t xml:space="preserve">0</w:t>
      </w:r>
      <w:r>
        <w:t xml:space="preserve">) covers encoding and response execution.</w:t>
      </w:r>
    </w:p>
    <w:p>
      <w:pPr>
        <w:pStyle w:val="BodyText"/>
      </w:pPr>
      <w:r>
        <w:t xml:space="preserve">In older adults, the most consistent age differences are wider boundaries and longer non-decision times, whereas drift is often similar to that of younger adults on simple perceptual tasks</w:t>
      </w:r>
      <w:r>
        <w:t xml:space="preserve"> </w:t>
      </w:r>
      <w:r>
        <w:t xml:space="preserve">(Ratcliff et al., 2001;</w:t>
      </w:r>
      <w:r>
        <w:t xml:space="preserve"> </w:t>
      </w:r>
      <w:r>
        <w:t xml:space="preserve">Theisen et al.</w:t>
      </w:r>
      <w:r>
        <w:t xml:space="preserve">, 2021)</w:t>
      </w:r>
      <w:r>
        <w:t xml:space="preserve">. Older adults also set boundaries more conservatively than would maximize their reward rate</w:t>
      </w:r>
      <w:r>
        <w:t xml:space="preserve"> </w:t>
      </w:r>
      <w:r>
        <w:t xml:space="preserve">(Starns &amp; Ratcliff, 2010)</w:t>
      </w:r>
      <w:r>
        <w:t xml:space="preserve">. The model therefore separates a loss of evidence quality from a change in response caution, which in the diffusion model is boundary separation. Both have been proposed as effects of physical effort.</w:t>
      </w:r>
    </w:p>
    <w:p>
      <w:pPr>
        <w:pStyle w:val="BodyText"/>
      </w:pPr>
      <w:r>
        <w:t xml:space="preserve">The first account treats effort as a competitor for limited processing capacity</w:t>
      </w:r>
      <w:r>
        <w:t xml:space="preserve"> </w:t>
      </w:r>
      <w:r>
        <w:t xml:space="preserve">(Kahneman, 1973; Wickens, 2008)</w:t>
      </w:r>
      <w:r>
        <w:t xml:space="preserve">. If holding a 40% grip uses capacity needed to compare the probe with the standard, evidence about the stimulus should become less informative. In a same–different task coded by response, this predicts a smaller difference between drift on trials with a different probe and drift on trials with an identical probe. Such a reduction in evidence quality differs from a uniform shift of drift toward one response on all trials. That second pattern is a change in the drift criterion: the reference against which evidence counts as favoring</w:t>
      </w:r>
      <w:r>
        <w:t xml:space="preserve"> </w:t>
      </w:r>
      <w:r>
        <w:t xml:space="preserve">“same”</w:t>
      </w:r>
      <w:r>
        <w:t xml:space="preserve"> </w:t>
      </w:r>
      <w:r>
        <w:t xml:space="preserve">or</w:t>
      </w:r>
      <w:r>
        <w:t xml:space="preserve"> </w:t>
      </w:r>
      <w:r>
        <w:t xml:space="preserve">“different”</w:t>
      </w:r>
      <w:r>
        <w:t xml:space="preserve"> </w:t>
      </w:r>
      <w:r>
        <w:t xml:space="preserve">(Ratcliff &amp; McKoon, 2008)</w:t>
      </w:r>
      <w:r>
        <w:t xml:space="preserve">. A uniform shift can lower accuracy on difficult different trials without any loss of evidence quality, so the two must be estimated separately. Because a shared capacity limit should cost most where discrimination is hardest</w:t>
      </w:r>
      <w:r>
        <w:t xml:space="preserve"> </w:t>
      </w:r>
      <w:r>
        <w:t xml:space="preserve">(Kahneman, 1973)</w:t>
      </w:r>
      <w:r>
        <w:t xml:space="preserve">, this account also predicts that any loss of evidence quality is largest on the hardest trials, so that effort and task difficulty interact.</w:t>
      </w:r>
    </w:p>
    <w:p>
      <w:pPr>
        <w:pStyle w:val="BodyText"/>
      </w:pPr>
      <w:r>
        <w:t xml:space="preserve">The second account treats effort as a change in how participants set their decision policy, not in the evidence itself. Under high effort, participants could require more evidence before responding, to protect accuracy, or less evidence, to end each effortful trial sooner. The first possibility predicts wider boundaries under high effort and the second narrower ones, so the direction of the effort effect on boundary separation distinguishes them. Effort could also bias responding. A bias set before the stimulus appears would move the starting point, whereas a bias in how evidence is evaluated would shift the drift criterion. Neither predicts a loss of evidence quality.</w:t>
      </w:r>
    </w:p>
    <w:p>
      <w:pPr>
        <w:pStyle w:val="BodyText"/>
      </w:pPr>
      <w:r>
        <w:t xml:space="preserve">Pupil size provides a trial-by-trial measure that increases with processing load</w:t>
      </w:r>
      <w:r>
        <w:t xml:space="preserve"> </w:t>
      </w:r>
      <w:r>
        <w:t xml:space="preserve">(Beatty, 1982;</w:t>
      </w:r>
      <w:r>
        <w:t xml:space="preserve"> </w:t>
      </w:r>
      <w:r>
        <w:t xml:space="preserve">van der Wel &amp; van Steenbergen</w:t>
      </w:r>
      <w:r>
        <w:t xml:space="preserve">, 2018)</w:t>
      </w:r>
      <w:r>
        <w:t xml:space="preserve"> </w:t>
      </w:r>
      <w:r>
        <w:t xml:space="preserve">and with physical exertion</w:t>
      </w:r>
      <w:r>
        <w:t xml:space="preserve"> </w:t>
      </w:r>
      <w:r>
        <w:t xml:space="preserve">(Zénon et al., 2014)</w:t>
      </w:r>
      <w:r>
        <w:t xml:space="preserve">. Older adults have smaller pupils and a narrower range of dilation than younger adults</w:t>
      </w:r>
      <w:r>
        <w:t xml:space="preserve"> </w:t>
      </w:r>
      <w:r>
        <w:t xml:space="preserve">(Piquado et al., 2010; Winn et al., 1994)</w:t>
      </w:r>
      <w:r>
        <w:t xml:space="preserve">. In diffusion-model analyses, trial-wise pupil responses have been related to specific parameters. In a reinforcement-learning task, larger dilation on choices between similarly valued options predicted higher decision thresholds</w:t>
      </w:r>
      <w:r>
        <w:t xml:space="preserve"> </w:t>
      </w:r>
      <w:r>
        <w:t xml:space="preserve">(Cavanagh et al., 2014)</w:t>
      </w:r>
      <w:r>
        <w:t xml:space="preserve">, and across several decision tasks, larger pupil responses predicted smaller choice biases</w:t>
      </w:r>
      <w:r>
        <w:t xml:space="preserve"> </w:t>
      </w:r>
      <w:r>
        <w:t xml:space="preserve">(</w:t>
      </w:r>
      <w:r>
        <w:t xml:space="preserve">de Gee et al.</w:t>
      </w:r>
      <w:r>
        <w:t xml:space="preserve">, 2020)</w:t>
      </w:r>
      <w:r>
        <w:t xml:space="preserve">. Pupil responses, however, also scale with decision uncertainty and response time</w:t>
      </w:r>
      <w:r>
        <w:t xml:space="preserve"> </w:t>
      </w:r>
      <w:r>
        <w:t xml:space="preserve">(Urai et al., 2017)</w:t>
      </w:r>
      <w:r>
        <w:t xml:space="preserve">. A pupil–boundary association could therefore arise because longer decisions produce larger pupil responses, not because the pupil response came before the boundary was set. Testing the direction of the relation requires pupil measures taken before the decision, as well as measures that end before the response.</w:t>
      </w:r>
    </w:p>
    <w:p>
      <w:pPr>
        <w:pStyle w:val="BodyText"/>
      </w:pPr>
      <w:r>
        <w:t xml:space="preserve">We combined both approaches in older adults performing auditory and visual same–different tasks under low (5%) and high (40%) handgrip effort. The first analysis was a diffusion model of choices and RTs. It tested whether high effort reduced evidence quality (the capacity account), shifted the drift criterion, or changed boundary separation or starting point (the state accounts). The second analysis added trial-wise pupil measures to the same model. It tested whether pupil size tracked the effort effect, which decision parameter tracked the task-evoked pupil response, and whether pupil measures taken before the decision predicted boundary separation.</w:t>
      </w:r>
    </w:p>
    <w:bookmarkEnd w:id="10"/>
    <w:bookmarkStart w:id="28" w:name="methods"/>
    <w:p>
      <w:pPr>
        <w:pStyle w:val="Heading1"/>
      </w:pPr>
      <w:r>
        <w:t xml:space="preserve">2 Methods</w:t>
      </w:r>
    </w:p>
    <w:bookmarkStart w:id="12" w:name="participants"/>
    <w:p>
      <w:pPr>
        <w:pStyle w:val="Heading2"/>
      </w:pPr>
      <w:r>
        <w:t xml:space="preserve">2.1 Participants</w:t>
      </w:r>
    </w:p>
    <w:p>
      <w:pPr>
        <w:pStyle w:val="FirstParagraph"/>
      </w:pPr>
      <w:r>
        <w:t xml:space="preserve">Community-dwelling adults aged 60–90 years were recruited around the University of California, Riverside. All were right-handed, had normal or corrected-to-normal vision and hearing, and had no contraindication for MRI, no current psychotropic medication, no neurological disorder and no major systemic condition (including diabetes). Of 69 enrolled participants, two were excluded (suspected mild cognitive impairment; possible essential tremor). That left 67 older adults (</w:t>
      </w:r>
      <w:hyperlink w:anchor="tbl-demographics">
        <w:r>
          <w:rPr>
            <w:rStyle w:val="Hyperlink"/>
          </w:rPr>
          <w:t xml:space="preserve">Table 1</w:t>
        </w:r>
      </w:hyperlink>
      <w:r>
        <w:t xml:space="preserve">). Under the inclusion criteria, 62 participants contributed data to both tasks and five to only one (auditory, 64; visual, 65). Participants gave written informed consent and received course credit or payment. Procedures were approved by the University of California, Riverside Institutional Review Board.</w:t>
      </w:r>
    </w:p>
    <w:tbl>
      <w:tblPr>
        <w:tblStyle w:val="Table"/>
        <w:tblW w:type="pct" w:w="5000"/>
        <w:tblLayout w:type="fixed"/>
        <w:tblLook w:firstRow="0" w:lastRow="0" w:firstColumn="0" w:lastColumn="0" w:noHBand="0" w:noVBand="0" w:val="0000"/>
      </w:tblPr>
      <w:tblGrid>
        <w:gridCol w:w="7920"/>
      </w:tblGrid>
      <w:tr>
        <w:tc>
          <w:tcPr/>
          <w:bookmarkStart w:id="11" w:name="tbl-demographics"/>
          <w:p>
            <w:pPr>
              <w:jc w:val="center"/>
            </w:pPr>
            <w:pPr>
              <w:jc w:val="left"/>
              <w:spacing w:before="200"/>
              <w:pStyle w:val="ImageCaption"/>
            </w:pPr>
            <w:r>
              <w:t xml:space="preserve">Table 1: Participant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MoCA-telephone, score /22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  White/Caucasian</w:t>
                  </w:r>
                </w:p>
              </w:tc>
              <w:tc>
                <w:tcPr/>
                <w:p>
                  <w:pPr>
                    <w:pStyle w:val="Compact"/>
                    <w:jc w:val="right"/>
                    <w:jc w:val="center"/>
                  </w:pPr>
                  <w:r>
                    <w:t xml:space="preserve">51 (76.1%)</w:t>
                  </w:r>
                </w:p>
              </w:tc>
            </w:tr>
            <w:tr>
              <w:tc>
                <w:tcPr/>
                <w:p>
                  <w:pPr>
                    <w:pStyle w:val="Compact"/>
                    <w:jc w:val="left"/>
                    <w:jc w:val="center"/>
                  </w:pPr>
                  <w:r>
                    <w:t xml:space="preserve">  Black/African American</w:t>
                  </w:r>
                </w:p>
              </w:tc>
              <w:tc>
                <w:tcPr/>
                <w:p>
                  <w:pPr>
                    <w:pStyle w:val="Compact"/>
                    <w:jc w:val="right"/>
                    <w:jc w:val="center"/>
                  </w:pPr>
                  <w:r>
                    <w:t xml:space="preserve">4 (6.0%)</w:t>
                  </w:r>
                </w:p>
              </w:tc>
            </w:tr>
            <w:tr>
              <w:tc>
                <w:tcPr/>
                <w:p>
                  <w:pPr>
                    <w:pStyle w:val="Compact"/>
                    <w:jc w:val="left"/>
                    <w:jc w:val="center"/>
                  </w:pPr>
                  <w:r>
                    <w:t xml:space="preserve">  Asian</w:t>
                  </w:r>
                </w:p>
              </w:tc>
              <w:tc>
                <w:tcPr/>
                <w:p>
                  <w:pPr>
                    <w:pStyle w:val="Compact"/>
                    <w:jc w:val="right"/>
                    <w:jc w:val="center"/>
                  </w:pPr>
                  <w:r>
                    <w:t xml:space="preserve">5 (7.5%)</w:t>
                  </w:r>
                </w:p>
              </w:tc>
            </w:tr>
            <w:tr>
              <w:tc>
                <w:tcPr/>
                <w:p>
                  <w:pPr>
                    <w:pStyle w:val="Compact"/>
                    <w:jc w:val="left"/>
                    <w:jc w:val="center"/>
                  </w:pPr>
                  <w:r>
                    <w:t xml:space="preserve">  Other</w:t>
                  </w:r>
                </w:p>
              </w:tc>
              <w:tc>
                <w:tcPr/>
                <w:p>
                  <w:pPr>
                    <w:pStyle w:val="Compact"/>
                    <w:jc w:val="right"/>
                    <w:jc w:val="center"/>
                  </w:pPr>
                  <w:r>
                    <w:t xml:space="preserve">5 (7.5%)</w:t>
                  </w:r>
                </w:p>
              </w:tc>
            </w:tr>
            <w:tr>
              <w:tc>
                <w:tcPr/>
                <w:p>
                  <w:pPr>
                    <w:pStyle w:val="Compact"/>
                    <w:jc w:val="left"/>
                    <w:jc w:val="center"/>
                  </w:pPr>
                  <w:r>
                    <w:t xml:space="preserve">  Not reported</w:t>
                  </w:r>
                </w:p>
              </w:tc>
              <w:tc>
                <w:tcPr/>
                <w:p>
                  <w:pPr>
                    <w:pStyle w:val="Compact"/>
                    <w:jc w:val="right"/>
                    <w:jc w:val="center"/>
                  </w:pPr>
                  <w:r>
                    <w:t xml:space="preserve">2 (3.0%)</w:t>
                  </w:r>
                </w:p>
              </w:tc>
            </w:tr>
            <w:tr>
              <w:tc>
                <w:tcPr/>
                <w:p>
                  <w:pPr>
                    <w:pStyle w:val="Compact"/>
                    <w:jc w:val="left"/>
                    <w:jc w:val="center"/>
                  </w:pPr>
                  <w:r>
                    <w:t xml:space="preserve">Ethnicity, count (%)</w:t>
                  </w:r>
                </w:p>
              </w:tc>
              <w:tc>
                <w:tcPr/>
                <w:p>
                  <w:pPr>
                    <w:pStyle w:val="Compact"/>
                  </w:pPr>
                </w:p>
              </w:tc>
            </w:tr>
            <w:tr>
              <w:tc>
                <w:tcPr/>
                <w:p>
                  <w:pPr>
                    <w:pStyle w:val="Compact"/>
                    <w:jc w:val="left"/>
                    <w:jc w:val="center"/>
                  </w:pPr>
                  <w:r>
                    <w:t xml:space="preserve">  Hispanic/Latino</w:t>
                  </w:r>
                </w:p>
              </w:tc>
              <w:tc>
                <w:tcPr/>
                <w:p>
                  <w:pPr>
                    <w:pStyle w:val="Compact"/>
                    <w:jc w:val="right"/>
                    <w:jc w:val="center"/>
                  </w:pPr>
                  <w:r>
                    <w:t xml:space="preserve">10 (14.9%)</w:t>
                  </w:r>
                </w:p>
              </w:tc>
            </w:tr>
          </w:tbl>
          <w:bookmarkEnd w:id="11"/>
          <w:p/>
        </w:tc>
      </w:tr>
    </w:tbl>
    <w:bookmarkEnd w:id="12"/>
    <w:bookmarkStart w:id="17" w:name="task-and-stimuli"/>
    <w:p>
      <w:pPr>
        <w:pStyle w:val="Heading2"/>
      </w:pPr>
      <w:r>
        <w:t xml:space="preserve">2.2 Task and stimuli</w:t>
      </w:r>
    </w:p>
    <w:p>
      <w:pPr>
        <w:pStyle w:val="FirstParagraph"/>
      </w:pPr>
      <w:r>
        <w:t xml:space="preserve">Participants performed an auditory discrimination task (ADT) and a visual discrimination task (VDT) in the MRI scanner while squeezing a dynamometer with the left hand (</w:t>
      </w:r>
      <w:hyperlink w:anchor="fig-design">
        <w:r>
          <w:rPr>
            <w:rStyle w:val="Hyperlink"/>
          </w:rPr>
          <w:t xml:space="preserve">Figure 1</w:t>
        </w:r>
      </w:hyperlink>
      <w:r>
        <w:t xml:space="preserve">). After a blank gray screen (1.5–4.5 s), a grip gauge appeared for 3 s with a target at 5% (low effort) or 40% (high effort) of the participant’s maximum voluntary contraction (MVC). Participants held the grip until the probe ended. After a 0.25-s blank and a 0.5-s fixation dot, a standard and a probe stimulus (0.1 s each) were presented 0.5 s apart. In the ADT, the standard was a 1000-Hz tone, and the probe was identical or 8, 16, 32 or 64 Hz higher. In the VDT, the standard was a Gabor patch (1.5 cycles/degree, Michelson contrast 0.20, 4°), and the probe was identical or had a contrast 0.06, 0.12, 0.24 or 0.48 higher. The two smaller offsets were grouped as Hard, the two larger as Easy, and identical probes as Standard.</w:t>
      </w:r>
    </w:p>
    <w:p>
      <w:pPr>
        <w:pStyle w:val="BodyText"/>
      </w:pPr>
      <w:r>
        <w:t xml:space="preserve">In this response-signal procedure, participants withheld their response until a cue appeared 0.25 s after probe offset. They then had 3 s to answer</w:t>
      </w:r>
      <w:r>
        <w:t xml:space="preserve"> </w:t>
      </w:r>
      <w:r>
        <w:t xml:space="preserve">“different”</w:t>
      </w:r>
      <w:r>
        <w:t xml:space="preserve"> </w:t>
      </w:r>
      <w:r>
        <w:t xml:space="preserve">(right index finger) or</w:t>
      </w:r>
      <w:r>
        <w:t xml:space="preserve"> </w:t>
      </w:r>
      <w:r>
        <w:t xml:space="preserve">“same”</w:t>
      </w:r>
      <w:r>
        <w:t xml:space="preserve"> </w:t>
      </w:r>
      <w:r>
        <w:t xml:space="preserve">(right middle finger), followed by a confidence rating that is not analyzed here. Each task had five blocks of 30 trials. Each block crossed the five probe levels with the two effort levels, three times each, in pseudorandom order. Effort was therefore known before each trial, but the stimulus type was known only at probe onset.</w:t>
      </w:r>
    </w:p>
    <w:tbl>
      <w:tblPr>
        <w:tblStyle w:val="Table"/>
        <w:tblW w:type="pct" w:w="5000"/>
        <w:tblLayout w:type="fixed"/>
        <w:tblLook w:firstRow="0" w:lastRow="0" w:firstColumn="0" w:lastColumn="0" w:noHBand="0" w:noVBand="0" w:val="0000"/>
      </w:tblPr>
      <w:tblGrid>
        <w:gridCol w:w="7920"/>
      </w:tblGrid>
      <w:tr>
        <w:tc>
          <w:tcPr/>
          <w:bookmarkStart w:id="16" w:name="fig-design"/>
          <w:p>
            <w:pPr>
              <w:pStyle w:val="Compact"/>
              <w:jc w:val="center"/>
            </w:pPr>
            <w:r>
              <w:drawing>
                <wp:inline>
                  <wp:extent cx="5334000" cy="4782139"/>
                  <wp:effectExtent b="0" l="0" r="0" t="0"/>
                  <wp:docPr descr="" title="" id="14" name="Picture"/>
                  <a:graphic>
                    <a:graphicData uri="http://schemas.openxmlformats.org/drawingml/2006/picture">
                      <pic:pic>
                        <pic:nvPicPr>
                          <pic:cNvPr descr="../output/ddm_refits/runs/final_20261016/figures/final/F1_design_model.png" id="15" name="Picture"/>
                          <pic:cNvPicPr>
                            <a:picLocks noChangeArrowheads="1" noChangeAspect="1"/>
                          </pic:cNvPicPr>
                        </pic:nvPicPr>
                        <pic:blipFill>
                          <a:blip r:embed="rId13"/>
                          <a:stretch>
                            <a:fillRect/>
                          </a:stretch>
                        </pic:blipFill>
                        <pic:spPr bwMode="auto">
                          <a:xfrm>
                            <a:off x="0" y="0"/>
                            <a:ext cx="5334000" cy="47821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Task and model. (A) Trial timeline from squeeze onset: grip gauge (low effort, 5% MVC; high effort, 40% MVC), standard and probe stimuli, response cue and response window. (B) Diffusion model with response coding: evidence accumulates from the starting point (z) toward the “different” (upper) or “same” (lower) boundary, separated by a, at drift rate v; t₀ is non-decision time. (C) Predictors of each parameter in the primary model (M4).</w:t>
            </w:r>
          </w:p>
          <w:bookmarkEnd w:id="16"/>
        </w:tc>
      </w:tr>
    </w:tbl>
    <w:bookmarkEnd w:id="17"/>
    <w:bookmarkStart w:id="18" w:name="X44bec311b1e486d0b8db81d624629880212fdeb"/>
    <w:p>
      <w:pPr>
        <w:pStyle w:val="Heading2"/>
      </w:pPr>
      <w:r>
        <w:t xml:space="preserve">2.3 Sessions and maximum voluntary contraction</w:t>
      </w:r>
    </w:p>
    <w:p>
      <w:pPr>
        <w:pStyle w:val="FirstParagraph"/>
      </w:pPr>
      <w:r>
        <w:t xml:space="preserve">The tasks were completed across three sessions on separate days. In Session 1, participants watched instructional videos and practiced at least 60 trials of each task without the grip, and their MVC was measured. They then practiced both tasks with the grip and confidence ratings until the experimenter judged that they understood them. In Sessions 2 and 3, participants performed one task each in the scanner (order counterbalanced), each preceded by a short practice block. MVC was the mean force across three maximal 5-s squeezes, with about 30 s of rest between them. It was measured again in the scanner in Session 2, and that value set the 5% and 40% targets in Sessions 2 and 3.</w:t>
      </w:r>
    </w:p>
    <w:bookmarkEnd w:id="18"/>
    <w:bookmarkStart w:id="19" w:name="apparatus"/>
    <w:p>
      <w:pPr>
        <w:pStyle w:val="Heading2"/>
      </w:pPr>
      <w:r>
        <w:t xml:space="preserve">2.4 Apparatus</w:t>
      </w:r>
    </w:p>
    <w:p>
      <w:pPr>
        <w:pStyle w:val="FirstParagraph"/>
      </w:pPr>
      <w:r>
        <w:t xml:space="preserve">The task ran in Psychophysics Toolbox 3.0.18</w:t>
      </w:r>
      <w:r>
        <w:t xml:space="preserve"> </w:t>
      </w:r>
      <w:r>
        <w:t xml:space="preserve">(Brainard, 1997; Kleiner et al., 2007)</w:t>
      </w:r>
      <w:r>
        <w:t xml:space="preserve"> </w:t>
      </w:r>
      <w:r>
        <w:t xml:space="preserve">in MATLAB R2022b. Visual stimuli were projected with a PROPixx projector (VPixx Technologies; 480 Hz, 1920 × 1080) and viewed through a head-coil mirror (effective viewing distance 12 cm). Sounds were delivered through MRI-compatible earbuds (Newmatic Medical; 30 dB noise reduction). Responses were recorded with a RESPONSEpixx button box, grip force with an MRI-compatible dynamometer (Current Designs; 100 Hz) and pupil diameter with a TRACKPixx binocular eye tracker (VPixx Technologies; 2000 Hz). The background was mid-gray. The gauge’s force bar covered less than 1% of the screen, so it changed mean luminance by less than 1% between effort levels, in the direction that would constrict the pupil under high effort.</w:t>
      </w:r>
    </w:p>
    <w:bookmarkEnd w:id="19"/>
    <w:bookmarkStart w:id="20" w:name="behavioral-data-processing"/>
    <w:p>
      <w:pPr>
        <w:pStyle w:val="Heading2"/>
      </w:pPr>
      <w:r>
        <w:t xml:space="preserve">2.5 Behavioral data processing</w:t>
      </w:r>
    </w:p>
    <w:p>
      <w:pPr>
        <w:pStyle w:val="FirstParagraph"/>
      </w:pPr>
      <w:r>
        <w:t xml:space="preserve">RT was recorded from the response cue. For modeling it was measured from probe onset, by adding the fixed 0.35-s interval between probe onset and the cue, so that the decision clock starts when evidence becomes available and the non-decision time absorbs the enforced delay. Of 18,099 recorded trials, two with a negative RT were removed. A further 240 with a cue-locked RT below 0.20 s were removed as anticipatory. This left 17,857 trials (Table S1). Cutoffs of 0.15 s and 0.25 s were used in sensitivity analyses. Overall accuracy was at or below .55 for 13 participants. They were retained in the primary analysis and excluded in a sensitivity analysis.</w:t>
      </w:r>
    </w:p>
    <w:bookmarkEnd w:id="20"/>
    <w:bookmarkStart w:id="21" w:name="pupillometry"/>
    <w:p>
      <w:pPr>
        <w:pStyle w:val="Heading2"/>
      </w:pPr>
      <w:r>
        <w:t xml:space="preserve">2.6 Pupillometry</w:t>
      </w:r>
    </w:p>
    <w:p>
      <w:pPr>
        <w:pStyle w:val="FirstParagraph"/>
      </w:pPr>
      <w:r>
        <w:t xml:space="preserve">Blinks and other artifacts were removed with the ET-remove-artifacts toolbox</w:t>
      </w:r>
      <w:r>
        <w:t xml:space="preserve"> </w:t>
      </w:r>
      <w:r>
        <w:t xml:space="preserve">(Mather et al., 2020)</w:t>
      </w:r>
      <w:r>
        <w:t xml:space="preserve"> </w:t>
      </w:r>
      <w:r>
        <w:t xml:space="preserve">and checked visually. The signal was downsampled to 250 Hz, and each sample was placed on a time axis at 4-ms steps from 3 s before squeeze onset. This axis spans the recorded epoch, which ends with the confidence window 10.7 s after squeeze onset.</w:t>
      </w:r>
    </w:p>
    <w:p>
      <w:pPr>
        <w:pStyle w:val="BodyText"/>
      </w:pPr>
      <w:r>
        <w:t xml:space="preserve">The task-evoked pupil response (TEPR) was the mean pupil size 0.3–3.3 s after probe onset (4.65–7.65 s after squeeze onset) minus the mean pupil size in the 0.5 s before the probe (3.85–4.35 s, the interstimulus interval). As in Chapter 1, this baseline separates the response to the probe from the slower dilation that builds up during the grip. The window starts 0.3 s after the probe to allow for pupil latency</w:t>
      </w:r>
      <w:r>
        <w:t xml:space="preserve"> </w:t>
      </w:r>
      <w:r>
        <w:t xml:space="preserve">(Mathôt, 2018)</w:t>
      </w:r>
      <w:r>
        <w:t xml:space="preserve"> </w:t>
      </w:r>
      <w:r>
        <w:t xml:space="preserve">and covers the typical peak, 1–2 s after the stimulus</w:t>
      </w:r>
      <w:r>
        <w:t xml:space="preserve"> </w:t>
      </w:r>
      <w:r>
        <w:t xml:space="preserve">(</w:t>
      </w:r>
      <w:r>
        <w:t xml:space="preserve">da Silva Castanheira et al.</w:t>
      </w:r>
      <w:r>
        <w:t xml:space="preserve">, 2021)</w:t>
      </w:r>
      <w:r>
        <w:t xml:space="preserve">. Because the window extends past the response on most trials, the TEPR includes post-decision processing; Section 2.8 describes how this was tested. Two further measures were the mean pupil size in the 0.5 s before squeeze onset (pre-squeeze baseline) and the mean pupil size during the grip (1.00–4.35 s), relative to the pre-squeeze baseline.</w:t>
      </w:r>
    </w:p>
    <w:p>
      <w:pPr>
        <w:pStyle w:val="BodyText"/>
      </w:pPr>
      <w:r>
        <w:t xml:space="preserve">Trials entered the pupil analyses if at least 50% of samples were valid in both the pre-probe baseline and the TEPR window. Each participant × task cell needed at least 20 such trials. This left 6,299 trials from 51 participants (Figure S1), a subset of the behavioral sample selected on recording quality. Each pupil predictor was centered within participant × task × effort and divided by the participant’s pooled within-cell SD. Its slope therefore reflects trial-to-trial fluctuation around the condition mean.</w:t>
      </w:r>
    </w:p>
    <w:bookmarkEnd w:id="21"/>
    <w:bookmarkStart w:id="25" w:name="drift-diffusion-model"/>
    <w:p>
      <w:pPr>
        <w:pStyle w:val="Heading2"/>
      </w:pPr>
      <w:r>
        <w:t xml:space="preserve">2.7 Drift-diffusion model</w:t>
      </w:r>
    </w:p>
    <w:bookmarkStart w:id="22" w:name="response-coding"/>
    <w:p>
      <w:pPr>
        <w:pStyle w:val="Heading3"/>
      </w:pPr>
      <w:r>
        <w:t xml:space="preserve">2.7.1 Response coding</w:t>
      </w:r>
    </w:p>
    <w:p>
      <w:pPr>
        <w:pStyle w:val="FirstParagraph"/>
      </w:pPr>
      <w:r>
        <w:t xml:space="preserve">Choices and probe-locked RTs were modeled with a Wiener diffusion model</w:t>
      </w:r>
      <w:r>
        <w:t xml:space="preserve"> </w:t>
      </w:r>
      <w:r>
        <w:t xml:space="preserve">(Ratcliff &amp; McKoon, 2008)</w:t>
      </w:r>
      <w:r>
        <w:t xml:space="preserve">, with</w:t>
      </w:r>
      <w:r>
        <w:t xml:space="preserve"> </w:t>
      </w:r>
      <w:r>
        <w:t xml:space="preserve">“different”</w:t>
      </w:r>
      <w:r>
        <w:t xml:space="preserve"> </w:t>
      </w:r>
      <w:r>
        <w:t xml:space="preserve">as the upper boundary and</w:t>
      </w:r>
      <w:r>
        <w:t xml:space="preserve"> </w:t>
      </w:r>
      <w:r>
        <w:t xml:space="preserve">“same”</w:t>
      </w:r>
      <w:r>
        <w:t xml:space="preserve"> </w:t>
      </w:r>
      <w:r>
        <w:t xml:space="preserve">as the lower boundary. Positive drift therefore moves toward</w:t>
      </w:r>
      <w:r>
        <w:t xml:space="preserve"> </w:t>
      </w:r>
      <w:r>
        <w:t xml:space="preserve">“different.”</w:t>
      </w:r>
      <w:r>
        <w:t xml:space="preserve"> </w:t>
      </w:r>
      <w:r>
        <w:t xml:space="preserve">The starting point measures a bias toward one response. On Standard trials, drift is negative when evidence accumulates toward the correct</w:t>
      </w:r>
      <w:r>
        <w:t xml:space="preserve"> </w:t>
      </w:r>
      <w:r>
        <w:t xml:space="preserve">“same”</w:t>
      </w:r>
      <w:r>
        <w:t xml:space="preserve"> </w:t>
      </w:r>
      <w:r>
        <w:t xml:space="preserve">response.</w:t>
      </w:r>
    </w:p>
    <w:bookmarkEnd w:id="22"/>
    <w:bookmarkStart w:id="23" w:name="model-specification"/>
    <w:p>
      <w:pPr>
        <w:pStyle w:val="Heading3"/>
      </w:pPr>
      <w:r>
        <w:t xml:space="preserve">2.7.2 Model specification</w:t>
      </w:r>
    </w:p>
    <w:p>
      <w:pPr>
        <w:pStyle w:val="FirstParagraph"/>
      </w:pPr>
      <w:r>
        <w:t xml:space="preserve">Models were fit jointly to both tasks in brms</w:t>
      </w:r>
      <w:r>
        <w:t xml:space="preserve"> </w:t>
      </w:r>
      <w:r>
        <w:t xml:space="preserve">(Bürkner, 2017)</w:t>
      </w:r>
      <w:r>
        <w:t xml:space="preserve"> </w:t>
      </w:r>
      <w:r>
        <w:t xml:space="preserve">with CmdStan</w:t>
      </w:r>
      <w:r>
        <w:t xml:space="preserve"> </w:t>
      </w:r>
      <w:r>
        <w:t xml:space="preserve">(Stan Development Team, 2024)</w:t>
      </w:r>
      <w:r>
        <w:t xml:space="preserve">, using an identity link for drift, log links for boundary separation (</w:t>
      </w:r>
      <w:r>
        <w:rPr>
          <w:i/>
          <w:iCs/>
        </w:rPr>
        <w:t xml:space="preserve">a</w:t>
      </w:r>
      <w:r>
        <w:t xml:space="preserve">) and non-decision time (</w:t>
      </w:r>
      <w:r>
        <w:rPr>
          <w:i/>
          <w:iCs/>
        </w:rPr>
        <w:t xml:space="preserve">t</w:t>
      </w:r>
      <w:r>
        <w:rPr>
          <w:vertAlign w:val="subscript"/>
        </w:rPr>
        <w:t xml:space="preserve">0</w:t>
      </w:r>
      <w:r>
        <w:t xml:space="preserve">), and a logit link for the starting point (</w:t>
      </w:r>
      <w:r>
        <w:rPr>
          <w:i/>
          <w:iCs/>
        </w:rPr>
        <w:t xml:space="preserve">z</w:t>
      </w:r>
      <w:r>
        <w:t xml:space="preserve">). In the primary model (M4), drift depended on stimulus type (Standard, Hard, Easy), task, their interaction, effort and an effort × stimulus term. Boundary separation depended on stimulus type, task and effort, and the starting point on task and effort. Non-decision time had an intercept only. Participants had random intercepts on drift, boundary separation and starting point.</w:t>
      </w:r>
    </w:p>
    <w:p>
      <w:pPr>
        <w:pStyle w:val="BodyText"/>
      </w:pPr>
      <w:r>
        <w:t xml:space="preserve">The effort main effect on drift shifts drift equally on all trials, toward</w:t>
      </w:r>
      <w:r>
        <w:t xml:space="preserve"> </w:t>
      </w:r>
      <w:r>
        <w:t xml:space="preserve">“different”</w:t>
      </w:r>
      <w:r>
        <w:t xml:space="preserve"> </w:t>
      </w:r>
      <w:r>
        <w:t xml:space="preserve">if positive and toward</w:t>
      </w:r>
      <w:r>
        <w:t xml:space="preserve"> </w:t>
      </w:r>
      <w:r>
        <w:t xml:space="preserve">“same”</w:t>
      </w:r>
      <w:r>
        <w:t xml:space="preserve"> </w:t>
      </w:r>
      <w:r>
        <w:t xml:space="preserve">if negative. This is a change in the drift criterion</w:t>
      </w:r>
      <w:r>
        <w:t xml:space="preserve"> </w:t>
      </w:r>
      <w:r>
        <w:t xml:space="preserve">(Ratcliff &amp; McKoon, 2008)</w:t>
      </w:r>
      <w:r>
        <w:t xml:space="preserve">. The effort × stimulus term (stimulus coded +1 for Hard and Easy, −1 for Standard) changes how far drift on different-stimulus trials lies from drift on Standard trials, which is a change in evidence quality.</w:t>
      </w:r>
    </w:p>
    <w:p>
      <w:pPr>
        <w:pStyle w:val="BodyText"/>
      </w:pPr>
      <w:r>
        <w:t xml:space="preserve">The starting point did not depend on stimulus type, which could not be known before the trial. The boundary terms for stimulus type absorb RT differences between stimulus types. Because stimulus types were intermixed, those terms are not interpreted as strategic settings (Section 4.4). Non-decision time had no predictors because, in a response-signal design, it mainly absorbs the delay before the cue.</w:t>
      </w:r>
    </w:p>
    <w:p>
      <w:pPr>
        <w:pStyle w:val="BodyText"/>
      </w:pPr>
      <w:r>
        <w:t xml:space="preserve">M4 was compared with nested models that differed in how effort, stimulus type and task entered drift and boundary separation (formulas in S6). Two variants of M4 were also fit: M4b added effort × task interactions on drift, and M4r added by-participant random effort slopes on drift and boundary separation.</w:t>
      </w:r>
    </w:p>
    <w:bookmarkEnd w:id="23"/>
    <w:bookmarkStart w:id="24" w:name="priors-and-estimation"/>
    <w:p>
      <w:pPr>
        <w:pStyle w:val="Heading3"/>
      </w:pPr>
      <w:r>
        <w:t xml:space="preserve">2.7.3 Priors and estimation</w:t>
      </w:r>
    </w:p>
    <w:p>
      <w:pPr>
        <w:pStyle w:val="FirstParagraph"/>
      </w:pPr>
      <w:r>
        <w:t xml:space="preserve">Priors were weakly informative on the link scale (</w:t>
      </w:r>
      <w:hyperlink w:anchor="supptbl-priors">
        <w:r>
          <w:rPr>
            <w:rStyle w:val="Hyperlink"/>
          </w:rPr>
          <w:t xml:space="preserve">Table S2</w:t>
        </w:r>
      </w:hyperlink>
      <w:r>
        <w:t xml:space="preserve">). The boundary-separation intercept was bounded between 0.3 and 5. Non-decision time was bounded between 0.02 s and 0.01 s below the shortest RT. Models used 8 chains of 3,000 iterations, the first 1,500 of them warmup (adapt_delta = 0.95, maximum tree depth 12). M1, M2 and the 0.15-s cutoff model did not meet the convergence criterion at this length and were refit with 4,500 iterations. A model was accepted if every parameter had R̂ &lt; 1.01, bulk and tail effective sample sizes of at least 400 and no divergent transitions</w:t>
      </w:r>
      <w:r>
        <w:t xml:space="preserve"> </w:t>
      </w:r>
      <w:r>
        <w:t xml:space="preserve">(Vehtari et al., 2021)</w:t>
      </w:r>
      <w:r>
        <w:t xml:space="preserve">. Table S5 gives the diagnostics for every model.</w:t>
      </w:r>
    </w:p>
    <w:bookmarkEnd w:id="24"/>
    <w:bookmarkEnd w:id="25"/>
    <w:bookmarkStart w:id="26" w:name="pupil-linked-models"/>
    <w:p>
      <w:pPr>
        <w:pStyle w:val="Heading2"/>
      </w:pPr>
      <w:r>
        <w:t xml:space="preserve">2.8 Pupil-linked models</w:t>
      </w:r>
    </w:p>
    <w:p>
      <w:pPr>
        <w:pStyle w:val="FirstParagraph"/>
      </w:pPr>
      <w:r>
        <w:t xml:space="preserve">Each pupil-linked model added one pupil predictor to M4. Each was compared with an M4 baseline fit to the same trials. The TEPR was entered on the starting point (P1), on drift with a TEPR × stimulus term (P2) or on boundary separation (P3). The pre-squeeze baseline was entered on the starting point (P4) and on boundary separation (P5). Because the TEPR window overlapped the response, three further tests asked whether a TEPR–boundary association could reflect decision duration rather than a pupil change before the decision. First, P3 was refit after removing the slowest 20% of trials in each participant × task cell (P3 without the slowest trials). Second, boundary separation was predicted from pupil size in the 0.5 s before the response, a window that ends before the response (P7). Third, boundary separation was predicted from measures that precede the decision: the previous trial’s TEPR within a block (P6) and the grip-period pupil size (P8).</w:t>
      </w:r>
    </w:p>
    <w:p>
      <w:pPr>
        <w:pStyle w:val="BodyText"/>
      </w:pPr>
      <w:r>
        <w:t xml:space="preserve">Effort effects on pupil size were tested with paired</w:t>
      </w:r>
      <w:r>
        <w:t xml:space="preserve"> </w:t>
      </w:r>
      <w:r>
        <w:rPr>
          <w:i/>
          <w:iCs/>
        </w:rPr>
        <w:t xml:space="preserve">t</w:t>
      </w:r>
      <w:r>
        <w:t xml:space="preserve"> </w:t>
      </w:r>
      <w:r>
        <w:t xml:space="preserve">tests on participant means within each task. The TEPR was compared between effort levels relative to both the pre-probe and the pre-squeeze baseline. Only participants with valid trials at both effort levels were included.</w:t>
      </w:r>
    </w:p>
    <w:bookmarkEnd w:id="26"/>
    <w:bookmarkStart w:id="27" w:name="statistical-inference"/>
    <w:p>
      <w:pPr>
        <w:pStyle w:val="Heading2"/>
      </w:pPr>
      <w:r>
        <w:t xml:space="preserve">2.9 Statistical inference</w:t>
      </w:r>
    </w:p>
    <w:p>
      <w:pPr>
        <w:pStyle w:val="FirstParagraph"/>
      </w:pPr>
      <w:r>
        <w:t xml:space="preserve">Effects are reported as posterior medians with 95% credible intervals (CrIs) and the posterior probability that the effect has the sign of its median. Whether an effect was negligible was judged against a region of practical equivalence</w:t>
      </w:r>
      <w:r>
        <w:t xml:space="preserve"> </w:t>
      </w:r>
      <w:r>
        <w:t xml:space="preserve">(ROPE, Kruschke, 2018)</w:t>
      </w:r>
      <w:r>
        <w:t xml:space="preserve">. The ROPE was ±0.05 for log boundary separation and logit starting point, which corresponds to about a 5% change in</w:t>
      </w:r>
      <w:r>
        <w:t xml:space="preserve"> </w:t>
      </w:r>
      <w:r>
        <w:rPr>
          <w:i/>
          <w:iCs/>
        </w:rPr>
        <w:t xml:space="preserve">a</w:t>
      </w:r>
      <w:r>
        <w:t xml:space="preserve"> </w:t>
      </w:r>
      <w:r>
        <w:t xml:space="preserve">and about 1 percentage point in</w:t>
      </w:r>
      <w:r>
        <w:t xml:space="preserve"> </w:t>
      </w:r>
      <w:r>
        <w:rPr>
          <w:i/>
          <w:iCs/>
        </w:rPr>
        <w:t xml:space="preserve">z</w:t>
      </w:r>
      <w:r>
        <w:t xml:space="preserve"> </w:t>
      </w:r>
      <w:r>
        <w:t xml:space="preserve">near its observed value. For drift it was ±0.02, about 1% of the drift difference between Standard and Easy trials. The proportion of the posterior inside the ROPE is reported where it bears on whether an effect is negligible.</w:t>
      </w:r>
    </w:p>
    <w:p>
      <w:pPr>
        <w:pStyle w:val="BodyText"/>
      </w:pPr>
      <w:r>
        <w:t xml:space="preserve">Models were compared with Pareto-smoothed importance-sampling leave-one-out cross-validation</w:t>
      </w:r>
      <w:r>
        <w:t xml:space="preserve"> </w:t>
      </w:r>
      <w:r>
        <w:t xml:space="preserve">(PSIS-LOO, Vehtari et al., 2017)</w:t>
      </w:r>
      <w:r>
        <w:t xml:space="preserve">. Observations with Pareto</w:t>
      </w:r>
      <w:r>
        <w:t xml:space="preserve"> </w:t>
      </w:r>
      <w:r>
        <w:rPr>
          <w:i/>
          <w:iCs/>
        </w:rPr>
        <w:t xml:space="preserve">k</w:t>
      </w:r>
      <w:r>
        <w:t xml:space="preserve"> </w:t>
      </w:r>
      <w:r>
        <w:t xml:space="preserve">&gt; 0.7 were handled with moment matching and exact refits. Differences in expected log predictive density (ΔELPD) are reported with their SE, and differences smaller than about twice their SE were treated as uncertain.</w:t>
      </w:r>
    </w:p>
    <w:p>
      <w:pPr>
        <w:pStyle w:val="BodyText"/>
      </w:pPr>
      <w:r>
        <w:t xml:space="preserve">Observed accuracy was analyzed with a binomial generalized linear mixed model (stimulus type × effort, plus task) in lme4</w:t>
      </w:r>
      <w:r>
        <w:t xml:space="preserve"> </w:t>
      </w:r>
      <w:r>
        <w:t xml:space="preserve">(Bates, Mächler, et al., 2015)</w:t>
      </w:r>
      <w:r>
        <w:t xml:space="preserve">. Because models with random effort slopes were singular, the model used a random intercept for participant</w:t>
      </w:r>
      <w:r>
        <w:t xml:space="preserve"> </w:t>
      </w:r>
      <w:r>
        <w:t xml:space="preserve">(Barr et al., 2013; Bates, Kliegl, et al., 2015; Brauer &amp; Curtin, 2018)</w:t>
      </w:r>
      <w:r>
        <w:t xml:space="preserve">. High − Low contrasts at each stimulus type were computed with emmeans</w:t>
      </w:r>
      <w:r>
        <w:t xml:space="preserve"> </w:t>
      </w:r>
      <w:r>
        <w:t xml:space="preserve">(Lenth &amp; Piaskowski, 2026)</w:t>
      </w:r>
      <w:r>
        <w:t xml:space="preserve">. Model adequacy was checked with posterior predictive simulations of choice proportions and RT quantiles in each of the 12 task × stimulus × effort cells.</w:t>
      </w:r>
    </w:p>
    <w:bookmarkEnd w:id="27"/>
    <w:bookmarkEnd w:id="28"/>
    <w:bookmarkStart w:id="47" w:name="results"/>
    <w:p>
      <w:pPr>
        <w:pStyle w:val="Heading1"/>
      </w:pPr>
      <w:r>
        <w:t xml:space="preserve">3 Results</w:t>
      </w:r>
    </w:p>
    <w:bookmarkStart w:id="38" w:name="primary-diffusion-model"/>
    <w:p>
      <w:pPr>
        <w:pStyle w:val="Heading2"/>
      </w:pPr>
      <w:r>
        <w:t xml:space="preserve">3.1 Primary diffusion model</w:t>
      </w:r>
    </w:p>
    <w:p>
      <w:pPr>
        <w:pStyle w:val="FirstParagraph"/>
      </w:pPr>
      <w:r>
        <w:t xml:space="preserve">Allowing drift rate to differ between tasks improved out-of-sample prediction (M4 vs. M3: ΔELPD = 158.3 ± 20.0), whereas allowing the effort effects to differ between tasks did not (M4b vs. M4: ΔELPD = −1.6 ± 1.5;</w:t>
      </w:r>
      <w:r>
        <w:t xml:space="preserve"> </w:t>
      </w:r>
      <w:hyperlink w:anchor="supptbl-model-comparison">
        <w:r>
          <w:rPr>
            <w:rStyle w:val="Hyperlink"/>
          </w:rPr>
          <w:t xml:space="preserve">Table S3</w:t>
        </w:r>
      </w:hyperlink>
      <w:r>
        <w:t xml:space="preserve">).</w:t>
      </w:r>
    </w:p>
    <w:p>
      <w:pPr>
        <w:pStyle w:val="BodyText"/>
      </w:pPr>
      <w:r>
        <w:rPr>
          <w:b/>
          <w:bCs/>
        </w:rPr>
        <w:t xml:space="preserve">Stimulus and task effects.</w:t>
      </w:r>
      <w:r>
        <w:t xml:space="preserve"> </w:t>
      </w:r>
      <w:r>
        <w:t xml:space="preserve">Drift was negative on Standard trials and positive on Easy trials (</w:t>
      </w:r>
      <w:hyperlink w:anchor="fig-condition-params">
        <w:r>
          <w:rPr>
            <w:rStyle w:val="Hyperlink"/>
          </w:rPr>
          <w:t xml:space="preserve">Figure 2</w:t>
        </w:r>
      </w:hyperlink>
      <w:r>
        <w:t xml:space="preserve">). Drift on Hard trials was also negative (low effort; ADT: v = −0.575, 95% CrI [−0.675, −0.476]; VDT: v = −0.525, 95% CrI [−0.627, −0.425]). Relative to Standard trials, drift was higher on Hard (β = 0.468, 95% CrI [0.396, 0.543], P(β &gt; 0) &gt; .999) and Easy trials (β = 1.828, 95% CrI [1.750, 1.906], P(β &gt; 0) &gt; .999), and both differences were larger in the VDT than in the ADT (Hard × VDT: β = 0.341, 95% CrI [0.257, 0.426], P(β &gt; 0) &gt; .999; Easy × VDT: β = 0.771, 95% CrI [0.676, 0.866], P(β &gt; 0) &gt; .999). Boundary separation was narrower on Hard (β = −0.098, 95% CrI [−0.118, −0.078], P(β &lt; 0) &gt; .999; −9.3% [−11.1, −7.5]) and Easy trials (β = −0.128, 95% CrI [−0.150, −0.106], P(β &lt; 0) &gt; .999; −12.0% [−14.0, −10.1]) than on Standard trials, and it did not differ between tasks (β = −0.003, 95% CrI [−0.018, 0.011], P(β &lt; 0) = .680, 100% in ROPE). In both tasks the starting point lay above 0.5, toward the</w:t>
      </w:r>
      <w:r>
        <w:t xml:space="preserve"> </w:t>
      </w:r>
      <w:r>
        <w:t xml:space="preserve">“different”</w:t>
      </w:r>
      <w:r>
        <w:t xml:space="preserve"> </w:t>
      </w:r>
      <w:r>
        <w:t xml:space="preserve">boundary (ADT:</w:t>
      </w:r>
      <w:r>
        <w:t xml:space="preserve"> </w:t>
      </w:r>
      <w:r>
        <w:rPr>
          <w:i/>
          <w:iCs/>
        </w:rPr>
        <w:t xml:space="preserve">z</w:t>
      </w:r>
      <w:r>
        <w:t xml:space="preserve"> </w:t>
      </w:r>
      <w:r>
        <w:t xml:space="preserve">= .552 [.536, .568]; VDT:</w:t>
      </w:r>
      <w:r>
        <w:t xml:space="preserve"> </w:t>
      </w:r>
      <w:r>
        <w:rPr>
          <w:i/>
          <w:iCs/>
        </w:rPr>
        <w:t xml:space="preserve">z</w:t>
      </w:r>
      <w:r>
        <w:t xml:space="preserve"> </w:t>
      </w:r>
      <w:r>
        <w:t xml:space="preserve">= .538 [.522, .555]), and it was slightly lower in the VDT (β = −0.054, 95% CrI [−0.099, −0.010], P(β &lt; 0) = .992).</w:t>
      </w:r>
    </w:p>
    <w:tbl>
      <w:tblPr>
        <w:tblStyle w:val="Table"/>
        <w:tblW w:type="pct" w:w="5000"/>
        <w:tblLayout w:type="fixed"/>
        <w:tblLook w:firstRow="0" w:lastRow="0" w:firstColumn="0" w:lastColumn="0" w:noHBand="0" w:noVBand="0" w:val="0000"/>
      </w:tblPr>
      <w:tblGrid>
        <w:gridCol w:w="7920"/>
      </w:tblGrid>
      <w:tr>
        <w:tc>
          <w:tcPr/>
          <w:bookmarkStart w:id="32" w:name="fig-condition-params"/>
          <w:p>
            <w:pPr>
              <w:pStyle w:val="Compact"/>
              <w:jc w:val="center"/>
            </w:pPr>
            <w:r>
              <w:drawing>
                <wp:inline>
                  <wp:extent cx="5334000" cy="4593166"/>
                  <wp:effectExtent b="0" l="0" r="0" t="0"/>
                  <wp:docPr descr="" title="" id="30" name="Picture"/>
                  <a:graphic>
                    <a:graphicData uri="http://schemas.openxmlformats.org/drawingml/2006/picture">
                      <pic:pic>
                        <pic:nvPicPr>
                          <pic:cNvPr descr="../output/ddm_refits/runs/final_20261016/figures/final/F2_condition_parameters.png" id="31" name="Picture"/>
                          <pic:cNvPicPr>
                            <a:picLocks noChangeArrowheads="1" noChangeAspect="1"/>
                          </pic:cNvPicPr>
                        </pic:nvPicPr>
                        <pic:blipFill>
                          <a:blip r:embed="rId29"/>
                          <a:stretch>
                            <a:fillRect/>
                          </a:stretch>
                        </pic:blipFill>
                        <pic:spPr bwMode="auto">
                          <a:xfrm>
                            <a:off x="0" y="0"/>
                            <a:ext cx="5334000" cy="45931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drift rate (top) and boundary separation (bottom) by task, stimulus type and effort in the primary model (M4). Points are posterior medians and bars 95% credible intervals. Drift is signed toward the “different” boundary, so negative drift on Standard trials accumulates toward the correct “same” response. Starting point and non-decision time did not vary by stimulus type and are not shown.</w:t>
            </w:r>
          </w:p>
          <w:bookmarkEnd w:id="32"/>
        </w:tc>
      </w:tr>
    </w:tbl>
    <w:p>
      <w:pPr>
        <w:pStyle w:val="BodyText"/>
      </w:pPr>
      <w:r>
        <w:rPr>
          <w:b/>
          <w:bCs/>
        </w:rPr>
        <w:t xml:space="preserve">Effort effects.</w:t>
      </w:r>
      <w:r>
        <w:t xml:space="preserve"> </w:t>
      </w:r>
      <w:r>
        <w:t xml:space="preserve">High effort shifted drift toward</w:t>
      </w:r>
      <w:r>
        <w:t xml:space="preserve"> </w:t>
      </w:r>
      <w:r>
        <w:t xml:space="preserve">“same”</w:t>
      </w:r>
      <w:r>
        <w:t xml:space="preserve"> </w:t>
      </w:r>
      <w:r>
        <w:t xml:space="preserve">on all trials (drift criterion: β = −0.053, 95% CrI [−0.103, −0.003], P(β &lt; 0) = .981;</w:t>
      </w:r>
      <w:r>
        <w:t xml:space="preserve"> </w:t>
      </w:r>
      <w:hyperlink w:anchor="fig-effort-forest">
        <w:r>
          <w:rPr>
            <w:rStyle w:val="Hyperlink"/>
          </w:rPr>
          <w:t xml:space="preserve">Figure 3</w:t>
        </w:r>
      </w:hyperlink>
      <w:r>
        <w:t xml:space="preserve">;</w:t>
      </w:r>
      <w:r>
        <w:t xml:space="preserve"> </w:t>
      </w:r>
      <w:hyperlink w:anchor="tbl-effort-effects">
        <w:r>
          <w:rPr>
            <w:rStyle w:val="Hyperlink"/>
          </w:rPr>
          <w:t xml:space="preserve">Table 2</w:t>
        </w:r>
      </w:hyperlink>
      <w:r>
        <w:t xml:space="preserve">). The effort × stimulus term, which indexes evidence quality, was close to zero (β = −0.013, 95% CrI [−0.052, 0.028], P(β &lt; 0) = .730). Drift decreased on trials with a different comparison stimulus (β = −0.065, 95% CrI [−0.111, −0.021], P(β &lt; 0) = .998); on Standard trials the change was smaller, and its interval included zero (β = −0.041, 95% CrI [−0.119, 0.038], P(β &lt; 0) = .845). High effort widened the boundary by +2.0% [0.6, 3.4], with the whole posterior inside the ROPE (100% in ROPE). The starting point did not change (β = −0.005, 95% CrI [−0.048, 0.037], P(β &lt; 0) = .590, 98% in ROPE). Allowing the effort effects on drift and boundary separation to vary with difficulty did not improve prediction (M2 vs. M1: ΔELPD = 0.7 ± 3.0). In M2, the effort effect on drift was more negative on Hard than on Easy trials (Hard − Easy: β = −0.078, 95% CrI [−0.154, −0.001], P(β &lt; 0) = .977), whereas the corresponding contrast on boundary separation included zero (β = 0.014, 95% CrI [−0.018, 0.046], P(β &gt; 0) = .808;</w:t>
      </w:r>
      <w:r>
        <w:t xml:space="preserve"> </w:t>
      </w:r>
      <w:hyperlink w:anchor="supptbl-m2-interactions">
        <w:r>
          <w:rPr>
            <w:rStyle w:val="Hyperlink"/>
          </w:rPr>
          <w:t xml:space="preserve">Table S4</w:t>
        </w:r>
      </w:hyperlink>
      <w:r>
        <w:t xml:space="preserve">).</w:t>
      </w:r>
    </w:p>
    <w:p>
      <w:pPr>
        <w:pStyle w:val="BodyText"/>
      </w:pPr>
      <w:r>
        <w:t xml:space="preserve">Under high effort, observed accuracy was lower on Hard trials (High − Low: −4.5 percentage points, 95% CI [−6.6, −2.4], OR = 0.80, p &lt; .001). It was slightly, but not significantly, higher on Standard trials (+1.7 percentage points, 95% CI [−0.1, 3.5], OR = 1.23, p = .068) and unchanged on Easy trials (−0.9 percentage points, 95% CI [−2.4, 0.6], OR = 0.92, p = .226;</w:t>
      </w:r>
      <w:r>
        <w:t xml:space="preserve"> </w:t>
      </w:r>
      <w:hyperlink w:anchor="supptbl-acc-contrasts">
        <w:r>
          <w:rPr>
            <w:rStyle w:val="Hyperlink"/>
          </w:rPr>
          <w:t xml:space="preserve">Table S12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effort-forest"/>
          <w:p>
            <w:pPr>
              <w:pStyle w:val="Compact"/>
              <w:jc w:val="center"/>
            </w:pPr>
            <w:r>
              <w:drawing>
                <wp:inline>
                  <wp:extent cx="5334000" cy="2011180"/>
                  <wp:effectExtent b="0" l="0" r="0" t="0"/>
                  <wp:docPr descr="" title="" id="34" name="Picture"/>
                  <a:graphic>
                    <a:graphicData uri="http://schemas.openxmlformats.org/drawingml/2006/picture">
                      <pic:pic>
                        <pic:nvPicPr>
                          <pic:cNvPr descr="../output/ddm_refits/runs/final_20261016/figures/final/F3_effort_forest.png" id="35" name="Picture"/>
                          <pic:cNvPicPr>
                            <a:picLocks noChangeArrowheads="1" noChangeAspect="1"/>
                          </pic:cNvPicPr>
                        </pic:nvPicPr>
                        <pic:blipFill>
                          <a:blip r:embed="rId33"/>
                          <a:stretch>
                            <a:fillRect/>
                          </a:stretch>
                        </pic:blipFill>
                        <pic:spPr bwMode="auto">
                          <a:xfrm>
                            <a:off x="0" y="0"/>
                            <a:ext cx="5334000" cy="20111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Effects of high versus low effort in the primary model (M4, filled) and four robustness variants (open). Points are posterior medians and bars 95% credible intervals. Shaded bands mark the region of practical equivalence (drift ±0.02; log boundary and logit starting point ±0.05). Drift criterion is the effort effect common to all trials (negative values favor “same”); evidence quality is the effort effect on the separation between identical and different stimuli.</w:t>
            </w:r>
          </w:p>
          <w:bookmarkEnd w:id="36"/>
        </w:tc>
      </w:tr>
    </w:tbl>
    <w:tbl>
      <w:tblPr>
        <w:tblStyle w:val="Table"/>
        <w:tblW w:type="pct" w:w="5000"/>
        <w:tblLayout w:type="fixed"/>
        <w:tblLook w:firstRow="0" w:lastRow="0" w:firstColumn="0" w:lastColumn="0" w:noHBand="0" w:noVBand="0" w:val="0000"/>
      </w:tblPr>
      <w:tblGrid>
        <w:gridCol w:w="7920"/>
      </w:tblGrid>
      <w:tr>
        <w:tc>
          <w:tcPr/>
          <w:bookmarkStart w:id="37" w:name="tbl-effort-effects"/>
          <w:p>
            <w:pPr>
              <w:jc w:val="center"/>
            </w:pPr>
            <w:pPr>
              <w:jc w:val="left"/>
              <w:spacing w:before="200"/>
              <w:pStyle w:val="ImageCaption"/>
            </w:pPr>
            <w:r>
              <w:t xml:space="preserve">Table 2: Effects of high versus low effort on decision parameters in the primary model (M4)</w:t>
            </w:r>
          </w:p>
          <w:tbl>
            <w:tblPr>
              <w:tblStyle w:val="Table"/>
              <w:tblW w:type="pct" w:w="5000"/>
              <w:tblLayout w:type="fixed"/>
              <w:tblLook w:firstRow="1" w:lastRow="0" w:firstColumn="0" w:lastColumn="0" w:noHBand="0" w:noVBand="0" w:val="0020"/>
            </w:tblPr>
            <w:tblGrid>
              <w:gridCol w:w="2449"/>
              <w:gridCol w:w="734"/>
              <w:gridCol w:w="1388"/>
              <w:gridCol w:w="1306"/>
              <w:gridCol w:w="653"/>
              <w:gridCol w:w="1388"/>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Change in a</w:t>
                  </w:r>
                </w:p>
              </w:tc>
            </w:tr>
            <w:tr>
              <w:tc>
                <w:tcPr/>
                <w:p>
                  <w:pPr>
                    <w:pStyle w:val="Compact"/>
                    <w:jc w:val="lef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pPr>
                </w:p>
              </w:tc>
            </w:tr>
            <w:tr>
              <w:tc>
                <w:tcPr/>
                <w:p>
                  <w:pPr>
                    <w:pStyle w:val="Compact"/>
                    <w:jc w:val="lef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pPr>
                </w:p>
              </w:tc>
            </w:tr>
            <w:tr>
              <w:tc>
                <w:tcPr/>
                <w:p>
                  <w:pPr>
                    <w:pStyle w:val="Compact"/>
                    <w:jc w:val="lef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+2.0% [0.6, 3.4]</w:t>
                  </w:r>
                </w:p>
              </w:tc>
            </w:tr>
            <w:tr>
              <w:tc>
                <w:tcPr/>
                <w:p>
                  <w:pPr>
                    <w:pStyle w:val="Compact"/>
                    <w:jc w:val="lef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pPr>
                </w:p>
              </w:tc>
            </w:tr>
            <w:tr>
              <w:tc>
                <w:tcPr/>
                <w:p>
                  <w:pPr>
                    <w:pStyle w:val="Compact"/>
                    <w:jc w:val="left"/>
                    <w:jc w:val="center"/>
                  </w:pPr>
                  <w:r>
                    <w:t xml:space="preserve">Drift on Hard and Easy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P(β &lt; 0) = .998</w:t>
                  </w:r>
                </w:p>
              </w:tc>
              <w:tc>
                <w:tcPr/>
                <w:p>
                  <w:pPr>
                    <w:pStyle w:val="Compact"/>
                    <w:jc w:val="right"/>
                    <w:jc w:val="center"/>
                  </w:pPr>
                  <w:r>
                    <w:t xml:space="preserve">2%</w:t>
                  </w:r>
                </w:p>
              </w:tc>
              <w:tc>
                <w:tcPr/>
                <w:p>
                  <w:pPr>
                    <w:pStyle w:val="Compact"/>
                  </w:pPr>
                </w:p>
              </w:tc>
            </w:tr>
            <w:tr>
              <w:tc>
                <w:tcPr/>
                <w:p>
                  <w:pPr>
                    <w:pStyle w:val="Compact"/>
                    <w:jc w:val="left"/>
                    <w:jc w:val="center"/>
                  </w:pPr>
                  <w:r>
                    <w:t xml:space="preserve">Drift on Standard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P(β &lt; 0) = .845</w:t>
                  </w:r>
                </w:p>
              </w:tc>
              <w:tc>
                <w:tcPr/>
                <w:p>
                  <w:pPr>
                    <w:pStyle w:val="Compact"/>
                    <w:jc w:val="right"/>
                    <w:jc w:val="center"/>
                  </w:pPr>
                  <w:r>
                    <w:t xml:space="preserve">24%</w:t>
                  </w:r>
                </w:p>
              </w:tc>
              <w:tc>
                <w:tcPr/>
                <w:p>
                  <w:pPr>
                    <w:pStyle w:val="Compact"/>
                  </w:pPr>
                </w:p>
              </w:tc>
            </w:tr>
          </w:tbl>
          <w:p>
            <w:pPr>
              <w:jc w:val="center"/>
            </w:pPr>
            <w:r>
              <w:rPr>
                <w:i/>
                <w:iCs/>
              </w:rPr>
              <w:t xml:space="preserve">Note.</w:t>
            </w:r>
            <w:r>
              <w:t xml:space="preserve"> </w:t>
            </w:r>
            <w:r>
              <w:t xml:space="preserve">Estimates are posterior medians with 95% credible intervals (CrI) on the link scale: drift, identity; boundary separation, log; starting point, logit. Direction is the posterior probability that the effect has the sign of its median. Change in a is the percentage change in boundary separation. ROPE = region of practical equivalence (drift ±0.02; boundary and starting point ±0.05). DDM coefficients are given to three decimals because the effects are small relative to the region of practical equivalence.</w:t>
            </w:r>
          </w:p>
          <w:bookmarkEnd w:id="37"/>
        </w:tc>
      </w:tr>
    </w:tbl>
    <w:bookmarkEnd w:id="38"/>
    <w:bookmarkStart w:id="39" w:name="robustness-of-the-effort-effects"/>
    <w:p>
      <w:pPr>
        <w:pStyle w:val="Heading2"/>
      </w:pPr>
      <w:r>
        <w:t xml:space="preserve">3.2 Robustness of the effort effects</w:t>
      </w:r>
    </w:p>
    <w:p>
      <w:pPr>
        <w:pStyle w:val="FirstParagraph"/>
      </w:pPr>
      <w:r>
        <w:t xml:space="preserve">The drift criterion shift was unchanged when the effort effects were allowed to vary across participants (M4r: β = −0.053, 95% CrI [−0.104, −0.004], P(β &lt; 0) = .982). The between-participant SD of that effect was small (0.019, 95% CrI [0.001, 0.062]). The shift was also stable at RT cutoffs of 0.15 s (β = −0.060, 95% CrI [−0.107, −0.011], P(β &lt; 0) = .993) and 0.25 s (β = −0.061, 95% CrI [−0.111, −0.010], P(β &lt; 0) = .992). Excluding the 13 participants with near-chance accuracy left the point estimate unchanged. With N = 54, however, the interval included zero (β = −0.052, 95% CrI [−0.106, 0.003], P(β &lt; 0) = .969). When effort effects were allowed to differ by task (M4b), the criterion shift was larger in the ADT (β = −0.077, 95% CrI [−0.139, −0.017], P(β &lt; 0) = .994) than in the VDT (β = −0.024, 95% CrI [−0.087, 0.040], P(β &lt; 0) = .767), but the task difference was uncertain (β = 0.054, 95% CrI [−0.024, 0.131], P(β &gt; 0) = .912). The evidence-quality term was close to zero in every variant. The boundary effect was positive at the 0.25-s cutoff (β = 0.019, 95% CrI [0.005, 0.032], P(β &gt; 0) = .997; +1.9% [0.5, 3.2]) and after the near-chance exclusion (β = 0.016, 95% CrI [0.001, 0.031], P(β &gt; 0) = .985; +1.6% [0.1, 3.2]), but at the 0.15-s cutoff its interval included zero (β = 0.012, 95% CrI [−0.002, 0.026], P(β &gt; 0) = .955; +1.2% [−0.2, 2.6];</w:t>
      </w:r>
      <w:r>
        <w:t xml:space="preserve"> </w:t>
      </w:r>
      <w:hyperlink w:anchor="supptbl-robustness">
        <w:r>
          <w:rPr>
            <w:rStyle w:val="Hyperlink"/>
          </w:rPr>
          <w:t xml:space="preserve">Table S9</w:t>
        </w:r>
      </w:hyperlink>
      <w:r>
        <w:t xml:space="preserve">).</w:t>
      </w:r>
    </w:p>
    <w:bookmarkEnd w:id="39"/>
    <w:bookmarkStart w:id="45" w:name="pupil-linked-decision-dynamics"/>
    <w:p>
      <w:pPr>
        <w:pStyle w:val="Heading2"/>
      </w:pPr>
      <w:r>
        <w:t xml:space="preserve">3.3 Pupil-linked decision dynamics</w:t>
      </w:r>
    </w:p>
    <w:p>
      <w:pPr>
        <w:pStyle w:val="FirstParagraph"/>
      </w:pPr>
      <w:r>
        <w:rPr>
          <w:b/>
          <w:bCs/>
        </w:rPr>
        <w:t xml:space="preserve">Effort and pupil size.</w:t>
      </w:r>
      <w:r>
        <w:t xml:space="preserve"> </w:t>
      </w:r>
      <w:r>
        <w:t xml:space="preserve">High effort increased pupil size during the grip in the ADT (</w:t>
      </w:r>
      <w:r>
        <w:rPr>
          <w:i/>
          <w:iCs/>
        </w:rPr>
        <w:t xml:space="preserve">M</w:t>
      </w:r>
      <w:r>
        <w:rPr>
          <w:vertAlign w:val="subscript"/>
        </w:rPr>
        <w:t xml:space="preserve">diff</w:t>
      </w:r>
      <w:r>
        <w:t xml:space="preserve"> </w:t>
      </w:r>
      <w:r>
        <w:t xml:space="preserve">= 0.36, t(34) = 2.31, p = .027) and did not differ reliably in the VDT (</w:t>
      </w:r>
      <w:r>
        <w:rPr>
          <w:i/>
          <w:iCs/>
        </w:rPr>
        <w:t xml:space="preserve">M</w:t>
      </w:r>
      <w:r>
        <w:rPr>
          <w:vertAlign w:val="subscript"/>
        </w:rPr>
        <w:t xml:space="preserve">diff</w:t>
      </w:r>
      <w:r>
        <w:t xml:space="preserve"> </w:t>
      </w:r>
      <w:r>
        <w:t xml:space="preserve">= 0.20, t(40) = 1.62, p = .114). Relative to the pre-probe baseline, the TEPR was smaller under high effort in both tasks (ADT:</w:t>
      </w:r>
      <w:r>
        <w:t xml:space="preserve"> </w:t>
      </w:r>
      <w:r>
        <w:rPr>
          <w:i/>
          <w:iCs/>
        </w:rPr>
        <w:t xml:space="preserve">M</w:t>
      </w:r>
      <w:r>
        <w:rPr>
          <w:vertAlign w:val="subscript"/>
        </w:rPr>
        <w:t xml:space="preserve">diff</w:t>
      </w:r>
      <w:r>
        <w:t xml:space="preserve"> </w:t>
      </w:r>
      <w:r>
        <w:t xml:space="preserve">= −0.43, t(35) = −4.37, p &lt; .001; VDT:</w:t>
      </w:r>
      <w:r>
        <w:t xml:space="preserve"> </w:t>
      </w:r>
      <w:r>
        <w:rPr>
          <w:i/>
          <w:iCs/>
        </w:rPr>
        <w:t xml:space="preserve">M</w:t>
      </w:r>
      <w:r>
        <w:rPr>
          <w:vertAlign w:val="subscript"/>
        </w:rPr>
        <w:t xml:space="preserve">diff</w:t>
      </w:r>
      <w:r>
        <w:t xml:space="preserve"> </w:t>
      </w:r>
      <w:r>
        <w:t xml:space="preserve">= −0.17, t(40) = −2.23, p = .031). Relative to the pre-squeeze baseline, it did not differ between effort levels (ADT:</w:t>
      </w:r>
      <w:r>
        <w:t xml:space="preserve"> </w:t>
      </w:r>
      <w:r>
        <w:rPr>
          <w:i/>
          <w:iCs/>
        </w:rPr>
        <w:t xml:space="preserve">M</w:t>
      </w:r>
      <w:r>
        <w:rPr>
          <w:vertAlign w:val="subscript"/>
        </w:rPr>
        <w:t xml:space="preserve">diff</w:t>
      </w:r>
      <w:r>
        <w:t xml:space="preserve"> </w:t>
      </w:r>
      <w:r>
        <w:t xml:space="preserve">= 0.15, t(35) = 0.91, p = .369; VDT:</w:t>
      </w:r>
      <w:r>
        <w:t xml:space="preserve"> </w:t>
      </w:r>
      <w:r>
        <w:rPr>
          <w:i/>
          <w:iCs/>
        </w:rPr>
        <w:t xml:space="preserve">M</w:t>
      </w:r>
      <w:r>
        <w:rPr>
          <w:vertAlign w:val="subscript"/>
        </w:rPr>
        <w:t xml:space="preserve">diff</w:t>
      </w:r>
      <w:r>
        <w:t xml:space="preserve"> </w:t>
      </w:r>
      <w:r>
        <w:t xml:space="preserve">= 0.09, t(40) = 0.92, p = .361;</w:t>
      </w:r>
      <w:r>
        <w:t xml:space="preserve"> </w:t>
      </w:r>
      <w:hyperlink w:anchor="supptbl-pupil-descriptives">
        <w:r>
          <w:rPr>
            <w:rStyle w:val="Hyperlink"/>
          </w:rPr>
          <w:t xml:space="preserve">Table S14</w:t>
        </w:r>
      </w:hyperlink>
      <w:r>
        <w:t xml:space="preserve">;</w:t>
      </w:r>
      <w:r>
        <w:t xml:space="preserve"> </w:t>
      </w:r>
      <w:hyperlink w:anchor="suppfig-tepr">
        <w:r>
          <w:rPr>
            <w:rStyle w:val="Hyperlink"/>
          </w:rPr>
          <w:t xml:space="preserve">Figure S4</w:t>
        </w:r>
      </w:hyperlink>
      <w:r>
        <w:t xml:space="preserve">). In the pupil sample, high effort widened the boundary (β = 0.029, 95% CrI [0.006, 0.052], P(β &gt; 0) = .992; +2.9% [0.6, 5.4]), and the drift criterion shift had the same sign as in the full sample, with an interval that included zero (β = −0.074, 95% CrI [−0.159, 0.011], P(β &lt; 0) = .957).</w:t>
      </w:r>
    </w:p>
    <w:p>
      <w:pPr>
        <w:pStyle w:val="BodyText"/>
      </w:pPr>
      <w:r>
        <w:rPr>
          <w:b/>
          <w:bCs/>
        </w:rPr>
        <w:t xml:space="preserve">Pupil predictors of decision parameters.</w:t>
      </w:r>
      <w:r>
        <w:t xml:space="preserve"> </w:t>
      </w:r>
      <w:r>
        <w:t xml:space="preserve">Each within-person SD increase in TEPR was associated with a +4.3% [3.2, 5.4] wider boundary, and adding TEPR improved out-of-sample prediction (P3: ΔELPD = 28.0 ± 6.7;</w:t>
      </w:r>
      <w:r>
        <w:t xml:space="preserve"> </w:t>
      </w:r>
      <w:hyperlink w:anchor="fig-pupil-boundary">
        <w:r>
          <w:rPr>
            <w:rStyle w:val="Hyperlink"/>
          </w:rPr>
          <w:t xml:space="preserve">Figure 4</w:t>
        </w:r>
      </w:hyperlink>
      <w:r>
        <w:t xml:space="preserve">;</w:t>
      </w:r>
      <w:r>
        <w:t xml:space="preserve"> </w:t>
      </w:r>
      <w:hyperlink w:anchor="tbl-pupil-ordering">
        <w:r>
          <w:rPr>
            <w:rStyle w:val="Hyperlink"/>
          </w:rPr>
          <w:t xml:space="preserve">Table 3</w:t>
        </w:r>
      </w:hyperlink>
      <w:r>
        <w:t xml:space="preserve">). TEPR did not predict the starting point (P1: β = −0.009, 95% CrI [−0.036, 0.020], P(β &lt; 0) = .720, ΔELPD = −0.6 ± 0.5) or drift (P2, TEPR: β = 0.015, 95% CrI [−0.017, 0.048], P(β &gt; 0) = .819; TEPR × stimulus: β = −0.015, 95% CrI [−0.047, 0.018], P(β &lt; 0) = .819; ΔELPD = −1.8 ± 1.6;</w:t>
      </w:r>
      <w:r>
        <w:t xml:space="preserve"> </w:t>
      </w:r>
      <w:hyperlink w:anchor="supptbl-pupil-models">
        <w:r>
          <w:rPr>
            <w:rStyle w:val="Hyperlink"/>
          </w:rPr>
          <w:t xml:space="preserve">Table S13</w:t>
        </w:r>
      </w:hyperlink>
      <w:r>
        <w:t xml:space="preserve">).</w:t>
      </w:r>
    </w:p>
    <w:p>
      <w:pPr>
        <w:pStyle w:val="BodyText"/>
      </w:pPr>
      <w:r>
        <w:rPr>
          <w:b/>
          <w:bCs/>
        </w:rPr>
        <w:t xml:space="preserve">Timing of the TEPR–boundary association.</w:t>
      </w:r>
      <w:r>
        <w:t xml:space="preserve"> </w:t>
      </w:r>
      <w:r>
        <w:t xml:space="preserve">TEPR correlated with RT within participants (r = .16 [.10, .22]). After the slowest 20% of trials in each participant and task were removed, each SD increase in TEPR was associated with a +2.5% [1.1, 4.0] wider boundary, and the predictive gain was less than twice its standard error (P3 without slowest trials: ΔELPD = 5.2 ± 3.1). Pupil size in the 0.5 s before the response was associated with wider boundaries and improved prediction (P7: +3.4% [2.1, 4.7], ΔELPD = 13.0 ± 4.4). The measures taken before the decision did not predict boundary separation: previous-trial TEPR (P6: +0.1% [−1.0, 1.3], ΔELPD = −1.5 ± 0.3), pre-squeeze baseline pupil (P5: +1.0% [−0.2, 2.2], ΔELPD = 0.7 ± 1.4) and grip-period pupil (P8: −0.6% [−1.7, 0.7], ΔELPD = −0.4 ± 0.8). The pre-squeeze baseline did not predict the starting point either (P4: β = 0.008, 95% CrI [−0.020, 0.036], P(β &gt; 0) = .714, ΔELPD = −0.2 ± 0.5).</w:t>
      </w:r>
    </w:p>
    <w:tbl>
      <w:tblPr>
        <w:tblStyle w:val="Table"/>
        <w:tblW w:type="pct" w:w="5000"/>
        <w:tblLayout w:type="fixed"/>
        <w:tblLook w:firstRow="0" w:lastRow="0" w:firstColumn="0" w:lastColumn="0" w:noHBand="0" w:noVBand="0" w:val="0000"/>
      </w:tblPr>
      <w:tblGrid>
        <w:gridCol w:w="7920"/>
      </w:tblGrid>
      <w:tr>
        <w:tc>
          <w:tcPr/>
          <w:bookmarkStart w:id="43" w:name="fig-pupil-boundary"/>
          <w:p>
            <w:pPr>
              <w:pStyle w:val="Compact"/>
              <w:jc w:val="center"/>
            </w:pPr>
            <w:r>
              <w:drawing>
                <wp:inline>
                  <wp:extent cx="5334000" cy="2872153"/>
                  <wp:effectExtent b="0" l="0" r="0" t="0"/>
                  <wp:docPr descr="" title="" id="41" name="Picture"/>
                  <a:graphic>
                    <a:graphicData uri="http://schemas.openxmlformats.org/drawingml/2006/picture">
                      <pic:pic>
                        <pic:nvPicPr>
                          <pic:cNvPr descr="../output/ddm_refits/runs/final_20261016/figures/final/F5_pupil_boundary.png" id="42" name="Picture"/>
                          <pic:cNvPicPr>
                            <a:picLocks noChangeArrowheads="1" noChangeAspect="1"/>
                          </pic:cNvPicPr>
                        </pic:nvPicPr>
                        <pic:blipFill>
                          <a:blip r:embed="rId40"/>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Pupil measures and boundary separation. Each row is a separate model. Points are posterior median percentage changes in boundary separation per within-person SD of the pupil predictor, and bars are 95% credible intervals. ΔELPD ± SE compares each model with a baseline model fit to the same trials. Upper rows: measures from the current trial; lower rows: measures preceding the current decision.</w:t>
            </w:r>
          </w:p>
          <w:bookmarkEnd w:id="43"/>
        </w:tc>
      </w:tr>
    </w:tbl>
    <w:tbl>
      <w:tblPr>
        <w:tblStyle w:val="Table"/>
        <w:tblW w:type="pct" w:w="5000"/>
        <w:tblLayout w:type="fixed"/>
        <w:tblLook w:firstRow="0" w:lastRow="0" w:firstColumn="0" w:lastColumn="0" w:noHBand="0" w:noVBand="0" w:val="0000"/>
      </w:tblPr>
      <w:tblGrid>
        <w:gridCol w:w="7920"/>
      </w:tblGrid>
      <w:tr>
        <w:tc>
          <w:tcPr/>
          <w:bookmarkStart w:id="44" w:name="tbl-pupil-ordering"/>
          <w:p>
            <w:pPr>
              <w:jc w:val="center"/>
            </w:pPr>
            <w:pPr>
              <w:jc w:val="left"/>
              <w:spacing w:before="200"/>
              <w:pStyle w:val="ImageCaption"/>
            </w:pPr>
            <w:r>
              <w:t xml:space="preserve">Table 3: Pupil predictors of boundary separation</w:t>
            </w:r>
          </w:p>
          <w:tbl>
            <w:tblPr>
              <w:tblStyle w:val="Table"/>
              <w:tblW w:type="pct" w:w="5000"/>
              <w:tblLayout w:type="fixed"/>
              <w:tblLook w:firstRow="1" w:lastRow="0" w:firstColumn="0" w:lastColumn="0" w:noHBand="0" w:noVBand="0" w:val="0020"/>
            </w:tblPr>
            <w:tblGrid>
              <w:gridCol w:w="1470"/>
              <w:gridCol w:w="2262"/>
              <w:gridCol w:w="1301"/>
              <w:gridCol w:w="1018"/>
              <w:gridCol w:w="735"/>
              <w:gridCol w:w="396"/>
              <w:gridCol w:w="735"/>
            </w:tblGrid>
            <w:tr>
              <w:trPr>
                <w:tblHeader w:val="on"/>
              </w:trPr>
              <w:tc>
                <w:tcPr/>
                <w:p>
                  <w:pPr>
                    <w:pStyle w:val="Compact"/>
                    <w:jc w:val="left"/>
                    <w:jc w:val="center"/>
                  </w:pPr>
                  <w:r>
                    <w:t xml:space="preserve">Model</w:t>
                  </w:r>
                </w:p>
              </w:tc>
              <w:tc>
                <w:tcPr/>
                <w:p>
                  <w:pPr>
                    <w:pStyle w:val="Compact"/>
                    <w:jc w:val="right"/>
                    <w:jc w:val="center"/>
                  </w:pPr>
                  <w:r>
                    <w:t xml:space="preserve">Predictor</w:t>
                  </w:r>
                </w:p>
              </w:tc>
              <w:tc>
                <w:tcPr/>
                <w:p>
                  <w:pPr>
                    <w:pStyle w:val="Compact"/>
                    <w:jc w:val="right"/>
                    <w:jc w:val="center"/>
                  </w:pPr>
                  <w:r>
                    <w:t xml:space="preserve">Estimate [95% CrI]</w:t>
                  </w:r>
                </w:p>
              </w:tc>
              <w:tc>
                <w:tcPr/>
                <w:p>
                  <w:pPr>
                    <w:pStyle w:val="Compact"/>
                    <w:jc w:val="right"/>
                    <w:jc w:val="center"/>
                  </w:pPr>
                  <w:r>
                    <w:t xml:space="preserve">Change in a</w:t>
                  </w:r>
                </w:p>
              </w:tc>
              <w:tc>
                <w:tcPr/>
                <w:p>
                  <w:pPr>
                    <w:pStyle w:val="Compact"/>
                    <w:jc w:val="right"/>
                    <w:jc w:val="center"/>
                  </w:pPr>
                  <w:r>
                    <w:t xml:space="preserve">ΔELPD ±</w:t>
                  </w:r>
                  <w:r>
                    <w:t xml:space="preserve"> </w:t>
                  </w:r>
                  <w:r>
                    <w:rPr>
                      <w:i/>
                      <w:iCs/>
                    </w:rPr>
                    <w:t xml:space="preserve">SE</w:t>
                  </w:r>
                </w:p>
              </w:tc>
              <w:tc>
                <w:tcPr/>
                <w:p>
                  <w:pPr>
                    <w:pStyle w:val="Compact"/>
                    <w:jc w:val="right"/>
                    <w:jc w:val="center"/>
                  </w:pPr>
                  <w:r>
                    <w:t xml:space="preserve">Trials</w:t>
                  </w:r>
                </w:p>
              </w:tc>
              <w:tc>
                <w:tcPr/>
                <w:p>
                  <w:pPr>
                    <w:pStyle w:val="Compact"/>
                    <w:jc w:val="right"/>
                    <w:jc w:val="center"/>
                  </w:pPr>
                  <w:r>
                    <w:t xml:space="preserve">Participants</w:t>
                  </w:r>
                </w:p>
              </w:tc>
            </w:tr>
            <w:tr>
              <w:tc>
                <w:tcPr/>
                <w:p>
                  <w:pPr>
                    <w:pStyle w:val="Compact"/>
                    <w:jc w:val="left"/>
                    <w:jc w:val="center"/>
                  </w:pPr>
                  <w:r>
                    <w:t xml:space="preserve">P3</w:t>
                  </w:r>
                </w:p>
              </w:tc>
              <w:tc>
                <w:tcPr/>
                <w:p>
                  <w:pPr>
                    <w:pStyle w:val="Compact"/>
                    <w:jc w:val="right"/>
                    <w:jc w:val="center"/>
                  </w:pPr>
                  <w:r>
                    <w:t xml:space="preserve">Post-probe TEPR (0.3–3.3 s after probe)</w:t>
                  </w:r>
                </w:p>
              </w:tc>
              <w:tc>
                <w:tcPr/>
                <w:p>
                  <w:pPr>
                    <w:pStyle w:val="Compact"/>
                    <w:jc w:val="right"/>
                    <w:jc w:val="center"/>
                  </w:pPr>
                  <w:r>
                    <w:t xml:space="preserve">0.042 [0.031, 0.053]</w:t>
                  </w:r>
                </w:p>
              </w:tc>
              <w:tc>
                <w:tcPr/>
                <w:p>
                  <w:pPr>
                    <w:pStyle w:val="Compact"/>
                    <w:jc w:val="right"/>
                    <w:jc w:val="center"/>
                  </w:pPr>
                  <w:r>
                    <w:t xml:space="preserve">+4.3% [3.2, 5.4]</w:t>
                  </w:r>
                </w:p>
              </w:tc>
              <w:tc>
                <w:tcPr/>
                <w:p>
                  <w:pPr>
                    <w:pStyle w:val="Compact"/>
                    <w:jc w:val="right"/>
                    <w:jc w:val="center"/>
                  </w:pPr>
                  <w:r>
                    <w:t xml:space="preserve">28.0 ± 6.7</w:t>
                  </w:r>
                </w:p>
              </w:tc>
              <w:tc>
                <w:tcPr/>
                <w:p>
                  <w:pPr>
                    <w:pStyle w:val="Compact"/>
                    <w:jc w:val="right"/>
                    <w:jc w:val="center"/>
                  </w:pPr>
                  <w:r>
                    <w:t xml:space="preserve">6,299</w:t>
                  </w:r>
                </w:p>
              </w:tc>
              <w:tc>
                <w:tcPr/>
                <w:p>
                  <w:pPr>
                    <w:pStyle w:val="Compact"/>
                    <w:jc w:val="right"/>
                    <w:jc w:val="center"/>
                  </w:pPr>
                  <w:r>
                    <w:t xml:space="preserve">51</w:t>
                  </w:r>
                </w:p>
              </w:tc>
            </w:tr>
            <w:tr>
              <w:tc>
                <w:tcPr/>
                <w:p>
                  <w:pPr>
                    <w:pStyle w:val="Compact"/>
                    <w:jc w:val="left"/>
                    <w:jc w:val="center"/>
                  </w:pPr>
                  <w:r>
                    <w:t xml:space="preserve">P3 without slowest trials</w:t>
                  </w:r>
                </w:p>
              </w:tc>
              <w:tc>
                <w:tcPr/>
                <w:p>
                  <w:pPr>
                    <w:pStyle w:val="Compact"/>
                    <w:jc w:val="right"/>
                    <w:jc w:val="center"/>
                  </w:pPr>
                  <w:r>
                    <w:t xml:space="preserve">Post-probe TEPR, slowest 20% removed</w:t>
                  </w:r>
                </w:p>
              </w:tc>
              <w:tc>
                <w:tcPr/>
                <w:p>
                  <w:pPr>
                    <w:pStyle w:val="Compact"/>
                    <w:jc w:val="right"/>
                    <w:jc w:val="center"/>
                  </w:pPr>
                  <w:r>
                    <w:t xml:space="preserve">0.025 [0.011, 0.039]</w:t>
                  </w:r>
                </w:p>
              </w:tc>
              <w:tc>
                <w:tcPr/>
                <w:p>
                  <w:pPr>
                    <w:pStyle w:val="Compact"/>
                    <w:jc w:val="right"/>
                    <w:jc w:val="center"/>
                  </w:pPr>
                  <w:r>
                    <w:t xml:space="preserve">+2.5% [1.1, 4.0]</w:t>
                  </w:r>
                </w:p>
              </w:tc>
              <w:tc>
                <w:tcPr/>
                <w:p>
                  <w:pPr>
                    <w:pStyle w:val="Compact"/>
                    <w:jc w:val="right"/>
                    <w:jc w:val="center"/>
                  </w:pPr>
                  <w:r>
                    <w:t xml:space="preserve">5.2 ± 3.1</w:t>
                  </w:r>
                </w:p>
              </w:tc>
              <w:tc>
                <w:tcPr/>
                <w:p>
                  <w:pPr>
                    <w:pStyle w:val="Compact"/>
                    <w:jc w:val="right"/>
                    <w:jc w:val="center"/>
                  </w:pPr>
                  <w:r>
                    <w:t xml:space="preserve">5,074</w:t>
                  </w:r>
                </w:p>
              </w:tc>
              <w:tc>
                <w:tcPr/>
                <w:p>
                  <w:pPr>
                    <w:pStyle w:val="Compact"/>
                    <w:jc w:val="right"/>
                    <w:jc w:val="center"/>
                  </w:pPr>
                  <w:r>
                    <w:t xml:space="preserve">51</w:t>
                  </w:r>
                </w:p>
              </w:tc>
            </w:tr>
            <w:tr>
              <w:tc>
                <w:tcPr/>
                <w:p>
                  <w:pPr>
                    <w:pStyle w:val="Compact"/>
                    <w:jc w:val="left"/>
                    <w:jc w:val="center"/>
                  </w:pPr>
                  <w:r>
                    <w:t xml:space="preserve">P7</w:t>
                  </w:r>
                </w:p>
              </w:tc>
              <w:tc>
                <w:tcPr/>
                <w:p>
                  <w:pPr>
                    <w:pStyle w:val="Compact"/>
                    <w:jc w:val="right"/>
                    <w:jc w:val="center"/>
                  </w:pPr>
                  <w:r>
                    <w:t xml:space="preserve">Pre-response window (0.5 s)</w:t>
                  </w:r>
                </w:p>
              </w:tc>
              <w:tc>
                <w:tcPr/>
                <w:p>
                  <w:pPr>
                    <w:pStyle w:val="Compact"/>
                    <w:jc w:val="right"/>
                    <w:jc w:val="center"/>
                  </w:pPr>
                  <w:r>
                    <w:t xml:space="preserve">0.033 [0.021, 0.046]</w:t>
                  </w:r>
                </w:p>
              </w:tc>
              <w:tc>
                <w:tcPr/>
                <w:p>
                  <w:pPr>
                    <w:pStyle w:val="Compact"/>
                    <w:jc w:val="right"/>
                    <w:jc w:val="center"/>
                  </w:pPr>
                  <w:r>
                    <w:t xml:space="preserve">+3.4% [2.1, 4.7]</w:t>
                  </w:r>
                </w:p>
              </w:tc>
              <w:tc>
                <w:tcPr/>
                <w:p>
                  <w:pPr>
                    <w:pStyle w:val="Compact"/>
                    <w:jc w:val="right"/>
                    <w:jc w:val="center"/>
                  </w:pPr>
                  <w:r>
                    <w:t xml:space="preserve">13.0 ± 4.4</w:t>
                  </w:r>
                </w:p>
              </w:tc>
              <w:tc>
                <w:tcPr/>
                <w:p>
                  <w:pPr>
                    <w:pStyle w:val="Compact"/>
                    <w:jc w:val="right"/>
                    <w:jc w:val="center"/>
                  </w:pPr>
                  <w:r>
                    <w:t xml:space="preserve">5,049</w:t>
                  </w:r>
                </w:p>
              </w:tc>
              <w:tc>
                <w:tcPr/>
                <w:p>
                  <w:pPr>
                    <w:pStyle w:val="Compact"/>
                    <w:jc w:val="right"/>
                    <w:jc w:val="center"/>
                  </w:pPr>
                  <w:r>
                    <w:t xml:space="preserve">51</w:t>
                  </w:r>
                </w:p>
              </w:tc>
            </w:tr>
            <w:tr>
              <w:tc>
                <w:tcPr/>
                <w:p>
                  <w:pPr>
                    <w:pStyle w:val="Compact"/>
                    <w:jc w:val="left"/>
                    <w:jc w:val="center"/>
                  </w:pPr>
                  <w:r>
                    <w:t xml:space="preserve">P6</w:t>
                  </w:r>
                </w:p>
              </w:tc>
              <w:tc>
                <w:tcPr/>
                <w:p>
                  <w:pPr>
                    <w:pStyle w:val="Compact"/>
                    <w:jc w:val="right"/>
                    <w:jc w:val="center"/>
                  </w:pPr>
                  <w:r>
                    <w:t xml:space="preserve">Previous-trial TEPR</w:t>
                  </w:r>
                </w:p>
              </w:tc>
              <w:tc>
                <w:tcPr/>
                <w:p>
                  <w:pPr>
                    <w:pStyle w:val="Compact"/>
                    <w:jc w:val="right"/>
                    <w:jc w:val="center"/>
                  </w:pPr>
                  <w:r>
                    <w:t xml:space="preserve">0.001 [−0.010, 0.012]</w:t>
                  </w:r>
                </w:p>
              </w:tc>
              <w:tc>
                <w:tcPr/>
                <w:p>
                  <w:pPr>
                    <w:pStyle w:val="Compact"/>
                    <w:jc w:val="right"/>
                    <w:jc w:val="center"/>
                  </w:pPr>
                  <w:r>
                    <w:t xml:space="preserve">+0.1% [−1.0, 1.3]</w:t>
                  </w:r>
                </w:p>
              </w:tc>
              <w:tc>
                <w:tcPr/>
                <w:p>
                  <w:pPr>
                    <w:pStyle w:val="Compact"/>
                    <w:jc w:val="right"/>
                    <w:jc w:val="center"/>
                  </w:pPr>
                  <w:r>
                    <w:t xml:space="preserve">−1.5 ± 0.3</w:t>
                  </w:r>
                </w:p>
              </w:tc>
              <w:tc>
                <w:tcPr/>
                <w:p>
                  <w:pPr>
                    <w:pStyle w:val="Compact"/>
                    <w:jc w:val="right"/>
                    <w:jc w:val="center"/>
                  </w:pPr>
                  <w:r>
                    <w:t xml:space="preserve">5,981</w:t>
                  </w:r>
                </w:p>
              </w:tc>
              <w:tc>
                <w:tcPr/>
                <w:p>
                  <w:pPr>
                    <w:pStyle w:val="Compact"/>
                    <w:jc w:val="right"/>
                    <w:jc w:val="center"/>
                  </w:pPr>
                  <w:r>
                    <w:t xml:space="preserve">51</w:t>
                  </w:r>
                </w:p>
              </w:tc>
            </w:tr>
            <w:tr>
              <w:tc>
                <w:tcPr/>
                <w:p>
                  <w:pPr>
                    <w:pStyle w:val="Compact"/>
                    <w:jc w:val="left"/>
                    <w:jc w:val="center"/>
                  </w:pPr>
                  <w:r>
                    <w:t xml:space="preserve">P5</w:t>
                  </w:r>
                </w:p>
              </w:tc>
              <w:tc>
                <w:tcPr/>
                <w:p>
                  <w:pPr>
                    <w:pStyle w:val="Compact"/>
                    <w:jc w:val="right"/>
                    <w:jc w:val="center"/>
                  </w:pPr>
                  <w:r>
                    <w:t xml:space="preserve">Pre-squeeze baseline pupil</w:t>
                  </w:r>
                </w:p>
              </w:tc>
              <w:tc>
                <w:tcPr/>
                <w:p>
                  <w:pPr>
                    <w:pStyle w:val="Compact"/>
                    <w:jc w:val="right"/>
                    <w:jc w:val="center"/>
                  </w:pPr>
                  <w:r>
                    <w:t xml:space="preserve">0.010 [−0.002, 0.021]</w:t>
                  </w:r>
                </w:p>
              </w:tc>
              <w:tc>
                <w:tcPr/>
                <w:p>
                  <w:pPr>
                    <w:pStyle w:val="Compact"/>
                    <w:jc w:val="right"/>
                    <w:jc w:val="center"/>
                  </w:pPr>
                  <w:r>
                    <w:t xml:space="preserve">+1.0% [−0.2, 2.2]</w:t>
                  </w:r>
                </w:p>
              </w:tc>
              <w:tc>
                <w:tcPr/>
                <w:p>
                  <w:pPr>
                    <w:pStyle w:val="Compact"/>
                    <w:jc w:val="right"/>
                    <w:jc w:val="center"/>
                  </w:pPr>
                  <w:r>
                    <w:t xml:space="preserve">0.7 ± 1.4</w:t>
                  </w:r>
                </w:p>
              </w:tc>
              <w:tc>
                <w:tcPr/>
                <w:p>
                  <w:pPr>
                    <w:pStyle w:val="Compact"/>
                    <w:jc w:val="right"/>
                    <w:jc w:val="center"/>
                  </w:pPr>
                  <w:r>
                    <w:t xml:space="preserve">5,856</w:t>
                  </w:r>
                </w:p>
              </w:tc>
              <w:tc>
                <w:tcPr/>
                <w:p>
                  <w:pPr>
                    <w:pStyle w:val="Compact"/>
                    <w:jc w:val="right"/>
                    <w:jc w:val="center"/>
                  </w:pPr>
                  <w:r>
                    <w:t xml:space="preserve">51</w:t>
                  </w:r>
                </w:p>
              </w:tc>
            </w:tr>
            <w:tr>
              <w:tc>
                <w:tcPr/>
                <w:p>
                  <w:pPr>
                    <w:pStyle w:val="Compact"/>
                    <w:jc w:val="left"/>
                    <w:jc w:val="center"/>
                  </w:pPr>
                  <w:r>
                    <w:t xml:space="preserve">P8</w:t>
                  </w:r>
                </w:p>
              </w:tc>
              <w:tc>
                <w:tcPr/>
                <w:p>
                  <w:pPr>
                    <w:pStyle w:val="Compact"/>
                    <w:jc w:val="right"/>
                    <w:jc w:val="center"/>
                  </w:pPr>
                  <w:r>
                    <w:t xml:space="preserve">Grip-period pupil</w:t>
                  </w:r>
                </w:p>
              </w:tc>
              <w:tc>
                <w:tcPr/>
                <w:p>
                  <w:pPr>
                    <w:pStyle w:val="Compact"/>
                    <w:jc w:val="right"/>
                    <w:jc w:val="center"/>
                  </w:pPr>
                  <w:r>
                    <w:t xml:space="preserve">−0.006 [−0.017, 0.007]</w:t>
                  </w:r>
                </w:p>
              </w:tc>
              <w:tc>
                <w:tcPr/>
                <w:p>
                  <w:pPr>
                    <w:pStyle w:val="Compact"/>
                    <w:jc w:val="right"/>
                    <w:jc w:val="center"/>
                  </w:pPr>
                  <w:r>
                    <w:t xml:space="preserve">−0.6% [−1.7, 0.7]</w:t>
                  </w:r>
                </w:p>
              </w:tc>
              <w:tc>
                <w:tcPr/>
                <w:p>
                  <w:pPr>
                    <w:pStyle w:val="Compact"/>
                    <w:jc w:val="right"/>
                    <w:jc w:val="center"/>
                  </w:pPr>
                  <w:r>
                    <w:t xml:space="preserve">−0.4 ± 0.8</w:t>
                  </w:r>
                </w:p>
              </w:tc>
              <w:tc>
                <w:tcPr/>
                <w:p>
                  <w:pPr>
                    <w:pStyle w:val="Compact"/>
                    <w:jc w:val="right"/>
                    <w:jc w:val="center"/>
                  </w:pPr>
                  <w:r>
                    <w:t xml:space="preserve">5,655</w:t>
                  </w:r>
                </w:p>
              </w:tc>
              <w:tc>
                <w:tcPr/>
                <w:p>
                  <w:pPr>
                    <w:pStyle w:val="Compact"/>
                    <w:jc w:val="right"/>
                    <w:jc w:val="center"/>
                  </w:pPr>
                  <w:r>
                    <w:t xml:space="preserve">50</w:t>
                  </w:r>
                </w:p>
              </w:tc>
            </w:tr>
          </w:tbl>
          <w:p>
            <w:pPr>
              <w:jc w:val="center"/>
            </w:pPr>
            <w:r>
              <w:rPr>
                <w:i/>
                <w:iCs/>
              </w:rPr>
              <w:t xml:space="preserve">Note.</w:t>
            </w:r>
            <w:r>
              <w:t xml:space="preserve"> </w:t>
            </w:r>
            <w:r>
              <w:t xml:space="preserve">Each row is a separate model. Estimates are slopes on log boundary separation per within-person SD of the predictor, with the percentage change in a. ΔELPD ± SE is relative to a baseline model without the pupil predictor, fit to the same trials. Trial counts differ across predictors, and each predictor requires its own valid window.</w:t>
            </w:r>
          </w:p>
          <w:bookmarkEnd w:id="44"/>
        </w:tc>
      </w:tr>
    </w:tbl>
    <w:bookmarkEnd w:id="45"/>
    <w:bookmarkStart w:id="46" w:name="model-adequacy"/>
    <w:p>
      <w:pPr>
        <w:pStyle w:val="Heading2"/>
      </w:pPr>
      <w:r>
        <w:t xml:space="preserve">3.4 Model adequacy</w:t>
      </w:r>
    </w:p>
    <w:p>
      <w:pPr>
        <w:pStyle w:val="FirstParagraph"/>
      </w:pPr>
      <w:r>
        <w:t xml:space="preserve">M4 reproduced the observed choice proportions in 10 of 12 condition cells (</w:t>
      </w:r>
      <w:hyperlink w:anchor="supptbl-ppc-choice">
        <w:r>
          <w:rPr>
            <w:rStyle w:val="Hyperlink"/>
          </w:rPr>
          <w:t xml:space="preserve">Table S8</w:t>
        </w:r>
      </w:hyperlink>
      <w:r>
        <w:t xml:space="preserve">). Of the observed RT quantiles, 27.5% fell inside the 95% predictive intervals, and observed median RTs were on average 175 ms slower than predicted (</w:t>
      </w:r>
      <w:hyperlink w:anchor="suppfig-ppc">
        <w:r>
          <w:rPr>
            <w:rStyle w:val="Hyperlink"/>
          </w:rPr>
          <w:t xml:space="preserve">Figure S2</w:t>
        </w:r>
      </w:hyperlink>
      <w:r>
        <w:t xml:space="preserve">). The discrepancy was largest for minority responses (</w:t>
      </w:r>
      <w:r>
        <w:t xml:space="preserve">“different”</w:t>
      </w:r>
      <w:r>
        <w:t xml:space="preserve"> </w:t>
      </w:r>
      <w:r>
        <w:t xml:space="preserve">on Standard trials,</w:t>
      </w:r>
      <w:r>
        <w:t xml:space="preserve"> </w:t>
      </w:r>
      <w:r>
        <w:t xml:space="preserve">“same”</w:t>
      </w:r>
      <w:r>
        <w:t xml:space="preserve"> </w:t>
      </w:r>
      <w:r>
        <w:t xml:space="preserve">on Easy trials and</w:t>
      </w:r>
      <w:r>
        <w:t xml:space="preserve"> </w:t>
      </w:r>
      <w:r>
        <w:t xml:space="preserve">“different”</w:t>
      </w:r>
      <w:r>
        <w:t xml:space="preserve"> </w:t>
      </w:r>
      <w:r>
        <w:t xml:space="preserve">on Hard trials), which were slower than predicted. After moment matching and exact refits, no observation in any compared model had a Pareto</w:t>
      </w:r>
      <w:r>
        <w:t xml:space="preserve"> </w:t>
      </w:r>
      <w:r>
        <w:rPr>
          <w:i/>
          <w:iCs/>
        </w:rPr>
        <w:t xml:space="preserve">k</w:t>
      </w:r>
      <w:r>
        <w:t xml:space="preserve"> </w:t>
      </w:r>
      <w:r>
        <w:t xml:space="preserve">above 0.7. Non-decision time changed with the RT cutoff: 0.483 s, 0.527 s and 0.572 s at cutoffs of 0.15 s, 0.20 s and 0.25 s.</w:t>
      </w:r>
    </w:p>
    <w:bookmarkEnd w:id="46"/>
    <w:bookmarkEnd w:id="47"/>
    <w:bookmarkStart w:id="53" w:name="discussion"/>
    <w:p>
      <w:pPr>
        <w:pStyle w:val="Heading1"/>
      </w:pPr>
      <w:r>
        <w:t xml:space="preserve">4 Discussion</w:t>
      </w:r>
    </w:p>
    <w:p>
      <w:pPr>
        <w:pStyle w:val="FirstParagraph"/>
      </w:pPr>
      <w:r>
        <w:t xml:space="preserve">We asked whether concurrent physical effort changes how older adults make perceptual decisions by reducing the quality of the evidence they accumulate, by changing how much evidence they require, or neither. In the primary model, high effort did not reduce evidence quality. Instead it shifted drift toward</w:t>
      </w:r>
      <w:r>
        <w:t xml:space="preserve"> </w:t>
      </w:r>
      <w:r>
        <w:t xml:space="preserve">“same”</w:t>
      </w:r>
      <w:r>
        <w:t xml:space="preserve"> </w:t>
      </w:r>
      <w:r>
        <w:t xml:space="preserve">on all trials. That shift appeared as an accuracy cost on Hard trials and, if anything, a small gain on Standard trials. Effort widened boundary separation by about 2%, an amount inside the region of practical equivalence, and left the starting point unchanged. In the pupil sample, trials with larger pupil responses during the decision had wider boundaries, whereas no pupil measure taken before the decision predicted boundary separation.</w:t>
      </w:r>
    </w:p>
    <w:bookmarkStart w:id="48" w:name="drift-criterion-and-evidence-quality"/>
    <w:p>
      <w:pPr>
        <w:pStyle w:val="Heading2"/>
      </w:pPr>
      <w:r>
        <w:t xml:space="preserve">4.1 Drift criterion and evidence quality</w:t>
      </w:r>
    </w:p>
    <w:p>
      <w:pPr>
        <w:pStyle w:val="FirstParagraph"/>
      </w:pPr>
      <w:r>
        <w:t xml:space="preserve">A capacity account predicts that a concurrent grip draws on resources needed to evaluate the stimulus</w:t>
      </w:r>
      <w:r>
        <w:t xml:space="preserve"> </w:t>
      </w:r>
      <w:r>
        <w:t xml:space="preserve">(Wickens, 2008)</w:t>
      </w:r>
      <w:r>
        <w:t xml:space="preserve">. That would reduce the separation between drift on identical and different trials. The effort × stimulus term, which measures that separation, was close to zero, and its interval allowed a small decline but not a large one. A capacity cost concentrated on the hardest trials would also make the effort effect depend on difficulty</w:t>
      </w:r>
      <w:r>
        <w:t xml:space="preserve"> </w:t>
      </w:r>
      <w:r>
        <w:t xml:space="preserve">(Kahneman, 1973)</w:t>
      </w:r>
      <w:r>
        <w:t xml:space="preserve">. In the model that allowed this, effort lowered drift more on Hard than on Easy trials, a contrast whose interval only just excluded zero, but allowing the effort effects to vary with difficulty did not improve prediction (ΔELPD = 0.7 ± 3.0;</w:t>
      </w:r>
      <w:r>
        <w:t xml:space="preserve"> </w:t>
      </w:r>
      <w:hyperlink w:anchor="supptbl-model-comparison">
        <w:r>
          <w:rPr>
            <w:rStyle w:val="Hyperlink"/>
          </w:rPr>
          <w:t xml:space="preserve">Table S3</w:t>
        </w:r>
      </w:hyperlink>
      <w:r>
        <w:t xml:space="preserve">;</w:t>
      </w:r>
      <w:r>
        <w:t xml:space="preserve"> </w:t>
      </w:r>
      <w:hyperlink w:anchor="supptbl-m2-interactions">
        <w:r>
          <w:rPr>
            <w:rStyle w:val="Hyperlink"/>
          </w:rPr>
          <w:t xml:space="preserve">Table S4</w:t>
        </w:r>
      </w:hyperlink>
      <w:r>
        <w:t xml:space="preserve">). The data therefore leave room for a small capacity cost on the hardest discriminations, in addition to the criterion shift. The main effort effect was a shift common to all trials. In diffusion-model terms, this is a change in the drift criterion: the reference point against which evidence is evaluated as favoring one response or the other</w:t>
      </w:r>
      <w:r>
        <w:t xml:space="preserve"> </w:t>
      </w:r>
      <w:r>
        <w:t xml:space="preserve">(Ratcliff &amp; McKoon, 2008)</w:t>
      </w:r>
      <w:r>
        <w:t xml:space="preserve">. Because the upper boundary was</w:t>
      </w:r>
      <w:r>
        <w:t xml:space="preserve"> </w:t>
      </w:r>
      <w:r>
        <w:t xml:space="preserve">“different,”</w:t>
      </w:r>
      <w:r>
        <w:t xml:space="preserve"> </w:t>
      </w:r>
      <w:r>
        <w:t xml:space="preserve">the criterion shift lowers drift on trials with a different probe, so those trials more often end in</w:t>
      </w:r>
      <w:r>
        <w:t xml:space="preserve"> </w:t>
      </w:r>
      <w:r>
        <w:t xml:space="preserve">“same.”</w:t>
      </w:r>
      <w:r>
        <w:t xml:space="preserve"> </w:t>
      </w:r>
      <w:r>
        <w:t xml:space="preserve">On Standard trials the same shift moves drift further toward the correct response. The accuracy pattern follows from this. The Hard-trial cost is the change that a capacity account would predict, but here it arises mainly from a change in the criterion rather than a loss of evidence quality. Accuracy alone cannot separate the two, because Hard trials were the trials on which the shift was most consequential.</w:t>
      </w:r>
    </w:p>
    <w:p>
      <w:pPr>
        <w:pStyle w:val="BodyText"/>
      </w:pPr>
      <w:r>
        <w:t xml:space="preserve">The pattern is consistent with Chapter 1. Difficulty and effort did not interact in younger adults on any measure, which suggested that the two draw on separate resources at these effort levels. Chapter 2 reached the same conclusion from psychometric functions fitted to the same cohort’s responses: high effort lowered</w:t>
      </w:r>
      <w:r>
        <w:t xml:space="preserve"> </w:t>
      </w:r>
      <w:r>
        <w:t xml:space="preserve">“different”</w:t>
      </w:r>
      <w:r>
        <w:t xml:space="preserve"> </w:t>
      </w:r>
      <w:r>
        <w:t xml:space="preserve">responses on identical and different trials alike, without making the psychometric function shallower. In the present older sample, effort likewise did not reduce evidence quality. This chapter has no younger comparison group, though, so it cannot show that the criterion shift is specific to older adults. The two chapters also differ in tasks and analyses.</w:t>
      </w:r>
    </w:p>
    <w:p>
      <w:pPr>
        <w:pStyle w:val="BodyText"/>
      </w:pPr>
      <w:r>
        <w:t xml:space="preserve">The boundary results do not support either account of how effort changes caution. An adaptive-caution account predicts wider boundaries under high effort; a fatigue account predicts narrower ones. The estimated change was positive but practically negligible, and its interval included zero at the shortest RT cutoff. The data therefore show no meaningful change in caution under a 40% MVC grip. The starting point was also unchanged, so effort did not alter the prior preference for either response.</w:t>
      </w:r>
    </w:p>
    <w:bookmarkEnd w:id="48"/>
    <w:bookmarkStart w:id="49" w:name="effort-and-pupil-size"/>
    <w:p>
      <w:pPr>
        <w:pStyle w:val="Heading2"/>
      </w:pPr>
      <w:r>
        <w:t xml:space="preserve">4.2 Effort and pupil size</w:t>
      </w:r>
    </w:p>
    <w:p>
      <w:pPr>
        <w:pStyle w:val="FirstParagraph"/>
      </w:pPr>
      <w:r>
        <w:t xml:space="preserve">High effort increased pupil size during the grip in the auditory task, as expected from the pupil’s sensitivity to physical exertion</w:t>
      </w:r>
      <w:r>
        <w:t xml:space="preserve"> </w:t>
      </w:r>
      <w:r>
        <w:t xml:space="preserve">(Zénon et al., 2014)</w:t>
      </w:r>
      <w:r>
        <w:t xml:space="preserve">; in the visual task the difference had the same sign but was not reliable. After the probe, the pupil rose less under high effort from its level before the probe, but pupil size after the probe, measured from before the squeeze, did not differ between effort levels. The smaller response under high effort therefore reflects the higher level from which the pupil rose, not a smaller pupil after the probe, which is why the choice of baseline matters for effort comparisons</w:t>
      </w:r>
      <w:r>
        <w:t xml:space="preserve"> </w:t>
      </w:r>
      <w:r>
        <w:t xml:space="preserve">(Mathôt, 2018)</w:t>
      </w:r>
      <w:r>
        <w:t xml:space="preserve">. One interpretation of effort-related pupil changes comes from adaptive gain theory, which links pupil size to activity of the locus coeruleus–noradrenaline system</w:t>
      </w:r>
      <w:r>
        <w:t xml:space="preserve"> </w:t>
      </w:r>
      <w:r>
        <w:t xml:space="preserve">(Aston-Jones &amp; Cohen, 2005; Joshi et al., 2016)</w:t>
      </w:r>
      <w:r>
        <w:t xml:space="preserve">. Isometric handgrip engages this system</w:t>
      </w:r>
      <w:r>
        <w:t xml:space="preserve"> </w:t>
      </w:r>
      <w:r>
        <w:t xml:space="preserve">(Mather et al., 2020)</w:t>
      </w:r>
      <w:r>
        <w:t xml:space="preserve">, and the locus coeruleus is vulnerable in aging</w:t>
      </w:r>
      <w:r>
        <w:t xml:space="preserve"> </w:t>
      </w:r>
      <w:r>
        <w:t xml:space="preserve">(Mather &amp; Harley, 2016)</w:t>
      </w:r>
      <w:r>
        <w:t xml:space="preserve">. This study, however, neither manipulated nor measured locus coeruleus activity during the task, and pupil size also covaries with activity outside the locus coeruleus</w:t>
      </w:r>
      <w:r>
        <w:t xml:space="preserve"> </w:t>
      </w:r>
      <w:r>
        <w:t xml:space="preserve">(Joshi et al., 2016)</w:t>
      </w:r>
      <w:r>
        <w:t xml:space="preserve">.</w:t>
      </w:r>
    </w:p>
    <w:bookmarkEnd w:id="49"/>
    <w:bookmarkStart w:id="50" w:name="pupil-size-and-boundary-separation"/>
    <w:p>
      <w:pPr>
        <w:pStyle w:val="Heading2"/>
      </w:pPr>
      <w:r>
        <w:t xml:space="preserve">4.3 Pupil size and boundary separation</w:t>
      </w:r>
    </w:p>
    <w:p>
      <w:pPr>
        <w:pStyle w:val="FirstParagraph"/>
      </w:pPr>
      <w:r>
        <w:t xml:space="preserve">Of the pupil measures, trial-wise TEPR had the strongest association with boundary separation, which parallels work in which larger pupil dilation on high-conflict choices predicted higher decision thresholds</w:t>
      </w:r>
      <w:r>
        <w:t xml:space="preserve"> </w:t>
      </w:r>
      <w:r>
        <w:t xml:space="preserve">(Cavanagh et al., 2014)</w:t>
      </w:r>
      <w:r>
        <w:t xml:space="preserve">. Two results limit how far the association can be read as the pupil response setting the boundary. First, the TEPR window overlapped the response, TEPR correlated with RT within participants, and when the slowest trials were removed the association was about half as large and its predictive gain was no longer clearly above its standard error. A wider boundary lengthens the decision, and a longer decision lets more of the pupil response accumulate in the window. Second, none of the measures taken before the decision (the pre-squeeze baseline, the grip-period pupil and the previous trial’s TEPR) predicted boundary separation.</w:t>
      </w:r>
    </w:p>
    <w:p>
      <w:pPr>
        <w:pStyle w:val="BodyText"/>
      </w:pPr>
      <w:r>
        <w:t xml:space="preserve">Pupil size in the 0.5 s before the response did predict wider boundaries, so the association is not confined to processing after the response. Because that window was placed relative to the response, however, it sampled later points of the evoked response on longer decisions, so it cannot separate a pupil change that set the boundary from one that accompanied a longer decision. Taken together, pupil size tracked the decision as it unfolded, not a state measured before it. A window fixed to the probe and ending before the earliest response would separate the two, but in this design the 0.35 s between probe onset and the response cue is too short for the pupil response to develop</w:t>
      </w:r>
      <w:r>
        <w:t xml:space="preserve"> </w:t>
      </w:r>
      <w:r>
        <w:t xml:space="preserve">(Mathôt, 2018)</w:t>
      </w:r>
      <w:r>
        <w:t xml:space="preserve">.</w:t>
      </w:r>
    </w:p>
    <w:bookmarkEnd w:id="50"/>
    <w:bookmarkStart w:id="51" w:name="limitations-and-future-directions"/>
    <w:p>
      <w:pPr>
        <w:pStyle w:val="Heading2"/>
      </w:pPr>
      <w:r>
        <w:t xml:space="preserve">4.4 Limitations and future directions</w:t>
      </w:r>
    </w:p>
    <w:p>
      <w:pPr>
        <w:pStyle w:val="FirstParagraph"/>
      </w:pPr>
      <w:r>
        <w:rPr>
          <w:b/>
          <w:bCs/>
        </w:rPr>
        <w:t xml:space="preserve">Boundary terms.</w:t>
      </w:r>
      <w:r>
        <w:t xml:space="preserve"> </w:t>
      </w:r>
      <w:r>
        <w:t xml:space="preserve">Boundary separation was allowed to vary with stimulus type, although stimulus types were intermixed and could not be anticipated. These terms let the model absorb RT differences between stimulus types that a diffusion model without across-trial variability cannot otherwise capture. This was most evident for minority responses, which were slower than predicted. That slow-error pattern is the signature of variability in drift across trials</w:t>
      </w:r>
      <w:r>
        <w:t xml:space="preserve"> </w:t>
      </w:r>
      <w:r>
        <w:t xml:space="preserve">(Ratcliff &amp; McKoon, 2008)</w:t>
      </w:r>
      <w:r>
        <w:t xml:space="preserve">. The effort contrasts were stable across model variants and RT cutoffs, but absolute parameter values depend on this choice. Models with across-trial variability in drift and non-decision time</w:t>
      </w:r>
      <w:r>
        <w:t xml:space="preserve"> </w:t>
      </w:r>
      <w:r>
        <w:t xml:space="preserve">(Ratcliff &amp; Tuerlinckx, 2002)</w:t>
      </w:r>
      <w:r>
        <w:t xml:space="preserve"> </w:t>
      </w:r>
      <w:r>
        <w:t xml:space="preserve">would test whether the effort effects survive a better account of RT distributions.</w:t>
      </w:r>
    </w:p>
    <w:p>
      <w:pPr>
        <w:pStyle w:val="BodyText"/>
      </w:pPr>
      <w:r>
        <w:rPr>
          <w:b/>
          <w:bCs/>
        </w:rPr>
        <w:t xml:space="preserve">Response-signal design.</w:t>
      </w:r>
      <w:r>
        <w:t xml:space="preserve"> </w:t>
      </w:r>
      <w:r>
        <w:t xml:space="preserve">Because participants waited for a cue, non-decision time absorbed the enforced delay and changed almost one-for-one with the RT cutoff. It cannot be interpreted as encoding or motor time, and effort effects on it were not tested. The design also limits how much RT information constrains boundary separation. A free-response version of the task would test the boundary results more directly.</w:t>
      </w:r>
    </w:p>
    <w:p>
      <w:pPr>
        <w:pStyle w:val="BodyText"/>
      </w:pPr>
      <w:r>
        <w:rPr>
          <w:b/>
          <w:bCs/>
        </w:rPr>
        <w:t xml:space="preserve">Pupil sample and measure.</w:t>
      </w:r>
      <w:r>
        <w:t xml:space="preserve"> </w:t>
      </w:r>
      <w:r>
        <w:t xml:space="preserve">The pupil analyses used 51 of the 67 participants, selected on recording quality, and they are correlational at the level of trials. In that subsample, the effort effects on the drift criterion and boundary separation had the same sign as in the full sample. The TEPR window included post-decision processing, and because the pre-probe baseline began shortly after the standard, it included the onset of the pupil response to the standard, so the TEPR measures the response to the probe on top of a still-rising response to the standard. The grip-period measure combined effort-related dilation with trial-to-trial variation in the force produced. Entering the recorded trial-wise grip force as a covariate would separate the two.</w:t>
      </w:r>
    </w:p>
    <w:p>
      <w:pPr>
        <w:pStyle w:val="BodyText"/>
      </w:pPr>
      <w:r>
        <w:rPr>
          <w:b/>
          <w:bCs/>
        </w:rPr>
        <w:t xml:space="preserve">Design.</w:t>
      </w:r>
      <w:r>
        <w:t xml:space="preserve"> </w:t>
      </w:r>
      <w:r>
        <w:t xml:space="preserve">With two effort levels, the study cannot test non-monotonic effects of effort. Hard trials were answered incorrectly more often than correctly, so Hard-trial estimates reflect a strong bias toward</w:t>
      </w:r>
      <w:r>
        <w:t xml:space="preserve"> </w:t>
      </w:r>
      <w:r>
        <w:t xml:space="preserve">“same”</w:t>
      </w:r>
      <w:r>
        <w:t xml:space="preserve"> </w:t>
      </w:r>
      <w:r>
        <w:t xml:space="preserve">as well as low sensitivity. When participants with near-chance accuracy were excluded, the criterion shift kept its size, but its interval included zero. The effect is small and should be replicated.</w:t>
      </w:r>
    </w:p>
    <w:p>
      <w:pPr>
        <w:pStyle w:val="BodyText"/>
      </w:pPr>
      <w:r>
        <w:rPr>
          <w:b/>
          <w:bCs/>
        </w:rPr>
        <w:t xml:space="preserve">Response mapping.</w:t>
      </w:r>
      <w:r>
        <w:t xml:space="preserve"> </w:t>
      </w:r>
      <w:r>
        <w:t xml:space="preserve">“Different”</w:t>
      </w:r>
      <w:r>
        <w:t xml:space="preserve"> </w:t>
      </w:r>
      <w:r>
        <w:t xml:space="preserve">was always given with the right index finger and</w:t>
      </w:r>
      <w:r>
        <w:t xml:space="preserve"> </w:t>
      </w:r>
      <w:r>
        <w:t xml:space="preserve">“same”</w:t>
      </w:r>
      <w:r>
        <w:t xml:space="preserve"> </w:t>
      </w:r>
      <w:r>
        <w:t xml:space="preserve">with the right middle finger, while the left hand held the grip. A bias acting on the evidence for one response therefore cannot be separated from the finger that gave that response; counterbalancing the mapping across participants would separate them.</w:t>
      </w:r>
    </w:p>
    <w:p>
      <w:pPr>
        <w:pStyle w:val="BodyText"/>
      </w:pPr>
      <w:r>
        <w:rPr>
          <w:b/>
          <w:bCs/>
        </w:rPr>
        <w:t xml:space="preserve">Physiological measures.</w:t>
      </w:r>
      <w:r>
        <w:t xml:space="preserve"> </w:t>
      </w:r>
      <w:r>
        <w:t xml:space="preserve">Pupil size was the only physiological measure. Because locus coeruleus activity was not measured during the task, links between the pupil results and the noradrenergic system remain interpretive.</w:t>
      </w:r>
    </w:p>
    <w:bookmarkEnd w:id="51"/>
    <w:bookmarkStart w:id="52" w:name="conclusion"/>
    <w:p>
      <w:pPr>
        <w:pStyle w:val="Heading2"/>
      </w:pPr>
      <w:r>
        <w:t xml:space="preserve">4.5 Conclusion</w:t>
      </w:r>
    </w:p>
    <w:p>
      <w:pPr>
        <w:pStyle w:val="FirstParagraph"/>
      </w:pPr>
      <w:r>
        <w:t xml:space="preserve">In older adults, holding a 40% MVC grip during an auditory or visual same–different judgment shifted the drift criterion toward</w:t>
      </w:r>
      <w:r>
        <w:t xml:space="preserve"> </w:t>
      </w:r>
      <w:r>
        <w:t xml:space="preserve">“same.”</w:t>
      </w:r>
      <w:r>
        <w:t xml:space="preserve"> </w:t>
      </w:r>
      <w:r>
        <w:t xml:space="preserve">It did not reduce the overall quality of the evidence accumulated or change response caution in a meaningful way. Pupil responses during the decision were larger on trials with wider boundaries, but pupil size measured before the decision did not predict boundary separation.</w:t>
      </w:r>
    </w:p>
    <w:bookmarkEnd w:id="52"/>
    <w:bookmarkEnd w:id="53"/>
    <w:bookmarkStart w:id="126" w:name="references"/>
    <w:p>
      <w:pPr>
        <w:pStyle w:val="Heading1"/>
      </w:pPr>
      <w:r>
        <w:t xml:space="preserve">References</w:t>
      </w:r>
    </w:p>
    <w:bookmarkStart w:id="125" w:name="refs"/>
    <w:bookmarkStart w:id="55"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54">
        <w:r>
          <w:rPr>
            <w:rStyle w:val="Hyperlink"/>
          </w:rPr>
          <w:t xml:space="preserve">https://doi.org/10.1146/annurev.neuro.28.061604.135709</w:t>
        </w:r>
      </w:hyperlink>
    </w:p>
    <w:bookmarkEnd w:id="55"/>
    <w:bookmarkStart w:id="57" w:name="ref-azer2021detrimental"/>
    <w:p>
      <w:pPr>
        <w:pStyle w:val="Bibliography"/>
      </w:pPr>
      <w:r>
        <w:t xml:space="preserve">Azer, L., Xie, W., Park, H.-B., &amp; Zhang, W. (2021). Detrimental effects of effortful physical exertion on cognitive control in younger and older adults.</w:t>
      </w:r>
      <w:r>
        <w:t xml:space="preserve"> </w:t>
      </w:r>
      <w:r>
        <w:rPr>
          <w:i/>
          <w:iCs/>
        </w:rPr>
        <w:t xml:space="preserve">PsyArXiv</w:t>
      </w:r>
      <w:r>
        <w:t xml:space="preserve">.</w:t>
      </w:r>
      <w:r>
        <w:t xml:space="preserve"> </w:t>
      </w:r>
      <w:hyperlink r:id="rId56">
        <w:r>
          <w:rPr>
            <w:rStyle w:val="Hyperlink"/>
          </w:rPr>
          <w:t xml:space="preserve">https://doi.org/10.31234/osf.io/et9a2</w:t>
        </w:r>
      </w:hyperlink>
    </w:p>
    <w:bookmarkEnd w:id="57"/>
    <w:bookmarkStart w:id="59"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58">
        <w:r>
          <w:rPr>
            <w:rStyle w:val="Hyperlink"/>
          </w:rPr>
          <w:t xml:space="preserve">https://doi.org/10.1037/pag0000730</w:t>
        </w:r>
      </w:hyperlink>
    </w:p>
    <w:bookmarkEnd w:id="59"/>
    <w:bookmarkStart w:id="61" w:name="ref-barr2013maximal"/>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60">
        <w:r>
          <w:rPr>
            <w:rStyle w:val="Hyperlink"/>
          </w:rPr>
          <w:t xml:space="preserve">https://doi.org/10.1016/j.jml.2012.11.001</w:t>
        </w:r>
      </w:hyperlink>
    </w:p>
    <w:bookmarkEnd w:id="61"/>
    <w:bookmarkStart w:id="63" w:name="ref-bates2015parsimonious"/>
    <w:p>
      <w:pPr>
        <w:pStyle w:val="Bibliography"/>
      </w:pPr>
      <w:r>
        <w:t xml:space="preserve">Bates, D., Kliegl, R., Vasishth, S., &amp; Baayen, H. (2015). Parsimonious mixed models.</w:t>
      </w:r>
      <w:r>
        <w:t xml:space="preserve"> </w:t>
      </w:r>
      <w:r>
        <w:rPr>
          <w:i/>
          <w:iCs/>
        </w:rPr>
        <w:t xml:space="preserve">arXiv</w:t>
      </w:r>
      <w:r>
        <w:t xml:space="preserve">, 1506.04967.</w:t>
      </w:r>
      <w:r>
        <w:t xml:space="preserve"> </w:t>
      </w:r>
      <w:hyperlink r:id="rId62">
        <w:r>
          <w:rPr>
            <w:rStyle w:val="Hyperlink"/>
          </w:rPr>
          <w:t xml:space="preserve">https://doi.org/10.48550/arXiv.1506.04967</w:t>
        </w:r>
      </w:hyperlink>
    </w:p>
    <w:bookmarkEnd w:id="63"/>
    <w:bookmarkStart w:id="65" w:name="ref-bates2015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4">
        <w:r>
          <w:rPr>
            <w:rStyle w:val="Hyperlink"/>
          </w:rPr>
          <w:t xml:space="preserve">https://doi.org/10.18637/jss.v067.i01</w:t>
        </w:r>
      </w:hyperlink>
    </w:p>
    <w:bookmarkEnd w:id="65"/>
    <w:bookmarkStart w:id="67"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66">
        <w:r>
          <w:rPr>
            <w:rStyle w:val="Hyperlink"/>
          </w:rPr>
          <w:t xml:space="preserve">https://doi.org/10.1037/0033-2909.91.2.276</w:t>
        </w:r>
      </w:hyperlink>
    </w:p>
    <w:bookmarkEnd w:id="67"/>
    <w:bookmarkStart w:id="69" w:name="ref-brainard1997psychophysics"/>
    <w:p>
      <w:pPr>
        <w:pStyle w:val="Bibliography"/>
      </w:pPr>
      <w:r>
        <w:t xml:space="preserve">Brainard, D. H. (1997). The</w:t>
      </w:r>
      <w:r>
        <w:t xml:space="preserve"> </w:t>
      </w:r>
      <w:r>
        <w:t xml:space="preserve">Psychophysics Toolbox</w:t>
      </w:r>
      <w:r>
        <w:t xml:space="preserve">.</w:t>
      </w:r>
      <w:r>
        <w:t xml:space="preserve"> </w:t>
      </w:r>
      <w:r>
        <w:rPr>
          <w:i/>
          <w:iCs/>
        </w:rPr>
        <w:t xml:space="preserve">Spatial Vision</w:t>
      </w:r>
      <w:r>
        <w:t xml:space="preserve">,</w:t>
      </w:r>
      <w:r>
        <w:t xml:space="preserve"> </w:t>
      </w:r>
      <w:r>
        <w:rPr>
          <w:i/>
          <w:iCs/>
        </w:rPr>
        <w:t xml:space="preserve">10</w:t>
      </w:r>
      <w:r>
        <w:t xml:space="preserve">(4), 433–436.</w:t>
      </w:r>
      <w:r>
        <w:t xml:space="preserve"> </w:t>
      </w:r>
      <w:hyperlink r:id="rId68">
        <w:r>
          <w:rPr>
            <w:rStyle w:val="Hyperlink"/>
          </w:rPr>
          <w:t xml:space="preserve">https://doi.org/10.1163/156856897X00357</w:t>
        </w:r>
      </w:hyperlink>
    </w:p>
    <w:bookmarkEnd w:id="69"/>
    <w:bookmarkStart w:id="71" w:name="ref-brauer2018lmm"/>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70">
        <w:r>
          <w:rPr>
            <w:rStyle w:val="Hyperlink"/>
          </w:rPr>
          <w:t xml:space="preserve">https://doi.org/10.1037/met0000159</w:t>
        </w:r>
      </w:hyperlink>
    </w:p>
    <w:bookmarkEnd w:id="71"/>
    <w:bookmarkStart w:id="73" w:name="ref-burkner2017brms"/>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72">
        <w:r>
          <w:rPr>
            <w:rStyle w:val="Hyperlink"/>
          </w:rPr>
          <w:t xml:space="preserve">https://doi.org/10.18637/jss.v080.i01</w:t>
        </w:r>
      </w:hyperlink>
    </w:p>
    <w:bookmarkEnd w:id="73"/>
    <w:bookmarkStart w:id="75"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74">
        <w:r>
          <w:rPr>
            <w:rStyle w:val="Hyperlink"/>
          </w:rPr>
          <w:t xml:space="preserve">https://doi.org/10.1037/a0035813</w:t>
        </w:r>
      </w:hyperlink>
    </w:p>
    <w:bookmarkEnd w:id="75"/>
    <w:bookmarkStart w:id="77" w:name="ref-dasilvacastanheira2021task"/>
    <w:p>
      <w:pPr>
        <w:pStyle w:val="Bibliography"/>
      </w:pPr>
      <w:r>
        <w:t xml:space="preserve">da Silva Castanheira, K., LoParco, S., &amp; Otto, A. R.</w:t>
      </w:r>
      <w:r>
        <w:t xml:space="preserve"> (2021). Task-evoked pupillary responses track effort exertion: Evidence from task-switching.</w:t>
      </w:r>
      <w:r>
        <w:t xml:space="preserve"> </w:t>
      </w:r>
      <w:r>
        <w:rPr>
          <w:i/>
          <w:iCs/>
        </w:rPr>
        <w:t xml:space="preserve">Cognitive, Affective &amp; Behavioral Neuroscience</w:t>
      </w:r>
      <w:r>
        <w:t xml:space="preserve">,</w:t>
      </w:r>
      <w:r>
        <w:t xml:space="preserve"> </w:t>
      </w:r>
      <w:r>
        <w:rPr>
          <w:i/>
          <w:iCs/>
        </w:rPr>
        <w:t xml:space="preserve">21</w:t>
      </w:r>
      <w:r>
        <w:t xml:space="preserve">(3), 592–606.</w:t>
      </w:r>
      <w:r>
        <w:t xml:space="preserve"> </w:t>
      </w:r>
      <w:hyperlink r:id="rId76">
        <w:r>
          <w:rPr>
            <w:rStyle w:val="Hyperlink"/>
          </w:rPr>
          <w:t xml:space="preserve">https://doi.org/10.3758/s13415-020-00843-z</w:t>
        </w:r>
      </w:hyperlink>
    </w:p>
    <w:bookmarkEnd w:id="77"/>
    <w:bookmarkStart w:id="79" w:name="ref-degee2020pupil"/>
    <w:p>
      <w:pPr>
        <w:pStyle w:val="Bibliography"/>
      </w:pPr>
      <w:r>
        <w:t xml:space="preserve">de Gee, J. W., Tsetsos, K., Schwabe, L., Urai, A. E., &amp; Donner, T. H.</w:t>
      </w:r>
      <w:r>
        <w:t xml:space="preserve">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78">
        <w:r>
          <w:rPr>
            <w:rStyle w:val="Hyperlink"/>
          </w:rPr>
          <w:t xml:space="preserve">https://doi.org/10.7554/eLife.54014</w:t>
        </w:r>
      </w:hyperlink>
    </w:p>
    <w:bookmarkEnd w:id="79"/>
    <w:bookmarkStart w:id="81"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80">
        <w:r>
          <w:rPr>
            <w:rStyle w:val="Hyperlink"/>
          </w:rPr>
          <w:t xml:space="preserve">https://doi.org/10.1016/j.neuron.2015.11.028</w:t>
        </w:r>
      </w:hyperlink>
    </w:p>
    <w:bookmarkEnd w:id="81"/>
    <w:bookmarkStart w:id="82" w:name="ref-kahneman1973attention"/>
    <w:p>
      <w:pPr>
        <w:pStyle w:val="Bibliography"/>
      </w:pPr>
      <w:r>
        <w:t xml:space="preserve">Kahneman, D. (1973).</w:t>
      </w:r>
      <w:r>
        <w:t xml:space="preserve"> </w:t>
      </w:r>
      <w:r>
        <w:rPr>
          <w:i/>
          <w:iCs/>
        </w:rPr>
        <w:t xml:space="preserve">Attention and effort</w:t>
      </w:r>
      <w:r>
        <w:t xml:space="preserve">. Prentice-Hall.</w:t>
      </w:r>
    </w:p>
    <w:bookmarkEnd w:id="82"/>
    <w:bookmarkStart w:id="84" w:name="ref-kleiner2007s"/>
    <w:p>
      <w:pPr>
        <w:pStyle w:val="Bibliography"/>
      </w:pPr>
      <w:r>
        <w:t xml:space="preserve">Kleiner, M., Brainard, D., &amp; Pelli, D. (2007). What’s new in</w:t>
      </w:r>
      <w:r>
        <w:t xml:space="preserve"> </w:t>
      </w:r>
      <w:r>
        <w:t xml:space="preserve">Psychtoolbox-3</w:t>
      </w:r>
      <w:r>
        <w:t xml:space="preserve">?</w:t>
      </w:r>
      <w:r>
        <w:t xml:space="preserve"> </w:t>
      </w:r>
      <w:r>
        <w:rPr>
          <w:i/>
          <w:iCs/>
        </w:rPr>
        <w:t xml:space="preserve">Perception</w:t>
      </w:r>
      <w:r>
        <w:t xml:space="preserve">,</w:t>
      </w:r>
      <w:r>
        <w:t xml:space="preserve"> </w:t>
      </w:r>
      <w:r>
        <w:rPr>
          <w:i/>
          <w:iCs/>
        </w:rPr>
        <w:t xml:space="preserve">36</w:t>
      </w:r>
      <w:r>
        <w:t xml:space="preserve">(ECVP Abstract Supplement), 14.</w:t>
      </w:r>
      <w:r>
        <w:t xml:space="preserve"> </w:t>
      </w:r>
      <w:hyperlink r:id="rId83">
        <w:r>
          <w:rPr>
            <w:rStyle w:val="Hyperlink"/>
          </w:rPr>
          <w:t xml:space="preserve">https://pure.mpg.de/rest/items/item_1790332/component/file_3136265/content</w:t>
        </w:r>
      </w:hyperlink>
    </w:p>
    <w:bookmarkEnd w:id="84"/>
    <w:bookmarkStart w:id="86" w:name="ref-kruschke2018rejecting"/>
    <w:p>
      <w:pPr>
        <w:pStyle w:val="Bibliography"/>
      </w:pPr>
      <w:r>
        <w:t xml:space="preserve">Kruschke, J. K. (2018). Rejecting or accepting parameter values in</w:t>
      </w:r>
      <w:r>
        <w:t xml:space="preserve"> </w:t>
      </w:r>
      <w:r>
        <w:t xml:space="preserve">Bayesian</w:t>
      </w:r>
      <w:r>
        <w:t xml:space="preserve"> </w:t>
      </w:r>
      <w:r>
        <w:t xml:space="preserve">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85">
        <w:r>
          <w:rPr>
            <w:rStyle w:val="Hyperlink"/>
          </w:rPr>
          <w:t xml:space="preserve">https://doi.org/10.1177/2515245918771304</w:t>
        </w:r>
      </w:hyperlink>
    </w:p>
    <w:bookmarkEnd w:id="86"/>
    <w:bookmarkStart w:id="88" w:name="ref-lenth2024emmeans"/>
    <w:p>
      <w:pPr>
        <w:pStyle w:val="Bibliography"/>
      </w:pPr>
      <w:r>
        <w:t xml:space="preserve">Lenth, R. V., &amp; Piaskowski, J. (2026).</w:t>
      </w:r>
      <w:r>
        <w:t xml:space="preserve"> </w:t>
      </w:r>
      <w:r>
        <w:rPr>
          <w:i/>
          <w:iCs/>
        </w:rPr>
        <w:t xml:space="preserve">emmeans</w:t>
      </w:r>
      <w:r>
        <w:rPr>
          <w:i/>
          <w:iCs/>
        </w:rPr>
        <w:t xml:space="preserve">: Estimated marginal means, aka least-squares means</w:t>
      </w:r>
      <w:r>
        <w:t xml:space="preserve">.</w:t>
      </w:r>
      <w:r>
        <w:t xml:space="preserve"> </w:t>
      </w:r>
      <w:hyperlink r:id="rId87">
        <w:r>
          <w:rPr>
            <w:rStyle w:val="Hyperlink"/>
          </w:rPr>
          <w:t xml:space="preserve">https://doi.org/10.32614/CRAN.package.emmeans</w:t>
        </w:r>
      </w:hyperlink>
    </w:p>
    <w:bookmarkEnd w:id="88"/>
    <w:bookmarkStart w:id="90" w:name="ref-mather2016locus"/>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89">
        <w:r>
          <w:rPr>
            <w:rStyle w:val="Hyperlink"/>
          </w:rPr>
          <w:t xml:space="preserve">https://doi.org/10.1016/j.tics.2016.01.001</w:t>
        </w:r>
      </w:hyperlink>
    </w:p>
    <w:bookmarkEnd w:id="90"/>
    <w:bookmarkStart w:id="92" w:name="ref-mather2020isometric"/>
    <w:p>
      <w:pPr>
        <w:pStyle w:val="Bibliography"/>
      </w:pPr>
      <w:r>
        <w:t xml:space="preserve">Mather, M., Huang, R., Clewett, D., Nielsen, S. E., Velasco, R., Tu, K., Han, S., &amp; Kennedy, B. L. (2020). Isometric exercise facilitates attention to salient events in women via the noradrenergic system.</w:t>
      </w:r>
      <w:r>
        <w:t xml:space="preserve"> </w:t>
      </w:r>
      <w:r>
        <w:rPr>
          <w:i/>
          <w:iCs/>
        </w:rPr>
        <w:t xml:space="preserve">NeuroImage</w:t>
      </w:r>
      <w:r>
        <w:t xml:space="preserve">,</w:t>
      </w:r>
      <w:r>
        <w:t xml:space="preserve"> </w:t>
      </w:r>
      <w:r>
        <w:rPr>
          <w:i/>
          <w:iCs/>
        </w:rPr>
        <w:t xml:space="preserve">210</w:t>
      </w:r>
      <w:r>
        <w:t xml:space="preserve">, 116560.</w:t>
      </w:r>
      <w:r>
        <w:t xml:space="preserve"> </w:t>
      </w:r>
      <w:hyperlink r:id="rId91">
        <w:r>
          <w:rPr>
            <w:rStyle w:val="Hyperlink"/>
          </w:rPr>
          <w:t xml:space="preserve">https://doi.org/10.1016/j.neuroimage.2020.116560</w:t>
        </w:r>
      </w:hyperlink>
    </w:p>
    <w:bookmarkEnd w:id="92"/>
    <w:bookmarkStart w:id="94" w:name="ref-mathot2018"/>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r:id="rId93">
        <w:r>
          <w:rPr>
            <w:rStyle w:val="Hyperlink"/>
          </w:rPr>
          <w:t xml:space="preserve">https://doi.org/10.5334/joc.18</w:t>
        </w:r>
      </w:hyperlink>
    </w:p>
    <w:bookmarkEnd w:id="94"/>
    <w:bookmarkStart w:id="96" w:name="ref-piquado2010pupillometry"/>
    <w:p>
      <w:pPr>
        <w:pStyle w:val="Bibliography"/>
      </w:pPr>
      <w:r>
        <w:t xml:space="preserve">Piquado, T., Isaacowitz, D., &amp; Wingfield, A. (2010). Pupillometry as a measure of cognitive effort in younger and older adults.</w:t>
      </w:r>
      <w:r>
        <w:t xml:space="preserve"> </w:t>
      </w:r>
      <w:r>
        <w:rPr>
          <w:i/>
          <w:iCs/>
        </w:rPr>
        <w:t xml:space="preserve">Psychophysiology</w:t>
      </w:r>
      <w:r>
        <w:t xml:space="preserve">,</w:t>
      </w:r>
      <w:r>
        <w:t xml:space="preserve"> </w:t>
      </w:r>
      <w:r>
        <w:rPr>
          <w:i/>
          <w:iCs/>
        </w:rPr>
        <w:t xml:space="preserve">47</w:t>
      </w:r>
      <w:r>
        <w:t xml:space="preserve">(3), 560–569.</w:t>
      </w:r>
      <w:r>
        <w:t xml:space="preserve"> </w:t>
      </w:r>
      <w:hyperlink r:id="rId95">
        <w:r>
          <w:rPr>
            <w:rStyle w:val="Hyperlink"/>
          </w:rPr>
          <w:t xml:space="preserve">https://doi.org/10.1111/j.1469-8986.2009.00947.x</w:t>
        </w:r>
      </w:hyperlink>
    </w:p>
    <w:bookmarkEnd w:id="96"/>
    <w:bookmarkStart w:id="98"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97">
        <w:r>
          <w:rPr>
            <w:rStyle w:val="Hyperlink"/>
          </w:rPr>
          <w:t xml:space="preserve">https://doi.org/10.1162/neco.2008.12-06-420</w:t>
        </w:r>
      </w:hyperlink>
    </w:p>
    <w:bookmarkEnd w:id="98"/>
    <w:bookmarkStart w:id="100"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99">
        <w:r>
          <w:rPr>
            <w:rStyle w:val="Hyperlink"/>
          </w:rPr>
          <w:t xml:space="preserve">https://doi.org/10.1037/0882-7974.16.2.323</w:t>
        </w:r>
      </w:hyperlink>
    </w:p>
    <w:bookmarkEnd w:id="100"/>
    <w:bookmarkStart w:id="102"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101">
        <w:r>
          <w:rPr>
            <w:rStyle w:val="Hyperlink"/>
          </w:rPr>
          <w:t xml:space="preserve">https://doi.org/10.3758/BF03196302</w:t>
        </w:r>
      </w:hyperlink>
    </w:p>
    <w:bookmarkEnd w:id="102"/>
    <w:bookmarkStart w:id="104"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103">
        <w:r>
          <w:rPr>
            <w:rStyle w:val="Hyperlink"/>
          </w:rPr>
          <w:t xml:space="preserve">https://mc-stan.org/docs/cmdstan-guide/</w:t>
        </w:r>
      </w:hyperlink>
    </w:p>
    <w:bookmarkEnd w:id="104"/>
    <w:bookmarkStart w:id="106" w:name="ref-starns2010effects"/>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377–390.</w:t>
      </w:r>
      <w:r>
        <w:t xml:space="preserve"> </w:t>
      </w:r>
      <w:hyperlink r:id="rId105">
        <w:r>
          <w:rPr>
            <w:rStyle w:val="Hyperlink"/>
          </w:rPr>
          <w:t xml:space="preserve">https://doi.org/10.1037/a0018022</w:t>
        </w:r>
      </w:hyperlink>
    </w:p>
    <w:bookmarkEnd w:id="106"/>
    <w:bookmarkStart w:id="108" w:name="ref-theisen2021age"/>
    <w:p>
      <w:pPr>
        <w:pStyle w:val="Bibliography"/>
      </w:pPr>
      <w:r>
        <w:t xml:space="preserve">Theisen, M., Lerche, V., von Krause, M., &amp; Voss, A.</w:t>
      </w:r>
      <w:r>
        <w:t xml:space="preserve"> (2021). Age differences in diffusion model parameters: A meta-analysis.</w:t>
      </w:r>
      <w:r>
        <w:t xml:space="preserve"> </w:t>
      </w:r>
      <w:r>
        <w:rPr>
          <w:i/>
          <w:iCs/>
        </w:rPr>
        <w:t xml:space="preserve">Psychological Research</w:t>
      </w:r>
      <w:r>
        <w:t xml:space="preserve">,</w:t>
      </w:r>
      <w:r>
        <w:t xml:space="preserve"> </w:t>
      </w:r>
      <w:r>
        <w:rPr>
          <w:i/>
          <w:iCs/>
        </w:rPr>
        <w:t xml:space="preserve">85</w:t>
      </w:r>
      <w:r>
        <w:t xml:space="preserve">(5), 2012–2021.</w:t>
      </w:r>
      <w:r>
        <w:t xml:space="preserve"> </w:t>
      </w:r>
      <w:hyperlink r:id="rId107">
        <w:r>
          <w:rPr>
            <w:rStyle w:val="Hyperlink"/>
          </w:rPr>
          <w:t xml:space="preserve">https://doi.org/10.1007/s00426-020-01371-8</w:t>
        </w:r>
      </w:hyperlink>
    </w:p>
    <w:bookmarkEnd w:id="108"/>
    <w:bookmarkStart w:id="110" w:name="ref-urai2017"/>
    <w:p>
      <w:pPr>
        <w:pStyle w:val="Bibliography"/>
      </w:pPr>
      <w:r>
        <w:t xml:space="preserve">Urai, A. E., Braun, A., &amp; Donner, T. H. (2017). Pupil-linked arousal is driven by decision uncertainty and alters serial choice bias.</w:t>
      </w:r>
      <w:r>
        <w:t xml:space="preserve"> </w:t>
      </w:r>
      <w:r>
        <w:rPr>
          <w:i/>
          <w:iCs/>
        </w:rPr>
        <w:t xml:space="preserve">Nature Communications</w:t>
      </w:r>
      <w:r>
        <w:t xml:space="preserve">,</w:t>
      </w:r>
      <w:r>
        <w:t xml:space="preserve"> </w:t>
      </w:r>
      <w:r>
        <w:rPr>
          <w:i/>
          <w:iCs/>
        </w:rPr>
        <w:t xml:space="preserve">8</w:t>
      </w:r>
      <w:r>
        <w:t xml:space="preserve">(1), 14637.</w:t>
      </w:r>
      <w:r>
        <w:t xml:space="preserve"> </w:t>
      </w:r>
      <w:hyperlink r:id="rId109">
        <w:r>
          <w:rPr>
            <w:rStyle w:val="Hyperlink"/>
          </w:rPr>
          <w:t xml:space="preserve">https://doi.org/10.1038/ncomms14637</w:t>
        </w:r>
      </w:hyperlink>
    </w:p>
    <w:bookmarkEnd w:id="110"/>
    <w:bookmarkStart w:id="112" w:name="ref-vanderwel2018pupil"/>
    <w:p>
      <w:pPr>
        <w:pStyle w:val="Bibliography"/>
      </w:pPr>
      <w:r>
        <w:t xml:space="preserve">van der Wel, P., &amp; van Steenbergen, H.</w:t>
      </w:r>
      <w:r>
        <w:t xml:space="preserve"> (2018). Pupil dilation as an index of effort in cognitive control tasks: A review.</w:t>
      </w:r>
      <w:r>
        <w:t xml:space="preserve"> </w:t>
      </w:r>
      <w:r>
        <w:rPr>
          <w:i/>
          <w:iCs/>
        </w:rPr>
        <w:t xml:space="preserve">Psychonomic Bulletin &amp; Review</w:t>
      </w:r>
      <w:r>
        <w:t xml:space="preserve">,</w:t>
      </w:r>
      <w:r>
        <w:t xml:space="preserve"> </w:t>
      </w:r>
      <w:r>
        <w:rPr>
          <w:i/>
          <w:iCs/>
        </w:rPr>
        <w:t xml:space="preserve">25</w:t>
      </w:r>
      <w:r>
        <w:t xml:space="preserve">(6), 2005–2015.</w:t>
      </w:r>
      <w:r>
        <w:t xml:space="preserve"> </w:t>
      </w:r>
      <w:hyperlink r:id="rId111">
        <w:r>
          <w:rPr>
            <w:rStyle w:val="Hyperlink"/>
          </w:rPr>
          <w:t xml:space="preserve">https://doi.org/10.3758/s13423-018-1432-y</w:t>
        </w:r>
      </w:hyperlink>
    </w:p>
    <w:bookmarkEnd w:id="112"/>
    <w:bookmarkStart w:id="114" w:name="ref-vehtari2017practical"/>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113">
        <w:r>
          <w:rPr>
            <w:rStyle w:val="Hyperlink"/>
          </w:rPr>
          <w:t xml:space="preserve">https://doi.org/10.1007/s11222-016-9696-4</w:t>
        </w:r>
      </w:hyperlink>
    </w:p>
    <w:bookmarkEnd w:id="114"/>
    <w:bookmarkStart w:id="116" w:name="ref-vehtari2021rank"/>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115">
        <w:r>
          <w:rPr>
            <w:rStyle w:val="Hyperlink"/>
          </w:rPr>
          <w:t xml:space="preserve">https://doi.org/10.1214/20-BA1221</w:t>
        </w:r>
      </w:hyperlink>
    </w:p>
    <w:bookmarkEnd w:id="116"/>
    <w:bookmarkStart w:id="118"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17">
        <w:r>
          <w:rPr>
            <w:rStyle w:val="Hyperlink"/>
          </w:rPr>
          <w:t xml:space="preserve">https://doi.org/10.1037/0882-7974.18.3.443</w:t>
        </w:r>
      </w:hyperlink>
    </w:p>
    <w:bookmarkEnd w:id="118"/>
    <w:bookmarkStart w:id="120"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19">
        <w:r>
          <w:rPr>
            <w:rStyle w:val="Hyperlink"/>
          </w:rPr>
          <w:t xml:space="preserve">https://doi.org/10.1518/001872008X288394</w:t>
        </w:r>
      </w:hyperlink>
    </w:p>
    <w:bookmarkEnd w:id="120"/>
    <w:bookmarkStart w:id="122" w:name="ref-winn1994factors"/>
    <w:p>
      <w:pPr>
        <w:pStyle w:val="Bibliography"/>
      </w:pPr>
      <w:r>
        <w:t xml:space="preserve">Winn, B., Whitaker, D., Elliott, D. B., &amp; Phillips, N. J. (1994). Factors affecting light-adapted pupil size in normal human subjects.</w:t>
      </w:r>
      <w:r>
        <w:t xml:space="preserve"> </w:t>
      </w:r>
      <w:r>
        <w:rPr>
          <w:i/>
          <w:iCs/>
        </w:rPr>
        <w:t xml:space="preserve">Investigative Ophthalmology &amp; Visual Science</w:t>
      </w:r>
      <w:r>
        <w:t xml:space="preserve">,</w:t>
      </w:r>
      <w:r>
        <w:t xml:space="preserve"> </w:t>
      </w:r>
      <w:r>
        <w:rPr>
          <w:i/>
          <w:iCs/>
        </w:rPr>
        <w:t xml:space="preserve">35</w:t>
      </w:r>
      <w:r>
        <w:t xml:space="preserve">(3), 1132–1137.</w:t>
      </w:r>
      <w:r>
        <w:t xml:space="preserve"> </w:t>
      </w:r>
      <w:hyperlink r:id="rId121">
        <w:r>
          <w:rPr>
            <w:rStyle w:val="Hyperlink"/>
          </w:rPr>
          <w:t xml:space="preserve">https://iovs.arvojournals.org/article.aspx?articleid=2161149</w:t>
        </w:r>
      </w:hyperlink>
    </w:p>
    <w:bookmarkEnd w:id="122"/>
    <w:bookmarkStart w:id="124" w:name="ref-zenon2014pupil"/>
    <w:p>
      <w:pPr>
        <w:pStyle w:val="Bibliography"/>
      </w:pPr>
      <w:r>
        <w:t xml:space="preserve">Zénon, A., Sidibé, M., &amp; Olivier, E. (2014). Pupil size variations correlate with physical effort perception.</w:t>
      </w:r>
      <w:r>
        <w:t xml:space="preserve"> </w:t>
      </w:r>
      <w:r>
        <w:rPr>
          <w:i/>
          <w:iCs/>
        </w:rPr>
        <w:t xml:space="preserve">Frontiers in Behavioral Neuroscience</w:t>
      </w:r>
      <w:r>
        <w:t xml:space="preserve">,</w:t>
      </w:r>
      <w:r>
        <w:t xml:space="preserve"> </w:t>
      </w:r>
      <w:r>
        <w:rPr>
          <w:i/>
          <w:iCs/>
        </w:rPr>
        <w:t xml:space="preserve">8</w:t>
      </w:r>
      <w:r>
        <w:t xml:space="preserve">, 286.</w:t>
      </w:r>
      <w:r>
        <w:t xml:space="preserve"> </w:t>
      </w:r>
      <w:hyperlink r:id="rId123">
        <w:r>
          <w:rPr>
            <w:rStyle w:val="Hyperlink"/>
          </w:rPr>
          <w:t xml:space="preserve">https://doi.org/10.3389/fnbeh.2014.00286</w:t>
        </w:r>
      </w:hyperlink>
    </w:p>
    <w:bookmarkEnd w:id="124"/>
    <w:bookmarkEnd w:id="125"/>
    <w:bookmarkEnd w:id="126"/>
    <w:bookmarkStart w:id="189" w:name="supplementary-materials"/>
    <w:p>
      <w:pPr>
        <w:pStyle w:val="Heading1"/>
      </w:pPr>
      <w:r>
        <w:t xml:space="preserve">Supplementary Materials</w:t>
      </w:r>
    </w:p>
    <w:bookmarkStart w:id="147" w:name="model-estimation-and-fit"/>
    <w:p>
      <w:pPr>
        <w:pStyle w:val="Heading2"/>
      </w:pPr>
      <w:r>
        <w:t xml:space="preserve">Model estimation and fit</w:t>
      </w:r>
    </w:p>
    <w:p>
      <w:pPr>
        <w:pStyle w:val="FirstParagraph"/>
      </w:pPr>
      <w:r>
        <w:t xml:space="preserve">Figure S1 shows how the behavioral and pupil samples were formed, and Table S1 gives trial counts by condition.</w:t>
      </w:r>
    </w:p>
    <w:tbl>
      <w:tblPr>
        <w:tblStyle w:val="Table"/>
        <w:tblW w:type="pct" w:w="5000"/>
        <w:tblLayout w:type="fixed"/>
        <w:tblLook w:firstRow="0" w:lastRow="0" w:firstColumn="0" w:lastColumn="0" w:noHBand="0" w:noVBand="0" w:val="0000"/>
      </w:tblPr>
      <w:tblGrid>
        <w:gridCol w:w="7920"/>
      </w:tblGrid>
      <w:tr>
        <w:tc>
          <w:tcPr/>
          <w:bookmarkStart w:id="130" w:name="suppfig-flow"/>
          <w:p>
            <w:pPr>
              <w:jc w:val="center"/>
            </w:pPr>
            <w:r>
              <w:drawing>
                <wp:inline>
                  <wp:extent cx="5334000" cy="6574465"/>
                  <wp:effectExtent b="0" l="0" r="0" t="0"/>
                  <wp:docPr descr="" title="" id="128" name="Picture"/>
                  <a:graphic>
                    <a:graphicData uri="http://schemas.openxmlformats.org/drawingml/2006/picture">
                      <pic:pic>
                        <pic:nvPicPr>
                          <pic:cNvPr descr="../output/ddm_refits/runs/final_20261016/figures/final/S_participant_flow.png" id="129" name="Picture"/>
                          <pic:cNvPicPr>
                            <a:picLocks noChangeArrowheads="1" noChangeAspect="1"/>
                          </pic:cNvPicPr>
                        </pic:nvPicPr>
                        <pic:blipFill>
                          <a:blip r:embed="rId127"/>
                          <a:stretch>
                            <a:fillRect/>
                          </a:stretch>
                        </pic:blipFill>
                        <pic:spPr bwMode="auto">
                          <a:xfrm>
                            <a:off x="0" y="0"/>
                            <a:ext cx="5334000" cy="65744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Participant and trial flow. The left column shows the behavioral sample and the right column the pupil sample, with the trials (participants) remaining after each criterion. Sensitivity samples have a dashed border.</w:t>
            </w:r>
          </w:p>
          <w:bookmarkEnd w:id="1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supptbl-trial-counts"/>
          <w:p>
            <w:pPr>
              <w:jc w:val="center"/>
            </w:pPr>
            <w:pPr>
              <w:jc w:val="left"/>
              <w:spacing w:before="200"/>
              <w:pStyle w:val="ImageCaption"/>
            </w:pPr>
            <w:r>
              <w:t xml:space="preserve">Table S1: Trials in the primary analysis by task, stimulus type and effort</w:t>
            </w:r>
          </w:p>
          <w:tbl>
            <w:tblPr>
              <w:tblStyle w:val="Table"/>
              <w:tblW w:type="pct" w:w="5000"/>
              <w:tblLayout w:type="fixed"/>
              <w:tblLook w:firstRow="1" w:lastRow="0" w:firstColumn="0" w:lastColumn="0" w:noHBand="0" w:noVBand="0" w:val="0020"/>
            </w:tblPr>
            <w:tblGrid>
              <w:gridCol w:w="600"/>
              <w:gridCol w:w="1320"/>
              <w:gridCol w:w="840"/>
              <w:gridCol w:w="840"/>
              <w:gridCol w:w="1560"/>
              <w:gridCol w:w="2760"/>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Trials</w:t>
                  </w:r>
                </w:p>
              </w:tc>
              <w:tc>
                <w:tcPr/>
                <w:p>
                  <w:pPr>
                    <w:pStyle w:val="Compact"/>
                    <w:jc w:val="right"/>
                    <w:jc w:val="center"/>
                  </w:pPr>
                  <w:r>
                    <w:t xml:space="preserve">Participants</w:t>
                  </w:r>
                </w:p>
              </w:tc>
              <w:tc>
                <w:tcPr/>
                <w:p>
                  <w:pPr>
                    <w:pStyle w:val="Compact"/>
                    <w:jc w:val="right"/>
                    <w:jc w:val="center"/>
                  </w:pPr>
                  <w:r>
                    <w:t xml:space="preserve">Trials per participant</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1,772</w:t>
                  </w:r>
                </w:p>
              </w:tc>
              <w:tc>
                <w:tcPr/>
                <w:p>
                  <w:pPr>
                    <w:pStyle w:val="Compact"/>
                    <w:jc w:val="right"/>
                    <w:jc w:val="center"/>
                  </w:pPr>
                  <w:r>
                    <w:t xml:space="preserve">64</w:t>
                  </w:r>
                </w:p>
              </w:tc>
              <w:tc>
                <w:tcPr/>
                <w:p>
                  <w:pPr>
                    <w:pStyle w:val="Compact"/>
                    <w:jc w:val="right"/>
                    <w:jc w:val="center"/>
                  </w:pPr>
                  <w:r>
                    <w:t xml:space="preserve">27.7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1,740</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1,777</w:t>
                  </w:r>
                </w:p>
              </w:tc>
              <w:tc>
                <w:tcPr/>
                <w:p>
                  <w:pPr>
                    <w:pStyle w:val="Compact"/>
                    <w:jc w:val="right"/>
                    <w:jc w:val="center"/>
                  </w:pPr>
                  <w:r>
                    <w:t xml:space="preserve">64</w:t>
                  </w:r>
                </w:p>
              </w:tc>
              <w:tc>
                <w:tcPr/>
                <w:p>
                  <w:pPr>
                    <w:pStyle w:val="Compact"/>
                    <w:jc w:val="right"/>
                    <w:jc w:val="center"/>
                  </w:pPr>
                  <w:r>
                    <w:t xml:space="preserve">27.8</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1,738</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887</w:t>
                  </w:r>
                </w:p>
              </w:tc>
              <w:tc>
                <w:tcPr/>
                <w:p>
                  <w:pPr>
                    <w:pStyle w:val="Compact"/>
                    <w:jc w:val="right"/>
                    <w:jc w:val="center"/>
                  </w:pPr>
                  <w:r>
                    <w:t xml:space="preserve">64</w:t>
                  </w:r>
                </w:p>
              </w:tc>
              <w:tc>
                <w:tcPr/>
                <w:p>
                  <w:pPr>
                    <w:pStyle w:val="Compact"/>
                    <w:jc w:val="right"/>
                    <w:jc w:val="center"/>
                  </w:pPr>
                  <w:r>
                    <w:t xml:space="preserve">13.9</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860</w:t>
                  </w:r>
                </w:p>
              </w:tc>
              <w:tc>
                <w:tcPr/>
                <w:p>
                  <w:pPr>
                    <w:pStyle w:val="Compact"/>
                    <w:jc w:val="right"/>
                    <w:jc w:val="center"/>
                  </w:pPr>
                  <w:r>
                    <w:t xml:space="preserve">64</w:t>
                  </w:r>
                </w:p>
              </w:tc>
              <w:tc>
                <w:tcPr/>
                <w:p>
                  <w:pPr>
                    <w:pStyle w:val="Compact"/>
                    <w:jc w:val="right"/>
                    <w:jc w:val="center"/>
                  </w:pPr>
                  <w:r>
                    <w:t xml:space="preserve">13.4</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1,838</w:t>
                  </w:r>
                </w:p>
              </w:tc>
              <w:tc>
                <w:tcPr/>
                <w:p>
                  <w:pPr>
                    <w:pStyle w:val="Compact"/>
                    <w:jc w:val="right"/>
                    <w:jc w:val="center"/>
                  </w:pPr>
                  <w:r>
                    <w:t xml:space="preserve">65</w:t>
                  </w:r>
                </w:p>
              </w:tc>
              <w:tc>
                <w:tcPr/>
                <w:p>
                  <w:pPr>
                    <w:pStyle w:val="Compact"/>
                    <w:jc w:val="right"/>
                    <w:jc w:val="center"/>
                  </w:pPr>
                  <w:r>
                    <w:t xml:space="preserve">28.3</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1,749</w:t>
                  </w:r>
                </w:p>
              </w:tc>
              <w:tc>
                <w:tcPr/>
                <w:p>
                  <w:pPr>
                    <w:pStyle w:val="Compact"/>
                    <w:jc w:val="right"/>
                    <w:jc w:val="center"/>
                  </w:pPr>
                  <w:r>
                    <w:t xml:space="preserve">65</w:t>
                  </w:r>
                </w:p>
              </w:tc>
              <w:tc>
                <w:tcPr/>
                <w:p>
                  <w:pPr>
                    <w:pStyle w:val="Compact"/>
                    <w:jc w:val="right"/>
                    <w:jc w:val="center"/>
                  </w:pPr>
                  <w:r>
                    <w:t xml:space="preserve">26.9</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1,863</w:t>
                  </w:r>
                </w:p>
              </w:tc>
              <w:tc>
                <w:tcPr/>
                <w:p>
                  <w:pPr>
                    <w:pStyle w:val="Compact"/>
                    <w:jc w:val="right"/>
                    <w:jc w:val="center"/>
                  </w:pPr>
                  <w:r>
                    <w:t xml:space="preserve">65</w:t>
                  </w:r>
                </w:p>
              </w:tc>
              <w:tc>
                <w:tcPr/>
                <w:p>
                  <w:pPr>
                    <w:pStyle w:val="Compact"/>
                    <w:jc w:val="right"/>
                    <w:jc w:val="center"/>
                  </w:pPr>
                  <w:r>
                    <w:t xml:space="preserve">28.7</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1,788</w:t>
                  </w:r>
                </w:p>
              </w:tc>
              <w:tc>
                <w:tcPr/>
                <w:p>
                  <w:pPr>
                    <w:pStyle w:val="Compact"/>
                    <w:jc w:val="right"/>
                    <w:jc w:val="center"/>
                  </w:pPr>
                  <w:r>
                    <w:t xml:space="preserve">65</w:t>
                  </w:r>
                </w:p>
              </w:tc>
              <w:tc>
                <w:tcPr/>
                <w:p>
                  <w:pPr>
                    <w:pStyle w:val="Compact"/>
                    <w:jc w:val="right"/>
                    <w:jc w:val="center"/>
                  </w:pPr>
                  <w:r>
                    <w:t xml:space="preserve">27.5</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939</w:t>
                  </w:r>
                </w:p>
              </w:tc>
              <w:tc>
                <w:tcPr/>
                <w:p>
                  <w:pPr>
                    <w:pStyle w:val="Compact"/>
                    <w:jc w:val="right"/>
                    <w:jc w:val="center"/>
                  </w:pPr>
                  <w:r>
                    <w:t xml:space="preserve">65</w:t>
                  </w:r>
                </w:p>
              </w:tc>
              <w:tc>
                <w:tcPr/>
                <w:p>
                  <w:pPr>
                    <w:pStyle w:val="Compact"/>
                    <w:jc w:val="right"/>
                    <w:jc w:val="center"/>
                  </w:pPr>
                  <w:r>
                    <w:t xml:space="preserve">14.4</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906</w:t>
                  </w:r>
                </w:p>
              </w:tc>
              <w:tc>
                <w:tcPr/>
                <w:p>
                  <w:pPr>
                    <w:pStyle w:val="Compact"/>
                    <w:jc w:val="right"/>
                    <w:jc w:val="center"/>
                  </w:pPr>
                  <w:r>
                    <w:t xml:space="preserve">65</w:t>
                  </w:r>
                </w:p>
              </w:tc>
              <w:tc>
                <w:tcPr/>
                <w:p>
                  <w:pPr>
                    <w:pStyle w:val="Compact"/>
                    <w:jc w:val="right"/>
                    <w:jc w:val="center"/>
                  </w:pPr>
                  <w:r>
                    <w:t xml:space="preserve">13.9</w:t>
                  </w:r>
                </w:p>
              </w:tc>
            </w:tr>
          </w:tbl>
          <w:bookmarkEnd w:id="131"/>
          <w:p/>
        </w:tc>
      </w:tr>
    </w:tbl>
    <w:p>
      <w:pPr>
        <w:pStyle w:val="BodyText"/>
      </w:pPr>
      <w:r>
        <w:t xml:space="preserve">Prior distributions are listed in Table S2.</w:t>
      </w:r>
    </w:p>
    <w:tbl>
      <w:tblPr>
        <w:tblStyle w:val="Table"/>
        <w:tblW w:type="pct" w:w="5000"/>
        <w:tblLayout w:type="fixed"/>
        <w:tblLook w:firstRow="0" w:lastRow="0" w:firstColumn="0" w:lastColumn="0" w:noHBand="0" w:noVBand="0" w:val="0000"/>
      </w:tblPr>
      <w:tblGrid>
        <w:gridCol w:w="7920"/>
      </w:tblGrid>
      <w:tr>
        <w:tc>
          <w:tcPr/>
          <w:bookmarkStart w:id="132" w:name="supptbl-priors"/>
          <w:p>
            <w:pPr>
              <w:jc w:val="center"/>
            </w:pPr>
            <w:pPr>
              <w:jc w:val="left"/>
              <w:spacing w:before="200"/>
              <w:pStyle w:val="ImageCaption"/>
            </w:pPr>
            <w:r>
              <w:t xml:space="preserve">Table S2: Prior distributions (link scale)</w:t>
            </w:r>
          </w:p>
          <w:tbl>
            <w:tblPr>
              <w:tblStyle w:val="Table"/>
              <w:tblW w:type="pct" w:w="5000"/>
              <w:tblLayout w:type="fixed"/>
              <w:tblLook w:firstRow="1" w:lastRow="0" w:firstColumn="0" w:lastColumn="0" w:noHBand="0" w:noVBand="0" w:val="0020"/>
            </w:tblPr>
            <w:tblGrid>
              <w:gridCol w:w="1888"/>
              <w:gridCol w:w="4143"/>
              <w:gridCol w:w="1888"/>
            </w:tblGrid>
            <w:tr>
              <w:trPr>
                <w:tblHeader w:val="on"/>
              </w:trPr>
              <w:tc>
                <w:tcPr/>
                <w:p>
                  <w:pPr>
                    <w:pStyle w:val="Compact"/>
                    <w:jc w:val="left"/>
                    <w:jc w:val="center"/>
                  </w:pPr>
                  <w:r>
                    <w:t xml:space="preserve">Parameter</w:t>
                  </w:r>
                </w:p>
              </w:tc>
              <w:tc>
                <w:tcPr/>
                <w:p>
                  <w:pPr>
                    <w:pStyle w:val="Compact"/>
                    <w:jc w:val="right"/>
                    <w:jc w:val="center"/>
                  </w:pPr>
                  <w:r>
                    <w:t xml:space="preserve">Prior</w:t>
                  </w:r>
                </w:p>
              </w:tc>
              <w:tc>
                <w:tcPr/>
                <w:p>
                  <w:pPr>
                    <w:pStyle w:val="Compact"/>
                    <w:jc w:val="right"/>
                    <w:jc w:val="center"/>
                  </w:pPr>
                  <w:r>
                    <w:t xml:space="preserve">Bounds</w:t>
                  </w:r>
                </w:p>
              </w:tc>
            </w:tr>
            <w:tr>
              <w:tc>
                <w:tcPr/>
                <w:p>
                  <w:pPr>
                    <w:pStyle w:val="Compact"/>
                    <w:jc w:val="left"/>
                    <w:jc w:val="center"/>
                  </w:pPr>
                  <w:r>
                    <w:t xml:space="preserve">Drift intercept</w:t>
                  </w:r>
                </w:p>
              </w:tc>
              <w:tc>
                <w:tcPr/>
                <w:p>
                  <w:pPr>
                    <w:pStyle w:val="Compact"/>
                    <w:jc w:val="right"/>
                    <w:jc w:val="center"/>
                  </w:pPr>
                  <w:r>
                    <w:t xml:space="preserve">Normal(0, 1)</w:t>
                  </w:r>
                </w:p>
              </w:tc>
              <w:tc>
                <w:tcPr/>
                <w:p>
                  <w:pPr>
                    <w:pStyle w:val="Compact"/>
                    <w:jc w:val="right"/>
                    <w:jc w:val="center"/>
                  </w:pPr>
                  <w:r>
                    <w:t xml:space="preserve">—</w:t>
                  </w:r>
                </w:p>
              </w:tc>
            </w:tr>
            <w:tr>
              <w:tc>
                <w:tcPr/>
                <w:p>
                  <w:pPr>
                    <w:pStyle w:val="Compact"/>
                    <w:jc w:val="left"/>
                    <w:jc w:val="center"/>
                  </w:pPr>
                  <w:r>
                    <w:t xml:space="preserve">Drift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Boundary separation intercept</w:t>
                  </w:r>
                </w:p>
              </w:tc>
              <w:tc>
                <w:tcPr/>
                <w:p>
                  <w:pPr>
                    <w:pStyle w:val="Compact"/>
                    <w:jc w:val="right"/>
                    <w:jc w:val="center"/>
                  </w:pPr>
                  <w:r>
                    <w:t xml:space="preserve">Normal(log 1.3, 0.25)</w:t>
                  </w:r>
                </w:p>
              </w:tc>
              <w:tc>
                <w:tcPr/>
                <w:p>
                  <w:pPr>
                    <w:pStyle w:val="Compact"/>
                    <w:jc w:val="right"/>
                    <w:jc w:val="center"/>
                  </w:pPr>
                  <w:r>
                    <w:t xml:space="preserve">log 0.3 to log 5</w:t>
                  </w:r>
                </w:p>
              </w:tc>
            </w:tr>
            <w:tr>
              <w:tc>
                <w:tcPr/>
                <w:p>
                  <w:pPr>
                    <w:pStyle w:val="Compact"/>
                    <w:jc w:val="left"/>
                    <w:jc w:val="center"/>
                  </w:pPr>
                  <w:r>
                    <w:t xml:space="preserve">Boundary separation slopes</w:t>
                  </w:r>
                </w:p>
              </w:tc>
              <w:tc>
                <w:tcPr/>
                <w:p>
                  <w:pPr>
                    <w:pStyle w:val="Compact"/>
                    <w:jc w:val="right"/>
                    <w:jc w:val="center"/>
                  </w:pPr>
                  <w:r>
                    <w:t xml:space="preserve">Normal(0, 0.2)</w:t>
                  </w:r>
                </w:p>
              </w:tc>
              <w:tc>
                <w:tcPr/>
                <w:p>
                  <w:pPr>
                    <w:pStyle w:val="Compact"/>
                    <w:jc w:val="right"/>
                    <w:jc w:val="center"/>
                  </w:pPr>
                  <w:r>
                    <w:t xml:space="preserve">—</w:t>
                  </w:r>
                </w:p>
              </w:tc>
            </w:tr>
            <w:tr>
              <w:tc>
                <w:tcPr/>
                <w:p>
                  <w:pPr>
                    <w:pStyle w:val="Compact"/>
                    <w:jc w:val="left"/>
                    <w:jc w:val="center"/>
                  </w:pPr>
                  <w:r>
                    <w:t xml:space="preserve">Non-decision time intercept</w:t>
                  </w:r>
                </w:p>
              </w:tc>
              <w:tc>
                <w:tcPr/>
                <w:p>
                  <w:pPr>
                    <w:pStyle w:val="Compact"/>
                    <w:jc w:val="right"/>
                    <w:jc w:val="center"/>
                  </w:pPr>
                  <w:r>
                    <w:t xml:space="preserve">Normal(log 0.35, 0.15)</w:t>
                  </w:r>
                </w:p>
              </w:tc>
              <w:tc>
                <w:tcPr/>
                <w:p>
                  <w:pPr>
                    <w:pStyle w:val="Compact"/>
                    <w:jc w:val="right"/>
                    <w:jc w:val="center"/>
                  </w:pPr>
                  <w:r>
                    <w:t xml:space="preserve">log 0.02 to log(shortest RT − 0.01)</w:t>
                  </w:r>
                </w:p>
              </w:tc>
            </w:tr>
            <w:tr>
              <w:tc>
                <w:tcPr/>
                <w:p>
                  <w:pPr>
                    <w:pStyle w:val="Compact"/>
                    <w:jc w:val="left"/>
                    <w:jc w:val="center"/>
                  </w:pPr>
                  <w:r>
                    <w:t xml:space="preserve">Starting point intercept and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Random-effect SDs</w:t>
                  </w:r>
                </w:p>
              </w:tc>
              <w:tc>
                <w:tcPr/>
                <w:p>
                  <w:pPr>
                    <w:pStyle w:val="Compact"/>
                    <w:jc w:val="right"/>
                    <w:jc w:val="center"/>
                  </w:pPr>
                  <w:r>
                    <w:t xml:space="preserve">Exponential(5), drift and starting point; Exponential(10), boundary separation</w:t>
                  </w:r>
                </w:p>
              </w:tc>
              <w:tc>
                <w:tcPr/>
                <w:p>
                  <w:pPr>
                    <w:pStyle w:val="Compact"/>
                    <w:jc w:val="right"/>
                    <w:jc w:val="center"/>
                  </w:pPr>
                  <w:r>
                    <w:t xml:space="preserve">—</w:t>
                  </w:r>
                </w:p>
              </w:tc>
            </w:tr>
          </w:tbl>
          <w:p>
            <w:pPr>
              <w:jc w:val="center"/>
            </w:pPr>
            <w:r>
              <w:rPr>
                <w:i/>
                <w:iCs/>
              </w:rPr>
              <w:t xml:space="preserve">Note.</w:t>
            </w:r>
            <w:r>
              <w:t xml:space="preserve"> </w:t>
            </w:r>
            <w:r>
              <w:t xml:space="preserve">Pupil slopes used the class priors of the parameter they entered.</w:t>
            </w:r>
          </w:p>
          <w:bookmarkEnd w:id="132"/>
        </w:tc>
      </w:tr>
    </w:tbl>
    <w:p>
      <w:pPr>
        <w:pStyle w:val="BodyText"/>
      </w:pPr>
      <w:r>
        <w:t xml:space="preserve">Table S3 compares the nested behavioral models, and Table S5 lists convergence diagnostics for every model reported in the chapter. Tables S6 and S7 give the primary model’s population-level estimates and its condition-level parameters.</w:t>
      </w:r>
    </w:p>
    <w:tbl>
      <w:tblPr>
        <w:tblStyle w:val="Table"/>
        <w:tblW w:type="pct" w:w="5000"/>
        <w:tblLayout w:type="fixed"/>
        <w:tblLook w:firstRow="0" w:lastRow="0" w:firstColumn="0" w:lastColumn="0" w:noHBand="0" w:noVBand="0" w:val="0000"/>
      </w:tblPr>
      <w:tblGrid>
        <w:gridCol w:w="7920"/>
      </w:tblGrid>
      <w:tr>
        <w:tc>
          <w:tcPr/>
          <w:bookmarkStart w:id="133" w:name="supptbl-model-comparison"/>
          <w:p>
            <w:pPr>
              <w:jc w:val="center"/>
            </w:pPr>
            <w:pPr>
              <w:jc w:val="left"/>
              <w:spacing w:before="200"/>
              <w:pStyle w:val="ImageCaption"/>
            </w:pPr>
            <w:r>
              <w:t xml:space="preserve">Table S3: Model comparison (PSIS-LOO). ΔELPD is relative to the primary model (M4); negative values indicate lower expected predictive accuracy. Model formulas are given in Section S6.</w:t>
            </w:r>
          </w:p>
          <w:tbl>
            <w:tblPr>
              <w:tblStyle w:val="Table"/>
              <w:tblW w:type="pct" w:w="5000"/>
              <w:tblLayout w:type="fixed"/>
              <w:tblLook w:firstRow="1" w:lastRow="0" w:firstColumn="0" w:lastColumn="0" w:noHBand="0" w:noVBand="0" w:val="0020"/>
            </w:tblPr>
            <w:tblGrid>
              <w:gridCol w:w="586"/>
              <w:gridCol w:w="977"/>
              <w:gridCol w:w="586"/>
              <w:gridCol w:w="1271"/>
              <w:gridCol w:w="977"/>
              <w:gridCol w:w="977"/>
              <w:gridCol w:w="782"/>
              <w:gridCol w:w="1271"/>
              <w:gridCol w:w="488"/>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rPr>
                      <w:i/>
                      <w:iCs/>
                    </w:rPr>
                    <w:t xml:space="preserve">SE</w:t>
                  </w:r>
                </w:p>
              </w:tc>
              <w:tc>
                <w:tcPr/>
                <w:p>
                  <w:pPr>
                    <w:pStyle w:val="Compact"/>
                    <w:jc w:val="right"/>
                    <w:jc w:val="center"/>
                  </w:pPr>
                  <w:r>
                    <w:t xml:space="preserve">ΔELPD vs. M4</w:t>
                  </w:r>
                </w:p>
              </w:tc>
              <w:tc>
                <w:tcPr/>
                <w:p>
                  <w:pPr>
                    <w:pStyle w:val="Compact"/>
                    <w:jc w:val="right"/>
                    <w:jc w:val="center"/>
                  </w:pPr>
                  <w:r>
                    <w:rPr>
                      <w:i/>
                      <w:iCs/>
                    </w:rPr>
                    <w:t xml:space="preserve">SE</w:t>
                  </w:r>
                  <w:r>
                    <w:t xml:space="preserve"> </w:t>
                  </w:r>
                  <w:r>
                    <w:t xml:space="preserve">of Δ</w:t>
                  </w:r>
                </w:p>
              </w:tc>
              <w:tc>
                <w:tcPr/>
                <w:p>
                  <w:pPr>
                    <w:pStyle w:val="Compact"/>
                    <w:jc w:val="right"/>
                    <w:jc w:val="center"/>
                  </w:pPr>
                  <w:r>
                    <w:rPr>
                      <w:i/>
                      <w:iCs/>
                    </w:rPr>
                    <w:t xml:space="preserve">k</w:t>
                  </w:r>
                  <w:r>
                    <w:t xml:space="preserve"> </w:t>
                  </w:r>
                  <w:r>
                    <w:t xml:space="preserve">&gt; 0.7</w:t>
                  </w:r>
                </w:p>
              </w:tc>
              <w:tc>
                <w:tcPr/>
                <w:p>
                  <w:pPr>
                    <w:pStyle w:val="Compact"/>
                    <w:jc w:val="right"/>
                    <w:jc w:val="center"/>
                  </w:pPr>
                  <w:r>
                    <w:t xml:space="preserve">Max</w:t>
                  </w:r>
                  <w:r>
                    <w:t xml:space="preserve"> </w:t>
                  </w:r>
                  <w:r>
                    <w:rPr>
                      <w:i/>
                      <w:iCs/>
                    </w:rPr>
                    <w:t xml:space="preserve">R̂</w:t>
                  </w:r>
                </w:p>
              </w:tc>
              <w:tc>
                <w:tcPr/>
                <w:p>
                  <w:pPr>
                    <w:pStyle w:val="Compact"/>
                    <w:jc w:val="right"/>
                    <w:jc w:val="center"/>
                  </w:pPr>
                  <w:r>
                    <w:t xml:space="preserve">Min bulk ESS</w:t>
                  </w:r>
                </w:p>
              </w:tc>
              <w:tc>
                <w:tcPr/>
                <w:p>
                  <w:pPr>
                    <w:pStyle w:val="Compact"/>
                    <w:jc w:val="right"/>
                    <w:jc w:val="center"/>
                  </w:pPr>
                  <w:r>
                    <w:t xml:space="preserve">Pass</w:t>
                  </w:r>
                </w:p>
              </w:tc>
            </w:tr>
            <w:tr>
              <w:tc>
                <w:tcPr/>
                <w:p>
                  <w:pPr>
                    <w:pStyle w:val="Compact"/>
                    <w:jc w:val="left"/>
                    <w:jc w:val="center"/>
                  </w:pPr>
                  <w:r>
                    <w:t xml:space="preserve">M0</w:t>
                  </w:r>
                </w:p>
              </w:tc>
              <w:tc>
                <w:tcPr/>
                <w:p>
                  <w:pPr>
                    <w:pStyle w:val="Compact"/>
                    <w:jc w:val="right"/>
                    <w:jc w:val="center"/>
                  </w:pPr>
                  <w:r>
                    <w:t xml:space="preserve">−17,820.6</w:t>
                  </w:r>
                </w:p>
              </w:tc>
              <w:tc>
                <w:tcPr/>
                <w:p>
                  <w:pPr>
                    <w:pStyle w:val="Compact"/>
                    <w:jc w:val="right"/>
                    <w:jc w:val="center"/>
                  </w:pPr>
                  <w:r>
                    <w:t xml:space="preserve">155.3</w:t>
                  </w:r>
                </w:p>
              </w:tc>
              <w:tc>
                <w:tcPr/>
                <w:p>
                  <w:pPr>
                    <w:pStyle w:val="Compact"/>
                    <w:jc w:val="right"/>
                    <w:jc w:val="center"/>
                  </w:pPr>
                  <w:r>
                    <w:t xml:space="preserve">−162.1</w:t>
                  </w:r>
                </w:p>
              </w:tc>
              <w:tc>
                <w:tcPr/>
                <w:p>
                  <w:pPr>
                    <w:pStyle w:val="Compact"/>
                    <w:jc w:val="right"/>
                    <w:jc w:val="center"/>
                  </w:pPr>
                  <w:r>
                    <w:t xml:space="preserve">20.4</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−17,816.6</w:t>
                  </w:r>
                </w:p>
              </w:tc>
              <w:tc>
                <w:tcPr/>
                <w:p>
                  <w:pPr>
                    <w:pStyle w:val="Compact"/>
                    <w:jc w:val="right"/>
                    <w:jc w:val="center"/>
                  </w:pPr>
                  <w:r>
                    <w:t xml:space="preserve">155.4</w:t>
                  </w:r>
                </w:p>
              </w:tc>
              <w:tc>
                <w:tcPr/>
                <w:p>
                  <w:pPr>
                    <w:pStyle w:val="Compact"/>
                    <w:jc w:val="right"/>
                    <w:jc w:val="center"/>
                  </w:pPr>
                  <w:r>
                    <w:t xml:space="preserve">−158.1</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−17,815.9</w:t>
                  </w:r>
                </w:p>
              </w:tc>
              <w:tc>
                <w:tcPr/>
                <w:p>
                  <w:pPr>
                    <w:pStyle w:val="Compact"/>
                    <w:jc w:val="right"/>
                    <w:jc w:val="center"/>
                  </w:pPr>
                  <w:r>
                    <w:t xml:space="preserve">155.5</w:t>
                  </w:r>
                </w:p>
              </w:tc>
              <w:tc>
                <w:tcPr/>
                <w:p>
                  <w:pPr>
                    <w:pStyle w:val="Compact"/>
                    <w:jc w:val="right"/>
                    <w:jc w:val="center"/>
                  </w:pPr>
                  <w:r>
                    <w:t xml:space="preserve">−157.4</w:t>
                  </w:r>
                </w:p>
              </w:tc>
              <w:tc>
                <w:tcPr/>
                <w:p>
                  <w:pPr>
                    <w:pStyle w:val="Compact"/>
                    <w:jc w:val="right"/>
                    <w:jc w:val="center"/>
                  </w:pPr>
                  <w:r>
                    <w:t xml:space="preserve">20.1</w:t>
                  </w:r>
                </w:p>
              </w:tc>
              <w:tc>
                <w:tcPr/>
                <w:p>
                  <w:pPr>
                    <w:pStyle w:val="Compact"/>
                    <w:jc w:val="right"/>
                    <w:jc w:val="center"/>
                  </w:pPr>
                  <w:r>
                    <w:t xml:space="preserve">0</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−17,816.8</w:t>
                  </w:r>
                </w:p>
              </w:tc>
              <w:tc>
                <w:tcPr/>
                <w:p>
                  <w:pPr>
                    <w:pStyle w:val="Compact"/>
                    <w:jc w:val="right"/>
                    <w:jc w:val="center"/>
                  </w:pPr>
                  <w:r>
                    <w:t xml:space="preserve">155.3</w:t>
                  </w:r>
                </w:p>
              </w:tc>
              <w:tc>
                <w:tcPr/>
                <w:p>
                  <w:pPr>
                    <w:pStyle w:val="Compact"/>
                    <w:jc w:val="right"/>
                    <w:jc w:val="center"/>
                  </w:pPr>
                  <w:r>
                    <w:t xml:space="preserve">−158.3</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−17,658.5</w:t>
                  </w:r>
                </w:p>
              </w:tc>
              <w:tc>
                <w:tcPr/>
                <w:p>
                  <w:pPr>
                    <w:pStyle w:val="Compact"/>
                    <w:jc w:val="right"/>
                    <w:jc w:val="center"/>
                  </w:pPr>
                  <w:r>
                    <w:t xml:space="preserve">155.5</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−17,660.1</w:t>
                  </w:r>
                </w:p>
              </w:tc>
              <w:tc>
                <w:tcPr/>
                <w:p>
                  <w:pPr>
                    <w:pStyle w:val="Compact"/>
                    <w:jc w:val="right"/>
                    <w:jc w:val="center"/>
                  </w:pPr>
                  <w:r>
                    <w:t xml:space="preserve">155.6</w:t>
                  </w:r>
                </w:p>
              </w:tc>
              <w:tc>
                <w:tcPr/>
                <w:p>
                  <w:pPr>
                    <w:pStyle w:val="Compact"/>
                    <w:jc w:val="right"/>
                    <w:jc w:val="center"/>
                  </w:pPr>
                  <w:r>
                    <w:t xml:space="preserve">−1.6</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Yes</w:t>
                  </w:r>
                </w:p>
              </w:tc>
            </w:tr>
          </w:tbl>
          <w:bookmarkEnd w:id="1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tbl-m2-interactions"/>
          <w:p>
            <w:pPr>
              <w:jc w:val="center"/>
            </w:pPr>
            <w:pPr>
              <w:jc w:val="left"/>
              <w:spacing w:before="200"/>
              <w:pStyle w:val="ImageCaption"/>
            </w:pPr>
            <w:r>
              <w:t xml:space="preserve">Table S4: Difficulty × effort terms in M2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Term</w:t>
                  </w:r>
                </w:p>
              </w:tc>
              <w:tc>
                <w:tcPr/>
                <w:p>
                  <w:pPr>
                    <w:pStyle w:val="Compact"/>
                    <w:jc w:val="right"/>
                    <w:jc w:val="center"/>
                  </w:pPr>
                  <w:r>
                    <w:t xml:space="preserve">Estimate [95% CrI]</w:t>
                  </w:r>
                </w:p>
              </w:tc>
              <w:tc>
                <w:tcPr/>
                <w:p>
                  <w:pPr>
                    <w:pStyle w:val="Compact"/>
                    <w:jc w:val="right"/>
                    <w:jc w:val="center"/>
                  </w:pPr>
                  <w:r>
                    <w:t xml:space="preserve">P(&lt; 0)</w:t>
                  </w:r>
                </w:p>
              </w:tc>
            </w:tr>
            <w:tr>
              <w:tc>
                <w:tcPr/>
                <w:p>
                  <w:pPr>
                    <w:pStyle w:val="Compact"/>
                    <w:jc w:val="left"/>
                    <w:jc w:val="center"/>
                  </w:pPr>
                  <w:r>
                    <w:t xml:space="preserve">Drift, Hard × high</w:t>
                  </w:r>
                </w:p>
              </w:tc>
              <w:tc>
                <w:tcPr/>
                <w:p>
                  <w:pPr>
                    <w:pStyle w:val="Compact"/>
                    <w:jc w:val="right"/>
                    <w:jc w:val="center"/>
                  </w:pPr>
                  <w:r>
                    <w:t xml:space="preserve">−0.020 [−0.114, 0.072]</w:t>
                  </w:r>
                </w:p>
              </w:tc>
              <w:tc>
                <w:tcPr/>
                <w:p>
                  <w:pPr>
                    <w:pStyle w:val="Compact"/>
                    <w:jc w:val="right"/>
                    <w:jc w:val="center"/>
                  </w:pPr>
                  <w:r>
                    <w:t xml:space="preserve">.664</w:t>
                  </w:r>
                </w:p>
              </w:tc>
            </w:tr>
            <w:tr>
              <w:tc>
                <w:tcPr/>
                <w:p>
                  <w:pPr>
                    <w:pStyle w:val="Compact"/>
                    <w:jc w:val="left"/>
                    <w:jc w:val="center"/>
                  </w:pPr>
                  <w:r>
                    <w:t xml:space="preserve">Drift, Easy × high</w:t>
                  </w:r>
                </w:p>
              </w:tc>
              <w:tc>
                <w:tcPr/>
                <w:p>
                  <w:pPr>
                    <w:pStyle w:val="Compact"/>
                    <w:jc w:val="right"/>
                    <w:jc w:val="center"/>
                  </w:pPr>
                  <w:r>
                    <w:t xml:space="preserve">0.057 [−0.040, 0.157]</w:t>
                  </w:r>
                </w:p>
              </w:tc>
              <w:tc>
                <w:tcPr/>
                <w:p>
                  <w:pPr>
                    <w:pStyle w:val="Compact"/>
                    <w:jc w:val="right"/>
                    <w:jc w:val="center"/>
                  </w:pPr>
                  <w:r>
                    <w:t xml:space="preserve">.124</w:t>
                  </w:r>
                </w:p>
              </w:tc>
            </w:tr>
            <w:tr>
              <w:tc>
                <w:tcPr/>
                <w:p>
                  <w:pPr>
                    <w:pStyle w:val="Compact"/>
                    <w:jc w:val="left"/>
                    <w:jc w:val="center"/>
                  </w:pPr>
                  <w:r>
                    <w:t xml:space="preserve">Drift, Hard − Easy</w:t>
                  </w:r>
                </w:p>
              </w:tc>
              <w:tc>
                <w:tcPr/>
                <w:p>
                  <w:pPr>
                    <w:pStyle w:val="Compact"/>
                    <w:jc w:val="right"/>
                    <w:jc w:val="center"/>
                  </w:pPr>
                  <w:r>
                    <w:t xml:space="preserve">−0.078 [−0.154, −0.001]</w:t>
                  </w:r>
                </w:p>
              </w:tc>
              <w:tc>
                <w:tcPr/>
                <w:p>
                  <w:pPr>
                    <w:pStyle w:val="Compact"/>
                    <w:jc w:val="right"/>
                    <w:jc w:val="center"/>
                  </w:pPr>
                  <w:r>
                    <w:t xml:space="preserve">.977</w:t>
                  </w:r>
                </w:p>
              </w:tc>
            </w:tr>
            <w:tr>
              <w:tc>
                <w:tcPr/>
                <w:p>
                  <w:pPr>
                    <w:pStyle w:val="Compact"/>
                    <w:jc w:val="left"/>
                    <w:jc w:val="center"/>
                  </w:pPr>
                  <w:r>
                    <w:t xml:space="preserve">Boundary, Hard × high</w:t>
                  </w:r>
                </w:p>
              </w:tc>
              <w:tc>
                <w:tcPr/>
                <w:p>
                  <w:pPr>
                    <w:pStyle w:val="Compact"/>
                    <w:jc w:val="right"/>
                    <w:jc w:val="center"/>
                  </w:pPr>
                  <w:r>
                    <w:t xml:space="preserve">−0.028 [−0.067, 0.010]</w:t>
                  </w:r>
                </w:p>
              </w:tc>
              <w:tc>
                <w:tcPr/>
                <w:p>
                  <w:pPr>
                    <w:pStyle w:val="Compact"/>
                    <w:jc w:val="right"/>
                    <w:jc w:val="center"/>
                  </w:pPr>
                  <w:r>
                    <w:t xml:space="preserve">.925</w:t>
                  </w:r>
                </w:p>
              </w:tc>
            </w:tr>
            <w:tr>
              <w:tc>
                <w:tcPr/>
                <w:p>
                  <w:pPr>
                    <w:pStyle w:val="Compact"/>
                    <w:jc w:val="left"/>
                    <w:jc w:val="center"/>
                  </w:pPr>
                  <w:r>
                    <w:t xml:space="preserve">Boundary, Easy × high</w:t>
                  </w:r>
                </w:p>
              </w:tc>
              <w:tc>
                <w:tcPr/>
                <w:p>
                  <w:pPr>
                    <w:pStyle w:val="Compact"/>
                    <w:jc w:val="right"/>
                    <w:jc w:val="center"/>
                  </w:pPr>
                  <w:r>
                    <w:t xml:space="preserve">−0.042 [−0.084, −0.001]</w:t>
                  </w:r>
                </w:p>
              </w:tc>
              <w:tc>
                <w:tcPr/>
                <w:p>
                  <w:pPr>
                    <w:pStyle w:val="Compact"/>
                    <w:jc w:val="right"/>
                    <w:jc w:val="center"/>
                  </w:pPr>
                  <w:r>
                    <w:t xml:space="preserve">.976</w:t>
                  </w:r>
                </w:p>
              </w:tc>
            </w:tr>
            <w:tr>
              <w:tc>
                <w:tcPr/>
                <w:p>
                  <w:pPr>
                    <w:pStyle w:val="Compact"/>
                    <w:jc w:val="left"/>
                    <w:jc w:val="center"/>
                  </w:pPr>
                  <w:r>
                    <w:t xml:space="preserve">Boundary, Hard − Easy</w:t>
                  </w:r>
                </w:p>
              </w:tc>
              <w:tc>
                <w:tcPr/>
                <w:p>
                  <w:pPr>
                    <w:pStyle w:val="Compact"/>
                    <w:jc w:val="right"/>
                    <w:jc w:val="center"/>
                  </w:pPr>
                  <w:r>
                    <w:t xml:space="preserve">0.014 [−0.018, 0.046]</w:t>
                  </w:r>
                </w:p>
              </w:tc>
              <w:tc>
                <w:tcPr/>
                <w:p>
                  <w:pPr>
                    <w:pStyle w:val="Compact"/>
                    <w:jc w:val="right"/>
                    <w:jc w:val="center"/>
                  </w:pPr>
                  <w:r>
                    <w:t xml:space="preserve">.192</w:t>
                  </w:r>
                </w:p>
              </w:tc>
            </w:tr>
          </w:tbl>
          <w:p>
            <w:pPr>
              <w:jc w:val="center"/>
            </w:pPr>
            <w:r>
              <w:rPr>
                <w:i/>
                <w:iCs/>
              </w:rPr>
              <w:t xml:space="preserve">Note.</w:t>
            </w:r>
            <w:r>
              <w:t xml:space="preserve"> </w:t>
            </w:r>
            <w:r>
              <w:t xml:space="preserve">Terms are deviations of the high-effort effect from its value on Standard trials. Hard − Easy is the difference between the two deviations. Estimates are on the link scale.</w:t>
            </w:r>
          </w:p>
          <w:bookmarkEnd w:id="1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supptbl-convergence"/>
          <w:p>
            <w:pPr>
              <w:jc w:val="center"/>
            </w:pPr>
            <w:pPr>
              <w:jc w:val="left"/>
              <w:spacing w:before="200"/>
              <w:pStyle w:val="ImageCaption"/>
            </w:pPr>
            <w:r>
              <w:t xml:space="preserve">Table S5: Convergence diagnostics for all reported models</w:t>
            </w:r>
          </w:p>
          <w:tbl>
            <w:tblPr>
              <w:tblStyle w:val="Table"/>
              <w:tblW w:type="pct" w:w="5000"/>
              <w:tblLayout w:type="fixed"/>
              <w:tblLook w:firstRow="1" w:lastRow="0" w:firstColumn="0" w:lastColumn="0" w:noHBand="0" w:noVBand="0" w:val="0020"/>
            </w:tblPr>
            <w:tblGrid>
              <w:gridCol w:w="2451"/>
              <w:gridCol w:w="2137"/>
              <w:gridCol w:w="628"/>
              <w:gridCol w:w="817"/>
              <w:gridCol w:w="817"/>
              <w:gridCol w:w="754"/>
              <w:gridCol w:w="314"/>
            </w:tblGrid>
            <w:tr>
              <w:trPr>
                <w:tblHeader w:val="on"/>
              </w:trPr>
              <w:tc>
                <w:tcPr/>
                <w:p>
                  <w:pPr>
                    <w:pStyle w:val="Compact"/>
                    <w:jc w:val="left"/>
                    <w:jc w:val="center"/>
                  </w:pPr>
                  <w:r>
                    <w:t xml:space="preserve">Model</w:t>
                  </w:r>
                </w:p>
              </w:tc>
              <w:tc>
                <w:tcPr/>
                <w:p>
                  <w:pPr>
                    <w:pStyle w:val="Compact"/>
                    <w:jc w:val="right"/>
                    <w:jc w:val="center"/>
                  </w:pPr>
                  <w:r>
                    <w:t xml:space="preserve">Role</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primary</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1,958</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M0</w:t>
                  </w:r>
                </w:p>
              </w:tc>
              <w:tc>
                <w:tcPr/>
                <w:p>
                  <w:pPr>
                    <w:pStyle w:val="Compact"/>
                    <w:jc w:val="right"/>
                    <w:jc w:val="center"/>
                  </w:pPr>
                  <w:r>
                    <w:t xml:space="preserve">comparison</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1,874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comparison</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3,049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comparison</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3,086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comparison</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2,022</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comparison</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1,364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robustness (random effort slopes)</w:t>
                  </w:r>
                </w:p>
              </w:tc>
              <w:tc>
                <w:tcPr/>
                <w:p>
                  <w:pPr>
                    <w:pStyle w:val="Compact"/>
                    <w:jc w:val="right"/>
                    <w:jc w:val="center"/>
                  </w:pPr>
                  <w:r>
                    <w:t xml:space="preserve">1.006</w:t>
                  </w:r>
                </w:p>
              </w:tc>
              <w:tc>
                <w:tcPr/>
                <w:p>
                  <w:pPr>
                    <w:pStyle w:val="Compact"/>
                    <w:jc w:val="right"/>
                    <w:jc w:val="center"/>
                  </w:pPr>
                  <w:r>
                    <w:t xml:space="preserve">1,074</w:t>
                  </w:r>
                </w:p>
              </w:tc>
              <w:tc>
                <w:tcPr/>
                <w:p>
                  <w:pPr>
                    <w:pStyle w:val="Compact"/>
                    <w:jc w:val="right"/>
                    <w:jc w:val="center"/>
                  </w:pPr>
                  <w:r>
                    <w:t xml:space="preserve">2,236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robustness (RT cutoff)</w:t>
                  </w:r>
                </w:p>
              </w:tc>
              <w:tc>
                <w:tcPr/>
                <w:p>
                  <w:pPr>
                    <w:pStyle w:val="Compact"/>
                    <w:jc w:val="right"/>
                    <w:jc w:val="center"/>
                  </w:pPr>
                  <w:r>
                    <w:t xml:space="preserve">1.009</w:t>
                  </w:r>
                </w:p>
              </w:tc>
              <w:tc>
                <w:tcPr/>
                <w:p>
                  <w:pPr>
                    <w:pStyle w:val="Compact"/>
                    <w:jc w:val="right"/>
                    <w:jc w:val="center"/>
                  </w:pPr>
                  <w:r>
                    <w:t xml:space="preserve">1,576</w:t>
                  </w:r>
                </w:p>
              </w:tc>
              <w:tc>
                <w:tcPr/>
                <w:p>
                  <w:pPr>
                    <w:pStyle w:val="Compact"/>
                    <w:jc w:val="right"/>
                    <w:jc w:val="center"/>
                  </w:pPr>
                  <w:r>
                    <w:t xml:space="preserve">3,017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robustness (RT cutoff)</w:t>
                  </w:r>
                </w:p>
              </w:tc>
              <w:tc>
                <w:tcPr/>
                <w:p>
                  <w:pPr>
                    <w:pStyle w:val="Compact"/>
                    <w:jc w:val="right"/>
                    <w:jc w:val="center"/>
                  </w:pPr>
                  <w:r>
                    <w:t xml:space="preserve">1.008</w:t>
                  </w:r>
                </w:p>
              </w:tc>
              <w:tc>
                <w:tcPr/>
                <w:p>
                  <w:pPr>
                    <w:pStyle w:val="Compact"/>
                    <w:jc w:val="right"/>
                    <w:jc w:val="center"/>
                  </w:pPr>
                  <w:r>
                    <w:t xml:space="preserve">893</w:t>
                  </w:r>
                </w:p>
              </w:tc>
              <w:tc>
                <w:tcPr/>
                <w:p>
                  <w:pPr>
                    <w:pStyle w:val="Compact"/>
                    <w:jc w:val="right"/>
                    <w:jc w:val="center"/>
                  </w:pPr>
                  <w:r>
                    <w:t xml:space="preserve">1,787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robustness (sub-chance excluded)</w:t>
                  </w:r>
                </w:p>
              </w:tc>
              <w:tc>
                <w:tcPr/>
                <w:p>
                  <w:pPr>
                    <w:pStyle w:val="Compact"/>
                    <w:jc w:val="right"/>
                    <w:jc w:val="center"/>
                  </w:pPr>
                  <w:r>
                    <w:t xml:space="preserve">1.008</w:t>
                  </w:r>
                </w:p>
              </w:tc>
              <w:tc>
                <w:tcPr/>
                <w:p>
                  <w:pPr>
                    <w:pStyle w:val="Compact"/>
                    <w:jc w:val="right"/>
                    <w:jc w:val="center"/>
                  </w:pPr>
                  <w:r>
                    <w:t xml:space="preserve">941</w:t>
                  </w:r>
                </w:p>
              </w:tc>
              <w:tc>
                <w:tcPr/>
                <w:p>
                  <w:pPr>
                    <w:pStyle w:val="Compact"/>
                    <w:jc w:val="right"/>
                    <w:jc w:val="center"/>
                  </w:pPr>
                  <w:r>
                    <w:t xml:space="preserve">1,844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P0</w:t>
                  </w:r>
                </w:p>
              </w:tc>
              <w:tc>
                <w:tcPr/>
                <w:p>
                  <w:pPr>
                    <w:pStyle w:val="Compact"/>
                    <w:jc w:val="right"/>
                    <w:jc w:val="center"/>
                  </w:pPr>
                  <w:r>
                    <w:t xml:space="preserve">pupil (baseline)</w:t>
                  </w:r>
                </w:p>
              </w:tc>
              <w:tc>
                <w:tcPr/>
                <w:p>
                  <w:pPr>
                    <w:pStyle w:val="Compact"/>
                    <w:jc w:val="right"/>
                    <w:jc w:val="center"/>
                  </w:pPr>
                  <w:r>
                    <w:t xml:space="preserve">1.006</w:t>
                  </w:r>
                </w:p>
              </w:tc>
              <w:tc>
                <w:tcPr/>
                <w:p>
                  <w:pPr>
                    <w:pStyle w:val="Compact"/>
                    <w:jc w:val="right"/>
                    <w:jc w:val="center"/>
                  </w:pPr>
                  <w:r>
                    <w:t xml:space="preserve">1,921</w:t>
                  </w:r>
                </w:p>
              </w:tc>
              <w:tc>
                <w:tcPr/>
                <w:p>
                  <w:pPr>
                    <w:pStyle w:val="Compact"/>
                    <w:jc w:val="right"/>
                    <w:jc w:val="center"/>
                  </w:pPr>
                  <w:r>
                    <w:t xml:space="preserve">3,873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P4–P5</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1,242</w:t>
                  </w:r>
                </w:p>
              </w:tc>
              <w:tc>
                <w:tcPr/>
                <w:p>
                  <w:pPr>
                    <w:pStyle w:val="Compact"/>
                    <w:jc w:val="right"/>
                    <w:jc w:val="center"/>
                  </w:pPr>
                  <w:r>
                    <w:t xml:space="preserve">2,480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P3 without slowest trials</w:t>
                  </w:r>
                </w:p>
              </w:tc>
              <w:tc>
                <w:tcPr/>
                <w:p>
                  <w:pPr>
                    <w:pStyle w:val="Compact"/>
                    <w:jc w:val="right"/>
                    <w:jc w:val="center"/>
                  </w:pPr>
                  <w:r>
                    <w:t xml:space="preserve">pupil-ordering baseline</w:t>
                  </w:r>
                </w:p>
              </w:tc>
              <w:tc>
                <w:tcPr/>
                <w:p>
                  <w:pPr>
                    <w:pStyle w:val="Compact"/>
                    <w:jc w:val="right"/>
                    <w:jc w:val="center"/>
                  </w:pPr>
                  <w:r>
                    <w:t xml:space="preserve">1.004</w:t>
                  </w:r>
                </w:p>
              </w:tc>
              <w:tc>
                <w:tcPr/>
                <w:p>
                  <w:pPr>
                    <w:pStyle w:val="Compact"/>
                    <w:jc w:val="right"/>
                    <w:jc w:val="center"/>
                  </w:pPr>
                  <w:r>
                    <w:t xml:space="preserve">1,579</w:t>
                  </w:r>
                </w:p>
              </w:tc>
              <w:tc>
                <w:tcPr/>
                <w:p>
                  <w:pPr>
                    <w:pStyle w:val="Compact"/>
                    <w:jc w:val="right"/>
                    <w:jc w:val="center"/>
                  </w:pPr>
                  <w:r>
                    <w:t xml:space="preserve">3,059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P6</w:t>
                  </w:r>
                </w:p>
              </w:tc>
              <w:tc>
                <w:tcPr/>
                <w:p>
                  <w:pPr>
                    <w:pStyle w:val="Compact"/>
                    <w:jc w:val="right"/>
                    <w:jc w:val="center"/>
                  </w:pPr>
                  <w:r>
                    <w:t xml:space="preserve">pupil-ordering baseline</w:t>
                  </w:r>
                </w:p>
              </w:tc>
              <w:tc>
                <w:tcPr/>
                <w:p>
                  <w:pPr>
                    <w:pStyle w:val="Compact"/>
                    <w:jc w:val="right"/>
                    <w:jc w:val="center"/>
                  </w:pPr>
                  <w:r>
                    <w:t xml:space="preserve">1.008</w:t>
                  </w:r>
                </w:p>
              </w:tc>
              <w:tc>
                <w:tcPr/>
                <w:p>
                  <w:pPr>
                    <w:pStyle w:val="Compact"/>
                    <w:jc w:val="right"/>
                    <w:jc w:val="center"/>
                  </w:pPr>
                  <w:r>
                    <w:t xml:space="preserve">1,211</w:t>
                  </w:r>
                </w:p>
              </w:tc>
              <w:tc>
                <w:tcPr/>
                <w:p>
                  <w:pPr>
                    <w:pStyle w:val="Compact"/>
                    <w:jc w:val="right"/>
                    <w:jc w:val="center"/>
                  </w:pPr>
                  <w:r>
                    <w:t xml:space="preserve">2,227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P7</w:t>
                  </w:r>
                </w:p>
              </w:tc>
              <w:tc>
                <w:tcPr/>
                <w:p>
                  <w:pPr>
                    <w:pStyle w:val="Compact"/>
                    <w:jc w:val="right"/>
                    <w:jc w:val="center"/>
                  </w:pPr>
                  <w:r>
                    <w:t xml:space="preserve">pupil-ordering baseline</w:t>
                  </w:r>
                </w:p>
              </w:tc>
              <w:tc>
                <w:tcPr/>
                <w:p>
                  <w:pPr>
                    <w:pStyle w:val="Compact"/>
                    <w:jc w:val="right"/>
                    <w:jc w:val="center"/>
                  </w:pPr>
                  <w:r>
                    <w:t xml:space="preserve">1.007</w:t>
                  </w:r>
                </w:p>
              </w:tc>
              <w:tc>
                <w:tcPr/>
                <w:p>
                  <w:pPr>
                    <w:pStyle w:val="Compact"/>
                    <w:jc w:val="right"/>
                    <w:jc w:val="center"/>
                  </w:pPr>
                  <w:r>
                    <w:t xml:space="preserve">954</w:t>
                  </w:r>
                </w:p>
              </w:tc>
              <w:tc>
                <w:tcPr/>
                <w:p>
                  <w:pPr>
                    <w:pStyle w:val="Compact"/>
                    <w:jc w:val="right"/>
                    <w:jc w:val="center"/>
                  </w:pPr>
                  <w:r>
                    <w:t xml:space="preserve">2,367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Baseline for P8</w:t>
                  </w:r>
                </w:p>
              </w:tc>
              <w:tc>
                <w:tcPr/>
                <w:p>
                  <w:pPr>
                    <w:pStyle w:val="Compact"/>
                    <w:jc w:val="right"/>
                    <w:jc w:val="center"/>
                  </w:pPr>
                  <w:r>
                    <w:t xml:space="preserve">pupil-ordering baseline</w:t>
                  </w:r>
                </w:p>
              </w:tc>
              <w:tc>
                <w:tcPr/>
                <w:p>
                  <w:pPr>
                    <w:pStyle w:val="Compact"/>
                    <w:jc w:val="right"/>
                    <w:jc w:val="center"/>
                  </w:pPr>
                  <w:r>
                    <w:t xml:space="preserve">1.005</w:t>
                  </w:r>
                </w:p>
              </w:tc>
              <w:tc>
                <w:tcPr/>
                <w:p>
                  <w:pPr>
                    <w:pStyle w:val="Compact"/>
                    <w:jc w:val="right"/>
                    <w:jc w:val="center"/>
                  </w:pPr>
                  <w:r>
                    <w:t xml:space="preserve">2,064</w:t>
                  </w:r>
                </w:p>
              </w:tc>
              <w:tc>
                <w:tcPr/>
                <w:p>
                  <w:pPr>
                    <w:pStyle w:val="Compact"/>
                    <w:jc w:val="right"/>
                    <w:jc w:val="center"/>
                  </w:pPr>
                  <w:r>
                    <w:t xml:space="preserve">4,686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P1</w:t>
                  </w:r>
                </w:p>
              </w:tc>
              <w:tc>
                <w:tcPr/>
                <w:p>
                  <w:pPr>
                    <w:pStyle w:val="Compact"/>
                    <w:jc w:val="right"/>
                    <w:jc w:val="center"/>
                  </w:pPr>
                  <w:r>
                    <w:t xml:space="preserve">pupil</w:t>
                  </w:r>
                </w:p>
              </w:tc>
              <w:tc>
                <w:tcPr/>
                <w:p>
                  <w:pPr>
                    <w:pStyle w:val="Compact"/>
                    <w:jc w:val="right"/>
                    <w:jc w:val="center"/>
                  </w:pPr>
                  <w:r>
                    <w:t xml:space="preserve">1.005</w:t>
                  </w:r>
                </w:p>
              </w:tc>
              <w:tc>
                <w:tcPr/>
                <w:p>
                  <w:pPr>
                    <w:pStyle w:val="Compact"/>
                    <w:jc w:val="right"/>
                    <w:jc w:val="center"/>
                  </w:pPr>
                  <w:r>
                    <w:t xml:space="preserve">1,307</w:t>
                  </w:r>
                </w:p>
              </w:tc>
              <w:tc>
                <w:tcPr/>
                <w:p>
                  <w:pPr>
                    <w:pStyle w:val="Compact"/>
                    <w:jc w:val="right"/>
                    <w:jc w:val="center"/>
                  </w:pPr>
                  <w:r>
                    <w:t xml:space="preserve">2,207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P2</w:t>
                  </w:r>
                </w:p>
              </w:tc>
              <w:tc>
                <w:tcPr/>
                <w:p>
                  <w:pPr>
                    <w:pStyle w:val="Compact"/>
                    <w:jc w:val="right"/>
                    <w:jc w:val="center"/>
                  </w:pPr>
                  <w:r>
                    <w:t xml:space="preserve">pupil</w:t>
                  </w:r>
                </w:p>
              </w:tc>
              <w:tc>
                <w:tcPr/>
                <w:p>
                  <w:pPr>
                    <w:pStyle w:val="Compact"/>
                    <w:jc w:val="right"/>
                    <w:jc w:val="center"/>
                  </w:pPr>
                  <w:r>
                    <w:t xml:space="preserve">1.007</w:t>
                  </w:r>
                </w:p>
              </w:tc>
              <w:tc>
                <w:tcPr/>
                <w:p>
                  <w:pPr>
                    <w:pStyle w:val="Compact"/>
                    <w:jc w:val="right"/>
                    <w:jc w:val="center"/>
                  </w:pPr>
                  <w:r>
                    <w:t xml:space="preserve">914</w:t>
                  </w:r>
                </w:p>
              </w:tc>
              <w:tc>
                <w:tcPr/>
                <w:p>
                  <w:pPr>
                    <w:pStyle w:val="Compact"/>
                    <w:jc w:val="right"/>
                    <w:jc w:val="center"/>
                  </w:pPr>
                  <w:r>
                    <w:t xml:space="preserve">2,101</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w:t>
                  </w:r>
                </w:p>
              </w:tc>
              <w:tc>
                <w:tcPr/>
                <w:p>
                  <w:pPr>
                    <w:pStyle w:val="Compact"/>
                    <w:jc w:val="right"/>
                    <w:jc w:val="center"/>
                  </w:pPr>
                  <w:r>
                    <w:t xml:space="preserve">pupil (main pupil result)</w:t>
                  </w:r>
                </w:p>
              </w:tc>
              <w:tc>
                <w:tcPr/>
                <w:p>
                  <w:pPr>
                    <w:pStyle w:val="Compact"/>
                    <w:jc w:val="right"/>
                    <w:jc w:val="center"/>
                  </w:pPr>
                  <w:r>
                    <w:t xml:space="preserve">1.005</w:t>
                  </w:r>
                </w:p>
              </w:tc>
              <w:tc>
                <w:tcPr/>
                <w:p>
                  <w:pPr>
                    <w:pStyle w:val="Compact"/>
                    <w:jc w:val="right"/>
                    <w:jc w:val="center"/>
                  </w:pPr>
                  <w:r>
                    <w:t xml:space="preserve">1,101</w:t>
                  </w:r>
                </w:p>
              </w:tc>
              <w:tc>
                <w:tcPr/>
                <w:p>
                  <w:pPr>
                    <w:pStyle w:val="Compact"/>
                    <w:jc w:val="right"/>
                    <w:jc w:val="center"/>
                  </w:pPr>
                  <w:r>
                    <w:t xml:space="preserve">2,126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P3 without slowest trials</w:t>
                  </w:r>
                </w:p>
              </w:tc>
              <w:tc>
                <w:tcPr/>
                <w:p>
                  <w:pPr>
                    <w:pStyle w:val="Compact"/>
                    <w:jc w:val="right"/>
                    <w:jc w:val="center"/>
                  </w:pPr>
                  <w:r>
                    <w:t xml:space="preserve">pupil-ordering</w:t>
                  </w:r>
                </w:p>
              </w:tc>
              <w:tc>
                <w:tcPr/>
                <w:p>
                  <w:pPr>
                    <w:pStyle w:val="Compact"/>
                    <w:jc w:val="right"/>
                    <w:jc w:val="center"/>
                  </w:pPr>
                  <w:r>
                    <w:t xml:space="preserve">1.005</w:t>
                  </w:r>
                </w:p>
              </w:tc>
              <w:tc>
                <w:tcPr/>
                <w:p>
                  <w:pPr>
                    <w:pStyle w:val="Compact"/>
                    <w:jc w:val="right"/>
                    <w:jc w:val="center"/>
                  </w:pPr>
                  <w:r>
                    <w:t xml:space="preserve">1,585</w:t>
                  </w:r>
                </w:p>
              </w:tc>
              <w:tc>
                <w:tcPr/>
                <w:p>
                  <w:pPr>
                    <w:pStyle w:val="Compact"/>
                    <w:jc w:val="right"/>
                    <w:jc w:val="center"/>
                  </w:pPr>
                  <w:r>
                    <w:t xml:space="preserve">2,740</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P4</w:t>
                  </w:r>
                </w:p>
              </w:tc>
              <w:tc>
                <w:tcPr/>
                <w:p>
                  <w:pPr>
                    <w:pStyle w:val="Compact"/>
                    <w:jc w:val="right"/>
                    <w:jc w:val="center"/>
                  </w:pPr>
                  <w:r>
                    <w:t xml:space="preserve">pupil</w:t>
                  </w:r>
                </w:p>
              </w:tc>
              <w:tc>
                <w:tcPr/>
                <w:p>
                  <w:pPr>
                    <w:pStyle w:val="Compact"/>
                    <w:jc w:val="right"/>
                    <w:jc w:val="center"/>
                  </w:pPr>
                  <w:r>
                    <w:t xml:space="preserve">1.006</w:t>
                  </w:r>
                </w:p>
              </w:tc>
              <w:tc>
                <w:tcPr/>
                <w:p>
                  <w:pPr>
                    <w:pStyle w:val="Compact"/>
                    <w:jc w:val="right"/>
                    <w:jc w:val="center"/>
                  </w:pPr>
                  <w:r>
                    <w:t xml:space="preserve">1,161</w:t>
                  </w:r>
                </w:p>
              </w:tc>
              <w:tc>
                <w:tcPr/>
                <w:p>
                  <w:pPr>
                    <w:pStyle w:val="Compact"/>
                    <w:jc w:val="right"/>
                    <w:jc w:val="center"/>
                  </w:pPr>
                  <w:r>
                    <w:t xml:space="preserve">2,446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P5</w:t>
                  </w:r>
                </w:p>
              </w:tc>
              <w:tc>
                <w:tcPr/>
                <w:p>
                  <w:pPr>
                    <w:pStyle w:val="Compact"/>
                    <w:jc w:val="right"/>
                    <w:jc w:val="center"/>
                  </w:pPr>
                  <w:r>
                    <w:t xml:space="preserve">pupil-ordering</w:t>
                  </w:r>
                </w:p>
              </w:tc>
              <w:tc>
                <w:tcPr/>
                <w:p>
                  <w:pPr>
                    <w:pStyle w:val="Compact"/>
                    <w:jc w:val="right"/>
                    <w:jc w:val="center"/>
                  </w:pPr>
                  <w:r>
                    <w:t xml:space="preserve">1.004</w:t>
                  </w:r>
                </w:p>
              </w:tc>
              <w:tc>
                <w:tcPr/>
                <w:p>
                  <w:pPr>
                    <w:pStyle w:val="Compact"/>
                    <w:jc w:val="right"/>
                    <w:jc w:val="center"/>
                  </w:pPr>
                  <w:r>
                    <w:t xml:space="preserve">1,207</w:t>
                  </w:r>
                </w:p>
              </w:tc>
              <w:tc>
                <w:tcPr/>
                <w:p>
                  <w:pPr>
                    <w:pStyle w:val="Compact"/>
                    <w:jc w:val="right"/>
                    <w:jc w:val="center"/>
                  </w:pPr>
                  <w:r>
                    <w:t xml:space="preserve">2,209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P6</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1,116</w:t>
                  </w:r>
                </w:p>
              </w:tc>
              <w:tc>
                <w:tcPr/>
                <w:p>
                  <w:pPr>
                    <w:pStyle w:val="Compact"/>
                    <w:jc w:val="right"/>
                    <w:jc w:val="center"/>
                  </w:pPr>
                  <w:r>
                    <w:t xml:space="preserve">2,146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P7</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1,176</w:t>
                  </w:r>
                </w:p>
              </w:tc>
              <w:tc>
                <w:tcPr/>
                <w:p>
                  <w:pPr>
                    <w:pStyle w:val="Compact"/>
                    <w:jc w:val="right"/>
                    <w:jc w:val="center"/>
                  </w:pPr>
                  <w:r>
                    <w:t xml:space="preserve">2,313</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P8</w:t>
                  </w:r>
                </w:p>
              </w:tc>
              <w:tc>
                <w:tcPr/>
                <w:p>
                  <w:pPr>
                    <w:pStyle w:val="Compact"/>
                    <w:jc w:val="right"/>
                    <w:jc w:val="center"/>
                  </w:pPr>
                  <w:r>
                    <w:t xml:space="preserve">pupil-ordering</w:t>
                  </w:r>
                </w:p>
              </w:tc>
              <w:tc>
                <w:tcPr/>
                <w:p>
                  <w:pPr>
                    <w:pStyle w:val="Compact"/>
                    <w:jc w:val="right"/>
                    <w:jc w:val="center"/>
                  </w:pPr>
                  <w:r>
                    <w:t xml:space="preserve">1.007</w:t>
                  </w:r>
                </w:p>
              </w:tc>
              <w:tc>
                <w:tcPr/>
                <w:p>
                  <w:pPr>
                    <w:pStyle w:val="Compact"/>
                    <w:jc w:val="right"/>
                    <w:jc w:val="center"/>
                  </w:pPr>
                  <w:r>
                    <w:t xml:space="preserve">1,008</w:t>
                  </w:r>
                </w:p>
              </w:tc>
              <w:tc>
                <w:tcPr/>
                <w:p>
                  <w:pPr>
                    <w:pStyle w:val="Compact"/>
                    <w:jc w:val="right"/>
                    <w:jc w:val="center"/>
                  </w:pPr>
                  <w:r>
                    <w:t xml:space="preserve">2,353</w:t>
                  </w:r>
                </w:p>
              </w:tc>
              <w:tc>
                <w:tcPr/>
                <w:p>
                  <w:pPr>
                    <w:pStyle w:val="Compact"/>
                    <w:jc w:val="right"/>
                    <w:jc w:val="center"/>
                  </w:pPr>
                  <w:r>
                    <w:t xml:space="preserve">0</w:t>
                  </w:r>
                </w:p>
              </w:tc>
              <w:tc>
                <w:tcPr/>
                <w:p>
                  <w:pPr>
                    <w:pStyle w:val="Compact"/>
                    <w:jc w:val="right"/>
                    <w:jc w:val="center"/>
                  </w:pPr>
                  <w:r>
                    <w:t xml:space="preserve">Yes</w:t>
                  </w:r>
                </w:p>
              </w:tc>
            </w:tr>
          </w:tbl>
          <w:p>
            <w:pPr>
              <w:jc w:val="center"/>
            </w:pPr>
            <w:r>
              <w:rPr>
                <w:i/>
                <w:iCs/>
              </w:rPr>
              <w:t xml:space="preserve">Note.</w:t>
            </w:r>
            <w:r>
              <w:t xml:space="preserve"> </w:t>
            </w:r>
            <w:r>
              <w:t xml:space="preserve">A model passes when max R-hat &lt; 1.01, bulk ESS and tail ESS are at least 400, and there are 0 divergences. Every displayed model passes.</w:t>
            </w:r>
          </w:p>
          <w:bookmarkEnd w:id="1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6" w:name="supptbl-fixef-m4"/>
          <w:p>
            <w:pPr>
              <w:jc w:val="center"/>
            </w:pPr>
            <w:pPr>
              <w:jc w:val="left"/>
              <w:spacing w:before="200"/>
              <w:pStyle w:val="ImageCaption"/>
            </w:pPr>
            <w:r>
              <w:t xml:space="preserve">Table S6: Population-level estimates of the primary model (M4)</w:t>
            </w:r>
          </w:p>
          <w:tbl>
            <w:tblPr>
              <w:tblStyle w:val="Table"/>
              <w:tblW w:type="pct" w:w="5000"/>
              <w:tblLayout w:type="fixed"/>
              <w:tblLook w:firstRow="1" w:lastRow="0" w:firstColumn="0" w:lastColumn="0" w:noHBand="0" w:noVBand="0" w:val="0020"/>
            </w:tblPr>
            <w:tblGrid>
              <w:gridCol w:w="3251"/>
              <w:gridCol w:w="750"/>
              <w:gridCol w:w="1417"/>
              <w:gridCol w:w="1333"/>
              <w:gridCol w:w="666"/>
              <w:gridCol w:w="500"/>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R-hat</w:t>
                  </w:r>
                </w:p>
              </w:tc>
            </w:tr>
            <w:tr>
              <w:tc>
                <w:tcPr/>
                <w:p>
                  <w:pPr>
                    <w:pStyle w:val="Compact"/>
                    <w:jc w:val="left"/>
                    <w:jc w:val="center"/>
                  </w:pPr>
                  <w:r>
                    <w:t xml:space="preserve">Drift intercept (identity)</w:t>
                  </w:r>
                </w:p>
              </w:tc>
              <w:tc>
                <w:tcPr/>
                <w:p>
                  <w:pPr>
                    <w:pStyle w:val="Compact"/>
                    <w:jc w:val="right"/>
                    <w:jc w:val="center"/>
                  </w:pPr>
                  <w:r>
                    <w:t xml:space="preserve">−1.043</w:t>
                  </w:r>
                </w:p>
              </w:tc>
              <w:tc>
                <w:tcPr/>
                <w:p>
                  <w:pPr>
                    <w:pStyle w:val="Compact"/>
                    <w:jc w:val="right"/>
                    <w:jc w:val="center"/>
                  </w:pPr>
                  <w:r>
                    <w:t xml:space="preserve">[−1.156, −0.933]</w:t>
                  </w:r>
                </w:p>
              </w:tc>
              <w:tc>
                <w:tcPr/>
                <w:p>
                  <w:pPr>
                    <w:pStyle w:val="Compact"/>
                  </w:pPr>
                </w:p>
              </w:tc>
              <w:tc>
                <w:tcPr/>
                <w:p>
                  <w:pPr>
                    <w:pStyle w:val="Compact"/>
                  </w:pPr>
                </w:p>
              </w:tc>
              <w:tc>
                <w:tcPr/>
                <w:p>
                  <w:pPr>
                    <w:pStyle w:val="Compact"/>
                    <w:jc w:val="right"/>
                    <w:jc w:val="center"/>
                  </w:pPr>
                  <w:r>
                    <w:t xml:space="preserve">1.003</w:t>
                  </w:r>
                </w:p>
              </w:tc>
            </w:tr>
            <w:tr>
              <w:tc>
                <w:tcPr/>
                <w:p>
                  <w:pPr>
                    <w:pStyle w:val="Compact"/>
                    <w:jc w:val="left"/>
                    <w:jc w:val="center"/>
                  </w:pPr>
                  <w:r>
                    <w:t xml:space="preserve">Boundary separation intercept (log)</w:t>
                  </w:r>
                </w:p>
              </w:tc>
              <w:tc>
                <w:tcPr/>
                <w:p>
                  <w:pPr>
                    <w:pStyle w:val="Compact"/>
                    <w:jc w:val="right"/>
                    <w:jc w:val="center"/>
                  </w:pPr>
                  <w:r>
                    <w:t xml:space="preserve">0.844</w:t>
                  </w:r>
                </w:p>
              </w:tc>
              <w:tc>
                <w:tcPr/>
                <w:p>
                  <w:pPr>
                    <w:pStyle w:val="Compact"/>
                    <w:jc w:val="right"/>
                    <w:jc w:val="center"/>
                  </w:pPr>
                  <w:r>
                    <w:t xml:space="preserve">[0.793, 0.895]</w:t>
                  </w:r>
                </w:p>
              </w:tc>
              <w:tc>
                <w:tcPr/>
                <w:p>
                  <w:pPr>
                    <w:pStyle w:val="Compact"/>
                  </w:pPr>
                </w:p>
              </w:tc>
              <w:tc>
                <w:tcPr/>
                <w:p>
                  <w:pPr>
                    <w:pStyle w:val="Compact"/>
                  </w:pPr>
                </w:p>
              </w:tc>
              <w:tc>
                <w:tcPr/>
                <w:p>
                  <w:pPr>
                    <w:pStyle w:val="Compact"/>
                    <w:jc w:val="right"/>
                    <w:jc w:val="center"/>
                  </w:pPr>
                  <w:r>
                    <w:t xml:space="preserve">1.008</w:t>
                  </w:r>
                </w:p>
              </w:tc>
            </w:tr>
            <w:tr>
              <w:tc>
                <w:tcPr/>
                <w:p>
                  <w:pPr>
                    <w:pStyle w:val="Compact"/>
                    <w:jc w:val="left"/>
                    <w:jc w:val="center"/>
                  </w:pPr>
                  <w:r>
                    <w:t xml:space="preserve">Non-decision time intercept (log)</w:t>
                  </w:r>
                </w:p>
              </w:tc>
              <w:tc>
                <w:tcPr/>
                <w:p>
                  <w:pPr>
                    <w:pStyle w:val="Compact"/>
                    <w:jc w:val="right"/>
                    <w:jc w:val="center"/>
                  </w:pPr>
                  <w:r>
                    <w:t xml:space="preserve">−0.641</w:t>
                  </w:r>
                </w:p>
              </w:tc>
              <w:tc>
                <w:tcPr/>
                <w:p>
                  <w:pPr>
                    <w:pStyle w:val="Compact"/>
                    <w:jc w:val="right"/>
                    <w:jc w:val="center"/>
                  </w:pPr>
                  <w:r>
                    <w:t xml:space="preserve">[−0.645, −0.637]</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Starting point intercept (logit)</w:t>
                  </w:r>
                </w:p>
              </w:tc>
              <w:tc>
                <w:tcPr/>
                <w:p>
                  <w:pPr>
                    <w:pStyle w:val="Compact"/>
                    <w:jc w:val="right"/>
                    <w:jc w:val="center"/>
                  </w:pPr>
                  <w:r>
                    <w:t xml:space="preserve">0.208</w:t>
                  </w:r>
                </w:p>
              </w:tc>
              <w:tc>
                <w:tcPr/>
                <w:p>
                  <w:pPr>
                    <w:pStyle w:val="Compact"/>
                    <w:jc w:val="right"/>
                    <w:jc w:val="center"/>
                  </w:pPr>
                  <w:r>
                    <w:t xml:space="preserve">[0.143, 0.273]</w:t>
                  </w:r>
                </w:p>
              </w:tc>
              <w:tc>
                <w:tcPr/>
                <w:p>
                  <w:pPr>
                    <w:pStyle w:val="Compact"/>
                  </w:pPr>
                </w:p>
              </w:tc>
              <w:tc>
                <w:tcPr/>
                <w:p>
                  <w:pPr>
                    <w:pStyle w:val="Compact"/>
                  </w:pPr>
                </w:p>
              </w:tc>
              <w:tc>
                <w:tcPr/>
                <w:p>
                  <w:pPr>
                    <w:pStyle w:val="Compact"/>
                    <w:jc w:val="right"/>
                    <w:jc w:val="center"/>
                  </w:pPr>
                  <w:r>
                    <w:t xml:space="preserve">1.002</w:t>
                  </w:r>
                </w:p>
              </w:tc>
            </w:tr>
            <w:tr>
              <w:tc>
                <w:tcPr/>
                <w:p>
                  <w:pPr>
                    <w:pStyle w:val="Compact"/>
                    <w:jc w:val="left"/>
                    <w:jc w:val="center"/>
                  </w:pPr>
                  <w:r>
                    <w:t xml:space="preserve">Hard (drift, identity)</w:t>
                  </w:r>
                </w:p>
              </w:tc>
              <w:tc>
                <w:tcPr/>
                <w:p>
                  <w:pPr>
                    <w:pStyle w:val="Compact"/>
                    <w:jc w:val="right"/>
                    <w:jc w:val="center"/>
                  </w:pPr>
                  <w:r>
                    <w:t xml:space="preserve">0.468</w:t>
                  </w:r>
                </w:p>
              </w:tc>
              <w:tc>
                <w:tcPr/>
                <w:p>
                  <w:pPr>
                    <w:pStyle w:val="Compact"/>
                    <w:jc w:val="right"/>
                    <w:jc w:val="center"/>
                  </w:pPr>
                  <w:r>
                    <w:t xml:space="preserve">[0.396, 0.543]</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(drift, identity)</w:t>
                  </w:r>
                </w:p>
              </w:tc>
              <w:tc>
                <w:tcPr/>
                <w:p>
                  <w:pPr>
                    <w:pStyle w:val="Compact"/>
                    <w:jc w:val="right"/>
                    <w:jc w:val="center"/>
                  </w:pPr>
                  <w:r>
                    <w:t xml:space="preserve">1.828</w:t>
                  </w:r>
                </w:p>
              </w:tc>
              <w:tc>
                <w:tcPr/>
                <w:p>
                  <w:pPr>
                    <w:pStyle w:val="Compact"/>
                    <w:jc w:val="right"/>
                    <w:jc w:val="center"/>
                  </w:pPr>
                  <w:r>
                    <w:t xml:space="preserve">[1.750, 1.906]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(drift, identity)</w:t>
                  </w:r>
                </w:p>
              </w:tc>
              <w:tc>
                <w:tcPr/>
                <w:p>
                  <w:pPr>
                    <w:pStyle w:val="Compact"/>
                    <w:jc w:val="right"/>
                    <w:jc w:val="center"/>
                  </w:pPr>
                  <w:r>
                    <w:t xml:space="preserve">−0.292</w:t>
                  </w:r>
                </w:p>
              </w:tc>
              <w:tc>
                <w:tcPr/>
                <w:p>
                  <w:pPr>
                    <w:pStyle w:val="Compact"/>
                    <w:jc w:val="right"/>
                    <w:jc w:val="center"/>
                  </w:pPr>
                  <w:r>
                    <w:t xml:space="preserve">[−0.370, −0.214]</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Drift criterion (identity)</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jc w:val="right"/>
                    <w:jc w:val="center"/>
                  </w:pPr>
                  <w:r>
                    <w:t xml:space="preserve">1.000</w:t>
                  </w:r>
                </w:p>
              </w:tc>
            </w:tr>
            <w:tr>
              <w:tc>
                <w:tcPr/>
                <w:p>
                  <w:pPr>
                    <w:pStyle w:val="Compact"/>
                    <w:jc w:val="left"/>
                    <w:jc w:val="center"/>
                  </w:pPr>
                  <w:r>
                    <w:t xml:space="preserve">Evidence quality (identity)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jc w:val="right"/>
                    <w:jc w:val="center"/>
                  </w:pPr>
                  <w:r>
                    <w:t xml:space="preserve">1.001</w:t>
                  </w:r>
                </w:p>
              </w:tc>
            </w:tr>
            <w:tr>
              <w:tc>
                <w:tcPr/>
                <w:p>
                  <w:pPr>
                    <w:pStyle w:val="Compact"/>
                    <w:jc w:val="left"/>
                    <w:jc w:val="center"/>
                  </w:pPr>
                  <w:r>
                    <w:t xml:space="preserve">Hard × visual (drift, identity)</w:t>
                  </w:r>
                </w:p>
              </w:tc>
              <w:tc>
                <w:tcPr/>
                <w:p>
                  <w:pPr>
                    <w:pStyle w:val="Compact"/>
                    <w:jc w:val="right"/>
                    <w:jc w:val="center"/>
                  </w:pPr>
                  <w:r>
                    <w:t xml:space="preserve">0.341</w:t>
                  </w:r>
                </w:p>
              </w:tc>
              <w:tc>
                <w:tcPr/>
                <w:p>
                  <w:pPr>
                    <w:pStyle w:val="Compact"/>
                    <w:jc w:val="right"/>
                    <w:jc w:val="center"/>
                  </w:pPr>
                  <w:r>
                    <w:t xml:space="preserve">[0.257, 0.426]</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Easy × visual (drift, identity)</w:t>
                  </w:r>
                </w:p>
              </w:tc>
              <w:tc>
                <w:tcPr/>
                <w:p>
                  <w:pPr>
                    <w:pStyle w:val="Compact"/>
                    <w:jc w:val="right"/>
                    <w:jc w:val="center"/>
                  </w:pPr>
                  <w:r>
                    <w:t xml:space="preserve">0.771</w:t>
                  </w:r>
                </w:p>
              </w:tc>
              <w:tc>
                <w:tcPr/>
                <w:p>
                  <w:pPr>
                    <w:pStyle w:val="Compact"/>
                    <w:jc w:val="right"/>
                    <w:jc w:val="center"/>
                  </w:pPr>
                  <w:r>
                    <w:t xml:space="preserve">[0.676, 0.866]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Hard (boundary separation, log)</w:t>
                  </w:r>
                </w:p>
              </w:tc>
              <w:tc>
                <w:tcPr/>
                <w:p>
                  <w:pPr>
                    <w:pStyle w:val="Compact"/>
                    <w:jc w:val="right"/>
                    <w:jc w:val="center"/>
                  </w:pPr>
                  <w:r>
                    <w:t xml:space="preserve">−0.098</w:t>
                  </w:r>
                </w:p>
              </w:tc>
              <w:tc>
                <w:tcPr/>
                <w:p>
                  <w:pPr>
                    <w:pStyle w:val="Compact"/>
                    <w:jc w:val="right"/>
                    <w:jc w:val="center"/>
                  </w:pPr>
                  <w:r>
                    <w:t xml:space="preserve">[−0.118, −0.078]</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(boundary separation, log)</w:t>
                  </w:r>
                </w:p>
              </w:tc>
              <w:tc>
                <w:tcPr/>
                <w:p>
                  <w:pPr>
                    <w:pStyle w:val="Compact"/>
                    <w:jc w:val="right"/>
                    <w:jc w:val="center"/>
                  </w:pPr>
                  <w:r>
                    <w:t xml:space="preserve">−0.128</w:t>
                  </w:r>
                </w:p>
              </w:tc>
              <w:tc>
                <w:tcPr/>
                <w:p>
                  <w:pPr>
                    <w:pStyle w:val="Compact"/>
                    <w:jc w:val="right"/>
                    <w:jc w:val="center"/>
                  </w:pPr>
                  <w:r>
                    <w:t xml:space="preserve">[−0.150, −0.106]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(boundary separation, log)</w:t>
                  </w:r>
                </w:p>
              </w:tc>
              <w:tc>
                <w:tcPr/>
                <w:p>
                  <w:pPr>
                    <w:pStyle w:val="Compact"/>
                    <w:jc w:val="right"/>
                    <w:jc w:val="center"/>
                  </w:pPr>
                  <w:r>
                    <w:t xml:space="preserve">−0.003</w:t>
                  </w:r>
                </w:p>
              </w:tc>
              <w:tc>
                <w:tcPr/>
                <w:p>
                  <w:pPr>
                    <w:pStyle w:val="Compact"/>
                    <w:jc w:val="right"/>
                    <w:jc w:val="center"/>
                  </w:pPr>
                  <w:r>
                    <w:t xml:space="preserve">[−0.018, 0.011]</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High effort (boundary separation, log)</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1.000</w:t>
                  </w:r>
                </w:p>
              </w:tc>
            </w:tr>
            <w:tr>
              <w:tc>
                <w:tcPr/>
                <w:p>
                  <w:pPr>
                    <w:pStyle w:val="Compact"/>
                    <w:jc w:val="left"/>
                    <w:jc w:val="center"/>
                  </w:pPr>
                  <w:r>
                    <w:t xml:space="preserve">Visual task (starting point, logit)</w:t>
                  </w:r>
                </w:p>
              </w:tc>
              <w:tc>
                <w:tcPr/>
                <w:p>
                  <w:pPr>
                    <w:pStyle w:val="Compact"/>
                    <w:jc w:val="right"/>
                    <w:jc w:val="center"/>
                  </w:pPr>
                  <w:r>
                    <w:t xml:space="preserve">−0.054</w:t>
                  </w:r>
                </w:p>
              </w:tc>
              <w:tc>
                <w:tcPr/>
                <w:p>
                  <w:pPr>
                    <w:pStyle w:val="Compact"/>
                    <w:jc w:val="right"/>
                    <w:jc w:val="center"/>
                  </w:pPr>
                  <w:r>
                    <w:t xml:space="preserve">[−0.099, −0.010]</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High effort (starting point, logit)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jc w:val="right"/>
                    <w:jc w:val="center"/>
                  </w:pPr>
                  <w:r>
                    <w:t xml:space="preserve">1.000</w:t>
                  </w:r>
                </w:p>
              </w:tc>
            </w:tr>
          </w:tbl>
          <w:bookmarkEnd w:id="1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7" w:name="supptbl-condition-cells"/>
          <w:p>
            <w:pPr>
              <w:jc w:val="center"/>
            </w:pPr>
            <w:pPr>
              <w:jc w:val="left"/>
              <w:spacing w:before="200"/>
              <w:pStyle w:val="ImageCaption"/>
            </w:pPr>
            <w:r>
              <w:t xml:space="preserve">Table S7: Posterior drift rate and boundary separation by task, stimulus type and effort (M4)</w:t>
            </w:r>
          </w:p>
          <w:tbl>
            <w:tblPr>
              <w:tblStyle w:val="Table"/>
              <w:tblW w:type="pct" w:w="5000"/>
              <w:tblLayout w:type="fixed"/>
              <w:tblLook w:firstRow="1" w:lastRow="0" w:firstColumn="0" w:lastColumn="0" w:noHBand="0" w:noVBand="0" w:val="0020"/>
            </w:tblPr>
            <w:tblGrid>
              <w:gridCol w:w="373"/>
              <w:gridCol w:w="821"/>
              <w:gridCol w:w="1793"/>
              <w:gridCol w:w="1793"/>
              <w:gridCol w:w="1569"/>
              <w:gridCol w:w="1569"/>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Drift, low</w:t>
                  </w:r>
                </w:p>
              </w:tc>
              <w:tc>
                <w:tcPr/>
                <w:p>
                  <w:pPr>
                    <w:pStyle w:val="Compact"/>
                    <w:jc w:val="right"/>
                    <w:jc w:val="center"/>
                  </w:pPr>
                  <w:r>
                    <w:t xml:space="preserve">Drift, high</w:t>
                  </w:r>
                </w:p>
              </w:tc>
              <w:tc>
                <w:tcPr/>
                <w:p>
                  <w:pPr>
                    <w:pStyle w:val="Compact"/>
                    <w:jc w:val="right"/>
                    <w:jc w:val="center"/>
                  </w:pPr>
                  <w:r>
                    <w:t xml:space="preserve">Boundary, low</w:t>
                  </w:r>
                </w:p>
              </w:tc>
              <w:tc>
                <w:tcPr/>
                <w:p>
                  <w:pPr>
                    <w:pStyle w:val="Compact"/>
                    <w:jc w:val="right"/>
                    <w:jc w:val="center"/>
                  </w:pPr>
                  <w:r>
                    <w:t xml:space="preserve">Boundary, high</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−1.043 [−1.156, −0.933]</w:t>
                  </w:r>
                </w:p>
              </w:tc>
              <w:tc>
                <w:tcPr/>
                <w:p>
                  <w:pPr>
                    <w:pStyle w:val="Compact"/>
                    <w:jc w:val="right"/>
                    <w:jc w:val="center"/>
                  </w:pPr>
                  <w:r>
                    <w:t xml:space="preserve">−1.084 [−1.197, −0.976]</w:t>
                  </w:r>
                </w:p>
              </w:tc>
              <w:tc>
                <w:tcPr/>
                <w:p>
                  <w:pPr>
                    <w:pStyle w:val="Compact"/>
                    <w:jc w:val="right"/>
                    <w:jc w:val="center"/>
                  </w:pPr>
                  <w:r>
                    <w:t xml:space="preserve">2.326 [2.210, 2.448]</w:t>
                  </w:r>
                </w:p>
              </w:tc>
              <w:tc>
                <w:tcPr/>
                <w:p>
                  <w:pPr>
                    <w:pStyle w:val="Compact"/>
                    <w:jc w:val="right"/>
                    <w:jc w:val="center"/>
                  </w:pPr>
                  <w:r>
                    <w:t xml:space="preserve">2.373 [2.254, 2.497]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0.786 [0.682, 0.886]</w:t>
                  </w:r>
                </w:p>
              </w:tc>
              <w:tc>
                <w:tcPr/>
                <w:p>
                  <w:pPr>
                    <w:pStyle w:val="Compact"/>
                    <w:jc w:val="right"/>
                    <w:jc w:val="center"/>
                  </w:pPr>
                  <w:r>
                    <w:t xml:space="preserve">0.720 [0.616, 0.817]</w:t>
                  </w:r>
                </w:p>
              </w:tc>
              <w:tc>
                <w:tcPr/>
                <w:p>
                  <w:pPr>
                    <w:pStyle w:val="Compact"/>
                    <w:jc w:val="right"/>
                    <w:jc w:val="center"/>
                  </w:pPr>
                  <w:r>
                    <w:t xml:space="preserve">2.046 [1.946, 2.150]</w:t>
                  </w:r>
                </w:p>
              </w:tc>
              <w:tc>
                <w:tcPr/>
                <w:p>
                  <w:pPr>
                    <w:pStyle w:val="Compact"/>
                    <w:jc w:val="right"/>
                    <w:jc w:val="center"/>
                  </w:pPr>
                  <w:r>
                    <w:t xml:space="preserve">2.087 [1.985, 2.192]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−0.575 [−0.675, −0.476]</w:t>
                  </w:r>
                </w:p>
              </w:tc>
              <w:tc>
                <w:tcPr/>
                <w:p>
                  <w:pPr>
                    <w:pStyle w:val="Compact"/>
                    <w:jc w:val="right"/>
                    <w:jc w:val="center"/>
                  </w:pPr>
                  <w:r>
                    <w:t xml:space="preserve">−0.640 [−0.741, −0.542]</w:t>
                  </w:r>
                </w:p>
              </w:tc>
              <w:tc>
                <w:tcPr/>
                <w:p>
                  <w:pPr>
                    <w:pStyle w:val="Compact"/>
                    <w:jc w:val="right"/>
                    <w:jc w:val="center"/>
                  </w:pPr>
                  <w:r>
                    <w:t xml:space="preserve">2.110 [2.007, 2.216]</w:t>
                  </w:r>
                </w:p>
              </w:tc>
              <w:tc>
                <w:tcPr/>
                <w:p>
                  <w:pPr>
                    <w:pStyle w:val="Compact"/>
                    <w:jc w:val="right"/>
                    <w:jc w:val="center"/>
                  </w:pPr>
                  <w:r>
                    <w:t xml:space="preserve">2.152 [2.047, 2.258]</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−1.336 [−1.452, −1.221]</w:t>
                  </w:r>
                </w:p>
              </w:tc>
              <w:tc>
                <w:tcPr/>
                <w:p>
                  <w:pPr>
                    <w:pStyle w:val="Compact"/>
                    <w:jc w:val="right"/>
                    <w:jc w:val="center"/>
                  </w:pPr>
                  <w:r>
                    <w:t xml:space="preserve">−1.376 [−1.491, −1.265]</w:t>
                  </w:r>
                </w:p>
              </w:tc>
              <w:tc>
                <w:tcPr/>
                <w:p>
                  <w:pPr>
                    <w:pStyle w:val="Compact"/>
                    <w:jc w:val="right"/>
                    <w:jc w:val="center"/>
                  </w:pPr>
                  <w:r>
                    <w:t xml:space="preserve">2.318 [2.202, 2.438]</w:t>
                  </w:r>
                </w:p>
              </w:tc>
              <w:tc>
                <w:tcPr/>
                <w:p>
                  <w:pPr>
                    <w:pStyle w:val="Compact"/>
                    <w:jc w:val="right"/>
                    <w:jc w:val="center"/>
                  </w:pPr>
                  <w:r>
                    <w:t xml:space="preserve">2.365 [2.246, 2.489]</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1.263 [1.160, 1.368]</w:t>
                  </w:r>
                </w:p>
              </w:tc>
              <w:tc>
                <w:tcPr/>
                <w:p>
                  <w:pPr>
                    <w:pStyle w:val="Compact"/>
                    <w:jc w:val="right"/>
                    <w:jc w:val="center"/>
                  </w:pPr>
                  <w:r>
                    <w:t xml:space="preserve">1.197 [1.094, 1.301]</w:t>
                  </w:r>
                </w:p>
              </w:tc>
              <w:tc>
                <w:tcPr/>
                <w:p>
                  <w:pPr>
                    <w:pStyle w:val="Compact"/>
                    <w:jc w:val="right"/>
                    <w:jc w:val="center"/>
                  </w:pPr>
                  <w:r>
                    <w:t xml:space="preserve">2.040 [1.939, 2.143]</w:t>
                  </w:r>
                </w:p>
              </w:tc>
              <w:tc>
                <w:tcPr/>
                <w:p>
                  <w:pPr>
                    <w:pStyle w:val="Compact"/>
                    <w:jc w:val="right"/>
                    <w:jc w:val="center"/>
                  </w:pPr>
                  <w:r>
                    <w:t xml:space="preserve">2.080 [1.978, 2.185]</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−0.525 [−0.627, −0.425]</w:t>
                  </w:r>
                </w:p>
              </w:tc>
              <w:tc>
                <w:tcPr/>
                <w:p>
                  <w:pPr>
                    <w:pStyle w:val="Compact"/>
                    <w:jc w:val="right"/>
                    <w:jc w:val="center"/>
                  </w:pPr>
                  <w:r>
                    <w:t xml:space="preserve">−0.590 [−0.693, −0.492]</w:t>
                  </w:r>
                </w:p>
              </w:tc>
              <w:tc>
                <w:tcPr/>
                <w:p>
                  <w:pPr>
                    <w:pStyle w:val="Compact"/>
                    <w:jc w:val="right"/>
                    <w:jc w:val="center"/>
                  </w:pPr>
                  <w:r>
                    <w:t xml:space="preserve">2.103 [2.001, 2.208]</w:t>
                  </w:r>
                </w:p>
              </w:tc>
              <w:tc>
                <w:tcPr/>
                <w:p>
                  <w:pPr>
                    <w:pStyle w:val="Compact"/>
                    <w:jc w:val="right"/>
                    <w:jc w:val="center"/>
                  </w:pPr>
                  <w:r>
                    <w:t xml:space="preserve">2.144 [2.040, 2.251]</w:t>
                  </w:r>
                </w:p>
              </w:tc>
            </w:tr>
          </w:tbl>
          <w:p>
            <w:pPr>
              <w:jc w:val="center"/>
            </w:pPr>
            <w:r>
              <w:rPr>
                <w:i/>
                <w:iCs/>
              </w:rPr>
              <w:t xml:space="preserve">Note.</w:t>
            </w:r>
            <w:r>
              <w:t xml:space="preserve"> </w:t>
            </w:r>
            <w:r>
              <w:t xml:space="preserve">Starting point varies by task and effort only: ADT low 0.552 [0.536, 0.568]; ADT high 0.551 [0.535, 0.566]; VDT low 0.538 [0.522, 0.555]; VDT high 0.537 [0.521, 0.553]. Non-decision time is 0.527 [0.525, 0.529] in every cell. These note values are the condition-cell summaries, not the link-scale coefficients.</w:t>
            </w:r>
          </w:p>
          <w:bookmarkEnd w:id="137"/>
        </w:tc>
      </w:tr>
    </w:tbl>
    <w:p>
      <w:pPr>
        <w:pStyle w:val="BodyText"/>
      </w:pPr>
      <w:r>
        <w:t xml:space="preserve">M4 reproduced choice proportions closely (Table S8; Figure S2A). RT quantiles fit less well: observed RTs for minority responses were slower than predicted (Figure S2B), the pattern expected when across-trial variability in drift is not modeled.</w:t>
      </w:r>
    </w:p>
    <w:tbl>
      <w:tblPr>
        <w:tblStyle w:val="Table"/>
        <w:tblW w:type="pct" w:w="5000"/>
        <w:tblLayout w:type="fixed"/>
        <w:tblLook w:firstRow="0" w:lastRow="0" w:firstColumn="0" w:lastColumn="0" w:noHBand="0" w:noVBand="0" w:val="0000"/>
      </w:tblPr>
      <w:tblGrid>
        <w:gridCol w:w="7920"/>
      </w:tblGrid>
      <w:tr>
        <w:tc>
          <w:tcPr/>
          <w:bookmarkStart w:id="141" w:name="suppfig-ppc"/>
          <w:p>
            <w:pPr>
              <w:jc w:val="center"/>
            </w:pPr>
            <w:r>
              <w:drawing>
                <wp:inline>
                  <wp:extent cx="5334000" cy="4461163"/>
                  <wp:effectExtent b="0" l="0" r="0" t="0"/>
                  <wp:docPr descr="" title="" id="139" name="Picture"/>
                  <a:graphic>
                    <a:graphicData uri="http://schemas.openxmlformats.org/drawingml/2006/picture">
                      <pic:pic>
                        <pic:nvPicPr>
                          <pic:cNvPr descr="../output/ddm_refits/runs/final_20261016/figures/final/S_ppc_M4.png" id="140" name="Picture"/>
                          <pic:cNvPicPr>
                            <a:picLocks noChangeArrowheads="1" noChangeAspect="1"/>
                          </pic:cNvPicPr>
                        </pic:nvPicPr>
                        <pic:blipFill>
                          <a:blip r:embed="rId138"/>
                          <a:stretch>
                            <a:fillRect/>
                          </a:stretch>
                        </pic:blipFill>
                        <pic:spPr bwMode="auto">
                          <a:xfrm>
                            <a:off x="0" y="0"/>
                            <a:ext cx="5334000" cy="446116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Posterior predictive checks for M4. (A) Observed versus predicted proportion of</w:t>
            </w:r>
            <w:r>
              <w:t xml:space="preserve"> </w:t>
            </w:r>
            <w:r>
              <w:t xml:space="preserve">“different”</w:t>
            </w:r>
            <w:r>
              <w:t xml:space="preserve"> </w:t>
            </w:r>
            <w:r>
              <w:t xml:space="preserve">responses in each task × stimulus × effort cell; the dashed line is identity. (B) Observed (solid) and predicted (dashed) RT quantiles by response, stimulus type, task and effort.</w:t>
            </w:r>
          </w:p>
          <w:bookmarkEnd w:id="1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supptbl-ppc-choice"/>
          <w:p>
            <w:pPr>
              <w:jc w:val="center"/>
            </w:pPr>
            <w:pPr>
              <w:jc w:val="left"/>
              <w:spacing w:before="200"/>
              <w:pStyle w:val="ImageCaption"/>
            </w:pPr>
            <w:r>
              <w:t xml:space="preserve">Table S8: Observed and predicted proportion of</w:t>
            </w:r>
            <w:r>
              <w:t xml:space="preserve"> </w:t>
            </w:r>
            <w:r>
              <w:t xml:space="preserve">“different”</w:t>
            </w:r>
            <w:r>
              <w:t xml:space="preserve"> </w:t>
            </w:r>
            <w:r>
              <w:t xml:space="preserve">responses, with 95% predictive intervals (M4)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Observed</w:t>
                  </w:r>
                </w:p>
              </w:tc>
              <w:tc>
                <w:tcPr/>
                <w:p>
                  <w:pPr>
                    <w:pStyle w:val="Compact"/>
                    <w:jc w:val="right"/>
                    <w:jc w:val="center"/>
                  </w:pPr>
                  <w:r>
                    <w:t xml:space="preserve">Predicted</w:t>
                  </w:r>
                </w:p>
              </w:tc>
              <w:tc>
                <w:tcPr/>
                <w:p>
                  <w:pPr>
                    <w:pStyle w:val="Compact"/>
                    <w:jc w:val="right"/>
                    <w:jc w:val="center"/>
                  </w:pPr>
                  <w:r>
                    <w:t xml:space="preserve">95% PI</w:t>
                  </w:r>
                </w:p>
              </w:tc>
              <w:tc>
                <w:tcPr/>
                <w:p>
                  <w:pPr>
                    <w:pStyle w:val="Compact"/>
                    <w:jc w:val="right"/>
                    <w:jc w:val="center"/>
                  </w:pPr>
                  <w:r>
                    <w:t xml:space="preserve">Inside</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.303</w:t>
                  </w:r>
                </w:p>
              </w:tc>
              <w:tc>
                <w:tcPr/>
                <w:p>
                  <w:pPr>
                    <w:pStyle w:val="Compact"/>
                    <w:jc w:val="right"/>
                    <w:jc w:val="center"/>
                  </w:pPr>
                  <w:r>
                    <w:t xml:space="preserve">.291</w:t>
                  </w:r>
                </w:p>
              </w:tc>
              <w:tc>
                <w:tcPr/>
                <w:p>
                  <w:pPr>
                    <w:pStyle w:val="Compact"/>
                    <w:jc w:val="right"/>
                    <w:jc w:val="center"/>
                  </w:pPr>
                  <w:r>
                    <w:t xml:space="preserve">[.269, .317]</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.812</w:t>
                  </w:r>
                </w:p>
              </w:tc>
              <w:tc>
                <w:tcPr/>
                <w:p>
                  <w:pPr>
                    <w:pStyle w:val="Compact"/>
                    <w:jc w:val="right"/>
                    <w:jc w:val="center"/>
                  </w:pPr>
                  <w:r>
                    <w:t xml:space="preserve">.827</w:t>
                  </w:r>
                </w:p>
              </w:tc>
              <w:tc>
                <w:tcPr/>
                <w:p>
                  <w:pPr>
                    <w:pStyle w:val="Compact"/>
                    <w:jc w:val="right"/>
                    <w:jc w:val="center"/>
                  </w:pPr>
                  <w:r>
                    <w:t xml:space="preserve">[.808, .851]</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.121</w:t>
                  </w:r>
                </w:p>
              </w:tc>
              <w:tc>
                <w:tcPr/>
                <w:p>
                  <w:pPr>
                    <w:pStyle w:val="Compact"/>
                    <w:jc w:val="right"/>
                    <w:jc w:val="center"/>
                  </w:pPr>
                  <w:r>
                    <w:t xml:space="preserve">.113</w:t>
                  </w:r>
                </w:p>
              </w:tc>
              <w:tc>
                <w:tcPr/>
                <w:p>
                  <w:pPr>
                    <w:pStyle w:val="Compact"/>
                    <w:jc w:val="right"/>
                    <w:jc w:val="center"/>
                  </w:pPr>
                  <w:r>
                    <w:t xml:space="preserve">[.088, .138]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.831</w:t>
                  </w:r>
                </w:p>
              </w:tc>
              <w:tc>
                <w:tcPr/>
                <w:p>
                  <w:pPr>
                    <w:pStyle w:val="Compact"/>
                    <w:jc w:val="right"/>
                    <w:jc w:val="center"/>
                  </w:pPr>
                  <w:r>
                    <w:t xml:space="preserve">.844</w:t>
                  </w:r>
                </w:p>
              </w:tc>
              <w:tc>
                <w:tcPr/>
                <w:p>
                  <w:pPr>
                    <w:pStyle w:val="Compact"/>
                    <w:jc w:val="right"/>
                    <w:jc w:val="center"/>
                  </w:pPr>
                  <w:r>
                    <w:t xml:space="preserve">[.825, .864]</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.261</w:t>
                  </w:r>
                </w:p>
              </w:tc>
              <w:tc>
                <w:tcPr/>
                <w:p>
                  <w:pPr>
                    <w:pStyle w:val="Compact"/>
                    <w:jc w:val="right"/>
                    <w:jc w:val="center"/>
                  </w:pPr>
                  <w:r>
                    <w:t xml:space="preserve">.261</w:t>
                  </w:r>
                </w:p>
              </w:tc>
              <w:tc>
                <w:tcPr/>
                <w:p>
                  <w:pPr>
                    <w:pStyle w:val="Compact"/>
                    <w:jc w:val="right"/>
                    <w:jc w:val="center"/>
                  </w:pPr>
                  <w:r>
                    <w:t xml:space="preserve">[.235, .288]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.153</w:t>
                  </w:r>
                </w:p>
              </w:tc>
              <w:tc>
                <w:tcPr/>
                <w:p>
                  <w:pPr>
                    <w:pStyle w:val="Compact"/>
                    <w:jc w:val="right"/>
                    <w:jc w:val="center"/>
                  </w:pPr>
                  <w:r>
                    <w:t xml:space="preserve">.128</w:t>
                  </w:r>
                </w:p>
              </w:tc>
              <w:tc>
                <w:tcPr/>
                <w:p>
                  <w:pPr>
                    <w:pStyle w:val="Compact"/>
                    <w:jc w:val="right"/>
                    <w:jc w:val="center"/>
                  </w:pPr>
                  <w:r>
                    <w:t xml:space="preserve">[.101, .154]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.289</w:t>
                  </w:r>
                </w:p>
              </w:tc>
              <w:tc>
                <w:tcPr/>
                <w:p>
                  <w:pPr>
                    <w:pStyle w:val="Compact"/>
                    <w:jc w:val="right"/>
                    <w:jc w:val="center"/>
                  </w:pPr>
                  <w:r>
                    <w:t xml:space="preserve">.275</w:t>
                  </w:r>
                </w:p>
              </w:tc>
              <w:tc>
                <w:tcPr/>
                <w:p>
                  <w:pPr>
                    <w:pStyle w:val="Compact"/>
                    <w:jc w:val="right"/>
                    <w:jc w:val="center"/>
                  </w:pPr>
                  <w:r>
                    <w:t xml:space="preserve">[.249, .302]</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.337</w:t>
                  </w:r>
                </w:p>
              </w:tc>
              <w:tc>
                <w:tcPr/>
                <w:p>
                  <w:pPr>
                    <w:pStyle w:val="Compact"/>
                    <w:jc w:val="right"/>
                    <w:jc w:val="center"/>
                  </w:pPr>
                  <w:r>
                    <w:t xml:space="preserve">.308</w:t>
                  </w:r>
                </w:p>
              </w:tc>
              <w:tc>
                <w:tcPr/>
                <w:p>
                  <w:pPr>
                    <w:pStyle w:val="Compact"/>
                    <w:jc w:val="right"/>
                    <w:jc w:val="center"/>
                  </w:pPr>
                  <w:r>
                    <w:t xml:space="preserve">[.281, .332]</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.909</w:t>
                  </w:r>
                </w:p>
              </w:tc>
              <w:tc>
                <w:tcPr/>
                <w:p>
                  <w:pPr>
                    <w:pStyle w:val="Compact"/>
                    <w:jc w:val="right"/>
                    <w:jc w:val="center"/>
                  </w:pPr>
                  <w:r>
                    <w:t xml:space="preserve">.920</w:t>
                  </w:r>
                </w:p>
              </w:tc>
              <w:tc>
                <w:tcPr/>
                <w:p>
                  <w:pPr>
                    <w:pStyle w:val="Compact"/>
                    <w:jc w:val="right"/>
                    <w:jc w:val="center"/>
                  </w:pPr>
                  <w:r>
                    <w:t xml:space="preserve">[.907, .935]</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.075</w:t>
                  </w:r>
                </w:p>
              </w:tc>
              <w:tc>
                <w:tcPr/>
                <w:p>
                  <w:pPr>
                    <w:pStyle w:val="Compact"/>
                    <w:jc w:val="right"/>
                    <w:jc w:val="center"/>
                  </w:pPr>
                  <w:r>
                    <w:t xml:space="preserve">.067</w:t>
                  </w:r>
                </w:p>
              </w:tc>
              <w:tc>
                <w:tcPr/>
                <w:p>
                  <w:pPr>
                    <w:pStyle w:val="Compact"/>
                    <w:jc w:val="right"/>
                    <w:jc w:val="center"/>
                  </w:pPr>
                  <w:r>
                    <w:t xml:space="preserve">[.047, .084]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.912</w:t>
                  </w:r>
                </w:p>
              </w:tc>
              <w:tc>
                <w:tcPr/>
                <w:p>
                  <w:pPr>
                    <w:pStyle w:val="Compact"/>
                    <w:jc w:val="right"/>
                    <w:jc w:val="center"/>
                  </w:pPr>
                  <w:r>
                    <w:t xml:space="preserve">.927</w:t>
                  </w:r>
                </w:p>
              </w:tc>
              <w:tc>
                <w:tcPr/>
                <w:p>
                  <w:pPr>
                    <w:pStyle w:val="Compact"/>
                    <w:jc w:val="right"/>
                    <w:jc w:val="center"/>
                  </w:pPr>
                  <w:r>
                    <w:t xml:space="preserve">[.914, .941]</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.078</w:t>
                  </w:r>
                </w:p>
              </w:tc>
              <w:tc>
                <w:tcPr/>
                <w:p>
                  <w:pPr>
                    <w:pStyle w:val="Compact"/>
                    <w:jc w:val="right"/>
                    <w:jc w:val="center"/>
                  </w:pPr>
                  <w:r>
                    <w:t xml:space="preserve">.076</w:t>
                  </w:r>
                </w:p>
              </w:tc>
              <w:tc>
                <w:tcPr/>
                <w:p>
                  <w:pPr>
                    <w:pStyle w:val="Compact"/>
                    <w:jc w:val="right"/>
                    <w:jc w:val="center"/>
                  </w:pPr>
                  <w:r>
                    <w:t xml:space="preserve">[.056, .099]</w:t>
                  </w:r>
                </w:p>
              </w:tc>
              <w:tc>
                <w:tcPr/>
                <w:p>
                  <w:pPr>
                    <w:pStyle w:val="Compact"/>
                    <w:jc w:val="right"/>
                    <w:jc w:val="center"/>
                  </w:pPr>
                  <w:r>
                    <w:t xml:space="preserve">Yes</w:t>
                  </w:r>
                </w:p>
              </w:tc>
            </w:tr>
          </w:tbl>
          <w:bookmarkEnd w:id="142"/>
          <w:p/>
        </w:tc>
      </w:tr>
    </w:tbl>
    <w:p>
      <w:pPr>
        <w:pStyle w:val="BodyText"/>
      </w:pPr>
      <w:r>
        <w:t xml:space="preserve">The non-decision-time posterior lay well below its upper bound (Figure S3).</w:t>
      </w:r>
    </w:p>
    <w:tbl>
      <w:tblPr>
        <w:tblStyle w:val="Table"/>
        <w:tblW w:type="pct" w:w="5000"/>
        <w:tblLayout w:type="fixed"/>
        <w:tblLook w:firstRow="0" w:lastRow="0" w:firstColumn="0" w:lastColumn="0" w:noHBand="0" w:noVBand="0" w:val="0000"/>
      </w:tblPr>
      <w:tblGrid>
        <w:gridCol w:w="7920"/>
      </w:tblGrid>
      <w:tr>
        <w:tc>
          <w:tcPr/>
          <w:bookmarkStart w:id="146" w:name="suppfig-ndt"/>
          <w:p>
            <w:pPr>
              <w:jc w:val="center"/>
            </w:pPr>
            <w:r>
              <w:drawing>
                <wp:inline>
                  <wp:extent cx="5334000" cy="5506064"/>
                  <wp:effectExtent b="0" l="0" r="0" t="0"/>
                  <wp:docPr descr="" title="" id="144" name="Picture"/>
                  <a:graphic>
                    <a:graphicData uri="http://schemas.openxmlformats.org/drawingml/2006/picture">
                      <pic:pic>
                        <pic:nvPicPr>
                          <pic:cNvPr descr="../output/ddm_refits/runs/final_20261016/figures/final/S_ndt_prior_posterior.png" id="145" name="Picture"/>
                          <pic:cNvPicPr>
                            <a:picLocks noChangeArrowheads="1" noChangeAspect="1"/>
                          </pic:cNvPicPr>
                        </pic:nvPicPr>
                        <pic:blipFill>
                          <a:blip r:embed="rId143"/>
                          <a:stretch>
                            <a:fillRect/>
                          </a:stretch>
                        </pic:blipFill>
                        <pic:spPr bwMode="auto">
                          <a:xfrm>
                            <a:off x="0" y="0"/>
                            <a:ext cx="5334000" cy="5506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Prior (bottom) and posterior (top) distributions of non-decision time in M4. The dashed line marks the upper bound set from the shortest RT.</w:t>
            </w:r>
          </w:p>
          <w:bookmarkEnd w:id="146"/>
        </w:tc>
      </w:tr>
    </w:tbl>
    <w:bookmarkEnd w:id="147"/>
    <w:bookmarkStart w:id="152" w:name="robustness"/>
    <w:p>
      <w:pPr>
        <w:pStyle w:val="Heading2"/>
      </w:pPr>
      <w:r>
        <w:t xml:space="preserve">Robustness</w:t>
      </w:r>
    </w:p>
    <w:p>
      <w:pPr>
        <w:pStyle w:val="FirstParagraph"/>
      </w:pPr>
      <w:r>
        <w:t xml:space="preserve">Table S9 reports the effort effects in each model variant, Table S10 the between-participant variability of the effort effects, and Table S11 the task-specific effort effects. Table S12 gives the observed accuracy contrasts cited in Section 3.1.</w:t>
      </w:r>
    </w:p>
    <w:tbl>
      <w:tblPr>
        <w:tblStyle w:val="Table"/>
        <w:tblW w:type="pct" w:w="5000"/>
        <w:tblLayout w:type="fixed"/>
        <w:tblLook w:firstRow="0" w:lastRow="0" w:firstColumn="0" w:lastColumn="0" w:noHBand="0" w:noVBand="0" w:val="0000"/>
      </w:tblPr>
      <w:tblGrid>
        <w:gridCol w:w="7920"/>
      </w:tblGrid>
      <w:tr>
        <w:tc>
          <w:tcPr/>
          <w:bookmarkStart w:id="148" w:name="supptbl-robustness"/>
          <w:p>
            <w:pPr>
              <w:jc w:val="center"/>
            </w:pPr>
            <w:pPr>
              <w:jc w:val="left"/>
              <w:spacing w:before="200"/>
              <w:pStyle w:val="ImageCaption"/>
            </w:pPr>
            <w:r>
              <w:t xml:space="preserve">Table S9: Effort effects across model variants: primary model (M4), random effort slopes (M4r), RT cutoffs of 0.15 s and 0.25 s, and exclusion of participants with near-chance accuracy</w:t>
            </w:r>
          </w:p>
          <w:tbl>
            <w:tblPr>
              <w:tblStyle w:val="Table"/>
              <w:tblW w:type="pct" w:w="5000"/>
              <w:tblLayout w:type="fixed"/>
              <w:tblLook w:firstRow="1" w:lastRow="0" w:firstColumn="0" w:lastColumn="0" w:noHBand="0" w:noVBand="0" w:val="0020"/>
            </w:tblPr>
            <w:tblGrid>
              <w:gridCol w:w="1736"/>
              <w:gridCol w:w="2084"/>
              <w:gridCol w:w="625"/>
              <w:gridCol w:w="1181"/>
              <w:gridCol w:w="555"/>
              <w:gridCol w:w="486"/>
              <w:gridCol w:w="903"/>
              <w:gridCol w:w="347"/>
            </w:tblGrid>
            <w:tr>
              <w:trPr>
                <w:tblHeader w:val="on"/>
              </w:trPr>
              <w:tc>
                <w:tcPr/>
                <w:p>
                  <w:pPr>
                    <w:pStyle w:val="Compact"/>
                    <w:jc w:val="lef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In ROPE</w:t>
                  </w:r>
                </w:p>
              </w:tc>
              <w:tc>
                <w:tcPr/>
                <w:p>
                  <w:pPr>
                    <w:pStyle w:val="Compact"/>
                    <w:jc w:val="right"/>
                    <w:jc w:val="center"/>
                  </w:pPr>
                  <w:r>
                    <w:t xml:space="preserve">Trials</w:t>
                  </w:r>
                </w:p>
              </w:tc>
              <w:tc>
                <w:tcPr/>
                <w:p>
                  <w:pPr>
                    <w:pStyle w:val="Compact"/>
                    <w:jc w:val="right"/>
                    <w:jc w:val="center"/>
                  </w:pPr>
                  <w:r>
                    <w:t xml:space="preserve">Participants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98%</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Hard and Easy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2%</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Standard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[−0.104, −0.004]</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Evidence quality</w:t>
                  </w:r>
                </w:p>
              </w:tc>
              <w:tc>
                <w:tcPr/>
                <w:p>
                  <w:pPr>
                    <w:pStyle w:val="Compact"/>
                    <w:jc w:val="right"/>
                    <w:jc w:val="center"/>
                  </w:pPr>
                  <w:r>
                    <w:t xml:space="preserve">−0.012</w:t>
                  </w:r>
                </w:p>
              </w:tc>
              <w:tc>
                <w:tcPr/>
                <w:p>
                  <w:pPr>
                    <w:pStyle w:val="Compact"/>
                    <w:jc w:val="right"/>
                    <w:jc w:val="center"/>
                  </w:pPr>
                  <w:r>
                    <w:t xml:space="preserve">[−0.054,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0.034]</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[−0.049, 0.038]</w:t>
                  </w:r>
                </w:p>
              </w:tc>
              <w:tc>
                <w:tcPr/>
                <w:p>
                  <w:pPr>
                    <w:pStyle w:val="Compact"/>
                    <w:jc w:val="right"/>
                    <w:jc w:val="center"/>
                  </w:pPr>
                  <w:r>
                    <w:t xml:space="preserve">97%</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Hard and Easy trials</w:t>
                  </w:r>
                </w:p>
              </w:tc>
              <w:tc>
                <w:tcPr/>
                <w:p>
                  <w:pPr>
                    <w:pStyle w:val="Compact"/>
                    <w:jc w:val="right"/>
                    <w:jc w:val="center"/>
                  </w:pPr>
                  <w:r>
                    <w:t xml:space="preserve">−0.066</w:t>
                  </w:r>
                </w:p>
              </w:tc>
              <w:tc>
                <w:tcPr/>
                <w:p>
                  <w:pPr>
                    <w:pStyle w:val="Compact"/>
                    <w:jc w:val="right"/>
                    <w:jc w:val="center"/>
                  </w:pPr>
                  <w:r>
                    <w:t xml:space="preserve">[−0.112, −0.019]</w:t>
                  </w:r>
                </w:p>
              </w:tc>
              <w:tc>
                <w:tcPr/>
                <w:p>
                  <w:pPr>
                    <w:pStyle w:val="Compact"/>
                    <w:jc w:val="right"/>
                    <w:jc w:val="center"/>
                  </w:pPr>
                  <w:r>
                    <w:t xml:space="preserve">3%</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Standard trials</w:t>
                  </w:r>
                </w:p>
              </w:tc>
              <w:tc>
                <w:tcPr/>
                <w:p>
                  <w:pPr>
                    <w:pStyle w:val="Compact"/>
                    <w:jc w:val="right"/>
                    <w:jc w:val="center"/>
                  </w:pPr>
                  <w:r>
                    <w:t xml:space="preserve">−0.041</w:t>
                  </w:r>
                </w:p>
              </w:tc>
              <w:tc>
                <w:tcPr/>
                <w:p>
                  <w:pPr>
                    <w:pStyle w:val="Compact"/>
                    <w:jc w:val="right"/>
                    <w:jc w:val="center"/>
                  </w:pPr>
                  <w:r>
                    <w:t xml:space="preserve">[−0.121, 0.039]</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criterion</w:t>
                  </w:r>
                </w:p>
              </w:tc>
              <w:tc>
                <w:tcPr/>
                <w:p>
                  <w:pPr>
                    <w:pStyle w:val="Compact"/>
                    <w:jc w:val="right"/>
                    <w:jc w:val="center"/>
                  </w:pPr>
                  <w:r>
                    <w:t xml:space="preserve">−0.060</w:t>
                  </w:r>
                </w:p>
              </w:tc>
              <w:tc>
                <w:tcPr/>
                <w:p>
                  <w:pPr>
                    <w:pStyle w:val="Compact"/>
                    <w:jc w:val="right"/>
                    <w:jc w:val="center"/>
                  </w:pPr>
                  <w:r>
                    <w:t xml:space="preserve">[−0.107, −0.011]</w:t>
                  </w:r>
                </w:p>
              </w:tc>
              <w:tc>
                <w:tcPr/>
                <w:p>
                  <w:pPr>
                    <w:pStyle w:val="Compact"/>
                    <w:jc w:val="right"/>
                    <w:jc w:val="center"/>
                  </w:pPr>
                  <w:r>
                    <w:t xml:space="preserve">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Evidence quality</w:t>
                  </w:r>
                </w:p>
              </w:tc>
              <w:tc>
                <w:tcPr/>
                <w:p>
                  <w:pPr>
                    <w:pStyle w:val="Compact"/>
                    <w:jc w:val="right"/>
                    <w:jc w:val="center"/>
                  </w:pPr>
                  <w:r>
                    <w:t xml:space="preserve">−0.015</w:t>
                  </w:r>
                </w:p>
              </w:tc>
              <w:tc>
                <w:tcPr/>
                <w:p>
                  <w:pPr>
                    <w:pStyle w:val="Compact"/>
                    <w:jc w:val="right"/>
                    <w:jc w:val="center"/>
                  </w:pPr>
                  <w:r>
                    <w:t xml:space="preserve">[−0.054, 0.025]</w:t>
                  </w:r>
                </w:p>
              </w:tc>
              <w:tc>
                <w:tcPr/>
                <w:p>
                  <w:pPr>
                    <w:pStyle w:val="Compact"/>
                    <w:jc w:val="right"/>
                    <w:jc w:val="center"/>
                  </w:pPr>
                  <w:r>
                    <w:t xml:space="preserve">56%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Boundary separation</w:t>
                  </w:r>
                </w:p>
              </w:tc>
              <w:tc>
                <w:tcPr/>
                <w:p>
                  <w:pPr>
                    <w:pStyle w:val="Compact"/>
                    <w:jc w:val="right"/>
                    <w:jc w:val="center"/>
                  </w:pPr>
                  <w:r>
                    <w:t xml:space="preserve">0.012</w:t>
                  </w:r>
                </w:p>
              </w:tc>
              <w:tc>
                <w:tcPr/>
                <w:p>
                  <w:pPr>
                    <w:pStyle w:val="Compact"/>
                    <w:jc w:val="right"/>
                    <w:jc w:val="center"/>
                  </w:pPr>
                  <w:r>
                    <w:t xml:space="preserve">[−0.002, 0.026]</w:t>
                  </w:r>
                </w:p>
              </w:tc>
              <w:tc>
                <w:tcPr/>
                <w:p>
                  <w:pPr>
                    <w:pStyle w:val="Compact"/>
                    <w:jc w:val="right"/>
                    <w:jc w:val="center"/>
                  </w:pPr>
                  <w:r>
                    <w:t xml:space="preserve">100%</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Starting point</w:t>
                  </w:r>
                </w:p>
              </w:tc>
              <w:tc>
                <w:tcPr/>
                <w:p>
                  <w:pPr>
                    <w:pStyle w:val="Compact"/>
                    <w:jc w:val="right"/>
                    <w:jc w:val="center"/>
                  </w:pPr>
                  <w:r>
                    <w:t xml:space="preserve">0.010</w:t>
                  </w:r>
                </w:p>
              </w:tc>
              <w:tc>
                <w:tcPr/>
                <w:p>
                  <w:pPr>
                    <w:pStyle w:val="Compact"/>
                    <w:jc w:val="right"/>
                    <w:jc w:val="center"/>
                  </w:pPr>
                  <w:r>
                    <w:t xml:space="preserve">[−0.034, 0.053]</w:t>
                  </w:r>
                </w:p>
              </w:tc>
              <w:tc>
                <w:tcPr/>
                <w:p>
                  <w:pPr>
                    <w:pStyle w:val="Compact"/>
                    <w:jc w:val="right"/>
                    <w:jc w:val="center"/>
                  </w:pPr>
                  <w:r>
                    <w:t xml:space="preserve">96%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on Hard and Easy trials</w:t>
                  </w:r>
                </w:p>
              </w:tc>
              <w:tc>
                <w:tcPr/>
                <w:p>
                  <w:pPr>
                    <w:pStyle w:val="Compact"/>
                    <w:jc w:val="right"/>
                    <w:jc w:val="center"/>
                  </w:pPr>
                  <w:r>
                    <w:t xml:space="preserve">−0.074</w:t>
                  </w:r>
                </w:p>
              </w:tc>
              <w:tc>
                <w:tcPr/>
                <w:p>
                  <w:pPr>
                    <w:pStyle w:val="Compact"/>
                    <w:jc w:val="right"/>
                    <w:jc w:val="center"/>
                  </w:pPr>
                  <w:r>
                    <w:t xml:space="preserve">[−0.119, −0.030]</w:t>
                  </w:r>
                </w:p>
              </w:tc>
              <w:tc>
                <w:tcPr/>
                <w:p>
                  <w:pPr>
                    <w:pStyle w:val="Compact"/>
                    <w:jc w:val="right"/>
                    <w:jc w:val="center"/>
                  </w:pPr>
                  <w:r>
                    <w:t xml:space="preserve">1%</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on Standard trials</w:t>
                  </w:r>
                </w:p>
              </w:tc>
              <w:tc>
                <w:tcPr/>
                <w:p>
                  <w:pPr>
                    <w:pStyle w:val="Compact"/>
                    <w:jc w:val="right"/>
                    <w:jc w:val="center"/>
                  </w:pPr>
                  <w:r>
                    <w:t xml:space="preserve">−0.044</w:t>
                  </w:r>
                </w:p>
              </w:tc>
              <w:tc>
                <w:tcPr/>
                <w:p>
                  <w:pPr>
                    <w:pStyle w:val="Compact"/>
                    <w:jc w:val="right"/>
                    <w:jc w:val="center"/>
                  </w:pPr>
                  <w:r>
                    <w:t xml:space="preserve">[−0.121, 0.032]</w:t>
                  </w:r>
                </w:p>
              </w:tc>
              <w:tc>
                <w:tcPr/>
                <w:p>
                  <w:pPr>
                    <w:pStyle w:val="Compact"/>
                    <w:jc w:val="right"/>
                    <w:jc w:val="center"/>
                  </w:pPr>
                  <w:r>
                    <w:t xml:space="preserve">22%</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criterion</w:t>
                  </w:r>
                </w:p>
              </w:tc>
              <w:tc>
                <w:tcPr/>
                <w:p>
                  <w:pPr>
                    <w:pStyle w:val="Compact"/>
                    <w:jc w:val="right"/>
                    <w:jc w:val="center"/>
                  </w:pPr>
                  <w:r>
                    <w:t xml:space="preserve">−0.061</w:t>
                  </w:r>
                </w:p>
              </w:tc>
              <w:tc>
                <w:tcPr/>
                <w:p>
                  <w:pPr>
                    <w:pStyle w:val="Compact"/>
                    <w:jc w:val="right"/>
                    <w:jc w:val="center"/>
                  </w:pPr>
                  <w:r>
                    <w:t xml:space="preserve">[−0.111, −0.010]</w:t>
                  </w:r>
                </w:p>
              </w:tc>
              <w:tc>
                <w:tcPr/>
                <w:p>
                  <w:pPr>
                    <w:pStyle w:val="Compact"/>
                    <w:jc w:val="right"/>
                    <w:jc w:val="center"/>
                  </w:pPr>
                  <w:r>
                    <w:t xml:space="preserve">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[−0.055, 0.028]</w:t>
                  </w:r>
                </w:p>
              </w:tc>
              <w:tc>
                <w:tcPr/>
                <w:p>
                  <w:pPr>
                    <w:pStyle w:val="Compact"/>
                    <w:jc w:val="right"/>
                    <w:jc w:val="center"/>
                  </w:pPr>
                  <w:r>
                    <w:t xml:space="preserve">58%</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Boundary separation</w:t>
                  </w:r>
                </w:p>
              </w:tc>
              <w:tc>
                <w:tcPr/>
                <w:p>
                  <w:pPr>
                    <w:pStyle w:val="Compact"/>
                    <w:jc w:val="right"/>
                    <w:jc w:val="center"/>
                  </w:pPr>
                  <w:r>
                    <w:t xml:space="preserve">0.019</w:t>
                  </w:r>
                </w:p>
              </w:tc>
              <w:tc>
                <w:tcPr/>
                <w:p>
                  <w:pPr>
                    <w:pStyle w:val="Compact"/>
                    <w:jc w:val="right"/>
                    <w:jc w:val="center"/>
                  </w:pPr>
                  <w:r>
                    <w:t xml:space="preserve">[0.005, 0.032]</w:t>
                  </w:r>
                </w:p>
              </w:tc>
              <w:tc>
                <w:tcPr/>
                <w:p>
                  <w:pPr>
                    <w:pStyle w:val="Compact"/>
                    <w:jc w:val="right"/>
                    <w:jc w:val="center"/>
                  </w:pPr>
                  <w:r>
                    <w:t xml:space="preserve">100%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Starting point</w:t>
                  </w:r>
                </w:p>
              </w:tc>
              <w:tc>
                <w:tcPr/>
                <w:p>
                  <w:pPr>
                    <w:pStyle w:val="Compact"/>
                    <w:jc w:val="right"/>
                    <w:jc w:val="center"/>
                  </w:pPr>
                  <w:r>
                    <w:t xml:space="preserve">0.009</w:t>
                  </w:r>
                </w:p>
              </w:tc>
              <w:tc>
                <w:tcPr/>
                <w:p>
                  <w:pPr>
                    <w:pStyle w:val="Compact"/>
                    <w:jc w:val="right"/>
                    <w:jc w:val="center"/>
                  </w:pPr>
                  <w:r>
                    <w:t xml:space="preserve">[−0.034, 0.051]</w:t>
                  </w:r>
                </w:p>
              </w:tc>
              <w:tc>
                <w:tcPr/>
                <w:p>
                  <w:pPr>
                    <w:pStyle w:val="Compact"/>
                    <w:jc w:val="right"/>
                    <w:jc w:val="center"/>
                  </w:pPr>
                  <w:r>
                    <w:t xml:space="preserve">97%</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on Hard and Easy trials</w:t>
                  </w:r>
                </w:p>
              </w:tc>
              <w:tc>
                <w:tcPr/>
                <w:p>
                  <w:pPr>
                    <w:pStyle w:val="Compact"/>
                    <w:jc w:val="right"/>
                    <w:jc w:val="center"/>
                  </w:pPr>
                  <w:r>
                    <w:t xml:space="preserve">−0.074</w:t>
                  </w:r>
                </w:p>
              </w:tc>
              <w:tc>
                <w:tcPr/>
                <w:p>
                  <w:pPr>
                    <w:pStyle w:val="Compact"/>
                    <w:jc w:val="right"/>
                    <w:jc w:val="center"/>
                  </w:pPr>
                  <w:r>
                    <w:t xml:space="preserve">[−0.120, −0.029]</w:t>
                  </w:r>
                </w:p>
              </w:tc>
              <w:tc>
                <w:tcPr/>
                <w:p>
                  <w:pPr>
                    <w:pStyle w:val="Compact"/>
                    <w:jc w:val="right"/>
                    <w:jc w:val="center"/>
                  </w:pPr>
                  <w:r>
                    <w:t xml:space="preserve">1%</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on Standard trials</w:t>
                  </w:r>
                </w:p>
              </w:tc>
              <w:tc>
                <w:tcPr/>
                <w:p>
                  <w:pPr>
                    <w:pStyle w:val="Compact"/>
                    <w:jc w:val="right"/>
                    <w:jc w:val="center"/>
                  </w:pPr>
                  <w:r>
                    <w:t xml:space="preserve">−0.048</w:t>
                  </w:r>
                </w:p>
              </w:tc>
              <w:tc>
                <w:tcPr/>
                <w:p>
                  <w:pPr>
                    <w:pStyle w:val="Compact"/>
                    <w:jc w:val="right"/>
                    <w:jc w:val="center"/>
                  </w:pPr>
                  <w:r>
                    <w:t xml:space="preserve">[−0.128, 0.032]</w:t>
                  </w:r>
                </w:p>
              </w:tc>
              <w:tc>
                <w:tcPr/>
                <w:p>
                  <w:pPr>
                    <w:pStyle w:val="Compact"/>
                    <w:jc w:val="right"/>
                    <w:jc w:val="center"/>
                  </w:pPr>
                  <w:r>
                    <w:t xml:space="preserve">20%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criterion</w:t>
                  </w:r>
                </w:p>
              </w:tc>
              <w:tc>
                <w:tcPr/>
                <w:p>
                  <w:pPr>
                    <w:pStyle w:val="Compact"/>
                    <w:jc w:val="right"/>
                    <w:jc w:val="center"/>
                  </w:pPr>
                  <w:r>
                    <w:t xml:space="preserve">−0.052</w:t>
                  </w:r>
                </w:p>
              </w:tc>
              <w:tc>
                <w:tcPr/>
                <w:p>
                  <w:pPr>
                    <w:pStyle w:val="Compact"/>
                    <w:jc w:val="right"/>
                    <w:jc w:val="center"/>
                  </w:pPr>
                  <w:r>
                    <w:t xml:space="preserve">[−0.106, 0.003]</w:t>
                  </w:r>
                </w:p>
              </w:tc>
              <w:tc>
                <w:tcPr/>
                <w:p>
                  <w:pPr>
                    <w:pStyle w:val="Compact"/>
                    <w:jc w:val="right"/>
                    <w:jc w:val="center"/>
                  </w:pPr>
                  <w:r>
                    <w:t xml:space="preserve">13%</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[−0.057, 0.032]</w:t>
                  </w:r>
                </w:p>
              </w:tc>
              <w:tc>
                <w:tcPr/>
                <w:p>
                  <w:pPr>
                    <w:pStyle w:val="Compact"/>
                    <w:jc w:val="right"/>
                    <w:jc w:val="center"/>
                  </w:pPr>
                  <w:r>
                    <w:t xml:space="preserve">55%</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Boundary separation</w:t>
                  </w:r>
                </w:p>
              </w:tc>
              <w:tc>
                <w:tcPr/>
                <w:p>
                  <w:pPr>
                    <w:pStyle w:val="Compact"/>
                    <w:jc w:val="right"/>
                    <w:jc w:val="center"/>
                  </w:pPr>
                  <w:r>
                    <w:t xml:space="preserve">0.016</w:t>
                  </w:r>
                </w:p>
              </w:tc>
              <w:tc>
                <w:tcPr/>
                <w:p>
                  <w:pPr>
                    <w:pStyle w:val="Compact"/>
                    <w:jc w:val="right"/>
                    <w:jc w:val="center"/>
                  </w:pPr>
                  <w:r>
                    <w:t xml:space="preserve">[0.001, 0.031]</w:t>
                  </w:r>
                </w:p>
              </w:tc>
              <w:tc>
                <w:tcPr/>
                <w:p>
                  <w:pPr>
                    <w:pStyle w:val="Compact"/>
                    <w:jc w:val="right"/>
                    <w:jc w:val="center"/>
                  </w:pPr>
                  <w:r>
                    <w:t xml:space="preserve">100%</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[−0.053, 0.041]</w:t>
                  </w:r>
                </w:p>
              </w:tc>
              <w:tc>
                <w:tcPr/>
                <w:p>
                  <w:pPr>
                    <w:pStyle w:val="Compact"/>
                    <w:jc w:val="right"/>
                    <w:jc w:val="center"/>
                  </w:pPr>
                  <w:r>
                    <w:t xml:space="preserve">96%</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on Hard and Easy trials</w:t>
                  </w:r>
                </w:p>
              </w:tc>
              <w:tc>
                <w:tcPr/>
                <w:p>
                  <w:pPr>
                    <w:pStyle w:val="Compact"/>
                    <w:jc w:val="right"/>
                    <w:jc w:val="center"/>
                  </w:pPr>
                  <w:r>
                    <w:t xml:space="preserve">−0.064</w:t>
                  </w:r>
                </w:p>
              </w:tc>
              <w:tc>
                <w:tcPr/>
                <w:p>
                  <w:pPr>
                    <w:pStyle w:val="Compact"/>
                    <w:jc w:val="right"/>
                    <w:jc w:val="center"/>
                  </w:pPr>
                  <w:r>
                    <w:t xml:space="preserve">[−0.115, −0.015]</w:t>
                  </w:r>
                </w:p>
              </w:tc>
              <w:tc>
                <w:tcPr/>
                <w:p>
                  <w:pPr>
                    <w:pStyle w:val="Compact"/>
                    <w:jc w:val="right"/>
                    <w:jc w:val="center"/>
                  </w:pPr>
                  <w:r>
                    <w:t xml:space="preserve">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on Standard trials</w:t>
                  </w:r>
                </w:p>
              </w:tc>
              <w:tc>
                <w:tcPr/>
                <w:p>
                  <w:pPr>
                    <w:pStyle w:val="Compact"/>
                    <w:jc w:val="right"/>
                    <w:jc w:val="center"/>
                  </w:pPr>
                  <w:r>
                    <w:t xml:space="preserve">−0.039</w:t>
                  </w:r>
                </w:p>
              </w:tc>
              <w:tc>
                <w:tcPr/>
                <w:p>
                  <w:pPr>
                    <w:pStyle w:val="Compact"/>
                    <w:jc w:val="right"/>
                    <w:jc w:val="center"/>
                  </w:pPr>
                  <w:r>
                    <w:t xml:space="preserve">[−0.124, 0.048]</w:t>
                  </w:r>
                </w:p>
              </w:tc>
              <w:tc>
                <w:tcPr/>
                <w:p>
                  <w:pPr>
                    <w:pStyle w:val="Compact"/>
                    <w:jc w:val="right"/>
                    <w:jc w:val="center"/>
                  </w:pPr>
                  <w:r>
                    <w:t xml:space="preserve">24%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bl>
          <w:bookmarkEnd w:id="14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supptbl-random-slopes"/>
          <w:p>
            <w:pPr>
              <w:jc w:val="center"/>
            </w:pPr>
            <w:pPr>
              <w:jc w:val="left"/>
              <w:spacing w:before="200"/>
              <w:pStyle w:val="ImageCaption"/>
            </w:pPr>
            <w:r>
              <w:t xml:space="preserve">Table S10: Between-participant variability in the effort effects (M4r)</w:t>
            </w:r>
          </w:p>
          <w:tbl>
            <w:tblPr>
              <w:tblStyle w:val="Table"/>
              <w:tblW w:type="pct" w:w="5000"/>
              <w:tblLayout w:type="fixed"/>
              <w:tblLook w:firstRow="1" w:lastRow="0" w:firstColumn="0" w:lastColumn="0" w:noHBand="0" w:noVBand="0" w:val="0020"/>
            </w:tblPr>
            <w:tblGrid>
              <w:gridCol w:w="5385"/>
              <w:gridCol w:w="950"/>
              <w:gridCol w:w="1584"/>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r>
            <w:tr>
              <w:tc>
                <w:tcPr/>
                <w:p>
                  <w:pPr>
                    <w:pStyle w:val="Compact"/>
                    <w:jc w:val="left"/>
                    <w:jc w:val="center"/>
                  </w:pPr>
                  <w:r>
                    <w:t xml:space="preserve">SD, drift criterion</w:t>
                  </w:r>
                </w:p>
              </w:tc>
              <w:tc>
                <w:tcPr/>
                <w:p>
                  <w:pPr>
                    <w:pStyle w:val="Compact"/>
                    <w:jc w:val="right"/>
                    <w:jc w:val="center"/>
                  </w:pPr>
                  <w:r>
                    <w:t xml:space="preserve">0.019</w:t>
                  </w:r>
                </w:p>
              </w:tc>
              <w:tc>
                <w:tcPr/>
                <w:p>
                  <w:pPr>
                    <w:pStyle w:val="Compact"/>
                    <w:jc w:val="right"/>
                    <w:jc w:val="center"/>
                  </w:pPr>
                  <w:r>
                    <w:t xml:space="preserve">[0.001, 0.062]</w:t>
                  </w:r>
                </w:p>
              </w:tc>
            </w:tr>
            <w:tr>
              <w:tc>
                <w:tcPr/>
                <w:p>
                  <w:pPr>
                    <w:pStyle w:val="Compact"/>
                    <w:jc w:val="left"/>
                    <w:jc w:val="center"/>
                  </w:pPr>
                  <w:r>
                    <w:t xml:space="preserve">SD, boundary separation</w:t>
                  </w:r>
                </w:p>
              </w:tc>
              <w:tc>
                <w:tcPr/>
                <w:p>
                  <w:pPr>
                    <w:pStyle w:val="Compact"/>
                    <w:jc w:val="right"/>
                    <w:jc w:val="center"/>
                  </w:pPr>
                  <w:r>
                    <w:t xml:space="preserve">0.007</w:t>
                  </w:r>
                </w:p>
              </w:tc>
              <w:tc>
                <w:tcPr/>
                <w:p>
                  <w:pPr>
                    <w:pStyle w:val="Compact"/>
                    <w:jc w:val="right"/>
                    <w:jc w:val="center"/>
                  </w:pPr>
                  <w:r>
                    <w:t xml:space="preserve">[0.000, 0.023]</w:t>
                  </w:r>
                </w:p>
              </w:tc>
            </w:tr>
            <w:tr>
              <w:tc>
                <w:tcPr/>
                <w:p>
                  <w:pPr>
                    <w:pStyle w:val="Compact"/>
                    <w:jc w:val="left"/>
                    <w:jc w:val="center"/>
                  </w:pPr>
                  <w:r>
                    <w:t xml:space="preserve">Correlation, drift intercept and drift criterion</w:t>
                  </w:r>
                </w:p>
              </w:tc>
              <w:tc>
                <w:tcPr/>
                <w:p>
                  <w:pPr>
                    <w:pStyle w:val="Compact"/>
                    <w:jc w:val="right"/>
                    <w:jc w:val="center"/>
                  </w:pPr>
                  <w:r>
                    <w:t xml:space="preserve">r = −.19</w:t>
                  </w:r>
                </w:p>
              </w:tc>
              <w:tc>
                <w:tcPr/>
                <w:p>
                  <w:pPr>
                    <w:pStyle w:val="Compact"/>
                    <w:jc w:val="right"/>
                    <w:jc w:val="center"/>
                  </w:pPr>
                  <w:r>
                    <w:t xml:space="preserve">[−.84, .69]</w:t>
                  </w:r>
                </w:p>
              </w:tc>
            </w:tr>
            <w:tr>
              <w:tc>
                <w:tcPr/>
                <w:p>
                  <w:pPr>
                    <w:pStyle w:val="Compact"/>
                    <w:jc w:val="left"/>
                    <w:jc w:val="center"/>
                  </w:pPr>
                  <w:r>
                    <w:t xml:space="preserve">Correlation, boundary intercept and boundary slope</w:t>
                  </w:r>
                </w:p>
              </w:tc>
              <w:tc>
                <w:tcPr/>
                <w:p>
                  <w:pPr>
                    <w:pStyle w:val="Compact"/>
                    <w:jc w:val="right"/>
                    <w:jc w:val="center"/>
                  </w:pPr>
                  <w:r>
                    <w:t xml:space="preserve">r = .03</w:t>
                  </w:r>
                </w:p>
              </w:tc>
              <w:tc>
                <w:tcPr/>
                <w:p>
                  <w:pPr>
                    <w:pStyle w:val="Compact"/>
                    <w:jc w:val="right"/>
                    <w:jc w:val="center"/>
                  </w:pPr>
                  <w:r>
                    <w:t xml:space="preserve">[−.78, .80]</w:t>
                  </w:r>
                </w:p>
              </w:tc>
            </w:tr>
          </w:tbl>
          <w:bookmarkEnd w:id="14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supptbl-m4b"/>
          <w:p>
            <w:pPr>
              <w:jc w:val="center"/>
            </w:pPr>
            <w:pPr>
              <w:jc w:val="left"/>
              <w:spacing w:before="200"/>
              <w:pStyle w:val="ImageCaption"/>
            </w:pPr>
            <w:r>
              <w:t xml:space="preserve">Table S11: Task-specific effort effects (M4b)</w:t>
            </w:r>
          </w:p>
          <w:tbl>
            <w:tblPr>
              <w:tblStyle w:val="Table"/>
              <w:tblW w:type="pct" w:w="5000"/>
              <w:tblLayout w:type="fixed"/>
              <w:tblLook w:firstRow="1" w:lastRow="0" w:firstColumn="0" w:lastColumn="0" w:noHBand="0" w:noVBand="0" w:val="0020"/>
            </w:tblPr>
            <w:tblGrid>
              <w:gridCol w:w="2709"/>
              <w:gridCol w:w="937"/>
              <w:gridCol w:w="1771"/>
              <w:gridCol w:w="1667"/>
              <w:gridCol w:w="833"/>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r>
            <w:tr>
              <w:tc>
                <w:tcPr/>
                <w:p>
                  <w:pPr>
                    <w:pStyle w:val="Compact"/>
                    <w:jc w:val="left"/>
                    <w:jc w:val="center"/>
                  </w:pPr>
                  <w:r>
                    <w:t xml:space="preserve">Drift criterion</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 task</w:t>
                  </w:r>
                </w:p>
              </w:tc>
              <w:tc>
                <w:tcPr/>
                <w:p>
                  <w:pPr>
                    <w:pStyle w:val="Compact"/>
                    <w:jc w:val="right"/>
                    <w:jc w:val="center"/>
                  </w:pPr>
                  <w:r>
                    <w:t xml:space="preserve">0.054</w:t>
                  </w:r>
                </w:p>
              </w:tc>
              <w:tc>
                <w:tcPr/>
                <w:p>
                  <w:pPr>
                    <w:pStyle w:val="Compact"/>
                    <w:jc w:val="right"/>
                    <w:jc w:val="center"/>
                  </w:pPr>
                  <w:r>
                    <w:t xml:space="preserve">[−0.024, 0.131]</w:t>
                  </w:r>
                </w:p>
              </w:tc>
              <w:tc>
                <w:tcPr/>
                <w:p>
                  <w:pPr>
                    <w:pStyle w:val="Compact"/>
                    <w:jc w:val="right"/>
                    <w:jc w:val="center"/>
                  </w:pPr>
                  <w:r>
                    <w:t xml:space="preserve">P(β &gt; 0) = .912</w:t>
                  </w:r>
                </w:p>
              </w:tc>
              <w:tc>
                <w:tcPr/>
                <w:p>
                  <w:pPr>
                    <w:pStyle w:val="Compact"/>
                    <w:jc w:val="right"/>
                    <w:jc w:val="center"/>
                  </w:pPr>
                  <w:r>
                    <w:t xml:space="preserve">17%</w:t>
                  </w:r>
                </w:p>
              </w:tc>
            </w:tr>
            <w:tr>
              <w:tc>
                <w:tcPr/>
                <w:p>
                  <w:pPr>
                    <w:pStyle w:val="Compact"/>
                    <w:jc w:val="left"/>
                    <w:jc w:val="center"/>
                  </w:pPr>
                  <w:r>
                    <w:t xml:space="preserve">Evidence quality × task</w:t>
                  </w:r>
                </w:p>
              </w:tc>
              <w:tc>
                <w:tcPr/>
                <w:p>
                  <w:pPr>
                    <w:pStyle w:val="Compact"/>
                    <w:jc w:val="right"/>
                    <w:jc w:val="center"/>
                  </w:pPr>
                  <w:r>
                    <w:t xml:space="preserve">−0.041</w:t>
                  </w:r>
                </w:p>
              </w:tc>
              <w:tc>
                <w:tcPr/>
                <w:p>
                  <w:pPr>
                    <w:pStyle w:val="Compact"/>
                    <w:jc w:val="right"/>
                    <w:jc w:val="center"/>
                  </w:pPr>
                  <w:r>
                    <w:t xml:space="preserve">[−0.118, 0.036]</w:t>
                  </w:r>
                </w:p>
              </w:tc>
              <w:tc>
                <w:tcPr/>
                <w:p>
                  <w:pPr>
                    <w:pStyle w:val="Compact"/>
                    <w:jc w:val="right"/>
                    <w:jc w:val="center"/>
                  </w:pPr>
                  <w:r>
                    <w:t xml:space="preserve">P(β &lt; 0) = .850</w:t>
                  </w:r>
                </w:p>
              </w:tc>
              <w:tc>
                <w:tcPr/>
                <w:p>
                  <w:pPr>
                    <w:pStyle w:val="Compact"/>
                    <w:jc w:val="right"/>
                    <w:jc w:val="center"/>
                  </w:pPr>
                  <w:r>
                    <w:t xml:space="preserve">24%</w:t>
                  </w:r>
                </w:p>
              </w:tc>
            </w:tr>
            <w:tr>
              <w:tc>
                <w:tcPr/>
                <w:p>
                  <w:pPr>
                    <w:pStyle w:val="Compact"/>
                    <w:jc w:val="left"/>
                    <w:jc w:val="center"/>
                  </w:pPr>
                  <w:r>
                    <w:t xml:space="preserve">Drift criterion, auditory</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visual</w:t>
                  </w:r>
                </w:p>
              </w:tc>
              <w:tc>
                <w:tcPr/>
                <w:p>
                  <w:pPr>
                    <w:pStyle w:val="Compact"/>
                    <w:jc w:val="right"/>
                    <w:jc w:val="center"/>
                  </w:pPr>
                  <w:r>
                    <w:t xml:space="preserve">−0.024</w:t>
                  </w:r>
                </w:p>
              </w:tc>
              <w:tc>
                <w:tcPr/>
                <w:p>
                  <w:pPr>
                    <w:pStyle w:val="Compact"/>
                    <w:jc w:val="right"/>
                    <w:jc w:val="center"/>
                  </w:pPr>
                  <w:r>
                    <w:t xml:space="preserve">[−0.087, 0.040]</w:t>
                  </w:r>
                </w:p>
              </w:tc>
              <w:tc>
                <w:tcPr/>
                <w:p>
                  <w:pPr>
                    <w:pStyle w:val="Compact"/>
                    <w:jc w:val="right"/>
                    <w:jc w:val="center"/>
                  </w:pPr>
                  <w:r>
                    <w:t xml:space="preserve">P(β &lt; 0) = .767</w:t>
                  </w:r>
                </w:p>
              </w:tc>
              <w:tc>
                <w:tcPr/>
                <w:p>
                  <w:pPr>
                    <w:pStyle w:val="Compact"/>
                    <w:jc w:val="right"/>
                    <w:jc w:val="center"/>
                  </w:pPr>
                  <w:r>
                    <w:t xml:space="preserve">37%</w:t>
                  </w:r>
                </w:p>
              </w:tc>
            </w:tr>
            <w:tr>
              <w:tc>
                <w:tcPr/>
                <w:p>
                  <w:pPr>
                    <w:pStyle w:val="Compact"/>
                    <w:jc w:val="left"/>
                    <w:jc w:val="center"/>
                  </w:pPr>
                  <w:r>
                    <w:t xml:space="preserve">Evidence quality</w:t>
                  </w:r>
                </w:p>
              </w:tc>
              <w:tc>
                <w:tcPr/>
                <w:p>
                  <w:pPr>
                    <w:pStyle w:val="Compact"/>
                    <w:jc w:val="right"/>
                    <w:jc w:val="center"/>
                  </w:pPr>
                  <w:r>
                    <w:t xml:space="preserve">0.007</w:t>
                  </w:r>
                </w:p>
              </w:tc>
              <w:tc>
                <w:tcPr/>
                <w:p>
                  <w:pPr>
                    <w:pStyle w:val="Compact"/>
                    <w:jc w:val="right"/>
                    <w:jc w:val="center"/>
                  </w:pPr>
                  <w:r>
                    <w:t xml:space="preserve">[−0.047, 0.062]</w:t>
                  </w:r>
                </w:p>
              </w:tc>
              <w:tc>
                <w:tcPr/>
                <w:p>
                  <w:pPr>
                    <w:pStyle w:val="Compact"/>
                    <w:jc w:val="right"/>
                    <w:jc w:val="center"/>
                  </w:pPr>
                  <w:r>
                    <w:t xml:space="preserve">P(β &gt; 0) = .597</w:t>
                  </w:r>
                </w:p>
              </w:tc>
              <w:tc>
                <w:tcPr/>
                <w:p>
                  <w:pPr>
                    <w:pStyle w:val="Compact"/>
                    <w:jc w:val="right"/>
                    <w:jc w:val="center"/>
                  </w:pPr>
                  <w:r>
                    <w:t xml:space="preserve">52%</w:t>
                  </w:r>
                </w:p>
              </w:tc>
            </w:tr>
          </w:tbl>
          <w:bookmarkEnd w:id="1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supptbl-acc-contrasts"/>
          <w:p>
            <w:pPr>
              <w:jc w:val="center"/>
            </w:pPr>
            <w:pPr>
              <w:jc w:val="left"/>
              <w:spacing w:before="200"/>
              <w:pStyle w:val="ImageCaption"/>
            </w:pPr>
            <w:r>
              <w:t xml:space="preserve">Table S12: Observed accuracy, high minus low effort, at each stimulus type. Estimates are from a binomial GLMM with a random intercept for participant (see the behavioral mixed-effects models in the dissertation version); percentage points are averaged over task.</w:t>
            </w:r>
          </w:p>
          <w:tbl>
            <w:tblPr>
              <w:tblStyle w:val="Table"/>
              <w:tblW w:type="pct" w:w="5000"/>
              <w:tblLayout w:type="fixed"/>
              <w:tblLook w:firstRow="1" w:lastRow="0" w:firstColumn="0" w:lastColumn="0" w:noHBand="0" w:noVBand="0" w:val="0020"/>
            </w:tblPr>
            <w:tblGrid>
              <w:gridCol w:w="1102"/>
              <w:gridCol w:w="1604"/>
              <w:gridCol w:w="1503"/>
              <w:gridCol w:w="1102"/>
              <w:gridCol w:w="1303"/>
              <w:gridCol w:w="601"/>
              <w:gridCol w:w="701"/>
            </w:tblGrid>
            <w:tr>
              <w:trPr>
                <w:tblHeader w:val="on"/>
              </w:trPr>
              <w:tc>
                <w:tcPr/>
                <w:p>
                  <w:pPr>
                    <w:pStyle w:val="Compact"/>
                    <w:jc w:val="left"/>
                    <w:jc w:val="center"/>
                  </w:pPr>
                  <w:r>
                    <w:t xml:space="preserve">Difficulty</w:t>
                  </w:r>
                </w:p>
              </w:tc>
              <w:tc>
                <w:tcPr/>
                <w:p>
                  <w:pPr>
                    <w:pStyle w:val="Compact"/>
                    <w:jc w:val="right"/>
                    <w:jc w:val="center"/>
                  </w:pPr>
                  <w:r>
                    <w:t xml:space="preserve">High − low (pp)</w:t>
                  </w:r>
                </w:p>
              </w:tc>
              <w:tc>
                <w:tcPr/>
                <w:p>
                  <w:pPr>
                    <w:pStyle w:val="Compact"/>
                    <w:jc w:val="right"/>
                    <w:jc w:val="center"/>
                  </w:pPr>
                  <w:r>
                    <w:t xml:space="preserve">95% CI (pp)</w:t>
                  </w:r>
                </w:p>
              </w:tc>
              <w:tc>
                <w:tcPr/>
                <w:p>
                  <w:pPr>
                    <w:pStyle w:val="Compact"/>
                    <w:jc w:val="right"/>
                    <w:jc w:val="center"/>
                  </w:pPr>
                  <w:r>
                    <w:t xml:space="preserve">Odds ratio</w:t>
                  </w:r>
                </w:p>
              </w:tc>
              <w:tc>
                <w:tcPr/>
                <w:p>
                  <w:pPr>
                    <w:pStyle w:val="Compact"/>
                    <w:jc w:val="right"/>
                    <w:jc w:val="center"/>
                  </w:pPr>
                  <w:r>
                    <w:t xml:space="preserve">95% CI (OR)</w:t>
                  </w:r>
                </w:p>
              </w:tc>
              <w:tc>
                <w:tcPr/>
                <w:p>
                  <w:pPr>
                    <w:pStyle w:val="Compact"/>
                    <w:jc w:val="right"/>
                    <w:jc w:val="center"/>
                  </w:pPr>
                  <w:r>
                    <w:rPr>
                      <w:i/>
                      <w:iCs/>
                    </w:rPr>
                    <w:t xml:space="preserve">z</w:t>
                  </w:r>
                </w:p>
              </w:tc>
              <w:tc>
                <w:tcPr/>
                <w:p>
                  <w:pPr>
                    <w:pStyle w:val="Compact"/>
                    <w:jc w:val="right"/>
                    <w:jc w:val="center"/>
                  </w:pPr>
                  <w:r>
                    <w:rPr>
                      <w:i/>
                      <w:iCs/>
                    </w:rPr>
                    <w:t xml:space="preserve">p</w:t>
                  </w:r>
                </w:p>
              </w:tc>
            </w:tr>
            <w:tr>
              <w:tc>
                <w:tcPr/>
                <w:p>
                  <w:pPr>
                    <w:pStyle w:val="Compact"/>
                    <w:jc w:val="left"/>
                    <w:jc w:val="center"/>
                  </w:pPr>
                  <w:r>
                    <w:t xml:space="preserve">Standard</w:t>
                  </w:r>
                </w:p>
              </w:tc>
              <w:tc>
                <w:tcPr/>
                <w:p>
                  <w:pPr>
                    <w:pStyle w:val="Compact"/>
                    <w:jc w:val="right"/>
                    <w:jc w:val="center"/>
                  </w:pPr>
                  <w:r>
                    <w:t xml:space="preserve">1.69</w:t>
                  </w:r>
                </w:p>
              </w:tc>
              <w:tc>
                <w:tcPr/>
                <w:p>
                  <w:pPr>
                    <w:pStyle w:val="Compact"/>
                    <w:jc w:val="right"/>
                    <w:jc w:val="center"/>
                  </w:pPr>
                  <w:r>
                    <w:t xml:space="preserve">[−0.14, 3.52]</w:t>
                  </w:r>
                </w:p>
              </w:tc>
              <w:tc>
                <w:tcPr/>
                <w:p>
                  <w:pPr>
                    <w:pStyle w:val="Compact"/>
                    <w:jc w:val="right"/>
                    <w:jc w:val="center"/>
                  </w:pPr>
                  <w:r>
                    <w:t xml:space="preserve">1.23</w:t>
                  </w:r>
                </w:p>
              </w:tc>
              <w:tc>
                <w:tcPr/>
                <w:p>
                  <w:pPr>
                    <w:pStyle w:val="Compact"/>
                    <w:jc w:val="right"/>
                    <w:jc w:val="center"/>
                  </w:pPr>
                  <w:r>
                    <w:t xml:space="preserve">[0.99, 1.53]</w:t>
                  </w:r>
                </w:p>
              </w:tc>
              <w:tc>
                <w:tcPr/>
                <w:p>
                  <w:pPr>
                    <w:pStyle w:val="Compact"/>
                    <w:jc w:val="right"/>
                    <w:jc w:val="center"/>
                  </w:pPr>
                  <w:r>
                    <w:t xml:space="preserve">1.83</w:t>
                  </w:r>
                </w:p>
              </w:tc>
              <w:tc>
                <w:tcPr/>
                <w:p>
                  <w:pPr>
                    <w:pStyle w:val="Compact"/>
                    <w:jc w:val="right"/>
                    <w:jc w:val="center"/>
                  </w:pPr>
                  <w:r>
                    <w:t xml:space="preserve">.068</w:t>
                  </w:r>
                </w:p>
              </w:tc>
            </w:tr>
            <w:tr>
              <w:tc>
                <w:tcPr/>
                <w:p>
                  <w:pPr>
                    <w:pStyle w:val="Compact"/>
                    <w:jc w:val="left"/>
                    <w:jc w:val="center"/>
                  </w:pPr>
                  <w:r>
                    <w:t xml:space="preserve">Hard</w:t>
                  </w:r>
                </w:p>
              </w:tc>
              <w:tc>
                <w:tcPr/>
                <w:p>
                  <w:pPr>
                    <w:pStyle w:val="Compact"/>
                    <w:jc w:val="right"/>
                    <w:jc w:val="center"/>
                  </w:pPr>
                  <w:r>
                    <w:t xml:space="preserve">−4.51</w:t>
                  </w:r>
                </w:p>
              </w:tc>
              <w:tc>
                <w:tcPr/>
                <w:p>
                  <w:pPr>
                    <w:pStyle w:val="Compact"/>
                    <w:jc w:val="right"/>
                    <w:jc w:val="center"/>
                  </w:pPr>
                  <w:r>
                    <w:t xml:space="preserve">[−6.64, −2.38]</w:t>
                  </w:r>
                </w:p>
              </w:tc>
              <w:tc>
                <w:tcPr/>
                <w:p>
                  <w:pPr>
                    <w:pStyle w:val="Compact"/>
                    <w:jc w:val="right"/>
                    <w:jc w:val="center"/>
                  </w:pPr>
                  <w:r>
                    <w:t xml:space="preserve">0.80</w:t>
                  </w:r>
                </w:p>
              </w:tc>
              <w:tc>
                <w:tcPr/>
                <w:p>
                  <w:pPr>
                    <w:pStyle w:val="Compact"/>
                    <w:jc w:val="right"/>
                    <w:jc w:val="center"/>
                  </w:pPr>
                  <w:r>
                    <w:t xml:space="preserve">[0.72, 0.89]</w:t>
                  </w:r>
                </w:p>
              </w:tc>
              <w:tc>
                <w:tcPr/>
                <w:p>
                  <w:pPr>
                    <w:pStyle w:val="Compact"/>
                    <w:jc w:val="right"/>
                    <w:jc w:val="center"/>
                  </w:pPr>
                  <w:r>
                    <w:t xml:space="preserve">−4.19</w:t>
                  </w:r>
                </w:p>
              </w:tc>
              <w:tc>
                <w:tcPr/>
                <w:p>
                  <w:pPr>
                    <w:pStyle w:val="Compact"/>
                    <w:jc w:val="right"/>
                    <w:jc w:val="center"/>
                  </w:pPr>
                  <w:r>
                    <w:t xml:space="preserve">&lt; .001</w:t>
                  </w:r>
                </w:p>
              </w:tc>
            </w:tr>
            <w:tr>
              <w:tc>
                <w:tcPr/>
                <w:p>
                  <w:pPr>
                    <w:pStyle w:val="Compact"/>
                    <w:jc w:val="left"/>
                    <w:jc w:val="center"/>
                  </w:pPr>
                  <w:r>
                    <w:t xml:space="preserve">Easy</w:t>
                  </w:r>
                </w:p>
              </w:tc>
              <w:tc>
                <w:tcPr/>
                <w:p>
                  <w:pPr>
                    <w:pStyle w:val="Compact"/>
                    <w:jc w:val="right"/>
                    <w:jc w:val="center"/>
                  </w:pPr>
                  <w:r>
                    <w:t xml:space="preserve">−0.90</w:t>
                  </w:r>
                </w:p>
              </w:tc>
              <w:tc>
                <w:tcPr/>
                <w:p>
                  <w:pPr>
                    <w:pStyle w:val="Compact"/>
                    <w:jc w:val="right"/>
                    <w:jc w:val="center"/>
                  </w:pPr>
                  <w:r>
                    <w:t xml:space="preserve">[−2.36, 0.56]</w:t>
                  </w:r>
                </w:p>
              </w:tc>
              <w:tc>
                <w:tcPr/>
                <w:p>
                  <w:pPr>
                    <w:pStyle w:val="Compact"/>
                    <w:jc w:val="right"/>
                    <w:jc w:val="center"/>
                  </w:pPr>
                  <w:r>
                    <w:t xml:space="preserve">0.92</w:t>
                  </w:r>
                </w:p>
              </w:tc>
              <w:tc>
                <w:tcPr/>
                <w:p>
                  <w:pPr>
                    <w:pStyle w:val="Compact"/>
                    <w:jc w:val="right"/>
                    <w:jc w:val="center"/>
                  </w:pPr>
                  <w:r>
                    <w:t xml:space="preserve">[0.80, 1.06]</w:t>
                  </w:r>
                </w:p>
              </w:tc>
              <w:tc>
                <w:tcPr/>
                <w:p>
                  <w:pPr>
                    <w:pStyle w:val="Compact"/>
                    <w:jc w:val="right"/>
                    <w:jc w:val="center"/>
                  </w:pPr>
                  <w:r>
                    <w:t xml:space="preserve">−1.21</w:t>
                  </w:r>
                </w:p>
              </w:tc>
              <w:tc>
                <w:tcPr/>
                <w:p>
                  <w:pPr>
                    <w:pStyle w:val="Compact"/>
                    <w:jc w:val="right"/>
                    <w:jc w:val="center"/>
                  </w:pPr>
                  <w:r>
                    <w:t xml:space="preserve">.226</w:t>
                  </w:r>
                </w:p>
              </w:tc>
            </w:tr>
          </w:tbl>
          <w:p>
            <w:pPr>
              <w:jc w:val="center"/>
            </w:pPr>
            <w:r>
              <w:rPr>
                <w:i/>
                <w:iCs/>
              </w:rPr>
              <w:t xml:space="preserve">Note.</w:t>
            </w:r>
            <w:r>
              <w:t xml:space="preserve"> </w:t>
            </w:r>
            <w:r>
              <w:t xml:space="preserve">High minus low, averaged over task with equal weights. Percentage points are 100 times the probability difference. The odds ratio, z, and p are the logit-scale contrast. df is asymptotic.</w:t>
            </w:r>
          </w:p>
          <w:bookmarkEnd w:id="151"/>
        </w:tc>
      </w:tr>
    </w:tbl>
    <w:bookmarkEnd w:id="152"/>
    <w:bookmarkStart w:id="160" w:name="pupil-data"/>
    <w:p>
      <w:pPr>
        <w:pStyle w:val="Heading2"/>
      </w:pPr>
      <w:r>
        <w:t xml:space="preserve">Pupil data</w:t>
      </w:r>
    </w:p>
    <w:p>
      <w:pPr>
        <w:pStyle w:val="FirstParagraph"/>
      </w:pPr>
      <w:r>
        <w:t xml:space="preserve">The pupil sample was 6,299 trials from 51 participants.</w:t>
      </w:r>
    </w:p>
    <w:tbl>
      <w:tblPr>
        <w:tblStyle w:val="Table"/>
        <w:tblW w:type="pct" w:w="5000"/>
        <w:tblLayout w:type="fixed"/>
        <w:tblLook w:firstRow="0" w:lastRow="0" w:firstColumn="0" w:lastColumn="0" w:noHBand="0" w:noVBand="0" w:val="0000"/>
      </w:tblPr>
      <w:tblGrid>
        <w:gridCol w:w="7920"/>
      </w:tblGrid>
      <w:tr>
        <w:tc>
          <w:tcPr/>
          <w:bookmarkStart w:id="153" w:name="supptbl-pupil-models"/>
          <w:p>
            <w:pPr>
              <w:jc w:val="center"/>
            </w:pPr>
            <w:pPr>
              <w:jc w:val="left"/>
              <w:spacing w:before="200"/>
              <w:pStyle w:val="ImageCaption"/>
            </w:pPr>
            <w:r>
              <w:t xml:space="preserve">Table S13: Slopes from the pupil-linked models and the effort effects in that sample.</w:t>
            </w:r>
          </w:p>
          <w:tbl>
            <w:tblPr>
              <w:tblStyle w:val="Table"/>
              <w:tblW w:type="pct" w:w="5000"/>
              <w:tblLayout w:type="fixed"/>
              <w:tblLook w:firstRow="1" w:lastRow="0" w:firstColumn="0" w:lastColumn="0" w:noHBand="0" w:noVBand="0" w:val="0020"/>
            </w:tblPr>
            <w:tblGrid>
              <w:gridCol w:w="2255"/>
              <w:gridCol w:w="314"/>
              <w:gridCol w:w="2202"/>
              <w:gridCol w:w="472"/>
              <w:gridCol w:w="839"/>
              <w:gridCol w:w="891"/>
              <w:gridCol w:w="576"/>
              <w:gridCol w:w="367"/>
            </w:tblGrid>
            <w:tr>
              <w:trPr>
                <w:tblHeader w:val="on"/>
              </w:trPr>
              <w:tc>
                <w:tcPr/>
                <w:p>
                  <w:pPr>
                    <w:pStyle w:val="Compact"/>
                    <w:jc w:val="left"/>
                    <w:jc w:val="center"/>
                  </w:pPr>
                  <w:r>
                    <w:t xml:space="preserve">Block</w:t>
                  </w:r>
                </w:p>
              </w:tc>
              <w:tc>
                <w:tcPr/>
                <w:p>
                  <w:pPr>
                    <w:pStyle w:val="Compact"/>
                    <w:jc w:val="righ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Change in a</w:t>
                  </w:r>
                </w:p>
              </w:tc>
              <w:tc>
                <w:tcPr/>
                <w:p>
                  <w:pPr>
                    <w:pStyle w:val="Compact"/>
                    <w:jc w:val="right"/>
                    <w:jc w:val="center"/>
                  </w:pPr>
                  <w:r>
                    <w:t xml:space="preserve">Delta ELPD</w:t>
                  </w:r>
                </w:p>
              </w:tc>
              <w:tc>
                <w:tcPr/>
                <w:p>
                  <w:pPr>
                    <w:pStyle w:val="Compact"/>
                    <w:jc w:val="right"/>
                    <w:jc w:val="center"/>
                  </w:pPr>
                  <w:r>
                    <w:t xml:space="preserve">Trials</w:t>
                  </w:r>
                </w:p>
              </w:tc>
            </w:tr>
            <w:tr>
              <w:tc>
                <w:tcPr/>
                <w:p>
                  <w:pPr>
                    <w:pStyle w:val="Compact"/>
                    <w:jc w:val="left"/>
                    <w:jc w:val="center"/>
                  </w:pPr>
                  <w:r>
                    <w:t xml:space="preserve">Pupil slope</w:t>
                  </w:r>
                </w:p>
              </w:tc>
              <w:tc>
                <w:tcPr/>
                <w:p>
                  <w:pPr>
                    <w:pStyle w:val="Compact"/>
                    <w:jc w:val="right"/>
                    <w:jc w:val="center"/>
                  </w:pPr>
                  <w:r>
                    <w:t xml:space="preserve">P0</w:t>
                  </w:r>
                </w:p>
              </w:tc>
              <w:tc>
                <w:tcPr/>
                <w:p>
                  <w:pPr>
                    <w:pStyle w:val="Compact"/>
                    <w:jc w:val="right"/>
                    <w:jc w:val="center"/>
                  </w:pPr>
                  <w:r>
                    <w:t xml:space="preserve">Baseline (no pupil slope)</w:t>
                  </w:r>
                </w:p>
              </w:tc>
              <w:tc>
                <w:tcPr/>
                <w:p>
                  <w:pPr>
                    <w:pStyle w:val="Compact"/>
                  </w:pPr>
                </w:p>
              </w:tc>
              <w:tc>
                <w:tcPr/>
                <w:p>
                  <w:pPr>
                    <w:pStyle w:val="Compact"/>
                  </w:pPr>
                </w:p>
              </w:tc>
              <w:tc>
                <w:tcPr/>
                <w:p>
                  <w:pPr>
                    <w:pStyle w:val="Compact"/>
                  </w:pPr>
                </w:p>
              </w:tc>
              <w:tc>
                <w:tcPr/>
                <w:p>
                  <w:pPr>
                    <w:pStyle w:val="Compact"/>
                    <w:jc w:val="right"/>
                    <w:jc w:val="center"/>
                  </w:pPr>
                  <w:r>
                    <w:t xml:space="preserve">0.0 ± 0.0</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P1</w:t>
                  </w:r>
                </w:p>
              </w:tc>
              <w:tc>
                <w:tcPr/>
                <w:p>
                  <w:pPr>
                    <w:pStyle w:val="Compact"/>
                    <w:jc w:val="right"/>
                    <w:jc w:val="center"/>
                  </w:pPr>
                  <w:r>
                    <w:t xml:space="preserve">Current-trial TEPR on starting point</w:t>
                  </w:r>
                </w:p>
              </w:tc>
              <w:tc>
                <w:tcPr/>
                <w:p>
                  <w:pPr>
                    <w:pStyle w:val="Compact"/>
                    <w:jc w:val="right"/>
                    <w:jc w:val="center"/>
                  </w:pPr>
                  <w:r>
                    <w:t xml:space="preserve">−0.009</w:t>
                  </w:r>
                </w:p>
              </w:tc>
              <w:tc>
                <w:tcPr/>
                <w:p>
                  <w:pPr>
                    <w:pStyle w:val="Compact"/>
                    <w:jc w:val="right"/>
                    <w:jc w:val="center"/>
                  </w:pPr>
                  <w:r>
                    <w:t xml:space="preserve">[−0.036, 0.020]</w:t>
                  </w:r>
                </w:p>
              </w:tc>
              <w:tc>
                <w:tcPr/>
                <w:p>
                  <w:pPr>
                    <w:pStyle w:val="Compact"/>
                  </w:pPr>
                </w:p>
              </w:tc>
              <w:tc>
                <w:tcPr/>
                <w:p>
                  <w:pPr>
                    <w:pStyle w:val="Compact"/>
                    <w:jc w:val="right"/>
                    <w:jc w:val="center"/>
                  </w:pPr>
                  <w:r>
                    <w:t xml:space="preserve">−0.6 ± 0.5</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on drift</w:t>
                  </w:r>
                </w:p>
              </w:tc>
              <w:tc>
                <w:tcPr/>
                <w:p>
                  <w:pPr>
                    <w:pStyle w:val="Compact"/>
                    <w:jc w:val="right"/>
                    <w:jc w:val="center"/>
                  </w:pPr>
                  <w:r>
                    <w:t xml:space="preserve">0.015</w:t>
                  </w:r>
                </w:p>
              </w:tc>
              <w:tc>
                <w:tcPr/>
                <w:p>
                  <w:pPr>
                    <w:pStyle w:val="Compact"/>
                    <w:jc w:val="right"/>
                    <w:jc w:val="center"/>
                  </w:pPr>
                  <w:r>
                    <w:t xml:space="preserve">[−0.017, 0.048]</w:t>
                  </w:r>
                </w:p>
              </w:tc>
              <w:tc>
                <w:tcPr/>
                <w:p>
                  <w:pPr>
                    <w:pStyle w:val="Compact"/>
                  </w:pPr>
                </w:p>
              </w:tc>
              <w:tc>
                <w:tcPr/>
                <w:p>
                  <w:pPr>
                    <w:pStyle w:val="Compact"/>
                    <w:jc w:val="right"/>
                    <w:jc w:val="center"/>
                  </w:pPr>
                  <w:r>
                    <w:t xml:space="preserve">−1.8 ± 1.6</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P2</w:t>
                  </w:r>
                </w:p>
              </w:tc>
              <w:tc>
                <w:tcPr/>
                <w:p>
                  <w:pPr>
                    <w:pStyle w:val="Compact"/>
                    <w:jc w:val="right"/>
                    <w:jc w:val="center"/>
                  </w:pPr>
                  <w:r>
                    <w:t xml:space="preserve">Current-trial TEPR × stimulus</w:t>
                  </w:r>
                </w:p>
              </w:tc>
              <w:tc>
                <w:tcPr/>
                <w:p>
                  <w:pPr>
                    <w:pStyle w:val="Compact"/>
                    <w:jc w:val="right"/>
                    <w:jc w:val="center"/>
                  </w:pPr>
                  <w:r>
                    <w:t xml:space="preserve">−0.015</w:t>
                  </w:r>
                </w:p>
              </w:tc>
              <w:tc>
                <w:tcPr/>
                <w:p>
                  <w:pPr>
                    <w:pStyle w:val="Compact"/>
                    <w:jc w:val="right"/>
                    <w:jc w:val="center"/>
                  </w:pPr>
                  <w:r>
                    <w:t xml:space="preserve">[−0.047, 0.018]</w:t>
                  </w:r>
                </w:p>
              </w:tc>
              <w:tc>
                <w:tcPr/>
                <w:p>
                  <w:pPr>
                    <w:pStyle w:val="Compact"/>
                  </w:pPr>
                </w:p>
              </w:tc>
              <w:tc>
                <w:tcPr/>
                <w:p>
                  <w:pPr>
                    <w:pStyle w:val="Compact"/>
                  </w:pP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P3</w:t>
                  </w:r>
                </w:p>
              </w:tc>
              <w:tc>
                <w:tcPr/>
                <w:p>
                  <w:pPr>
                    <w:pStyle w:val="Compact"/>
                    <w:jc w:val="right"/>
                    <w:jc w:val="center"/>
                  </w:pPr>
                  <w:r>
                    <w:t xml:space="preserve">Current-trial TEPR on boundary separation</w:t>
                  </w:r>
                </w:p>
              </w:tc>
              <w:tc>
                <w:tcPr/>
                <w:p>
                  <w:pPr>
                    <w:pStyle w:val="Compact"/>
                    <w:jc w:val="right"/>
                    <w:jc w:val="center"/>
                  </w:pPr>
                  <w:r>
                    <w:t xml:space="preserve">0.042</w:t>
                  </w:r>
                </w:p>
              </w:tc>
              <w:tc>
                <w:tcPr/>
                <w:p>
                  <w:pPr>
                    <w:pStyle w:val="Compact"/>
                    <w:jc w:val="right"/>
                    <w:jc w:val="center"/>
                  </w:pPr>
                  <w:r>
                    <w:t xml:space="preserve">[0.031, 0.053]</w:t>
                  </w:r>
                </w:p>
              </w:tc>
              <w:tc>
                <w:tcPr/>
                <w:p>
                  <w:pPr>
                    <w:pStyle w:val="Compact"/>
                    <w:jc w:val="right"/>
                    <w:jc w:val="center"/>
                  </w:pPr>
                  <w:r>
                    <w:t xml:space="preserve">+4.3% [3.2, 5.4]</w:t>
                  </w:r>
                </w:p>
              </w:tc>
              <w:tc>
                <w:tcPr/>
                <w:p>
                  <w:pPr>
                    <w:pStyle w:val="Compact"/>
                    <w:jc w:val="right"/>
                    <w:jc w:val="center"/>
                  </w:pPr>
                  <w:r>
                    <w:t xml:space="preserve">28.0 ± 6.7</w:t>
                  </w:r>
                </w:p>
              </w:tc>
              <w:tc>
                <w:tcPr/>
                <w:p>
                  <w:pPr>
                    <w:pStyle w:val="Compact"/>
                    <w:jc w:val="right"/>
                    <w:jc w:val="center"/>
                  </w:pPr>
                  <w:r>
                    <w:t xml:space="preserve">6,299</w:t>
                  </w:r>
                </w:p>
              </w:tc>
            </w:tr>
            <w:tr>
              <w:tc>
                <w:tcPr/>
                <w:p>
                  <w:pPr>
                    <w:pStyle w:val="Compact"/>
                    <w:jc w:val="left"/>
                    <w:jc w:val="center"/>
                  </w:pPr>
                  <w:r>
                    <w:t xml:space="preserve">Pupil slope</w:t>
                  </w:r>
                </w:p>
              </w:tc>
              <w:tc>
                <w:tcPr/>
                <w:p>
                  <w:pPr>
                    <w:pStyle w:val="Compact"/>
                    <w:jc w:val="right"/>
                    <w:jc w:val="center"/>
                  </w:pPr>
                  <w:r>
                    <w:t xml:space="preserve">P4</w:t>
                  </w:r>
                </w:p>
              </w:tc>
              <w:tc>
                <w:tcPr/>
                <w:p>
                  <w:pPr>
                    <w:pStyle w:val="Compact"/>
                    <w:jc w:val="right"/>
                    <w:jc w:val="center"/>
                  </w:pPr>
                  <w:r>
                    <w:t xml:space="preserve">Pre-squeeze baseline on starting point</w:t>
                  </w:r>
                </w:p>
              </w:tc>
              <w:tc>
                <w:tcPr/>
                <w:p>
                  <w:pPr>
                    <w:pStyle w:val="Compact"/>
                    <w:jc w:val="right"/>
                    <w:jc w:val="center"/>
                  </w:pPr>
                  <w:r>
                    <w:t xml:space="preserve">0.008</w:t>
                  </w:r>
                </w:p>
              </w:tc>
              <w:tc>
                <w:tcPr/>
                <w:p>
                  <w:pPr>
                    <w:pStyle w:val="Compact"/>
                    <w:jc w:val="right"/>
                    <w:jc w:val="center"/>
                  </w:pPr>
                  <w:r>
                    <w:t xml:space="preserve">[−0.020, 0.036]</w:t>
                  </w:r>
                </w:p>
              </w:tc>
              <w:tc>
                <w:tcPr/>
                <w:p>
                  <w:pPr>
                    <w:pStyle w:val="Compact"/>
                  </w:pPr>
                </w:p>
              </w:tc>
              <w:tc>
                <w:tcPr/>
                <w:p>
                  <w:pPr>
                    <w:pStyle w:val="Compact"/>
                    <w:jc w:val="right"/>
                    <w:jc w:val="center"/>
                  </w:pPr>
                  <w:r>
                    <w:t xml:space="preserve">−0.2 ± 0.5</w:t>
                  </w:r>
                </w:p>
              </w:tc>
              <w:tc>
                <w:tcPr/>
                <w:p>
                  <w:pPr>
                    <w:pStyle w:val="Compact"/>
                    <w:jc w:val="right"/>
                    <w:jc w:val="center"/>
                  </w:pPr>
                  <w:r>
                    <w:t xml:space="preserve">5,856</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Drift criterion</w:t>
                  </w:r>
                </w:p>
              </w:tc>
              <w:tc>
                <w:tcPr/>
                <w:p>
                  <w:pPr>
                    <w:pStyle w:val="Compact"/>
                    <w:jc w:val="right"/>
                    <w:jc w:val="center"/>
                  </w:pPr>
                  <w:r>
                    <w:t xml:space="preserve">−0.074</w:t>
                  </w:r>
                </w:p>
              </w:tc>
              <w:tc>
                <w:tcPr/>
                <w:p>
                  <w:pPr>
                    <w:pStyle w:val="Compact"/>
                    <w:jc w:val="right"/>
                    <w:jc w:val="center"/>
                  </w:pPr>
                  <w:r>
                    <w:t xml:space="preserve">[−0.159, 0.011]</w:t>
                  </w:r>
                </w:p>
              </w:tc>
              <w:tc>
                <w:tcPr/>
                <w:p>
                  <w:pPr>
                    <w:pStyle w:val="Compact"/>
                  </w:pPr>
                </w:p>
              </w:tc>
              <w:tc>
                <w:tcPr/>
                <w:p>
                  <w:pPr>
                    <w:pStyle w:val="Compact"/>
                  </w:pPr>
                </w:p>
              </w:tc>
              <w:tc>
                <w:tcPr/>
                <w:p>
                  <w:pPr>
                    <w:pStyle w:val="Compact"/>
                    <w:jc w:val="right"/>
                    <w:jc w:val="center"/>
                  </w:pPr>
                  <w:r>
                    <w:t xml:space="preserve">6,299</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Evidence quality</w:t>
                  </w:r>
                </w:p>
              </w:tc>
              <w:tc>
                <w:tcPr/>
                <w:p>
                  <w:pPr>
                    <w:pStyle w:val="Compact"/>
                    <w:jc w:val="right"/>
                    <w:jc w:val="center"/>
                  </w:pPr>
                  <w:r>
                    <w:t xml:space="preserve">0.032</w:t>
                  </w:r>
                </w:p>
              </w:tc>
              <w:tc>
                <w:tcPr/>
                <w:p>
                  <w:pPr>
                    <w:pStyle w:val="Compact"/>
                    <w:jc w:val="right"/>
                    <w:jc w:val="center"/>
                  </w:pPr>
                  <w:r>
                    <w:t xml:space="preserve">[−0.036, 0.100]</w:t>
                  </w:r>
                </w:p>
              </w:tc>
              <w:tc>
                <w:tcPr/>
                <w:p>
                  <w:pPr>
                    <w:pStyle w:val="Compact"/>
                  </w:pPr>
                </w:p>
              </w:tc>
              <w:tc>
                <w:tcPr/>
                <w:p>
                  <w:pPr>
                    <w:pStyle w:val="Compact"/>
                  </w:pPr>
                </w:p>
              </w:tc>
              <w:tc>
                <w:tcPr/>
                <w:p>
                  <w:pPr>
                    <w:pStyle w:val="Compact"/>
                    <w:jc w:val="right"/>
                    <w:jc w:val="center"/>
                  </w:pPr>
                  <w:r>
                    <w:t xml:space="preserve">6,299</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Boundary separation</w:t>
                  </w:r>
                </w:p>
              </w:tc>
              <w:tc>
                <w:tcPr/>
                <w:p>
                  <w:pPr>
                    <w:pStyle w:val="Compact"/>
                    <w:jc w:val="right"/>
                    <w:jc w:val="center"/>
                  </w:pPr>
                  <w:r>
                    <w:t xml:space="preserve">0.029</w:t>
                  </w:r>
                </w:p>
              </w:tc>
              <w:tc>
                <w:tcPr/>
                <w:p>
                  <w:pPr>
                    <w:pStyle w:val="Compact"/>
                    <w:jc w:val="right"/>
                    <w:jc w:val="center"/>
                  </w:pPr>
                  <w:r>
                    <w:t xml:space="preserve">[0.006, 0.052]</w:t>
                  </w:r>
                </w:p>
              </w:tc>
              <w:tc>
                <w:tcPr/>
                <w:p>
                  <w:pPr>
                    <w:pStyle w:val="Compact"/>
                    <w:jc w:val="right"/>
                    <w:jc w:val="center"/>
                  </w:pPr>
                  <w:r>
                    <w:t xml:space="preserve">+2.9% [0.6, 5.4]</w:t>
                  </w:r>
                </w:p>
              </w:tc>
              <w:tc>
                <w:tcPr/>
                <w:p>
                  <w:pPr>
                    <w:pStyle w:val="Compact"/>
                  </w:pPr>
                </w:p>
              </w:tc>
              <w:tc>
                <w:tcPr/>
                <w:p>
                  <w:pPr>
                    <w:pStyle w:val="Compact"/>
                    <w:jc w:val="right"/>
                    <w:jc w:val="center"/>
                  </w:pPr>
                  <w:r>
                    <w:t xml:space="preserve">6,299</w:t>
                  </w:r>
                </w:p>
              </w:tc>
            </w:tr>
            <w:tr>
              <w:tc>
                <w:tcPr/>
                <w:p>
                  <w:pPr>
                    <w:pStyle w:val="Compact"/>
                    <w:jc w:val="left"/>
                    <w:jc w:val="center"/>
                  </w:pPr>
                  <w:r>
                    <w:t xml:space="preserve">Effort effects in the pupil subsample (P0)</w:t>
                  </w:r>
                </w:p>
              </w:tc>
              <w:tc>
                <w:tcPr/>
                <w:p>
                  <w:pPr>
                    <w:pStyle w:val="Compact"/>
                    <w:jc w:val="right"/>
                    <w:jc w:val="center"/>
                  </w:pPr>
                  <w:r>
                    <w:t xml:space="preserve">P0</w:t>
                  </w:r>
                </w:p>
              </w:tc>
              <w:tc>
                <w:tcPr/>
                <w:p>
                  <w:pPr>
                    <w:pStyle w:val="Compact"/>
                    <w:jc w:val="right"/>
                    <w:jc w:val="center"/>
                  </w:pPr>
                  <w:r>
                    <w:t xml:space="preserve">Starting point</w:t>
                  </w:r>
                </w:p>
              </w:tc>
              <w:tc>
                <w:tcPr/>
                <w:p>
                  <w:pPr>
                    <w:pStyle w:val="Compact"/>
                    <w:jc w:val="right"/>
                    <w:jc w:val="center"/>
                  </w:pPr>
                  <w:r>
                    <w:t xml:space="preserve">−0.008</w:t>
                  </w:r>
                </w:p>
              </w:tc>
              <w:tc>
                <w:tcPr/>
                <w:p>
                  <w:pPr>
                    <w:pStyle w:val="Compact"/>
                    <w:jc w:val="right"/>
                    <w:jc w:val="center"/>
                  </w:pPr>
                  <w:r>
                    <w:t xml:space="preserve">[−0.082, 0.065]</w:t>
                  </w:r>
                </w:p>
              </w:tc>
              <w:tc>
                <w:tcPr/>
                <w:p>
                  <w:pPr>
                    <w:pStyle w:val="Compact"/>
                  </w:pPr>
                </w:p>
              </w:tc>
              <w:tc>
                <w:tcPr/>
                <w:p>
                  <w:pPr>
                    <w:pStyle w:val="Compact"/>
                  </w:pPr>
                </w:p>
              </w:tc>
              <w:tc>
                <w:tcPr/>
                <w:p>
                  <w:pPr>
                    <w:pStyle w:val="Compact"/>
                    <w:jc w:val="right"/>
                    <w:jc w:val="center"/>
                  </w:pPr>
                  <w:r>
                    <w:t xml:space="preserve">6,299</w:t>
                  </w:r>
                </w:p>
              </w:tc>
            </w:tr>
          </w:tbl>
          <w:p>
            <w:pPr>
              <w:jc w:val="center"/>
            </w:pPr>
            <w:r>
              <w:rPr>
                <w:i/>
                <w:iCs/>
              </w:rPr>
              <w:t xml:space="preserve">Note.</w:t>
            </w:r>
            <w:r>
              <w:t xml:space="preserve"> </w:t>
            </w:r>
            <w:r>
              <w:t xml:space="preserve">P1, P2, and P3 are compared with P0. P4 and P5 are compared with the baseline for P4–P5. P3 without the slowest trials is compared with its own baseline. P6 is compared with the baseline for P6, P7 with the baseline for P7, and P8 with the baseline for P8. P5, P3 without the slowest trials, P6, P7, and P8 are in the ordering table rather than this slope table.</w:t>
            </w:r>
          </w:p>
          <w:bookmarkEnd w:id="1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supptbl-pupil-descriptives"/>
          <w:p>
            <w:pPr>
              <w:jc w:val="center"/>
            </w:pPr>
            <w:pPr>
              <w:jc w:val="left"/>
              <w:spacing w:before="200"/>
              <w:pStyle w:val="ImageCaption"/>
            </w:pPr>
            <w:r>
              <w:t xml:space="preserve">Table S14: Mean pupil by effort and task. The pre-squeeze row is the mean over the TEPR window.</w:t>
            </w:r>
          </w:p>
          <w:tbl>
            <w:tblPr>
              <w:tblStyle w:val="Table"/>
              <w:tblW w:type="pct" w:w="5000"/>
              <w:tblLayout w:type="fixed"/>
              <w:tblLook w:firstRow="1" w:lastRow="0" w:firstColumn="0" w:lastColumn="0" w:noHBand="0" w:noVBand="0" w:val="0020"/>
            </w:tblPr>
            <w:tblGrid>
              <w:gridCol w:w="2489"/>
              <w:gridCol w:w="377"/>
              <w:gridCol w:w="301"/>
              <w:gridCol w:w="1206"/>
              <w:gridCol w:w="1131"/>
              <w:gridCol w:w="829"/>
              <w:gridCol w:w="1056"/>
              <w:gridCol w:w="528"/>
            </w:tblGrid>
            <w:tr>
              <w:trPr>
                <w:tblHeader w:val="on"/>
              </w:trPr>
              <w:tc>
                <w:tcPr/>
                <w:p>
                  <w:pPr>
                    <w:pStyle w:val="Compact"/>
                    <w:jc w:val="left"/>
                    <w:jc w:val="center"/>
                  </w:pPr>
                  <w:r>
                    <w:t xml:space="preserve">Measure</w:t>
                  </w:r>
                </w:p>
              </w:tc>
              <w:tc>
                <w:tcPr/>
                <w:p>
                  <w:pPr>
                    <w:pStyle w:val="Compact"/>
                    <w:jc w:val="right"/>
                    <w:jc w:val="center"/>
                  </w:pPr>
                  <w:r>
                    <w:t xml:space="preserve">Task</w:t>
                  </w:r>
                </w:p>
              </w:tc>
              <w:tc>
                <w:tcPr/>
                <w:p>
                  <w:pPr>
                    <w:pStyle w:val="Compact"/>
                    <w:jc w:val="right"/>
                    <w:jc w:val="center"/>
                  </w:pPr>
                  <w:r>
                    <w:rPr>
                      <w:i/>
                      <w:iCs/>
                    </w:rPr>
                    <w:t xml:space="preserve">n</w:t>
                  </w:r>
                </w:p>
              </w:tc>
              <w:tc>
                <w:tcPr/>
                <w:p>
                  <w:pPr>
                    <w:pStyle w:val="Compact"/>
                    <w:jc w:val="right"/>
                    <w:jc w:val="center"/>
                  </w:pPr>
                  <w:r>
                    <w:t xml:space="preserve">High</w:t>
                  </w:r>
                  <w:r>
                    <w:t xml:space="preserve"> </w:t>
                  </w:r>
                  <w:r>
                    <w:rPr>
                      <w:i/>
                      <w:iCs/>
                    </w:rPr>
                    <w:t xml:space="preserve">M</w:t>
                  </w:r>
                  <w:r>
                    <w:t xml:space="preserve"> </w:t>
                  </w:r>
                  <w:r>
                    <w:t xml:space="preserve">(</w:t>
                  </w:r>
                  <w:r>
                    <w:rPr>
                      <w:i/>
                      <w:iCs/>
                    </w:rPr>
                    <w:t xml:space="preserve">SD</w:t>
                  </w:r>
                  <w:r>
                    <w:t xml:space="preserve">)</w:t>
                  </w:r>
                </w:p>
              </w:tc>
              <w:tc>
                <w:tcPr/>
                <w:p>
                  <w:pPr>
                    <w:pStyle w:val="Compact"/>
                    <w:jc w:val="right"/>
                    <w:jc w:val="center"/>
                  </w:pPr>
                  <w:r>
                    <w:t xml:space="preserve">Low</w:t>
                  </w:r>
                  <w:r>
                    <w:t xml:space="preserve"> </w:t>
                  </w:r>
                  <w:r>
                    <w:rPr>
                      <w:i/>
                      <w:iCs/>
                    </w:rPr>
                    <w:t xml:space="preserve">M</w:t>
                  </w:r>
                  <w:r>
                    <w:t xml:space="preserve"> </w:t>
                  </w:r>
                  <w:r>
                    <w:t xml:space="preserve">(</w:t>
                  </w:r>
                  <w:r>
                    <w:rPr>
                      <w:i/>
                      <w:iCs/>
                    </w:rPr>
                    <w:t xml:space="preserve">SD</w:t>
                  </w:r>
                  <w:r>
                    <w:t xml:space="preserve">)</w:t>
                  </w:r>
                </w:p>
              </w:tc>
              <w:tc>
                <w:tcPr/>
                <w:p>
                  <w:pPr>
                    <w:pStyle w:val="Compact"/>
                    <w:jc w:val="right"/>
                    <w:jc w:val="center"/>
                  </w:pPr>
                  <w:r>
                    <w:t xml:space="preserve">High − Low</w:t>
                  </w:r>
                </w:p>
              </w:tc>
              <w:tc>
                <w:tcPr/>
                <w:p>
                  <w:pPr>
                    <w:pStyle w:val="Compact"/>
                    <w:jc w:val="right"/>
                    <w:jc w:val="center"/>
                  </w:pPr>
                  <w:r>
                    <w:rPr>
                      <w:i/>
                      <w:iCs/>
                    </w:rPr>
                    <w:t xml:space="preserve">t</w:t>
                  </w:r>
                  <w:r>
                    <w:t xml:space="preserve"> </w:t>
                  </w:r>
                  <w:r>
                    <w:t xml:space="preserve">(df)</w:t>
                  </w:r>
                </w:p>
              </w:tc>
              <w:tc>
                <w:tcPr/>
                <w:p>
                  <w:pPr>
                    <w:pStyle w:val="Compact"/>
                    <w:jc w:val="right"/>
                    <w:jc w:val="center"/>
                  </w:pPr>
                  <w:r>
                    <w:rPr>
                      <w:i/>
                      <w:iCs/>
                    </w:rPr>
                    <w:t xml:space="preserve">p</w:t>
                  </w:r>
                </w:p>
              </w:tc>
            </w:tr>
            <w:tr>
              <w:tc>
                <w:tcPr/>
                <w:p>
                  <w:pPr>
                    <w:pStyle w:val="Compact"/>
                    <w:jc w:val="left"/>
                    <w:jc w:val="center"/>
                  </w:pPr>
                  <w:r>
                    <w:t xml:space="preserve">TEPR (B1 baseline)</w:t>
                  </w:r>
                </w:p>
              </w:tc>
              <w:tc>
                <w:tcPr/>
                <w:p>
                  <w:pPr>
                    <w:pStyle w:val="Compact"/>
                    <w:jc w:val="right"/>
                    <w:jc w:val="center"/>
                  </w:pPr>
                  <w:r>
                    <w:t xml:space="preserve">ADT</w:t>
                  </w:r>
                </w:p>
              </w:tc>
              <w:tc>
                <w:tcPr/>
                <w:p>
                  <w:pPr>
                    <w:pStyle w:val="Compact"/>
                    <w:jc w:val="right"/>
                    <w:jc w:val="center"/>
                  </w:pPr>
                  <w:r>
                    <w:t xml:space="preserve">36</w:t>
                  </w:r>
                </w:p>
              </w:tc>
              <w:tc>
                <w:tcPr/>
                <w:p>
                  <w:pPr>
                    <w:pStyle w:val="Compact"/>
                    <w:jc w:val="right"/>
                    <w:jc w:val="center"/>
                  </w:pPr>
                  <w:r>
                    <w:t xml:space="preserve">0.881 (0.953)</w:t>
                  </w:r>
                </w:p>
              </w:tc>
              <w:tc>
                <w:tcPr/>
                <w:p>
                  <w:pPr>
                    <w:pStyle w:val="Compact"/>
                    <w:jc w:val="right"/>
                    <w:jc w:val="center"/>
                  </w:pPr>
                  <w:r>
                    <w:t xml:space="preserve">1.312 (1.026)</w:t>
                  </w:r>
                </w:p>
              </w:tc>
              <w:tc>
                <w:tcPr/>
                <w:p>
                  <w:pPr>
                    <w:pStyle w:val="Compact"/>
                    <w:jc w:val="right"/>
                    <w:jc w:val="center"/>
                  </w:pPr>
                  <w:r>
                    <w:t xml:space="preserve">−0.430</w:t>
                  </w:r>
                </w:p>
              </w:tc>
              <w:tc>
                <w:tcPr/>
                <w:p>
                  <w:pPr>
                    <w:pStyle w:val="Compact"/>
                    <w:jc w:val="right"/>
                    <w:jc w:val="center"/>
                  </w:pPr>
                  <w:r>
                    <w:t xml:space="preserve">t(35) = −4.37</w:t>
                  </w:r>
                </w:p>
              </w:tc>
              <w:tc>
                <w:tcPr/>
                <w:p>
                  <w:pPr>
                    <w:pStyle w:val="Compact"/>
                    <w:jc w:val="right"/>
                    <w:jc w:val="center"/>
                  </w:pPr>
                  <w:r>
                    <w:t xml:space="preserve">&lt; .001</w:t>
                  </w:r>
                </w:p>
              </w:tc>
            </w:tr>
            <w:tr>
              <w:tc>
                <w:tcPr/>
                <w:p>
                  <w:pPr>
                    <w:pStyle w:val="Compact"/>
                    <w:jc w:val="left"/>
                    <w:jc w:val="center"/>
                  </w:pPr>
                  <w:r>
                    <w:t xml:space="preserve">TEPR (B1 baseline)</w:t>
                  </w:r>
                </w:p>
              </w:tc>
              <w:tc>
                <w:tcPr/>
                <w:p>
                  <w:pPr>
                    <w:pStyle w:val="Compact"/>
                    <w:jc w:val="right"/>
                    <w:jc w:val="center"/>
                  </w:pPr>
                  <w:r>
                    <w:t xml:space="preserve">VDT</w:t>
                  </w:r>
                </w:p>
              </w:tc>
              <w:tc>
                <w:tcPr/>
                <w:p>
                  <w:pPr>
                    <w:pStyle w:val="Compact"/>
                    <w:jc w:val="right"/>
                    <w:jc w:val="center"/>
                  </w:pPr>
                  <w:r>
                    <w:t xml:space="preserve">41</w:t>
                  </w:r>
                </w:p>
              </w:tc>
              <w:tc>
                <w:tcPr/>
                <w:p>
                  <w:pPr>
                    <w:pStyle w:val="Compact"/>
                    <w:jc w:val="right"/>
                    <w:jc w:val="center"/>
                  </w:pPr>
                  <w:r>
                    <w:t xml:space="preserve">0.754 (0.718)</w:t>
                  </w:r>
                </w:p>
              </w:tc>
              <w:tc>
                <w:tcPr/>
                <w:p>
                  <w:pPr>
                    <w:pStyle w:val="Compact"/>
                    <w:jc w:val="right"/>
                    <w:jc w:val="center"/>
                  </w:pPr>
                  <w:r>
                    <w:t xml:space="preserve">0.929 (0.869)</w:t>
                  </w:r>
                </w:p>
              </w:tc>
              <w:tc>
                <w:tcPr/>
                <w:p>
                  <w:pPr>
                    <w:pStyle w:val="Compact"/>
                    <w:jc w:val="right"/>
                    <w:jc w:val="center"/>
                  </w:pPr>
                  <w:r>
                    <w:t xml:space="preserve">−0.174</w:t>
                  </w:r>
                </w:p>
              </w:tc>
              <w:tc>
                <w:tcPr/>
                <w:p>
                  <w:pPr>
                    <w:pStyle w:val="Compact"/>
                    <w:jc w:val="right"/>
                    <w:jc w:val="center"/>
                  </w:pPr>
                  <w:r>
                    <w:t xml:space="preserve">t(40) = −2.23</w:t>
                  </w:r>
                </w:p>
              </w:tc>
              <w:tc>
                <w:tcPr/>
                <w:p>
                  <w:pPr>
                    <w:pStyle w:val="Compact"/>
                    <w:jc w:val="right"/>
                    <w:jc w:val="center"/>
                  </w:pPr>
                  <w:r>
                    <w:t xml:space="preserve">.031</w:t>
                  </w:r>
                </w:p>
              </w:tc>
            </w:tr>
            <w:tr>
              <w:tc>
                <w:tcPr/>
                <w:p>
                  <w:pPr>
                    <w:pStyle w:val="Compact"/>
                    <w:jc w:val="left"/>
                    <w:jc w:val="center"/>
                  </w:pPr>
                  <w:r>
                    <w:t xml:space="preserve">Mean TEPR (pre-squeeze baseline)</w:t>
                  </w:r>
                </w:p>
              </w:tc>
              <w:tc>
                <w:tcPr/>
                <w:p>
                  <w:pPr>
                    <w:pStyle w:val="Compact"/>
                    <w:jc w:val="right"/>
                    <w:jc w:val="center"/>
                  </w:pPr>
                  <w:r>
                    <w:t xml:space="preserve">ADT</w:t>
                  </w:r>
                </w:p>
              </w:tc>
              <w:tc>
                <w:tcPr/>
                <w:p>
                  <w:pPr>
                    <w:pStyle w:val="Compact"/>
                    <w:jc w:val="right"/>
                    <w:jc w:val="center"/>
                  </w:pPr>
                  <w:r>
                    <w:t xml:space="preserve">36</w:t>
                  </w:r>
                </w:p>
              </w:tc>
              <w:tc>
                <w:tcPr/>
                <w:p>
                  <w:pPr>
                    <w:pStyle w:val="Compact"/>
                    <w:jc w:val="right"/>
                    <w:jc w:val="center"/>
                  </w:pPr>
                  <w:r>
                    <w:t xml:space="preserve">0.582 (1.336)</w:t>
                  </w:r>
                </w:p>
              </w:tc>
              <w:tc>
                <w:tcPr/>
                <w:p>
                  <w:pPr>
                    <w:pStyle w:val="Compact"/>
                    <w:jc w:val="right"/>
                    <w:jc w:val="center"/>
                  </w:pPr>
                  <w:r>
                    <w:t xml:space="preserve">0.430 (1.440)</w:t>
                  </w:r>
                </w:p>
              </w:tc>
              <w:tc>
                <w:tcPr/>
                <w:p>
                  <w:pPr>
                    <w:pStyle w:val="Compact"/>
                    <w:jc w:val="right"/>
                    <w:jc w:val="center"/>
                  </w:pPr>
                  <w:r>
                    <w:t xml:space="preserve">0.152</w:t>
                  </w:r>
                </w:p>
              </w:tc>
              <w:tc>
                <w:tcPr/>
                <w:p>
                  <w:pPr>
                    <w:pStyle w:val="Compact"/>
                    <w:jc w:val="right"/>
                    <w:jc w:val="center"/>
                  </w:pPr>
                  <w:r>
                    <w:t xml:space="preserve">t(35) = 0.91</w:t>
                  </w:r>
                </w:p>
              </w:tc>
              <w:tc>
                <w:tcPr/>
                <w:p>
                  <w:pPr>
                    <w:pStyle w:val="Compact"/>
                    <w:jc w:val="right"/>
                    <w:jc w:val="center"/>
                  </w:pPr>
                  <w:r>
                    <w:t xml:space="preserve">.369</w:t>
                  </w:r>
                </w:p>
              </w:tc>
            </w:tr>
            <w:tr>
              <w:tc>
                <w:tcPr/>
                <w:p>
                  <w:pPr>
                    <w:pStyle w:val="Compact"/>
                    <w:jc w:val="left"/>
                    <w:jc w:val="center"/>
                  </w:pPr>
                  <w:r>
                    <w:t xml:space="preserve">Mean TEPR (pre-squeeze baseline)</w:t>
                  </w:r>
                </w:p>
              </w:tc>
              <w:tc>
                <w:tcPr/>
                <w:p>
                  <w:pPr>
                    <w:pStyle w:val="Compact"/>
                    <w:jc w:val="right"/>
                    <w:jc w:val="center"/>
                  </w:pPr>
                  <w:r>
                    <w:t xml:space="preserve">VDT</w:t>
                  </w:r>
                </w:p>
              </w:tc>
              <w:tc>
                <w:tcPr/>
                <w:p>
                  <w:pPr>
                    <w:pStyle w:val="Compact"/>
                    <w:jc w:val="right"/>
                    <w:jc w:val="center"/>
                  </w:pPr>
                  <w:r>
                    <w:t xml:space="preserve">41</w:t>
                  </w:r>
                </w:p>
              </w:tc>
              <w:tc>
                <w:tcPr/>
                <w:p>
                  <w:pPr>
                    <w:pStyle w:val="Compact"/>
                    <w:jc w:val="right"/>
                    <w:jc w:val="center"/>
                  </w:pPr>
                  <w:r>
                    <w:t xml:space="preserve">0.362 (1.054)</w:t>
                  </w:r>
                </w:p>
              </w:tc>
              <w:tc>
                <w:tcPr/>
                <w:p>
                  <w:pPr>
                    <w:pStyle w:val="Compact"/>
                    <w:jc w:val="right"/>
                    <w:jc w:val="center"/>
                  </w:pPr>
                  <w:r>
                    <w:t xml:space="preserve">0.267 (0.998)</w:t>
                  </w:r>
                </w:p>
              </w:tc>
              <w:tc>
                <w:tcPr/>
                <w:p>
                  <w:pPr>
                    <w:pStyle w:val="Compact"/>
                    <w:jc w:val="right"/>
                    <w:jc w:val="center"/>
                  </w:pPr>
                  <w:r>
                    <w:t xml:space="preserve">0.095</w:t>
                  </w:r>
                </w:p>
              </w:tc>
              <w:tc>
                <w:tcPr/>
                <w:p>
                  <w:pPr>
                    <w:pStyle w:val="Compact"/>
                    <w:jc w:val="right"/>
                    <w:jc w:val="center"/>
                  </w:pPr>
                  <w:r>
                    <w:t xml:space="preserve">t(40) = 0.92</w:t>
                  </w:r>
                </w:p>
              </w:tc>
              <w:tc>
                <w:tcPr/>
                <w:p>
                  <w:pPr>
                    <w:pStyle w:val="Compact"/>
                    <w:jc w:val="right"/>
                    <w:jc w:val="center"/>
                  </w:pPr>
                  <w:r>
                    <w:t xml:space="preserve">.361</w:t>
                  </w:r>
                </w:p>
              </w:tc>
            </w:tr>
            <w:tr>
              <w:tc>
                <w:tcPr/>
                <w:p>
                  <w:pPr>
                    <w:pStyle w:val="Compact"/>
                    <w:jc w:val="left"/>
                    <w:jc w:val="center"/>
                  </w:pPr>
                  <w:r>
                    <w:t xml:space="preserve">Grip-period pupil</w:t>
                  </w:r>
                </w:p>
              </w:tc>
              <w:tc>
                <w:tcPr/>
                <w:p>
                  <w:pPr>
                    <w:pStyle w:val="Compact"/>
                    <w:jc w:val="right"/>
                    <w:jc w:val="center"/>
                  </w:pPr>
                  <w:r>
                    <w:t xml:space="preserve">ADT</w:t>
                  </w:r>
                </w:p>
              </w:tc>
              <w:tc>
                <w:tcPr/>
                <w:p>
                  <w:pPr>
                    <w:pStyle w:val="Compact"/>
                    <w:jc w:val="right"/>
                    <w:jc w:val="center"/>
                  </w:pPr>
                  <w:r>
                    <w:t xml:space="preserve">35</w:t>
                  </w:r>
                </w:p>
              </w:tc>
              <w:tc>
                <w:tcPr/>
                <w:p>
                  <w:pPr>
                    <w:pStyle w:val="Compact"/>
                    <w:jc w:val="right"/>
                    <w:jc w:val="center"/>
                  </w:pPr>
                  <w:r>
                    <w:t xml:space="preserve">−0.164 (1.061)</w:t>
                  </w:r>
                </w:p>
              </w:tc>
              <w:tc>
                <w:tcPr/>
                <w:p>
                  <w:pPr>
                    <w:pStyle w:val="Compact"/>
                    <w:jc w:val="right"/>
                    <w:jc w:val="center"/>
                  </w:pPr>
                  <w:r>
                    <w:t xml:space="preserve">−0.524 (0.950)</w:t>
                  </w:r>
                </w:p>
              </w:tc>
              <w:tc>
                <w:tcPr/>
                <w:p>
                  <w:pPr>
                    <w:pStyle w:val="Compact"/>
                    <w:jc w:val="right"/>
                    <w:jc w:val="center"/>
                  </w:pPr>
                  <w:r>
                    <w:t xml:space="preserve">0.360</w:t>
                  </w:r>
                </w:p>
              </w:tc>
              <w:tc>
                <w:tcPr/>
                <w:p>
                  <w:pPr>
                    <w:pStyle w:val="Compact"/>
                    <w:jc w:val="right"/>
                    <w:jc w:val="center"/>
                  </w:pPr>
                  <w:r>
                    <w:t xml:space="preserve">t(34) = 2.31</w:t>
                  </w:r>
                </w:p>
              </w:tc>
              <w:tc>
                <w:tcPr/>
                <w:p>
                  <w:pPr>
                    <w:pStyle w:val="Compact"/>
                    <w:jc w:val="right"/>
                    <w:jc w:val="center"/>
                  </w:pPr>
                  <w:r>
                    <w:t xml:space="preserve">.027</w:t>
                  </w:r>
                </w:p>
              </w:tc>
            </w:tr>
            <w:tr>
              <w:tc>
                <w:tcPr/>
                <w:p>
                  <w:pPr>
                    <w:pStyle w:val="Compact"/>
                    <w:jc w:val="left"/>
                    <w:jc w:val="center"/>
                  </w:pPr>
                  <w:r>
                    <w:t xml:space="preserve">Grip-period pupil</w:t>
                  </w:r>
                </w:p>
              </w:tc>
              <w:tc>
                <w:tcPr/>
                <w:p>
                  <w:pPr>
                    <w:pStyle w:val="Compact"/>
                    <w:jc w:val="right"/>
                    <w:jc w:val="center"/>
                  </w:pPr>
                  <w:r>
                    <w:t xml:space="preserve">VDT</w:t>
                  </w:r>
                </w:p>
              </w:tc>
              <w:tc>
                <w:tcPr/>
                <w:p>
                  <w:pPr>
                    <w:pStyle w:val="Compact"/>
                    <w:jc w:val="right"/>
                    <w:jc w:val="center"/>
                  </w:pPr>
                  <w:r>
                    <w:t xml:space="preserve">41</w:t>
                  </w:r>
                </w:p>
              </w:tc>
              <w:tc>
                <w:tcPr/>
                <w:p>
                  <w:pPr>
                    <w:pStyle w:val="Compact"/>
                    <w:jc w:val="right"/>
                    <w:jc w:val="center"/>
                  </w:pPr>
                  <w:r>
                    <w:t xml:space="preserve">−0.210 (0.885)</w:t>
                  </w:r>
                </w:p>
              </w:tc>
              <w:tc>
                <w:tcPr/>
                <w:p>
                  <w:pPr>
                    <w:pStyle w:val="Compact"/>
                    <w:jc w:val="right"/>
                    <w:jc w:val="center"/>
                  </w:pPr>
                  <w:r>
                    <w:t xml:space="preserve">−0.406 (0.942)</w:t>
                  </w:r>
                </w:p>
              </w:tc>
              <w:tc>
                <w:tcPr/>
                <w:p>
                  <w:pPr>
                    <w:pStyle w:val="Compact"/>
                    <w:jc w:val="right"/>
                    <w:jc w:val="center"/>
                  </w:pPr>
                  <w:r>
                    <w:t xml:space="preserve">0.196</w:t>
                  </w:r>
                </w:p>
              </w:tc>
              <w:tc>
                <w:tcPr/>
                <w:p>
                  <w:pPr>
                    <w:pStyle w:val="Compact"/>
                    <w:jc w:val="right"/>
                    <w:jc w:val="center"/>
                  </w:pPr>
                  <w:r>
                    <w:t xml:space="preserve">t(40) = 1.62</w:t>
                  </w:r>
                </w:p>
              </w:tc>
              <w:tc>
                <w:tcPr/>
                <w:p>
                  <w:pPr>
                    <w:pStyle w:val="Compact"/>
                    <w:jc w:val="right"/>
                    <w:jc w:val="center"/>
                  </w:pPr>
                  <w:r>
                    <w:t xml:space="preserve">.114</w:t>
                  </w:r>
                </w:p>
              </w:tc>
            </w:tr>
          </w:tbl>
          <w:p>
            <w:pPr>
              <w:jc w:val="center"/>
            </w:pPr>
            <w:r>
              <w:rPr>
                <w:i/>
                <w:iCs/>
              </w:rPr>
              <w:t xml:space="preserve">Note.</w:t>
            </w:r>
            <w:r>
              <w:t xml:space="preserve"> </w:t>
            </w:r>
            <w:r>
              <w:t xml:space="preserve">n is the number of participants with both effort levels for that task. The paired test drops anyone missing one level. The final pupil sample is 51 participants.</w:t>
            </w:r>
          </w:p>
          <w:bookmarkEnd w:id="1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58" w:name="suppfig-tepr"/>
          <w:p>
            <w:pPr>
              <w:jc w:val="center"/>
            </w:pPr>
            <w:r>
              <w:drawing>
                <wp:inline>
                  <wp:extent cx="5334000" cy="4878658"/>
                  <wp:effectExtent b="0" l="0" r="0" t="0"/>
                  <wp:docPr descr="" title="" id="156" name="Picture"/>
                  <a:graphic>
                    <a:graphicData uri="http://schemas.openxmlformats.org/drawingml/2006/picture">
                      <pic:pic>
                        <pic:nvPicPr>
                          <pic:cNvPr descr="../output/ddm_refits/runs/final_20261016/figures/final/S_tepr_timecourse.png" id="157" name="Picture"/>
                          <pic:cNvPicPr>
                            <a:picLocks noChangeArrowheads="1" noChangeAspect="1"/>
                          </pic:cNvPicPr>
                        </pic:nvPicPr>
                        <pic:blipFill>
                          <a:blip r:embed="rId155"/>
                          <a:stretch>
                            <a:fillRect/>
                          </a:stretch>
                        </pic:blipFill>
                        <pic:spPr bwMode="auto">
                          <a:xfrm>
                            <a:off x="0" y="0"/>
                            <a:ext cx="5334000" cy="4878658"/>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Mean baseline-corrected pupil by task and effort. The grey band is the grip period and the blue band is the TEPR window. The solid line is probe onset and the dashed line is the response cue. Dotted lines: gauge offset (3.00 s) and standard onset (3.75 s). The brief dip at 6.02 s in the VDT comes from one sample in 58 trials from two participants whose recordings were segmented from eye-tracker event codes; it changes those trials’ TEPR by less than 5% of a within-person SD.</w:t>
            </w:r>
          </w:p>
          <w:bookmarkEnd w:id="158"/>
        </w:tc>
      </w:tr>
    </w:tbl>
    <w:p>
      <w:pPr>
        <w:pStyle w:val="BodyText"/>
      </w:pPr>
      <w:r>
        <w:t xml:space="preserve">Table S15 lists the formula of every model.</w:t>
      </w:r>
    </w:p>
    <w:tbl>
      <w:tblPr>
        <w:tblStyle w:val="Table"/>
        <w:tblW w:type="pct" w:w="5000"/>
        <w:tblLayout w:type="fixed"/>
        <w:tblLook w:firstRow="0" w:lastRow="0" w:firstColumn="0" w:lastColumn="0" w:noHBand="0" w:noVBand="0" w:val="0000"/>
      </w:tblPr>
      <w:tblGrid>
        <w:gridCol w:w="7920"/>
      </w:tblGrid>
      <w:tr>
        <w:tc>
          <w:tcPr/>
          <w:bookmarkStart w:id="159" w:name="supptbl-formulas"/>
          <w:p>
            <w:pPr>
              <w:jc w:val="center"/>
            </w:pPr>
            <w:pPr>
              <w:jc w:val="left"/>
              <w:spacing w:before="200"/>
              <w:pStyle w:val="ImageCaption"/>
            </w:pPr>
            <w:r>
              <w:t xml:space="preserve">Table S15: brms formulas for each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Model</w:t>
                  </w:r>
                </w:p>
              </w:tc>
              <w:tc>
                <w:tcPr/>
                <w:p>
                  <w:pPr>
                    <w:pStyle w:val="Compact"/>
                    <w:jc w:val="left"/>
                    <w:jc w:val="center"/>
                  </w:pPr>
                  <w:r>
                    <w:t xml:space="preserve">Formula</w:t>
                  </w:r>
                </w:p>
              </w:tc>
            </w:tr>
            <w:tr>
              <w:tc>
                <w:tcPr/>
                <w:p>
                  <w:pPr>
                    <w:pStyle w:val="Compact"/>
                    <w:jc w:val="left"/>
                    <w:jc w:val="center"/>
                  </w:pPr>
                  <w:r>
                    <w:t xml:space="preserve">M0</w:t>
                  </w:r>
                </w:p>
              </w:tc>
              <w:tc>
                <w:tcPr/>
                <w:p>
                  <w:pPr>
                    <w:pStyle w:val="Compact"/>
                    <w:jc w:val="left"/>
                    <w:jc w:val="center"/>
                  </w:pPr>
                  <w:r>
                    <w:rPr>
                      <w:rStyle w:val="VerbatimChar"/>
                    </w:rPr>
                    <w:t xml:space="preserve">rt | dec(choice_binary) ~ difficulty_3 + (1 | subject_id); bs ~ difficulty_3 + (1 | subject_id); ndt ~ 1; bias ~ task + effort_condition + (1 | subject_id)</w:t>
                  </w:r>
                </w:p>
              </w:tc>
            </w:tr>
            <w:tr>
              <w:tc>
                <w:tcPr/>
                <w:p>
                  <w:pPr>
                    <w:pStyle w:val="Compact"/>
                    <w:jc w:val="left"/>
                    <w:jc w:val="center"/>
                  </w:pPr>
                  <w:r>
                    <w:t xml:space="preserve">M1</w:t>
                  </w:r>
                </w:p>
              </w:tc>
              <w:tc>
                <w:tcPr/>
                <w:p>
                  <w:pPr>
                    <w:pStyle w:val="Compact"/>
                    <w:jc w:val="left"/>
                    <w:jc w:val="center"/>
                  </w:pPr>
                  <w:r>
                    <w:rPr>
                      <w:rStyle w:val="VerbatimChar"/>
                    </w:rPr>
                    <w:t xml:space="preserve">rt | dec(choice_binary) ~ difficulty_3 + effort_condition + (1 | subject_id); bs ~ difficulty_3 + effort_condition + (1 | subject_id); ndt ~ 1; bias ~ task + effort_condition + (1 | subject_id)</w:t>
                  </w:r>
                </w:p>
              </w:tc>
            </w:tr>
            <w:tr>
              <w:tc>
                <w:tcPr/>
                <w:p>
                  <w:pPr>
                    <w:pStyle w:val="Compact"/>
                    <w:jc w:val="left"/>
                    <w:jc w:val="center"/>
                  </w:pPr>
                  <w:r>
                    <w:t xml:space="preserve">M2</w:t>
                  </w:r>
                </w:p>
              </w:tc>
              <w:tc>
                <w:tcPr/>
                <w:p>
                  <w:pPr>
                    <w:pStyle w:val="Compact"/>
                    <w:jc w:val="left"/>
                    <w:jc w:val="center"/>
                  </w:pPr>
                  <w:r>
                    <w:rPr>
                      <w:rStyle w:val="VerbatimChar"/>
                    </w:rPr>
                    <w:t xml:space="preserve">rt | dec(choice_binary) ~ difficulty_3 * effort_condition + (1 | subject_id); bs ~ difficulty_3 * effort_condition + (1 | subject_id); ndt ~ 1; bias ~ task + effort_condition + (1 | subject_id)</w:t>
                  </w:r>
                </w:p>
              </w:tc>
            </w:tr>
            <w:tr>
              <w:tc>
                <w:tcPr/>
                <w:p>
                  <w:pPr>
                    <w:pStyle w:val="Compact"/>
                    <w:jc w:val="left"/>
                    <w:jc w:val="center"/>
                  </w:pPr>
                  <w:r>
                    <w:t xml:space="preserve">M3</w:t>
                  </w:r>
                </w:p>
              </w:tc>
              <w:tc>
                <w:tcPr/>
                <w:p>
                  <w:pPr>
                    <w:pStyle w:val="Compact"/>
                    <w:jc w:val="left"/>
                    <w:jc w:val="center"/>
                  </w:pPr>
                  <w:r>
                    <w:rPr>
                      <w:rStyle w:val="VerbatimChar"/>
                    </w:rPr>
                    <w:t xml:space="preserve">rt | dec(choice_binary) ~ difficulty_3 + effort_condition + effort_x_stim + (1 | subject_id); bs ~ difficulty_3 + effort_condition + (1 | subject_id); ndt ~ 1; bias ~ task + effort_condition + (1 | subject_id)</w:t>
                  </w:r>
                </w:p>
              </w:tc>
            </w:tr>
            <w:tr>
              <w:tc>
                <w:tcPr/>
                <w:p>
                  <w:pPr>
                    <w:pStyle w:val="Compact"/>
                    <w:jc w:val="left"/>
                    <w:jc w:val="center"/>
                  </w:pPr>
                  <w:r>
                    <w:t xml:space="preserve">M4</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M4b</w:t>
                  </w:r>
                </w:p>
              </w:tc>
              <w:tc>
                <w:tcPr/>
                <w:p>
                  <w:pPr>
                    <w:pStyle w:val="Compact"/>
                    <w:jc w:val="left"/>
                    <w:jc w:val="center"/>
                  </w:pPr>
                  <w:r>
                    <w:rPr>
                      <w:rStyle w:val="VerbatimChar"/>
                    </w:rPr>
                    <w:t xml:space="preserve">rt | dec(choice_binary) ~ difficulty_3 * task + effort_condition + effort_x_stim + effort_condition:task + effort_x_stim:task + (1 | subject_id); bs ~ difficulty_3 + task + effort_condition + (1 | subject_id); ndt ~ 1; bias ~ task + effort_condition + (1 | subject_id)</w:t>
                  </w:r>
                </w:p>
              </w:tc>
            </w:tr>
            <w:tr>
              <w:tc>
                <w:tcPr/>
                <w:p>
                  <w:pPr>
                    <w:pStyle w:val="Compact"/>
                    <w:jc w:val="left"/>
                    <w:jc w:val="center"/>
                  </w:pPr>
                  <w:r>
                    <w:t xml:space="preserve">M4r</w:t>
                  </w:r>
                </w:p>
              </w:tc>
              <w:tc>
                <w:tcPr/>
                <w:p>
                  <w:pPr>
                    <w:pStyle w:val="Compact"/>
                    <w:jc w:val="left"/>
                    <w:jc w:val="center"/>
                  </w:pPr>
                  <w:r>
                    <w:rPr>
                      <w:rStyle w:val="VerbatimChar"/>
                    </w:rPr>
                    <w:t xml:space="preserve">rt | dec(choice_binary) ~ difficulty_3 * task + effort_condition + effort_x_stim + (1 + effort_condition | subject_id); bs ~ difficulty_3 + task + effort_condition + (1 + effort_condition | subject_id); ndt ~ 1; bias ~ task + effort_condition + (1 | subject_id)</w:t>
                  </w:r>
                </w:p>
              </w:tc>
            </w:tr>
            <w:tr>
              <w:tc>
                <w:tcPr/>
                <w:p>
                  <w:pPr>
                    <w:pStyle w:val="Compact"/>
                    <w:jc w:val="left"/>
                    <w:jc w:val="center"/>
                  </w:pPr>
                  <w:r>
                    <w:t xml:space="preserve">P0</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P1</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tepr_c + (1 | subject_id)</w:t>
                  </w:r>
                </w:p>
              </w:tc>
            </w:tr>
            <w:tr>
              <w:tc>
                <w:tcPr/>
                <w:p>
                  <w:pPr>
                    <w:pStyle w:val="Compact"/>
                    <w:jc w:val="left"/>
                    <w:jc w:val="center"/>
                  </w:pPr>
                  <w:r>
                    <w:t xml:space="preserve">P2</w:t>
                  </w:r>
                </w:p>
              </w:tc>
              <w:tc>
                <w:tcPr/>
                <w:p>
                  <w:pPr>
                    <w:pStyle w:val="Compact"/>
                    <w:jc w:val="left"/>
                    <w:jc w:val="center"/>
                  </w:pPr>
                  <w:r>
                    <w:rPr>
                      <w:rStyle w:val="VerbatimChar"/>
                    </w:rPr>
                    <w:t xml:space="preserve">rt | dec(choice_binary) ~ difficulty_3 * task + effort_condition + effort_x_stim + tepr_c + tepr_c:stim_sign + (1 | subject_id); bs ~ difficulty_3 + task + effort_condition + (1 | subject_id); ndt ~ 1; bias ~ task + effort_condition + (1 | subject_id)</w:t>
                  </w:r>
                </w:p>
              </w:tc>
            </w:tr>
            <w:tr>
              <w:tc>
                <w:tcPr/>
                <w:p>
                  <w:pPr>
                    <w:pStyle w:val="Compact"/>
                    <w:jc w:val="left"/>
                    <w:jc w:val="center"/>
                  </w:pPr>
                  <w:r>
                    <w:t xml:space="preserve">P3</w:t>
                  </w:r>
                </w:p>
              </w:tc>
              <w:tc>
                <w:tcPr/>
                <w:p>
                  <w:pPr>
                    <w:pStyle w:val="Compact"/>
                    <w:jc w:val="left"/>
                    <w:jc w:val="center"/>
                  </w:pPr>
                  <w:r>
                    <w:rPr>
                      <w:rStyle w:val="VerbatimChar"/>
                    </w:rPr>
                    <w:t xml:space="preserve">rt | dec(choice_binary) ~ difficulty_3 * task + effort_condition + effort_x_stim + (1 | subject_id); bs ~ difficulty_3 + task + effort_condition + tepr_c + (1 | subject_id); ndt ~ 1; bias ~ task + effort_condition + (1 | subject_id)</w:t>
                  </w:r>
                </w:p>
              </w:tc>
            </w:tr>
            <w:tr>
              <w:tc>
                <w:tcPr/>
                <w:p>
                  <w:pPr>
                    <w:pStyle w:val="Compact"/>
                    <w:jc w:val="left"/>
                    <w:jc w:val="center"/>
                  </w:pPr>
                  <w:r>
                    <w:t xml:space="preserve">P3 without slowest trials</w:t>
                  </w:r>
                </w:p>
              </w:tc>
              <w:tc>
                <w:tcPr/>
                <w:p>
                  <w:pPr>
                    <w:pStyle w:val="Compact"/>
                    <w:jc w:val="left"/>
                    <w:jc w:val="center"/>
                  </w:pPr>
                  <w:r>
                    <w:rPr>
                      <w:rStyle w:val="VerbatimChar"/>
                    </w:rPr>
                    <w:t xml:space="preserve">rt | dec(choice_binary) ~ difficulty_3 * task + effort_condition + effort_x_stim + (1 | subject_id); bs ~ difficulty_3 + task + effort_condition + tepr_c + (1 | subject_id); ndt ~ 1; bias ~ task + effort_condition + (1 | subject_id)</w:t>
                  </w:r>
                </w:p>
              </w:tc>
            </w:tr>
            <w:tr>
              <w:tc>
                <w:tcPr/>
                <w:p>
                  <w:pPr>
                    <w:pStyle w:val="Compact"/>
                    <w:jc w:val="left"/>
                    <w:jc w:val="center"/>
                  </w:pPr>
                  <w:r>
                    <w:t xml:space="preserve">P4</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base_c + (1 | subject_id)</w:t>
                  </w:r>
                </w:p>
              </w:tc>
            </w:tr>
            <w:tr>
              <w:tc>
                <w:tcPr/>
                <w:p>
                  <w:pPr>
                    <w:pStyle w:val="Compact"/>
                    <w:jc w:val="left"/>
                    <w:jc w:val="center"/>
                  </w:pPr>
                  <w:r>
                    <w:t xml:space="preserve">P5</w:t>
                  </w:r>
                </w:p>
              </w:tc>
              <w:tc>
                <w:tcPr/>
                <w:p>
                  <w:pPr>
                    <w:pStyle w:val="Compact"/>
                    <w:jc w:val="left"/>
                    <w:jc w:val="center"/>
                  </w:pPr>
                  <w:r>
                    <w:rPr>
                      <w:rStyle w:val="VerbatimChar"/>
                    </w:rPr>
                    <w:t xml:space="preserve">rt | dec(choice_binary) ~ difficulty_3 * task + effort_condition + effort_x_stim + (1 | subject_id); bs ~ difficulty_3 + task + effort_condition + base_c + (1 | subject_id); ndt ~ 1; bias ~ task + effort_condition + (1 | subject_id)</w:t>
                  </w:r>
                </w:p>
              </w:tc>
            </w:tr>
            <w:tr>
              <w:tc>
                <w:tcPr/>
                <w:p>
                  <w:pPr>
                    <w:pStyle w:val="Compact"/>
                    <w:jc w:val="left"/>
                    <w:jc w:val="center"/>
                  </w:pPr>
                  <w:r>
                    <w:t xml:space="preserve">P6</w:t>
                  </w:r>
                </w:p>
              </w:tc>
              <w:tc>
                <w:tcPr/>
                <w:p>
                  <w:pPr>
                    <w:pStyle w:val="Compact"/>
                    <w:jc w:val="left"/>
                    <w:jc w:val="center"/>
                  </w:pPr>
                  <w:r>
                    <w:rPr>
                      <w:rStyle w:val="VerbatimChar"/>
                    </w:rPr>
                    <w:t xml:space="preserve">rt | dec(choice_binary) ~ difficulty_3 * task + effort_condition + effort_x_stim + (1 | subject_id); bs ~ difficulty_3 + task + effort_condition + lag_tepr_c + (1 | subject_id); ndt ~ 1; bias ~ task + effort_condition + (1 | subject_id)</w:t>
                  </w:r>
                </w:p>
              </w:tc>
            </w:tr>
            <w:tr>
              <w:tc>
                <w:tcPr/>
                <w:p>
                  <w:pPr>
                    <w:pStyle w:val="Compact"/>
                    <w:jc w:val="left"/>
                    <w:jc w:val="center"/>
                  </w:pPr>
                  <w:r>
                    <w:t xml:space="preserve">P7</w:t>
                  </w:r>
                </w:p>
              </w:tc>
              <w:tc>
                <w:tcPr/>
                <w:p>
                  <w:pPr>
                    <w:pStyle w:val="Compact"/>
                    <w:jc w:val="left"/>
                    <w:jc w:val="center"/>
                  </w:pPr>
                  <w:r>
                    <w:rPr>
                      <w:rStyle w:val="VerbatimChar"/>
                    </w:rPr>
                    <w:t xml:space="preserve">rt | dec(choice_binary) ~ difficulty_3 * task + effort_condition + effort_x_stim + (1 | subject_id); bs ~ difficulty_3 + task + effort_condition + prechoice_c + (1 | subject_id); ndt ~ 1; bias ~ task + effort_condition + (1 | subject_id)</w:t>
                  </w:r>
                </w:p>
              </w:tc>
            </w:tr>
            <w:tr>
              <w:tc>
                <w:tcPr/>
                <w:p>
                  <w:pPr>
                    <w:pStyle w:val="Compact"/>
                    <w:jc w:val="left"/>
                    <w:jc w:val="center"/>
                  </w:pPr>
                  <w:r>
                    <w:t xml:space="preserve">P8</w:t>
                  </w:r>
                </w:p>
              </w:tc>
              <w:tc>
                <w:tcPr/>
                <w:p>
                  <w:pPr>
                    <w:pStyle w:val="Compact"/>
                    <w:jc w:val="left"/>
                    <w:jc w:val="center"/>
                  </w:pPr>
                  <w:r>
                    <w:rPr>
                      <w:rStyle w:val="VerbatimChar"/>
                    </w:rPr>
                    <w:t xml:space="preserve">rt | dec(choice_binary) ~ difficulty_3 * task + effort_condition + effort_x_stim + (1 | subject_id); bs ~ difficulty_3 + task + effort_condition + grip_c + (1 | subject_id); ndt ~ 1; bias ~ task + effort_condition + (1 | subject_id)</w:t>
                  </w:r>
                </w:p>
              </w:tc>
            </w:tr>
            <w:tr>
              <w:tc>
                <w:tcPr/>
                <w:p>
                  <w:pPr>
                    <w:pStyle w:val="Compact"/>
                    <w:jc w:val="left"/>
                    <w:jc w:val="center"/>
                  </w:pPr>
                  <w:r>
                    <w:t xml:space="preserve">Baseline for P4–P5 `r</w:t>
                  </w:r>
                </w:p>
              </w:tc>
              <w:tc>
                <w:tcPr/>
                <w:p>
                  <w:pPr>
                    <w:pStyle w:val="Compact"/>
                    <w:jc w:val="left"/>
                    <w:jc w:val="center"/>
                  </w:pPr>
                  <w:r>
                    <w:t xml:space="preserve">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Baseline for P6</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Baseline for P7</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Baseline for P8</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r>
              <w:tc>
                <w:tcPr/>
                <w:p>
                  <w:pPr>
                    <w:pStyle w:val="Compact"/>
                    <w:jc w:val="left"/>
                    <w:jc w:val="center"/>
                  </w:pPr>
                  <w:r>
                    <w:t xml:space="preserve">Baseline for P3 without slowest trials</w:t>
                  </w:r>
                </w:p>
              </w:tc>
              <w:tc>
                <w:tcPr/>
                <w:p>
                  <w:pPr>
                    <w:pStyle w:val="Compact"/>
                    <w:jc w:val="left"/>
                    <w:jc w:val="center"/>
                  </w:pPr>
                  <w:r>
                    <w:rPr>
                      <w:rStyle w:val="VerbatimChar"/>
                    </w:rPr>
                    <w:t xml:space="preserve">rt | dec(choice_binary) ~ difficulty_3 * task + effort_condition + effort_x_stim + (1 | subject_id); bs ~ difficulty_3 + task + effort_condition + (1 | subject_id); ndt ~ 1; bias ~ task + effort_condition + (1 | subject_id)</w:t>
                  </w:r>
                </w:p>
              </w:tc>
            </w:tr>
          </w:tbl>
          <w:bookmarkEnd w:id="159"/>
          <w:p/>
        </w:tc>
      </w:tr>
    </w:tbl>
    <w:bookmarkEnd w:id="160"/>
    <w:bookmarkStart w:id="169" w:name="X7cce5f35b5247992e0c040be4a8cd311080a3ce"/>
    <w:p>
      <w:pPr>
        <w:pStyle w:val="Heading2"/>
      </w:pPr>
      <w:r>
        <w:t xml:space="preserve">Behavioral mixed-effects models (dissertation only)</w:t>
      </w:r>
    </w:p>
    <w:p>
      <w:pPr>
        <w:pStyle w:val="FirstParagraph"/>
      </w:pPr>
      <w:r>
        <w:t xml:space="preserve">These models analyze observed accuracy and median RT directly. Their contrasts are cited in Section 3.1.</w:t>
      </w:r>
    </w:p>
    <w:p>
      <w:pPr>
        <w:pStyle w:val="BodyText"/>
      </w:pPr>
      <w:r>
        <w:t xml:space="preserve">Random slopes for effort were singular on both the accuracy and the median-RT models, so each model uses a random intercept only, (1 | subject_id), following</w:t>
      </w:r>
      <w:r>
        <w:t xml:space="preserve"> </w:t>
      </w:r>
      <w:r>
        <w:t xml:space="preserve">Barr et al. (2013)</w:t>
      </w:r>
      <w:r>
        <w:t xml:space="preserve">,</w:t>
      </w:r>
      <w:r>
        <w:t xml:space="preserve"> </w:t>
      </w:r>
      <w:r>
        <w:t xml:space="preserve">Bates, Kliegl, et al. (2015)</w:t>
      </w:r>
      <w:r>
        <w:t xml:space="preserve">, and</w:t>
      </w:r>
      <w:r>
        <w:t xml:space="preserve"> </w:t>
      </w:r>
      <w:r>
        <w:t xml:space="preserve">Brauer &amp; Curtin (2018)</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supptbl-reduction"/>
          <w:p>
            <w:pPr>
              <w:jc w:val="center"/>
            </w:pPr>
            <w:pPr>
              <w:jc w:val="left"/>
              <w:spacing w:before="200"/>
              <w:pStyle w:val="ImageCaption"/>
            </w:pPr>
            <w:r>
              <w:t xml:space="preserve">Table S16: Random-effects reduction for the accuracy and RT models</w:t>
            </w:r>
          </w:p>
          <w:tbl>
            <w:tblPr>
              <w:tblStyle w:val="Table"/>
              <w:tblW w:type="pct" w:w="5000"/>
              <w:tblLayout w:type="fixed"/>
              <w:tblLook w:firstRow="1" w:lastRow="0" w:firstColumn="0" w:lastColumn="0" w:noHBand="0" w:noVBand="0" w:val="0020"/>
            </w:tblPr>
            <w:tblGrid>
              <w:gridCol w:w="649"/>
              <w:gridCol w:w="973"/>
              <w:gridCol w:w="3700"/>
              <w:gridCol w:w="584"/>
              <w:gridCol w:w="714"/>
              <w:gridCol w:w="973"/>
              <w:gridCol w:w="324"/>
            </w:tblGrid>
            <w:tr>
              <w:trPr>
                <w:tblHeader w:val="on"/>
              </w:trPr>
              <w:tc>
                <w:tcPr/>
                <w:p>
                  <w:pPr>
                    <w:pStyle w:val="Compact"/>
                    <w:jc w:val="left"/>
                    <w:jc w:val="center"/>
                  </w:pPr>
                  <w:r>
                    <w:t xml:space="preserve">Outcome</w:t>
                  </w:r>
                </w:p>
              </w:tc>
              <w:tc>
                <w:tcPr/>
                <w:p>
                  <w:pPr>
                    <w:pStyle w:val="Compact"/>
                    <w:jc w:val="right"/>
                    <w:jc w:val="center"/>
                  </w:pPr>
                  <w:r>
                    <w:t xml:space="preserve">Step</w:t>
                  </w:r>
                </w:p>
              </w:tc>
              <w:tc>
                <w:tcPr/>
                <w:p>
                  <w:pPr>
                    <w:pStyle w:val="Compact"/>
                    <w:jc w:val="right"/>
                    <w:jc w:val="center"/>
                  </w:pPr>
                  <w:r>
                    <w:t xml:space="preserve">Random effects</w:t>
                  </w:r>
                </w:p>
              </w:tc>
              <w:tc>
                <w:tcPr/>
                <w:p>
                  <w:pPr>
                    <w:pStyle w:val="Compact"/>
                    <w:jc w:val="right"/>
                    <w:jc w:val="center"/>
                  </w:pPr>
                  <w:r>
                    <w:t xml:space="preserve">Singular</w:t>
                  </w:r>
                </w:p>
              </w:tc>
              <w:tc>
                <w:tcPr/>
                <w:p>
                  <w:pPr>
                    <w:pStyle w:val="Compact"/>
                    <w:jc w:val="right"/>
                    <w:jc w:val="center"/>
                  </w:pPr>
                  <w:r>
                    <w:t xml:space="preserve">Slope</w:t>
                  </w:r>
                  <w:r>
                    <w:t xml:space="preserve"> </w:t>
                  </w:r>
                  <w:r>
                    <w:rPr>
                      <w:i/>
                      <w:iCs/>
                    </w:rPr>
                    <w:t xml:space="preserve">SD</w:t>
                  </w:r>
                </w:p>
              </w:tc>
              <w:tc>
                <w:tcPr/>
                <w:p>
                  <w:pPr>
                    <w:pStyle w:val="Compact"/>
                    <w:jc w:val="right"/>
                    <w:jc w:val="center"/>
                  </w:pPr>
                  <w:r>
                    <w:t xml:space="preserve">Intercept</w:t>
                  </w:r>
                  <w:r>
                    <w:t xml:space="preserve"> </w:t>
                  </w:r>
                  <w:r>
                    <w:rPr>
                      <w:i/>
                      <w:iCs/>
                    </w:rPr>
                    <w:t xml:space="preserve">SD</w:t>
                  </w:r>
                </w:p>
              </w:tc>
              <w:tc>
                <w:tcPr/>
                <w:p>
                  <w:pPr>
                    <w:pStyle w:val="Compact"/>
                    <w:jc w:val="right"/>
                    <w:jc w:val="center"/>
                  </w:pPr>
                  <w:r>
                    <w:t xml:space="preserve">Used</w:t>
                  </w:r>
                </w:p>
              </w:tc>
            </w:tr>
            <w:tr>
              <w:tc>
                <w:tcPr/>
                <w:p>
                  <w:pPr>
                    <w:pStyle w:val="Compact"/>
                    <w:jc w:val="left"/>
                    <w:jc w:val="center"/>
                  </w:pPr>
                  <w:r>
                    <w:t xml:space="preserve">Accuracy</w:t>
                  </w:r>
                </w:p>
              </w:tc>
              <w:tc>
                <w:tcPr/>
                <w:p>
                  <w:pPr>
                    <w:pStyle w:val="Compact"/>
                    <w:jc w:val="right"/>
                    <w:jc w:val="center"/>
                  </w:pPr>
                  <w:r>
                    <w:t xml:space="preserve">maximal</w:t>
                  </w:r>
                </w:p>
              </w:tc>
              <w:tc>
                <w:tcPr/>
                <w:p>
                  <w:pPr>
                    <w:pStyle w:val="Compact"/>
                    <w:jc w:val="right"/>
                    <w:jc w:val="center"/>
                  </w:pPr>
                  <w:r>
                    <w:t xml:space="preserve">(1 + effort_condition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0.717</w:t>
                  </w:r>
                </w:p>
              </w:tc>
              <w:tc>
                <w:tcPr/>
                <w:p>
                  <w:pPr>
                    <w:pStyle w:val="Compact"/>
                    <w:jc w:val="right"/>
                    <w:jc w:val="center"/>
                  </w:pPr>
                  <w:r>
                    <w:t xml:space="preserve">No</w:t>
                  </w:r>
                </w:p>
              </w:tc>
            </w:tr>
            <w:tr>
              <w:tc>
                <w:tcPr/>
                <w:p>
                  <w:pPr>
                    <w:pStyle w:val="Compact"/>
                    <w:jc w:val="left"/>
                    <w:jc w:val="center"/>
                  </w:pPr>
                  <w:r>
                    <w:t xml:space="preserve">Accuracy</w:t>
                  </w:r>
                </w:p>
              </w:tc>
              <w:tc>
                <w:tcPr/>
                <w:p>
                  <w:pPr>
                    <w:pStyle w:val="Compact"/>
                    <w:jc w:val="right"/>
                    <w:jc w:val="center"/>
                  </w:pPr>
                  <w:r>
                    <w:t xml:space="preserve">no correlation</w:t>
                  </w:r>
                </w:p>
              </w:tc>
              <w:tc>
                <w:tcPr/>
                <w:p>
                  <w:pPr>
                    <w:pStyle w:val="Compact"/>
                    <w:jc w:val="right"/>
                    <w:jc w:val="center"/>
                  </w:pPr>
                  <w:r>
                    <w:t xml:space="preserve">(1 | subject_id) + (0 + effort_c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0.701</w:t>
                  </w:r>
                </w:p>
              </w:tc>
              <w:tc>
                <w:tcPr/>
                <w:p>
                  <w:pPr>
                    <w:pStyle w:val="Compact"/>
                    <w:jc w:val="right"/>
                    <w:jc w:val="center"/>
                  </w:pPr>
                  <w:r>
                    <w:t xml:space="preserve">No</w:t>
                  </w:r>
                </w:p>
              </w:tc>
            </w:tr>
            <w:tr>
              <w:tc>
                <w:tcPr/>
                <w:p>
                  <w:pPr>
                    <w:pStyle w:val="Compact"/>
                    <w:jc w:val="left"/>
                    <w:jc w:val="center"/>
                  </w:pPr>
                  <w:r>
                    <w:t xml:space="preserve">Accuracy</w:t>
                  </w:r>
                </w:p>
              </w:tc>
              <w:tc>
                <w:tcPr/>
                <w:p>
                  <w:pPr>
                    <w:pStyle w:val="Compact"/>
                    <w:jc w:val="right"/>
                    <w:jc w:val="center"/>
                  </w:pPr>
                  <w:r>
                    <w:t xml:space="preserve">intercepts</w:t>
                  </w:r>
                </w:p>
              </w:tc>
              <w:tc>
                <w:tcPr/>
                <w:p>
                  <w:pPr>
                    <w:pStyle w:val="Compact"/>
                    <w:jc w:val="right"/>
                    <w:jc w:val="center"/>
                  </w:pPr>
                  <w:r>
                    <w:t xml:space="preserve">(1 | subject_id)</w:t>
                  </w:r>
                </w:p>
              </w:tc>
              <w:tc>
                <w:tcPr/>
                <w:p>
                  <w:pPr>
                    <w:pStyle w:val="Compact"/>
                    <w:jc w:val="right"/>
                    <w:jc w:val="center"/>
                  </w:pPr>
                  <w:r>
                    <w:t xml:space="preserve">No</w:t>
                  </w:r>
                </w:p>
              </w:tc>
              <w:tc>
                <w:tcPr/>
                <w:p>
                  <w:pPr>
                    <w:pStyle w:val="Compact"/>
                  </w:pPr>
                </w:p>
              </w:tc>
              <w:tc>
                <w:tcPr/>
                <w:p>
                  <w:pPr>
                    <w:pStyle w:val="Compact"/>
                    <w:jc w:val="right"/>
                    <w:jc w:val="center"/>
                  </w:pPr>
                  <w:r>
                    <w:t xml:space="preserve">0.701</w:t>
                  </w:r>
                </w:p>
              </w:tc>
              <w:tc>
                <w:tcPr/>
                <w:p>
                  <w:pPr>
                    <w:pStyle w:val="Compact"/>
                    <w:jc w:val="right"/>
                    <w:jc w:val="center"/>
                  </w:pPr>
                  <w:r>
                    <w:t xml:space="preserve">Yes</w:t>
                  </w:r>
                </w:p>
              </w:tc>
            </w:tr>
            <w:tr>
              <w:tc>
                <w:tcPr/>
                <w:p>
                  <w:pPr>
                    <w:pStyle w:val="Compact"/>
                    <w:jc w:val="left"/>
                    <w:jc w:val="center"/>
                  </w:pPr>
                  <w:r>
                    <w:t xml:space="preserve">Median RT</w:t>
                  </w:r>
                </w:p>
              </w:tc>
              <w:tc>
                <w:tcPr/>
                <w:p>
                  <w:pPr>
                    <w:pStyle w:val="Compact"/>
                    <w:jc w:val="right"/>
                    <w:jc w:val="center"/>
                  </w:pPr>
                  <w:r>
                    <w:t xml:space="preserve">maximal</w:t>
                  </w:r>
                </w:p>
              </w:tc>
              <w:tc>
                <w:tcPr/>
                <w:p>
                  <w:pPr>
                    <w:pStyle w:val="Compact"/>
                    <w:jc w:val="right"/>
                    <w:jc w:val="center"/>
                  </w:pPr>
                  <w:r>
                    <w:t xml:space="preserve">(1 + effort_condition | subject_id)</w:t>
                  </w:r>
                </w:p>
              </w:tc>
              <w:tc>
                <w:tcPr/>
                <w:p>
                  <w:pPr>
                    <w:pStyle w:val="Compact"/>
                    <w:jc w:val="right"/>
                    <w:jc w:val="center"/>
                  </w:pPr>
                  <w:r>
                    <w:t xml:space="preserve">Yes</w:t>
                  </w:r>
                </w:p>
              </w:tc>
              <w:tc>
                <w:tcPr/>
                <w:p>
                  <w:pPr>
                    <w:pStyle w:val="Compact"/>
                    <w:jc w:val="right"/>
                    <w:jc w:val="center"/>
                  </w:pPr>
                  <w:r>
                    <w:t xml:space="preserve">0.011</w:t>
                  </w:r>
                </w:p>
              </w:tc>
              <w:tc>
                <w:tcPr/>
                <w:p>
                  <w:pPr>
                    <w:pStyle w:val="Compact"/>
                    <w:jc w:val="right"/>
                    <w:jc w:val="center"/>
                  </w:pPr>
                  <w:r>
                    <w:t xml:space="preserve">0.251</w:t>
                  </w:r>
                </w:p>
              </w:tc>
              <w:tc>
                <w:tcPr/>
                <w:p>
                  <w:pPr>
                    <w:pStyle w:val="Compact"/>
                    <w:jc w:val="right"/>
                    <w:jc w:val="center"/>
                  </w:pPr>
                  <w:r>
                    <w:t xml:space="preserve">No</w:t>
                  </w:r>
                </w:p>
              </w:tc>
            </w:tr>
            <w:tr>
              <w:tc>
                <w:tcPr/>
                <w:p>
                  <w:pPr>
                    <w:pStyle w:val="Compact"/>
                    <w:jc w:val="left"/>
                    <w:jc w:val="center"/>
                  </w:pPr>
                  <w:r>
                    <w:t xml:space="preserve">Median RT</w:t>
                  </w:r>
                </w:p>
              </w:tc>
              <w:tc>
                <w:tcPr/>
                <w:p>
                  <w:pPr>
                    <w:pStyle w:val="Compact"/>
                    <w:jc w:val="right"/>
                    <w:jc w:val="center"/>
                  </w:pPr>
                  <w:r>
                    <w:t xml:space="preserve">no correlation</w:t>
                  </w:r>
                </w:p>
              </w:tc>
              <w:tc>
                <w:tcPr/>
                <w:p>
                  <w:pPr>
                    <w:pStyle w:val="Compact"/>
                    <w:jc w:val="right"/>
                    <w:jc w:val="center"/>
                  </w:pPr>
                  <w:r>
                    <w:t xml:space="preserve">(1 | subject_id) + (0 + effort_c | subject_id)</w:t>
                  </w:r>
                </w:p>
              </w:tc>
              <w:tc>
                <w:tcPr/>
                <w:p>
                  <w:pPr>
                    <w:pStyle w:val="Compact"/>
                    <w:jc w:val="right"/>
                    <w:jc w:val="center"/>
                  </w:pPr>
                  <w:r>
                    <w:t xml:space="preserve">Yes</w:t>
                  </w:r>
                </w:p>
              </w:tc>
              <w:tc>
                <w:tcPr/>
                <w:p>
                  <w:pPr>
                    <w:pStyle w:val="Compact"/>
                    <w:jc w:val="right"/>
                    <w:jc w:val="center"/>
                  </w:pPr>
                  <w:r>
                    <w:t xml:space="preserve">0.000</w:t>
                  </w:r>
                </w:p>
              </w:tc>
              <w:tc>
                <w:tcPr/>
                <w:p>
                  <w:pPr>
                    <w:pStyle w:val="Compact"/>
                    <w:jc w:val="right"/>
                    <w:jc w:val="center"/>
                  </w:pPr>
                  <w:r>
                    <w:t xml:space="preserve">0.256</w:t>
                  </w:r>
                </w:p>
              </w:tc>
              <w:tc>
                <w:tcPr/>
                <w:p>
                  <w:pPr>
                    <w:pStyle w:val="Compact"/>
                    <w:jc w:val="right"/>
                    <w:jc w:val="center"/>
                  </w:pPr>
                  <w:r>
                    <w:t xml:space="preserve">No</w:t>
                  </w:r>
                </w:p>
              </w:tc>
            </w:tr>
            <w:tr>
              <w:tc>
                <w:tcPr/>
                <w:p>
                  <w:pPr>
                    <w:pStyle w:val="Compact"/>
                    <w:jc w:val="left"/>
                    <w:jc w:val="center"/>
                  </w:pPr>
                  <w:r>
                    <w:t xml:space="preserve">Median RT</w:t>
                  </w:r>
                </w:p>
              </w:tc>
              <w:tc>
                <w:tcPr/>
                <w:p>
                  <w:pPr>
                    <w:pStyle w:val="Compact"/>
                    <w:jc w:val="right"/>
                    <w:jc w:val="center"/>
                  </w:pPr>
                  <w:r>
                    <w:t xml:space="preserve">intercepts</w:t>
                  </w:r>
                </w:p>
              </w:tc>
              <w:tc>
                <w:tcPr/>
                <w:p>
                  <w:pPr>
                    <w:pStyle w:val="Compact"/>
                    <w:jc w:val="right"/>
                    <w:jc w:val="center"/>
                  </w:pPr>
                  <w:r>
                    <w:t xml:space="preserve">(1 | subject_id)</w:t>
                  </w:r>
                </w:p>
              </w:tc>
              <w:tc>
                <w:tcPr/>
                <w:p>
                  <w:pPr>
                    <w:pStyle w:val="Compact"/>
                    <w:jc w:val="right"/>
                    <w:jc w:val="center"/>
                  </w:pPr>
                  <w:r>
                    <w:t xml:space="preserve">No</w:t>
                  </w:r>
                </w:p>
              </w:tc>
              <w:tc>
                <w:tcPr/>
                <w:p>
                  <w:pPr>
                    <w:pStyle w:val="Compact"/>
                  </w:pPr>
                </w:p>
              </w:tc>
              <w:tc>
                <w:tcPr/>
                <w:p>
                  <w:pPr>
                    <w:pStyle w:val="Compact"/>
                    <w:jc w:val="right"/>
                    <w:jc w:val="center"/>
                  </w:pPr>
                  <w:r>
                    <w:t xml:space="preserve">0.256</w:t>
                  </w:r>
                </w:p>
              </w:tc>
              <w:tc>
                <w:tcPr/>
                <w:p>
                  <w:pPr>
                    <w:pStyle w:val="Compact"/>
                    <w:jc w:val="right"/>
                    <w:jc w:val="center"/>
                  </w:pPr>
                  <w:r>
                    <w:t xml:space="preserve">Yes</w:t>
                  </w:r>
                </w:p>
              </w:tc>
            </w:tr>
          </w:tbl>
          <w:p>
            <w:pPr>
              <w:jc w:val="center"/>
            </w:pPr>
            <w:r>
              <w:rPr>
                <w:i/>
                <w:iCs/>
              </w:rPr>
              <w:t xml:space="preserve">Note.</w:t>
            </w:r>
            <w:r>
              <w:t xml:space="preserve"> </w:t>
            </w:r>
            <w:r>
              <w:t xml:space="preserve">Singular random slopes were dropped in the order in Barr et al. (2013), Bates et al. (2015), and Brauer and Curtin (2018). The intercept-only model is the one used.</w:t>
            </w:r>
          </w:p>
          <w:bookmarkEnd w:id="16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2" w:name="supptbl-acc-glmm"/>
          <w:p>
            <w:pPr>
              <w:jc w:val="center"/>
            </w:pPr>
            <w:pPr>
              <w:jc w:val="left"/>
              <w:spacing w:before="200"/>
              <w:pStyle w:val="ImageCaption"/>
            </w:pPr>
            <w:r>
              <w:t xml:space="preserve">Table S17: Binomial mixed model of accuracy (logit scale)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right"/>
                    <w:jc w:val="center"/>
                  </w:pPr>
                  <w:r>
                    <w:rPr>
                      <w:i/>
                      <w:iCs/>
                    </w:rPr>
                    <w:t xml:space="preserve">SE</w:t>
                  </w:r>
                </w:p>
              </w:tc>
              <w:tc>
                <w:tcPr/>
                <w:p>
                  <w:pPr>
                    <w:pStyle w:val="Compact"/>
                    <w:jc w:val="right"/>
                    <w:jc w:val="center"/>
                  </w:pPr>
                  <w:r>
                    <w:rPr>
                      <w:i/>
                      <w:iCs/>
                    </w:rPr>
                    <w:t xml:space="preserve">z</w:t>
                  </w:r>
                </w:p>
              </w:tc>
              <w:tc>
                <w:tcPr/>
                <w:p>
                  <w:pPr>
                    <w:pStyle w:val="Compact"/>
                    <w:jc w:val="right"/>
                    <w:jc w:val="center"/>
                  </w:pPr>
                  <w:r>
                    <w:rPr>
                      <w:i/>
                      <w:iCs/>
                    </w:rPr>
                    <w:t xml:space="preserve">p</w:t>
                  </w:r>
                </w:p>
              </w:tc>
              <w:tc>
                <w:tcPr/>
                <w:p>
                  <w:pPr>
                    <w:pStyle w:val="Compact"/>
                    <w:jc w:val="right"/>
                    <w:jc w:val="center"/>
                  </w:pPr>
                  <w:r>
                    <w:t xml:space="preserve">95% CI</w:t>
                  </w:r>
                </w:p>
              </w:tc>
            </w:tr>
            <w:tr>
              <w:tc>
                <w:tcPr/>
                <w:p>
                  <w:pPr>
                    <w:pStyle w:val="Compact"/>
                    <w:jc w:val="left"/>
                    <w:jc w:val="center"/>
                  </w:pPr>
                  <w:r>
                    <w:t xml:space="preserve">Intercept</w:t>
                  </w:r>
                </w:p>
              </w:tc>
              <w:tc>
                <w:tcPr/>
                <w:p>
                  <w:pPr>
                    <w:pStyle w:val="Compact"/>
                    <w:jc w:val="right"/>
                    <w:jc w:val="center"/>
                  </w:pPr>
                  <w:r>
                    <w:t xml:space="preserve">1.991</w:t>
                  </w:r>
                </w:p>
              </w:tc>
              <w:tc>
                <w:tcPr/>
                <w:p>
                  <w:pPr>
                    <w:pStyle w:val="Compact"/>
                    <w:jc w:val="right"/>
                    <w:jc w:val="center"/>
                  </w:pPr>
                  <w:r>
                    <w:t xml:space="preserve">0.117</w:t>
                  </w:r>
                </w:p>
              </w:tc>
              <w:tc>
                <w:tcPr/>
                <w:p>
                  <w:pPr>
                    <w:pStyle w:val="Compact"/>
                    <w:jc w:val="right"/>
                    <w:jc w:val="center"/>
                  </w:pPr>
                  <w:r>
                    <w:t xml:space="preserve">17.04</w:t>
                  </w:r>
                </w:p>
              </w:tc>
              <w:tc>
                <w:tcPr/>
                <w:p>
                  <w:pPr>
                    <w:pStyle w:val="Compact"/>
                    <w:jc w:val="right"/>
                    <w:jc w:val="center"/>
                  </w:pPr>
                  <w:r>
                    <w:t xml:space="preserve">&lt; .001</w:t>
                  </w:r>
                </w:p>
              </w:tc>
              <w:tc>
                <w:tcPr/>
                <w:p>
                  <w:pPr>
                    <w:pStyle w:val="Compact"/>
                    <w:jc w:val="right"/>
                    <w:jc w:val="center"/>
                  </w:pPr>
                  <w:r>
                    <w:t xml:space="preserve">[1.762, 2.220]</w:t>
                  </w:r>
                </w:p>
              </w:tc>
            </w:tr>
            <w:tr>
              <w:tc>
                <w:tcPr/>
                <w:p>
                  <w:pPr>
                    <w:pStyle w:val="Compact"/>
                    <w:jc w:val="left"/>
                    <w:jc w:val="center"/>
                  </w:pPr>
                  <w:r>
                    <w:t xml:space="preserve">Hard</w:t>
                  </w:r>
                </w:p>
              </w:tc>
              <w:tc>
                <w:tcPr/>
                <w:p>
                  <w:pPr>
                    <w:pStyle w:val="Compact"/>
                    <w:jc w:val="right"/>
                    <w:jc w:val="center"/>
                  </w:pPr>
                  <w:r>
                    <w:t xml:space="preserve">−3.064</w:t>
                  </w:r>
                </w:p>
              </w:tc>
              <w:tc>
                <w:tcPr/>
                <w:p>
                  <w:pPr>
                    <w:pStyle w:val="Compact"/>
                    <w:jc w:val="right"/>
                    <w:jc w:val="center"/>
                  </w:pPr>
                  <w:r>
                    <w:t xml:space="preserve">0.087</w:t>
                  </w:r>
                </w:p>
              </w:tc>
              <w:tc>
                <w:tcPr/>
                <w:p>
                  <w:pPr>
                    <w:pStyle w:val="Compact"/>
                    <w:jc w:val="right"/>
                    <w:jc w:val="center"/>
                  </w:pPr>
                  <w:r>
                    <w:t xml:space="preserve">−35.26</w:t>
                  </w:r>
                </w:p>
              </w:tc>
              <w:tc>
                <w:tcPr/>
                <w:p>
                  <w:pPr>
                    <w:pStyle w:val="Compact"/>
                    <w:jc w:val="right"/>
                    <w:jc w:val="center"/>
                  </w:pPr>
                  <w:r>
                    <w:t xml:space="preserve">&lt; .001</w:t>
                  </w:r>
                </w:p>
              </w:tc>
              <w:tc>
                <w:tcPr/>
                <w:p>
                  <w:pPr>
                    <w:pStyle w:val="Compact"/>
                    <w:jc w:val="right"/>
                    <w:jc w:val="center"/>
                  </w:pPr>
                  <w:r>
                    <w:t xml:space="preserve">[−3.234, −2.894]</w:t>
                  </w:r>
                </w:p>
              </w:tc>
            </w:tr>
            <w:tr>
              <w:tc>
                <w:tcPr/>
                <w:p>
                  <w:pPr>
                    <w:pStyle w:val="Compact"/>
                    <w:jc w:val="left"/>
                    <w:jc w:val="center"/>
                  </w:pPr>
                  <w:r>
                    <w:t xml:space="preserve">Easy</w:t>
                  </w:r>
                </w:p>
              </w:tc>
              <w:tc>
                <w:tcPr/>
                <w:p>
                  <w:pPr>
                    <w:pStyle w:val="Compact"/>
                    <w:jc w:val="right"/>
                    <w:jc w:val="center"/>
                  </w:pPr>
                  <w:r>
                    <w:t xml:space="preserve">−0.134</w:t>
                  </w:r>
                </w:p>
              </w:tc>
              <w:tc>
                <w:tcPr/>
                <w:p>
                  <w:pPr>
                    <w:pStyle w:val="Compact"/>
                    <w:jc w:val="right"/>
                    <w:jc w:val="center"/>
                  </w:pPr>
                  <w:r>
                    <w:t xml:space="preserve">0.093</w:t>
                  </w:r>
                </w:p>
              </w:tc>
              <w:tc>
                <w:tcPr/>
                <w:p>
                  <w:pPr>
                    <w:pStyle w:val="Compact"/>
                    <w:jc w:val="right"/>
                    <w:jc w:val="center"/>
                  </w:pPr>
                  <w:r>
                    <w:t xml:space="preserve">−1.44</w:t>
                  </w:r>
                </w:p>
              </w:tc>
              <w:tc>
                <w:tcPr/>
                <w:p>
                  <w:pPr>
                    <w:pStyle w:val="Compact"/>
                    <w:jc w:val="right"/>
                    <w:jc w:val="center"/>
                  </w:pPr>
                  <w:r>
                    <w:t xml:space="preserve">.150</w:t>
                  </w:r>
                </w:p>
              </w:tc>
              <w:tc>
                <w:tcPr/>
                <w:p>
                  <w:pPr>
                    <w:pStyle w:val="Compact"/>
                    <w:jc w:val="right"/>
                    <w:jc w:val="center"/>
                  </w:pPr>
                  <w:r>
                    <w:t xml:space="preserve">[−0.316, 0.048]</w:t>
                  </w:r>
                </w:p>
              </w:tc>
            </w:tr>
            <w:tr>
              <w:tc>
                <w:tcPr/>
                <w:p>
                  <w:pPr>
                    <w:pStyle w:val="Compact"/>
                    <w:jc w:val="left"/>
                    <w:jc w:val="center"/>
                  </w:pPr>
                  <w:r>
                    <w:t xml:space="preserve">High effort</w:t>
                  </w:r>
                </w:p>
              </w:tc>
              <w:tc>
                <w:tcPr/>
                <w:p>
                  <w:pPr>
                    <w:pStyle w:val="Compact"/>
                    <w:jc w:val="right"/>
                    <w:jc w:val="center"/>
                  </w:pPr>
                  <w:r>
                    <w:t xml:space="preserve">0.204</w:t>
                  </w:r>
                </w:p>
              </w:tc>
              <w:tc>
                <w:tcPr/>
                <w:p>
                  <w:pPr>
                    <w:pStyle w:val="Compact"/>
                    <w:jc w:val="right"/>
                    <w:jc w:val="center"/>
                  </w:pPr>
                  <w:r>
                    <w:t xml:space="preserve">0.112</w:t>
                  </w:r>
                </w:p>
              </w:tc>
              <w:tc>
                <w:tcPr/>
                <w:p>
                  <w:pPr>
                    <w:pStyle w:val="Compact"/>
                    <w:jc w:val="right"/>
                    <w:jc w:val="center"/>
                  </w:pPr>
                  <w:r>
                    <w:t xml:space="preserve">1.83</w:t>
                  </w:r>
                </w:p>
              </w:tc>
              <w:tc>
                <w:tcPr/>
                <w:p>
                  <w:pPr>
                    <w:pStyle w:val="Compact"/>
                    <w:jc w:val="right"/>
                    <w:jc w:val="center"/>
                  </w:pPr>
                  <w:r>
                    <w:t xml:space="preserve">.068</w:t>
                  </w:r>
                </w:p>
              </w:tc>
              <w:tc>
                <w:tcPr/>
                <w:p>
                  <w:pPr>
                    <w:pStyle w:val="Compact"/>
                    <w:jc w:val="right"/>
                    <w:jc w:val="center"/>
                  </w:pPr>
                  <w:r>
                    <w:t xml:space="preserve">[−0.015, 0.423]</w:t>
                  </w:r>
                </w:p>
              </w:tc>
            </w:tr>
            <w:tr>
              <w:tc>
                <w:tcPr/>
                <w:p>
                  <w:pPr>
                    <w:pStyle w:val="Compact"/>
                    <w:jc w:val="left"/>
                    <w:jc w:val="center"/>
                  </w:pPr>
                  <w:r>
                    <w:t xml:space="preserve">Visual task</w:t>
                  </w:r>
                </w:p>
              </w:tc>
              <w:tc>
                <w:tcPr/>
                <w:p>
                  <w:pPr>
                    <w:pStyle w:val="Compact"/>
                    <w:jc w:val="right"/>
                    <w:jc w:val="center"/>
                  </w:pPr>
                  <w:r>
                    <w:t xml:space="preserve">0.417</w:t>
                  </w:r>
                </w:p>
              </w:tc>
              <w:tc>
                <w:tcPr/>
                <w:p>
                  <w:pPr>
                    <w:pStyle w:val="Compact"/>
                    <w:jc w:val="right"/>
                    <w:jc w:val="center"/>
                  </w:pPr>
                  <w:r>
                    <w:t xml:space="preserve">0.041</w:t>
                  </w:r>
                </w:p>
              </w:tc>
              <w:tc>
                <w:tcPr/>
                <w:p>
                  <w:pPr>
                    <w:pStyle w:val="Compact"/>
                    <w:jc w:val="right"/>
                    <w:jc w:val="center"/>
                  </w:pPr>
                  <w:r>
                    <w:t xml:space="preserve">10.08</w:t>
                  </w:r>
                </w:p>
              </w:tc>
              <w:tc>
                <w:tcPr/>
                <w:p>
                  <w:pPr>
                    <w:pStyle w:val="Compact"/>
                    <w:jc w:val="right"/>
                    <w:jc w:val="center"/>
                  </w:pPr>
                  <w:r>
                    <w:t xml:space="preserve">&lt; .001</w:t>
                  </w:r>
                </w:p>
              </w:tc>
              <w:tc>
                <w:tcPr/>
                <w:p>
                  <w:pPr>
                    <w:pStyle w:val="Compact"/>
                    <w:jc w:val="right"/>
                    <w:jc w:val="center"/>
                  </w:pPr>
                  <w:r>
                    <w:t xml:space="preserve">[0.336, 0.499]</w:t>
                  </w:r>
                </w:p>
              </w:tc>
            </w:tr>
            <w:tr>
              <w:tc>
                <w:tcPr/>
                <w:p>
                  <w:pPr>
                    <w:pStyle w:val="Compact"/>
                    <w:jc w:val="left"/>
                    <w:jc w:val="center"/>
                  </w:pPr>
                  <w:r>
                    <w:t xml:space="preserve">Hard × high effort</w:t>
                  </w:r>
                </w:p>
              </w:tc>
              <w:tc>
                <w:tcPr/>
                <w:p>
                  <w:pPr>
                    <w:pStyle w:val="Compact"/>
                    <w:jc w:val="right"/>
                    <w:jc w:val="center"/>
                  </w:pPr>
                  <w:r>
                    <w:t xml:space="preserve">−0.431</w:t>
                  </w:r>
                </w:p>
              </w:tc>
              <w:tc>
                <w:tcPr/>
                <w:p>
                  <w:pPr>
                    <w:pStyle w:val="Compact"/>
                    <w:jc w:val="right"/>
                    <w:jc w:val="center"/>
                  </w:pPr>
                  <w:r>
                    <w:t xml:space="preserve">0.124</w:t>
                  </w:r>
                </w:p>
              </w:tc>
              <w:tc>
                <w:tcPr/>
                <w:p>
                  <w:pPr>
                    <w:pStyle w:val="Compact"/>
                    <w:jc w:val="right"/>
                    <w:jc w:val="center"/>
                  </w:pPr>
                  <w:r>
                    <w:t xml:space="preserve">−3.47</w:t>
                  </w:r>
                </w:p>
              </w:tc>
              <w:tc>
                <w:tcPr/>
                <w:p>
                  <w:pPr>
                    <w:pStyle w:val="Compact"/>
                    <w:jc w:val="right"/>
                    <w:jc w:val="center"/>
                  </w:pPr>
                  <w:r>
                    <w:t xml:space="preserve">&lt; .001</w:t>
                  </w:r>
                </w:p>
              </w:tc>
              <w:tc>
                <w:tcPr/>
                <w:p>
                  <w:pPr>
                    <w:pStyle w:val="Compact"/>
                    <w:jc w:val="right"/>
                    <w:jc w:val="center"/>
                  </w:pPr>
                  <w:r>
                    <w:t xml:space="preserve">[−0.674, −0.188]</w:t>
                  </w:r>
                </w:p>
              </w:tc>
            </w:tr>
            <w:tr>
              <w:tc>
                <w:tcPr/>
                <w:p>
                  <w:pPr>
                    <w:pStyle w:val="Compact"/>
                    <w:jc w:val="left"/>
                    <w:jc w:val="center"/>
                  </w:pPr>
                  <w:r>
                    <w:t xml:space="preserve">Easy × high effort</w:t>
                  </w:r>
                </w:p>
              </w:tc>
              <w:tc>
                <w:tcPr/>
                <w:p>
                  <w:pPr>
                    <w:pStyle w:val="Compact"/>
                    <w:jc w:val="right"/>
                    <w:jc w:val="center"/>
                  </w:pPr>
                  <w:r>
                    <w:t xml:space="preserve">−0.291</w:t>
                  </w:r>
                </w:p>
              </w:tc>
              <w:tc>
                <w:tcPr/>
                <w:p>
                  <w:pPr>
                    <w:pStyle w:val="Compact"/>
                    <w:jc w:val="right"/>
                    <w:jc w:val="center"/>
                  </w:pPr>
                  <w:r>
                    <w:t xml:space="preserve">0.133</w:t>
                  </w:r>
                </w:p>
              </w:tc>
              <w:tc>
                <w:tcPr/>
                <w:p>
                  <w:pPr>
                    <w:pStyle w:val="Compact"/>
                    <w:jc w:val="right"/>
                    <w:jc w:val="center"/>
                  </w:pPr>
                  <w:r>
                    <w:t xml:space="preserve">−2.19</w:t>
                  </w:r>
                </w:p>
              </w:tc>
              <w:tc>
                <w:tcPr/>
                <w:p>
                  <w:pPr>
                    <w:pStyle w:val="Compact"/>
                    <w:jc w:val="right"/>
                    <w:jc w:val="center"/>
                  </w:pPr>
                  <w:r>
                    <w:t xml:space="preserve">.028</w:t>
                  </w:r>
                </w:p>
              </w:tc>
              <w:tc>
                <w:tcPr/>
                <w:p>
                  <w:pPr>
                    <w:pStyle w:val="Compact"/>
                    <w:jc w:val="right"/>
                    <w:jc w:val="center"/>
                  </w:pPr>
                  <w:r>
                    <w:t xml:space="preserve">[−0.552, −0.031]</w:t>
                  </w:r>
                </w:p>
              </w:tc>
            </w:tr>
          </w:tbl>
          <w:p>
            <w:pPr>
              <w:jc w:val="center"/>
            </w:pPr>
            <w:r>
              <w:rPr>
                <w:i/>
                <w:iCs/>
              </w:rPr>
              <w:t xml:space="preserve">Note.</w:t>
            </w:r>
            <w:r>
              <w:t xml:space="preserve"> </w:t>
            </w:r>
            <w:r>
              <w:t xml:space="preserve">Binomial GLMM. Coefficients are on the logit scale. The statistic is a Wald z; lme4 does not report denominator df. The High-effort coefficient is the Standard contrast on the logit scale. Cell contrasts are in the observed-accuracy table. Random slopes for effort were singular, so the model keeps a random intercept only (Barr et al., 2013; Bates et al., 2015; Brauer &amp; Curtin, 2018). Reference levels: Standard difficulty, low effort, auditory task (ADT).</w:t>
            </w:r>
          </w:p>
          <w:bookmarkEnd w:id="16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3" w:name="supptbl-rt-lmm"/>
          <w:p>
            <w:pPr>
              <w:jc w:val="center"/>
            </w:pPr>
            <w:pPr>
              <w:jc w:val="left"/>
              <w:spacing w:before="200"/>
              <w:pStyle w:val="ImageCaption"/>
            </w:pPr>
            <w:r>
              <w:t xml:space="preserve">Table S18: Linear mixed model of median RT (seconds)</w:t>
            </w:r>
          </w:p>
          <w:tbl>
            <w:tblPr>
              <w:tblStyle w:val="Table"/>
              <w:tblW w:type="pct" w:w="5000"/>
              <w:tblLayout w:type="fixed"/>
              <w:tblLook w:firstRow="1" w:lastRow="0" w:firstColumn="0" w:lastColumn="0" w:noHBand="0" w:noVBand="0" w:val="0020"/>
            </w:tblPr>
            <w:tblGrid>
              <w:gridCol w:w="2149"/>
              <w:gridCol w:w="1018"/>
              <w:gridCol w:w="678"/>
              <w:gridCol w:w="678"/>
              <w:gridCol w:w="678"/>
              <w:gridCol w:w="792"/>
              <w:gridCol w:w="1923"/>
            </w:tblGrid>
            <w:tr>
              <w:trPr>
                <w:tblHeader w:val="on"/>
              </w:trPr>
              <w:tc>
                <w:tcPr/>
                <w:p>
                  <w:pPr>
                    <w:pStyle w:val="Compact"/>
                    <w:jc w:val="left"/>
                    <w:jc w:val="center"/>
                  </w:pPr>
                  <w:r>
                    <w:t xml:space="preserve">Effect</w:t>
                  </w:r>
                </w:p>
              </w:tc>
              <w:tc>
                <w:tcPr/>
                <w:p>
                  <w:pPr>
                    <w:pStyle w:val="Compact"/>
                    <w:jc w:val="right"/>
                    <w:jc w:val="center"/>
                  </w:pPr>
                  <w:r>
                    <w:t xml:space="preserve">Estimate</w:t>
                  </w:r>
                </w:p>
              </w:tc>
              <w:tc>
                <w:tcPr/>
                <w:p>
                  <w:pPr>
                    <w:pStyle w:val="Compact"/>
                    <w:jc w:val="right"/>
                    <w:jc w:val="center"/>
                  </w:pPr>
                  <w:r>
                    <w:rPr>
                      <w:i/>
                      <w:iCs/>
                    </w:rPr>
                    <w:t xml:space="preserve">SE</w:t>
                  </w:r>
                </w:p>
              </w:tc>
              <w:tc>
                <w:tcPr/>
                <w:p>
                  <w:pPr>
                    <w:pStyle w:val="Compact"/>
                    <w:jc w:val="right"/>
                    <w:jc w:val="center"/>
                  </w:pPr>
                  <w:r>
                    <w:t xml:space="preserve">df</w:t>
                  </w:r>
                </w:p>
              </w:tc>
              <w:tc>
                <w:tcPr/>
                <w:p>
                  <w:pPr>
                    <w:pStyle w:val="Compact"/>
                    <w:jc w:val="right"/>
                    <w:jc w:val="center"/>
                  </w:pPr>
                  <w:r>
                    <w:rPr>
                      <w:i/>
                      <w:iCs/>
                    </w:rPr>
                    <w:t xml:space="preserve">t</w:t>
                  </w:r>
                </w:p>
              </w:tc>
              <w:tc>
                <w:tcPr/>
                <w:p>
                  <w:pPr>
                    <w:pStyle w:val="Compact"/>
                    <w:jc w:val="right"/>
                    <w:jc w:val="center"/>
                  </w:pPr>
                  <w:r>
                    <w:rPr>
                      <w:i/>
                      <w:iCs/>
                    </w:rPr>
                    <w:t xml:space="preserve">p</w:t>
                  </w:r>
                </w:p>
              </w:tc>
              <w:tc>
                <w:tcPr/>
                <w:p>
                  <w:pPr>
                    <w:pStyle w:val="Compact"/>
                    <w:jc w:val="right"/>
                    <w:jc w:val="center"/>
                  </w:pPr>
                  <w:r>
                    <w:t xml:space="preserve">95% CI</w:t>
                  </w:r>
                </w:p>
              </w:tc>
            </w:tr>
            <w:tr>
              <w:tc>
                <w:tcPr/>
                <w:p>
                  <w:pPr>
                    <w:pStyle w:val="Compact"/>
                    <w:jc w:val="left"/>
                    <w:jc w:val="center"/>
                  </w:pPr>
                  <w:r>
                    <w:t xml:space="preserve">Intercept</w:t>
                  </w:r>
                </w:p>
              </w:tc>
              <w:tc>
                <w:tcPr/>
                <w:p>
                  <w:pPr>
                    <w:pStyle w:val="Compact"/>
                    <w:jc w:val="right"/>
                    <w:jc w:val="center"/>
                  </w:pPr>
                  <w:r>
                    <w:t xml:space="preserve">1.379</w:t>
                  </w:r>
                </w:p>
              </w:tc>
              <w:tc>
                <w:tcPr/>
                <w:p>
                  <w:pPr>
                    <w:pStyle w:val="Compact"/>
                    <w:jc w:val="right"/>
                    <w:jc w:val="center"/>
                  </w:pPr>
                  <w:r>
                    <w:t xml:space="preserve">0.038</w:t>
                  </w:r>
                </w:p>
              </w:tc>
              <w:tc>
                <w:tcPr/>
                <w:p>
                  <w:pPr>
                    <w:pStyle w:val="Compact"/>
                    <w:jc w:val="right"/>
                    <w:jc w:val="center"/>
                  </w:pPr>
                  <w:r>
                    <w:t xml:space="preserve">118.7</w:t>
                  </w:r>
                </w:p>
              </w:tc>
              <w:tc>
                <w:tcPr/>
                <w:p>
                  <w:pPr>
                    <w:pStyle w:val="Compact"/>
                    <w:jc w:val="right"/>
                    <w:jc w:val="center"/>
                  </w:pPr>
                  <w:r>
                    <w:t xml:space="preserve">36.73</w:t>
                  </w:r>
                </w:p>
              </w:tc>
              <w:tc>
                <w:tcPr/>
                <w:p>
                  <w:pPr>
                    <w:pStyle w:val="Compact"/>
                    <w:jc w:val="right"/>
                    <w:jc w:val="center"/>
                  </w:pPr>
                  <w:r>
                    <w:t xml:space="preserve">&lt; .001</w:t>
                  </w:r>
                </w:p>
              </w:tc>
              <w:tc>
                <w:tcPr/>
                <w:p>
                  <w:pPr>
                    <w:pStyle w:val="Compact"/>
                    <w:jc w:val="right"/>
                    <w:jc w:val="center"/>
                  </w:pPr>
                  <w:r>
                    <w:t xml:space="preserve">[1.304, 1.453]</w:t>
                  </w:r>
                </w:p>
              </w:tc>
            </w:tr>
            <w:tr>
              <w:tc>
                <w:tcPr/>
                <w:p>
                  <w:pPr>
                    <w:pStyle w:val="Compact"/>
                    <w:jc w:val="left"/>
                    <w:jc w:val="center"/>
                  </w:pPr>
                  <w:r>
                    <w:t xml:space="preserve">Hard</w:t>
                  </w:r>
                </w:p>
              </w:tc>
              <w:tc>
                <w:tcPr/>
                <w:p>
                  <w:pPr>
                    <w:pStyle w:val="Compact"/>
                    <w:jc w:val="right"/>
                    <w:jc w:val="center"/>
                  </w:pPr>
                  <w:r>
                    <w:t xml:space="preserve">0.054</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1.99</w:t>
                  </w:r>
                </w:p>
              </w:tc>
              <w:tc>
                <w:tcPr/>
                <w:p>
                  <w:pPr>
                    <w:pStyle w:val="Compact"/>
                    <w:jc w:val="right"/>
                    <w:jc w:val="center"/>
                  </w:pPr>
                  <w:r>
                    <w:t xml:space="preserve">.047</w:t>
                  </w:r>
                </w:p>
              </w:tc>
              <w:tc>
                <w:tcPr/>
                <w:p>
                  <w:pPr>
                    <w:pStyle w:val="Compact"/>
                    <w:jc w:val="right"/>
                    <w:jc w:val="center"/>
                  </w:pPr>
                  <w:r>
                    <w:t xml:space="preserve">[0.001, 0.107]</w:t>
                  </w:r>
                </w:p>
              </w:tc>
            </w:tr>
            <w:tr>
              <w:tc>
                <w:tcPr/>
                <w:p>
                  <w:pPr>
                    <w:pStyle w:val="Compact"/>
                    <w:jc w:val="left"/>
                    <w:jc w:val="center"/>
                  </w:pPr>
                  <w:r>
                    <w:t xml:space="preserve">Easy</w:t>
                  </w:r>
                </w:p>
              </w:tc>
              <w:tc>
                <w:tcPr/>
                <w:p>
                  <w:pPr>
                    <w:pStyle w:val="Compact"/>
                    <w:jc w:val="right"/>
                    <w:jc w:val="center"/>
                  </w:pPr>
                  <w:r>
                    <w:t xml:space="preserve">−0.186</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−6.90</w:t>
                  </w:r>
                </w:p>
              </w:tc>
              <w:tc>
                <w:tcPr/>
                <w:p>
                  <w:pPr>
                    <w:pStyle w:val="Compact"/>
                    <w:jc w:val="right"/>
                    <w:jc w:val="center"/>
                  </w:pPr>
                  <w:r>
                    <w:t xml:space="preserve">&lt; .001</w:t>
                  </w:r>
                </w:p>
              </w:tc>
              <w:tc>
                <w:tcPr/>
                <w:p>
                  <w:pPr>
                    <w:pStyle w:val="Compact"/>
                    <w:jc w:val="right"/>
                    <w:jc w:val="center"/>
                  </w:pPr>
                  <w:r>
                    <w:t xml:space="preserve">[−0.239, −0.133]</w:t>
                  </w:r>
                </w:p>
              </w:tc>
            </w:tr>
            <w:tr>
              <w:tc>
                <w:tcPr/>
                <w:p>
                  <w:pPr>
                    <w:pStyle w:val="Compact"/>
                    <w:jc w:val="left"/>
                    <w:jc w:val="center"/>
                  </w:pPr>
                  <w:r>
                    <w:t xml:space="preserve">High effort</w:t>
                  </w:r>
                </w:p>
              </w:tc>
              <w:tc>
                <w:tcPr/>
                <w:p>
                  <w:pPr>
                    <w:pStyle w:val="Compact"/>
                    <w:jc w:val="right"/>
                    <w:jc w:val="center"/>
                  </w:pPr>
                  <w:r>
                    <w:t xml:space="preserve">0.036</w:t>
                  </w:r>
                </w:p>
              </w:tc>
              <w:tc>
                <w:tcPr/>
                <w:p>
                  <w:pPr>
                    <w:pStyle w:val="Compact"/>
                    <w:jc w:val="right"/>
                    <w:jc w:val="center"/>
                  </w:pPr>
                  <w:r>
                    <w:t xml:space="preserve">0.027</w:t>
                  </w:r>
                </w:p>
              </w:tc>
              <w:tc>
                <w:tcPr/>
                <w:p>
                  <w:pPr>
                    <w:pStyle w:val="Compact"/>
                    <w:jc w:val="right"/>
                    <w:jc w:val="center"/>
                  </w:pPr>
                  <w:r>
                    <w:t xml:space="preserve">700.7</w:t>
                  </w:r>
                </w:p>
              </w:tc>
              <w:tc>
                <w:tcPr/>
                <w:p>
                  <w:pPr>
                    <w:pStyle w:val="Compact"/>
                    <w:jc w:val="right"/>
                    <w:jc w:val="center"/>
                  </w:pPr>
                  <w:r>
                    <w:t xml:space="preserve">1.35</w:t>
                  </w:r>
                </w:p>
              </w:tc>
              <w:tc>
                <w:tcPr/>
                <w:p>
                  <w:pPr>
                    <w:pStyle w:val="Compact"/>
                    <w:jc w:val="right"/>
                    <w:jc w:val="center"/>
                  </w:pPr>
                  <w:r>
                    <w:t xml:space="preserve">.179</w:t>
                  </w:r>
                </w:p>
              </w:tc>
              <w:tc>
                <w:tcPr/>
                <w:p>
                  <w:pPr>
                    <w:pStyle w:val="Compact"/>
                    <w:jc w:val="right"/>
                    <w:jc w:val="center"/>
                  </w:pPr>
                  <w:r>
                    <w:t xml:space="preserve">[−0.017, 0.089]</w:t>
                  </w:r>
                </w:p>
              </w:tc>
            </w:tr>
            <w:tr>
              <w:tc>
                <w:tcPr/>
                <w:p>
                  <w:pPr>
                    <w:pStyle w:val="Compact"/>
                    <w:jc w:val="left"/>
                    <w:jc w:val="center"/>
                  </w:pPr>
                  <w:r>
                    <w:t xml:space="preserve">Visual task</w:t>
                  </w:r>
                </w:p>
              </w:tc>
              <w:tc>
                <w:tcPr/>
                <w:p>
                  <w:pPr>
                    <w:pStyle w:val="Compact"/>
                    <w:jc w:val="right"/>
                    <w:jc w:val="center"/>
                  </w:pPr>
                  <w:r>
                    <w:t xml:space="preserve">−0.100</w:t>
                  </w:r>
                </w:p>
              </w:tc>
              <w:tc>
                <w:tcPr/>
                <w:p>
                  <w:pPr>
                    <w:pStyle w:val="Compact"/>
                    <w:jc w:val="right"/>
                    <w:jc w:val="center"/>
                  </w:pPr>
                  <w:r>
                    <w:t xml:space="preserve">0.016</w:t>
                  </w:r>
                </w:p>
              </w:tc>
              <w:tc>
                <w:tcPr/>
                <w:p>
                  <w:pPr>
                    <w:pStyle w:val="Compact"/>
                    <w:jc w:val="right"/>
                    <w:jc w:val="center"/>
                  </w:pPr>
                  <w:r>
                    <w:t xml:space="preserve">706.3</w:t>
                  </w:r>
                </w:p>
              </w:tc>
              <w:tc>
                <w:tcPr/>
                <w:p>
                  <w:pPr>
                    <w:pStyle w:val="Compact"/>
                    <w:jc w:val="right"/>
                    <w:jc w:val="center"/>
                  </w:pPr>
                  <w:r>
                    <w:t xml:space="preserve">−6.33</w:t>
                  </w:r>
                </w:p>
              </w:tc>
              <w:tc>
                <w:tcPr/>
                <w:p>
                  <w:pPr>
                    <w:pStyle w:val="Compact"/>
                    <w:jc w:val="right"/>
                    <w:jc w:val="center"/>
                  </w:pPr>
                  <w:r>
                    <w:t xml:space="preserve">&lt; .001</w:t>
                  </w:r>
                </w:p>
              </w:tc>
              <w:tc>
                <w:tcPr/>
                <w:p>
                  <w:pPr>
                    <w:pStyle w:val="Compact"/>
                    <w:jc w:val="right"/>
                    <w:jc w:val="center"/>
                  </w:pPr>
                  <w:r>
                    <w:t xml:space="preserve">[−0.131, −0.069]</w:t>
                  </w:r>
                </w:p>
              </w:tc>
            </w:tr>
            <w:tr>
              <w:tc>
                <w:tcPr/>
                <w:p>
                  <w:pPr>
                    <w:pStyle w:val="Compact"/>
                    <w:jc w:val="left"/>
                    <w:jc w:val="center"/>
                  </w:pPr>
                  <w:r>
                    <w:t xml:space="preserve">Hard × high effort</w:t>
                  </w:r>
                </w:p>
              </w:tc>
              <w:tc>
                <w:tcPr/>
                <w:p>
                  <w:pPr>
                    <w:pStyle w:val="Compact"/>
                    <w:jc w:val="right"/>
                    <w:jc w:val="center"/>
                  </w:pPr>
                  <w:r>
                    <w:t xml:space="preserve">−0.029</w:t>
                  </w:r>
                </w:p>
              </w:tc>
              <w:tc>
                <w:tcPr/>
                <w:p>
                  <w:pPr>
                    <w:pStyle w:val="Compact"/>
                    <w:jc w:val="right"/>
                    <w:jc w:val="center"/>
                  </w:pPr>
                  <w:r>
                    <w:t xml:space="preserve">0.038</w:t>
                  </w:r>
                </w:p>
              </w:tc>
              <w:tc>
                <w:tcPr/>
                <w:p>
                  <w:pPr>
                    <w:pStyle w:val="Compact"/>
                    <w:jc w:val="right"/>
                    <w:jc w:val="center"/>
                  </w:pPr>
                  <w:r>
                    <w:t xml:space="preserve">700.7</w:t>
                  </w:r>
                </w:p>
              </w:tc>
              <w:tc>
                <w:tcPr/>
                <w:p>
                  <w:pPr>
                    <w:pStyle w:val="Compact"/>
                    <w:jc w:val="right"/>
                    <w:jc w:val="center"/>
                  </w:pPr>
                  <w:r>
                    <w:t xml:space="preserve">−0.77</w:t>
                  </w:r>
                </w:p>
              </w:tc>
              <w:tc>
                <w:tcPr/>
                <w:p>
                  <w:pPr>
                    <w:pStyle w:val="Compact"/>
                    <w:jc w:val="right"/>
                    <w:jc w:val="center"/>
                  </w:pPr>
                  <w:r>
                    <w:t xml:space="preserve">.443</w:t>
                  </w:r>
                </w:p>
              </w:tc>
              <w:tc>
                <w:tcPr/>
                <w:p>
                  <w:pPr>
                    <w:pStyle w:val="Compact"/>
                    <w:jc w:val="right"/>
                    <w:jc w:val="center"/>
                  </w:pPr>
                  <w:r>
                    <w:t xml:space="preserve">[−0.104, 0.046]</w:t>
                  </w:r>
                </w:p>
              </w:tc>
            </w:tr>
            <w:tr>
              <w:tc>
                <w:tcPr/>
                <w:p>
                  <w:pPr>
                    <w:pStyle w:val="Compact"/>
                    <w:jc w:val="left"/>
                    <w:jc w:val="center"/>
                  </w:pPr>
                  <w:r>
                    <w:t xml:space="preserve">Easy × high effort</w:t>
                  </w:r>
                </w:p>
              </w:tc>
              <w:tc>
                <w:tcPr/>
                <w:p>
                  <w:pPr>
                    <w:pStyle w:val="Compact"/>
                    <w:jc w:val="right"/>
                    <w:jc w:val="center"/>
                  </w:pPr>
                  <w:r>
                    <w:t xml:space="preserve">−0.025</w:t>
                  </w:r>
                </w:p>
              </w:tc>
              <w:tc>
                <w:tcPr/>
                <w:p>
                  <w:pPr>
                    <w:pStyle w:val="Compact"/>
                    <w:jc w:val="right"/>
                    <w:jc w:val="center"/>
                  </w:pPr>
                  <w:r>
                    <w:t xml:space="preserve">0.038</w:t>
                  </w:r>
                </w:p>
              </w:tc>
              <w:tc>
                <w:tcPr/>
                <w:p>
                  <w:pPr>
                    <w:pStyle w:val="Compact"/>
                    <w:jc w:val="right"/>
                    <w:jc w:val="center"/>
                  </w:pPr>
                  <w:r>
                    <w:t xml:space="preserve">700.7</w:t>
                  </w:r>
                </w:p>
              </w:tc>
              <w:tc>
                <w:tcPr/>
                <w:p>
                  <w:pPr>
                    <w:pStyle w:val="Compact"/>
                    <w:jc w:val="right"/>
                    <w:jc w:val="center"/>
                  </w:pPr>
                  <w:r>
                    <w:t xml:space="preserve">−0.66</w:t>
                  </w:r>
                </w:p>
              </w:tc>
              <w:tc>
                <w:tcPr/>
                <w:p>
                  <w:pPr>
                    <w:pStyle w:val="Compact"/>
                    <w:jc w:val="right"/>
                    <w:jc w:val="center"/>
                  </w:pPr>
                  <w:r>
                    <w:t xml:space="preserve">.509</w:t>
                  </w:r>
                </w:p>
              </w:tc>
              <w:tc>
                <w:tcPr/>
                <w:p>
                  <w:pPr>
                    <w:pStyle w:val="Compact"/>
                    <w:jc w:val="right"/>
                    <w:jc w:val="center"/>
                  </w:pPr>
                  <w:r>
                    <w:t xml:space="preserve">[−0.100, 0.050]</w:t>
                  </w:r>
                </w:p>
              </w:tc>
            </w:tr>
          </w:tbl>
          <w:p>
            <w:pPr>
              <w:jc w:val="center"/>
            </w:pPr>
            <w:r>
              <w:rPr>
                <w:i/>
                <w:iCs/>
              </w:rPr>
              <w:t xml:space="preserve">Note.</w:t>
            </w:r>
            <w:r>
              <w:t xml:space="preserve"> </w:t>
            </w:r>
            <w:r>
              <w:t xml:space="preserve">The outcome is the median RT in each participant x task x difficulty x effort cell, in seconds, not log RT. df and p use the Satterthwaite approximation. Cell contrasts, in milliseconds, are in the median-RT contrast table. Random slopes for effort were singular, so the model keeps a random intercept only (Barr et al., 2013; Bates et al., 2015; Brauer &amp; Curtin, 2018). Reference levels: Standard difficulty, low effort, auditory task (ADT).</w:t>
            </w:r>
          </w:p>
          <w:bookmarkEnd w:id="16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4" w:name="supptbl-rt-contrasts"/>
          <w:p>
            <w:pPr>
              <w:jc w:val="center"/>
            </w:pPr>
            <w:pPr>
              <w:jc w:val="left"/>
              <w:spacing w:before="200"/>
              <w:pStyle w:val="ImageCaption"/>
            </w:pPr>
            <w:r>
              <w:t xml:space="preserve">Table S19: Median RT, high minus low effort, at each stimulus type (ms)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Difficulty</w:t>
                  </w:r>
                </w:p>
              </w:tc>
              <w:tc>
                <w:tcPr/>
                <w:p>
                  <w:pPr>
                    <w:pStyle w:val="Compact"/>
                    <w:jc w:val="right"/>
                    <w:jc w:val="center"/>
                  </w:pPr>
                  <w:r>
                    <w:t xml:space="preserve">High − low (ms)</w:t>
                  </w:r>
                </w:p>
              </w:tc>
              <w:tc>
                <w:tcPr/>
                <w:p>
                  <w:pPr>
                    <w:pStyle w:val="Compact"/>
                    <w:jc w:val="right"/>
                    <w:jc w:val="center"/>
                  </w:pPr>
                  <w:r>
                    <w:t xml:space="preserve">95% CI (ms)</w:t>
                  </w:r>
                </w:p>
              </w:tc>
              <w:tc>
                <w:tcPr/>
                <w:p>
                  <w:pPr>
                    <w:pStyle w:val="Compact"/>
                    <w:jc w:val="right"/>
                    <w:jc w:val="center"/>
                  </w:pPr>
                  <w:r>
                    <w:rPr>
                      <w:i/>
                      <w:iCs/>
                    </w:rPr>
                    <w:t xml:space="preserve">t</w:t>
                  </w:r>
                </w:p>
              </w:tc>
              <w:tc>
                <w:tcPr/>
                <w:p>
                  <w:pPr>
                    <w:pStyle w:val="Compact"/>
                    <w:jc w:val="right"/>
                    <w:jc w:val="center"/>
                  </w:pPr>
                  <w:r>
                    <w:t xml:space="preserve">df</w:t>
                  </w:r>
                </w:p>
              </w:tc>
              <w:tc>
                <w:tcPr/>
                <w:p>
                  <w:pPr>
                    <w:pStyle w:val="Compact"/>
                    <w:jc w:val="right"/>
                    <w:jc w:val="center"/>
                  </w:pPr>
                  <w:r>
                    <w:rPr>
                      <w:i/>
                      <w:iCs/>
                    </w:rPr>
                    <w:t xml:space="preserve">p</w:t>
                  </w:r>
                </w:p>
              </w:tc>
            </w:tr>
            <w:tr>
              <w:tc>
                <w:tcPr/>
                <w:p>
                  <w:pPr>
                    <w:pStyle w:val="Compact"/>
                    <w:jc w:val="left"/>
                    <w:jc w:val="center"/>
                  </w:pPr>
                  <w:r>
                    <w:t xml:space="preserve">Standard</w:t>
                  </w:r>
                </w:p>
              </w:tc>
              <w:tc>
                <w:tcPr/>
                <w:p>
                  <w:pPr>
                    <w:pStyle w:val="Compact"/>
                    <w:jc w:val="right"/>
                    <w:jc w:val="center"/>
                  </w:pPr>
                  <w:r>
                    <w:t xml:space="preserve">36.3</w:t>
                  </w:r>
                </w:p>
              </w:tc>
              <w:tc>
                <w:tcPr/>
                <w:p>
                  <w:pPr>
                    <w:pStyle w:val="Compact"/>
                    <w:jc w:val="right"/>
                    <w:jc w:val="center"/>
                  </w:pPr>
                  <w:r>
                    <w:t xml:space="preserve">[−16.6, 89.2]</w:t>
                  </w:r>
                </w:p>
              </w:tc>
              <w:tc>
                <w:tcPr/>
                <w:p>
                  <w:pPr>
                    <w:pStyle w:val="Compact"/>
                    <w:jc w:val="right"/>
                    <w:jc w:val="center"/>
                  </w:pPr>
                  <w:r>
                    <w:t xml:space="preserve">1.35</w:t>
                  </w:r>
                </w:p>
              </w:tc>
              <w:tc>
                <w:tcPr/>
                <w:p>
                  <w:pPr>
                    <w:pStyle w:val="Compact"/>
                    <w:jc w:val="right"/>
                    <w:jc w:val="center"/>
                  </w:pPr>
                  <w:r>
                    <w:t xml:space="preserve">700.7</w:t>
                  </w:r>
                </w:p>
              </w:tc>
              <w:tc>
                <w:tcPr/>
                <w:p>
                  <w:pPr>
                    <w:pStyle w:val="Compact"/>
                    <w:jc w:val="right"/>
                    <w:jc w:val="center"/>
                  </w:pPr>
                  <w:r>
                    <w:t xml:space="preserve">.179</w:t>
                  </w:r>
                </w:p>
              </w:tc>
            </w:tr>
            <w:tr>
              <w:tc>
                <w:tcPr/>
                <w:p>
                  <w:pPr>
                    <w:pStyle w:val="Compact"/>
                    <w:jc w:val="left"/>
                    <w:jc w:val="center"/>
                  </w:pPr>
                  <w:r>
                    <w:t xml:space="preserve">Hard</w:t>
                  </w:r>
                </w:p>
              </w:tc>
              <w:tc>
                <w:tcPr/>
                <w:p>
                  <w:pPr>
                    <w:pStyle w:val="Compact"/>
                    <w:jc w:val="right"/>
                    <w:jc w:val="center"/>
                  </w:pPr>
                  <w:r>
                    <w:t xml:space="preserve">7.0</w:t>
                  </w:r>
                </w:p>
              </w:tc>
              <w:tc>
                <w:tcPr/>
                <w:p>
                  <w:pPr>
                    <w:pStyle w:val="Compact"/>
                    <w:jc w:val="right"/>
                    <w:jc w:val="center"/>
                  </w:pPr>
                  <w:r>
                    <w:t xml:space="preserve">[−45.9, 59.9]</w:t>
                  </w:r>
                </w:p>
              </w:tc>
              <w:tc>
                <w:tcPr/>
                <w:p>
                  <w:pPr>
                    <w:pStyle w:val="Compact"/>
                    <w:jc w:val="right"/>
                    <w:jc w:val="center"/>
                  </w:pPr>
                  <w:r>
                    <w:t xml:space="preserve">0.26</w:t>
                  </w:r>
                </w:p>
              </w:tc>
              <w:tc>
                <w:tcPr/>
                <w:p>
                  <w:pPr>
                    <w:pStyle w:val="Compact"/>
                    <w:jc w:val="right"/>
                    <w:jc w:val="center"/>
                  </w:pPr>
                  <w:r>
                    <w:t xml:space="preserve">700.7</w:t>
                  </w:r>
                </w:p>
              </w:tc>
              <w:tc>
                <w:tcPr/>
                <w:p>
                  <w:pPr>
                    <w:pStyle w:val="Compact"/>
                    <w:jc w:val="right"/>
                    <w:jc w:val="center"/>
                  </w:pPr>
                  <w:r>
                    <w:t xml:space="preserve">.795</w:t>
                  </w:r>
                </w:p>
              </w:tc>
            </w:tr>
            <w:tr>
              <w:tc>
                <w:tcPr/>
                <w:p>
                  <w:pPr>
                    <w:pStyle w:val="Compact"/>
                    <w:jc w:val="left"/>
                    <w:jc w:val="center"/>
                  </w:pPr>
                  <w:r>
                    <w:t xml:space="preserve">Easy</w:t>
                  </w:r>
                </w:p>
              </w:tc>
              <w:tc>
                <w:tcPr/>
                <w:p>
                  <w:pPr>
                    <w:pStyle w:val="Compact"/>
                    <w:jc w:val="right"/>
                    <w:jc w:val="center"/>
                  </w:pPr>
                  <w:r>
                    <w:t xml:space="preserve">11.1</w:t>
                  </w:r>
                </w:p>
              </w:tc>
              <w:tc>
                <w:tcPr/>
                <w:p>
                  <w:pPr>
                    <w:pStyle w:val="Compact"/>
                    <w:jc w:val="right"/>
                    <w:jc w:val="center"/>
                  </w:pPr>
                  <w:r>
                    <w:t xml:space="preserve">[−41.8, 64.0]</w:t>
                  </w:r>
                </w:p>
              </w:tc>
              <w:tc>
                <w:tcPr/>
                <w:p>
                  <w:pPr>
                    <w:pStyle w:val="Compact"/>
                    <w:jc w:val="right"/>
                    <w:jc w:val="center"/>
                  </w:pPr>
                  <w:r>
                    <w:t xml:space="preserve">0.41</w:t>
                  </w:r>
                </w:p>
              </w:tc>
              <w:tc>
                <w:tcPr/>
                <w:p>
                  <w:pPr>
                    <w:pStyle w:val="Compact"/>
                    <w:jc w:val="right"/>
                    <w:jc w:val="center"/>
                  </w:pPr>
                  <w:r>
                    <w:t xml:space="preserve">700.7</w:t>
                  </w:r>
                </w:p>
              </w:tc>
              <w:tc>
                <w:tcPr/>
                <w:p>
                  <w:pPr>
                    <w:pStyle w:val="Compact"/>
                    <w:jc w:val="right"/>
                    <w:jc w:val="center"/>
                  </w:pPr>
                  <w:r>
                    <w:t xml:space="preserve">.681</w:t>
                  </w:r>
                </w:p>
              </w:tc>
            </w:tr>
          </w:tbl>
          <w:p>
            <w:pPr>
              <w:jc w:val="center"/>
            </w:pPr>
            <w:r>
              <w:rPr>
                <w:i/>
                <w:iCs/>
              </w:rPr>
              <w:t xml:space="preserve">Note.</w:t>
            </w:r>
            <w:r>
              <w:t xml:space="preserve"> </w:t>
            </w:r>
            <w:r>
              <w:t xml:space="preserve">High minus low, in milliseconds, averaged over task with equal weights. df and p use the Satterthwaite approximation.</w:t>
            </w:r>
          </w:p>
          <w:bookmarkEnd w:id="1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8" w:name="suppfig-accuracy"/>
          <w:p>
            <w:pPr>
              <w:jc w:val="center"/>
            </w:pPr>
            <w:r>
              <w:drawing>
                <wp:inline>
                  <wp:extent cx="5334000" cy="3067049"/>
                  <wp:effectExtent b="0" l="0" r="0" t="0"/>
                  <wp:docPr descr="" title="" id="166" name="Picture"/>
                  <a:graphic>
                    <a:graphicData uri="http://schemas.openxmlformats.org/drawingml/2006/picture">
                      <pic:pic>
                        <pic:nvPicPr>
                          <pic:cNvPr descr="../output/ddm_refits/runs/final_20261016/figures/final/S_accuracy_by_condition.png" id="167" name="Picture"/>
                          <pic:cNvPicPr>
                            <a:picLocks noChangeArrowheads="1" noChangeAspect="1"/>
                          </pic:cNvPicPr>
                        </pic:nvPicPr>
                        <pic:blipFill>
                          <a:blip r:embed="rId165"/>
                          <a:stretch>
                            <a:fillRect/>
                          </a:stretch>
                        </pic:blipFill>
                        <pic:spPr bwMode="auto">
                          <a:xfrm>
                            <a:off x="0" y="0"/>
                            <a:ext cx="5334000" cy="3067049"/>
                          </a:xfrm>
                          <a:prstGeom prst="rect">
                            <a:avLst/>
                          </a:prstGeom>
                          <a:noFill/>
                          <a:ln w="9525">
                            <a:noFill/>
                            <a:headEnd/>
                            <a:tailEnd/>
                          </a:ln>
                        </pic:spPr>
                      </pic:pic>
                    </a:graphicData>
                  </a:graphic>
                </wp:inline>
              </w:drawing>
            </w:r>
          </w:p>
          <w:p>
            <w:pPr>
              <w:jc w:val="center"/>
            </w:pPr>
            <w:pPr>
              <w:jc w:val="left"/>
              <w:spacing w:before="200"/>
              <w:pStyle w:val="ImageCaption"/>
            </w:pPr>
            <w:r>
              <w:t xml:space="preserve">Figure S5: Observed accuracy by task, stimulus type and effort. Thin lines are individual participants and thick lines are means.</w:t>
            </w:r>
          </w:p>
          <w:bookmarkEnd w:id="168"/>
        </w:tc>
      </w:tr>
    </w:tbl>
    <w:bookmarkEnd w:id="169"/>
    <w:bookmarkStart w:id="172" w:name="X01ac6bc37aa4fb6c48d213e0533d6e133ae986c"/>
    <w:p>
      <w:pPr>
        <w:pStyle w:val="Heading2"/>
      </w:pPr>
      <w:r>
        <w:t xml:space="preserve">Extended baseline and neuropsychological profile (dissertation only)</w:t>
      </w:r>
    </w:p>
    <w:p>
      <w:pPr>
        <w:pStyle w:val="FirstParagraph"/>
      </w:pPr>
      <w:r>
        <w:t xml:space="preserve">Table S20 describes the sample on the neuropsychological battery. Table S21 reports exploratory correlations between these measures and task outcomes; none is interpreted.</w:t>
      </w:r>
    </w:p>
    <w:tbl>
      <w:tblPr>
        <w:tblStyle w:val="Table"/>
        <w:tblW w:type="pct" w:w="5000"/>
        <w:tblLayout w:type="fixed"/>
        <w:tblLook w:firstRow="0" w:lastRow="0" w:firstColumn="0" w:lastColumn="0" w:noHBand="0" w:noVBand="0" w:val="0000"/>
      </w:tblPr>
      <w:tblGrid>
        <w:gridCol w:w="7920"/>
      </w:tblGrid>
      <w:tr>
        <w:tc>
          <w:tcPr/>
          <w:bookmarkStart w:id="170" w:name="supptbl-baseline"/>
          <w:p>
            <w:pPr>
              <w:jc w:val="center"/>
            </w:pPr>
            <w:pPr>
              <w:jc w:val="left"/>
              <w:spacing w:before="200"/>
              <w:pStyle w:val="ImageCaption"/>
            </w:pPr>
            <w:r>
              <w:t xml:space="preserve">Table S20: Baseline characteristics of the sample</w:t>
            </w:r>
          </w:p>
          <w:tbl>
            <w:tblPr>
              <w:tblStyle w:val="Table"/>
              <w:tblW w:type="pct" w:w="5000"/>
              <w:tblLayout w:type="fixed"/>
              <w:tblLook w:firstRow="1" w:lastRow="0" w:firstColumn="0" w:lastColumn="0" w:noHBand="0" w:noVBand="0" w:val="0020"/>
            </w:tblPr>
            <w:tblGrid>
              <w:gridCol w:w="3681"/>
              <w:gridCol w:w="446"/>
              <w:gridCol w:w="2454"/>
              <w:gridCol w:w="1338"/>
            </w:tblGrid>
            <w:tr>
              <w:trPr>
                <w:tblHeader w:val="on"/>
              </w:trPr>
              <w:tc>
                <w:tcPr/>
                <w:p>
                  <w:pPr>
                    <w:pStyle w:val="Compact"/>
                    <w:jc w:val="left"/>
                    <w:jc w:val="center"/>
                  </w:pPr>
                  <w:r>
                    <w:t xml:space="preserve">Measure</w:t>
                  </w:r>
                </w:p>
              </w:tc>
              <w:tc>
                <w:tcPr/>
                <w:p>
                  <w:pPr>
                    <w:pStyle w:val="Compact"/>
                    <w:jc w:val="right"/>
                    <w:jc w:val="center"/>
                  </w:pPr>
                  <w:r>
                    <w:rPr>
                      <w:i/>
                      <w:iCs/>
                    </w:rPr>
                    <w:t xml:space="preserve">n</w:t>
                  </w:r>
                </w:p>
              </w:tc>
              <w:tc>
                <w:tcPr/>
                <w:p>
                  <w:pPr>
                    <w:pStyle w:val="Compact"/>
                    <w:jc w:val="right"/>
                    <w:jc w:val="center"/>
                  </w:pPr>
                  <w:r>
                    <w:rPr>
                      <w:i/>
                      <w:iCs/>
                    </w:rPr>
                    <w:t xml:space="preserve">M</w:t>
                  </w:r>
                  <w:r>
                    <w:t xml:space="preserve"> </w:t>
                  </w:r>
                  <w:r>
                    <w:t xml:space="preserve">(</w:t>
                  </w:r>
                  <w:r>
                    <w:rPr>
                      <w:i/>
                      <w:iCs/>
                    </w:rPr>
                    <w:t xml:space="preserve">SD</w:t>
                  </w:r>
                  <w:r>
                    <w:t xml:space="preserve">) or</w:t>
                  </w:r>
                  <w:r>
                    <w:t xml:space="preserve"> </w:t>
                  </w:r>
                  <w:r>
                    <w:rPr>
                      <w:i/>
                      <w:iCs/>
                    </w:rPr>
                    <w:t xml:space="preserve">n</w:t>
                  </w:r>
                  <w:r>
                    <w:t xml:space="preserve"> </w:t>
                  </w:r>
                  <w:r>
                    <w:t xml:space="preserve">(%)</w:t>
                  </w:r>
                </w:p>
              </w:tc>
              <w:tc>
                <w:tcPr/>
                <w:p>
                  <w:pPr>
                    <w:pStyle w:val="Compact"/>
                    <w:jc w:val="right"/>
                    <w:jc w:val="center"/>
                  </w:pPr>
                  <w:r>
                    <w:t xml:space="preserve">Range</w:t>
                  </w:r>
                </w:p>
              </w:tc>
            </w:tr>
            <w:tr>
              <w:tc>
                <w:tcPr/>
                <w:p>
                  <w:pPr>
                    <w:pStyle w:val="Compact"/>
                    <w:jc w:val="left"/>
                    <w:jc w:val="center"/>
                  </w:pPr>
                  <w:r>
                    <w:t xml:space="preserve">Age (years)</w:t>
                  </w:r>
                </w:p>
              </w:tc>
              <w:tc>
                <w:tcPr/>
                <w:p>
                  <w:pPr>
                    <w:pStyle w:val="Compact"/>
                    <w:jc w:val="right"/>
                    <w:jc w:val="center"/>
                  </w:pPr>
                  <w:r>
                    <w:t xml:space="preserve">67</w:t>
                  </w:r>
                </w:p>
              </w:tc>
              <w:tc>
                <w:tcPr/>
                <w:p>
                  <w:pPr>
                    <w:pStyle w:val="Compact"/>
                    <w:jc w:val="right"/>
                    <w:jc w:val="center"/>
                  </w:pPr>
                  <w:r>
                    <w:t xml:space="preserve">69.5 (6.4)</w:t>
                  </w:r>
                </w:p>
              </w:tc>
              <w:tc>
                <w:tcPr/>
                <w:p>
                  <w:pPr>
                    <w:pStyle w:val="Compact"/>
                    <w:jc w:val="right"/>
                    <w:jc w:val="center"/>
                  </w:pPr>
                  <w:r>
                    <w:t xml:space="preserve">60.0–87.0</w:t>
                  </w:r>
                </w:p>
              </w:tc>
            </w:tr>
            <w:tr>
              <w:tc>
                <w:tcPr/>
                <w:p>
                  <w:pPr>
                    <w:pStyle w:val="Compact"/>
                    <w:jc w:val="left"/>
                    <w:jc w:val="center"/>
                  </w:pPr>
                  <w:r>
                    <w:t xml:space="preserve">Education (years)</w:t>
                  </w:r>
                </w:p>
              </w:tc>
              <w:tc>
                <w:tcPr/>
                <w:p>
                  <w:pPr>
                    <w:pStyle w:val="Compact"/>
                    <w:jc w:val="right"/>
                    <w:jc w:val="center"/>
                  </w:pPr>
                  <w:r>
                    <w:t xml:space="preserve">64</w:t>
                  </w:r>
                </w:p>
              </w:tc>
              <w:tc>
                <w:tcPr/>
                <w:p>
                  <w:pPr>
                    <w:pStyle w:val="Compact"/>
                    <w:jc w:val="right"/>
                    <w:jc w:val="center"/>
                  </w:pPr>
                  <w:r>
                    <w:t xml:space="preserve">15.8 (2.6)</w:t>
                  </w:r>
                </w:p>
              </w:tc>
              <w:tc>
                <w:tcPr/>
                <w:p>
                  <w:pPr>
                    <w:pStyle w:val="Compact"/>
                    <w:jc w:val="right"/>
                    <w:jc w:val="center"/>
                  </w:pPr>
                  <w:r>
                    <w:t xml:space="preserve">10.0–21.0</w:t>
                  </w:r>
                </w:p>
              </w:tc>
            </w:tr>
            <w:tr>
              <w:tc>
                <w:tcPr/>
                <w:p>
                  <w:pPr>
                    <w:pStyle w:val="Compact"/>
                    <w:jc w:val="left"/>
                    <w:jc w:val="center"/>
                  </w:pPr>
                  <w:r>
                    <w:t xml:space="preserve">MoCA (telephone screen /22)</w:t>
                  </w:r>
                </w:p>
              </w:tc>
              <w:tc>
                <w:tcPr/>
                <w:p>
                  <w:pPr>
                    <w:pStyle w:val="Compact"/>
                    <w:jc w:val="right"/>
                    <w:jc w:val="center"/>
                  </w:pPr>
                  <w:r>
                    <w:t xml:space="preserve">62</w:t>
                  </w:r>
                </w:p>
              </w:tc>
              <w:tc>
                <w:tcPr/>
                <w:p>
                  <w:pPr>
                    <w:pStyle w:val="Compact"/>
                    <w:jc w:val="right"/>
                    <w:jc w:val="center"/>
                  </w:pPr>
                  <w:r>
                    <w:t xml:space="preserve">19.8 (1.5)</w:t>
                  </w:r>
                </w:p>
              </w:tc>
              <w:tc>
                <w:tcPr/>
                <w:p>
                  <w:pPr>
                    <w:pStyle w:val="Compact"/>
                    <w:jc w:val="right"/>
                    <w:jc w:val="center"/>
                  </w:pPr>
                  <w:r>
                    <w:t xml:space="preserve">17.0–22.0</w:t>
                  </w:r>
                </w:p>
              </w:tc>
            </w:tr>
            <w:tr>
              <w:tc>
                <w:tcPr/>
                <w:p>
                  <w:pPr>
                    <w:pStyle w:val="Compact"/>
                    <w:jc w:val="left"/>
                    <w:jc w:val="center"/>
                  </w:pPr>
                  <w:r>
                    <w:t xml:space="preserve">Trail Making A (seconds)</w:t>
                  </w:r>
                </w:p>
              </w:tc>
              <w:tc>
                <w:tcPr/>
                <w:p>
                  <w:pPr>
                    <w:pStyle w:val="Compact"/>
                    <w:jc w:val="right"/>
                    <w:jc w:val="center"/>
                  </w:pPr>
                  <w:r>
                    <w:t xml:space="preserve">63</w:t>
                  </w:r>
                </w:p>
              </w:tc>
              <w:tc>
                <w:tcPr/>
                <w:p>
                  <w:pPr>
                    <w:pStyle w:val="Compact"/>
                    <w:jc w:val="right"/>
                    <w:jc w:val="center"/>
                  </w:pPr>
                  <w:r>
                    <w:t xml:space="preserve">32.3 (9.2)</w:t>
                  </w:r>
                </w:p>
              </w:tc>
              <w:tc>
                <w:tcPr/>
                <w:p>
                  <w:pPr>
                    <w:pStyle w:val="Compact"/>
                    <w:jc w:val="right"/>
                    <w:jc w:val="center"/>
                  </w:pPr>
                  <w:r>
                    <w:t xml:space="preserve">17.8–58.7</w:t>
                  </w:r>
                </w:p>
              </w:tc>
            </w:tr>
            <w:tr>
              <w:tc>
                <w:tcPr/>
                <w:p>
                  <w:pPr>
                    <w:pStyle w:val="Compact"/>
                    <w:jc w:val="left"/>
                    <w:jc w:val="center"/>
                  </w:pPr>
                  <w:r>
                    <w:t xml:space="preserve">Trail Making B (seconds)</w:t>
                  </w:r>
                </w:p>
              </w:tc>
              <w:tc>
                <w:tcPr/>
                <w:p>
                  <w:pPr>
                    <w:pStyle w:val="Compact"/>
                    <w:jc w:val="right"/>
                    <w:jc w:val="center"/>
                  </w:pPr>
                  <w:r>
                    <w:t xml:space="preserve">63</w:t>
                  </w:r>
                </w:p>
              </w:tc>
              <w:tc>
                <w:tcPr/>
                <w:p>
                  <w:pPr>
                    <w:pStyle w:val="Compact"/>
                    <w:jc w:val="right"/>
                    <w:jc w:val="center"/>
                  </w:pPr>
                  <w:r>
                    <w:t xml:space="preserve">52.5 (28.2)</w:t>
                  </w:r>
                </w:p>
              </w:tc>
              <w:tc>
                <w:tcPr/>
                <w:p>
                  <w:pPr>
                    <w:pStyle w:val="Compact"/>
                    <w:jc w:val="right"/>
                    <w:jc w:val="center"/>
                  </w:pPr>
                  <w:r>
                    <w:t xml:space="preserve">12.1–159.6</w:t>
                  </w:r>
                </w:p>
              </w:tc>
            </w:tr>
            <w:tr>
              <w:tc>
                <w:tcPr/>
                <w:p>
                  <w:pPr>
                    <w:pStyle w:val="Compact"/>
                    <w:jc w:val="left"/>
                    <w:jc w:val="center"/>
                  </w:pPr>
                  <w:r>
                    <w:t xml:space="preserve">TMT B − A (seconds)</w:t>
                  </w:r>
                </w:p>
              </w:tc>
              <w:tc>
                <w:tcPr/>
                <w:p>
                  <w:pPr>
                    <w:pStyle w:val="Compact"/>
                    <w:jc w:val="right"/>
                    <w:jc w:val="center"/>
                  </w:pPr>
                  <w:r>
                    <w:t xml:space="preserve">63</w:t>
                  </w:r>
                </w:p>
              </w:tc>
              <w:tc>
                <w:tcPr/>
                <w:p>
                  <w:pPr>
                    <w:pStyle w:val="Compact"/>
                    <w:jc w:val="right"/>
                    <w:jc w:val="center"/>
                  </w:pPr>
                  <w:r>
                    <w:t xml:space="preserve">20.2 (25.6)</w:t>
                  </w:r>
                </w:p>
              </w:tc>
              <w:tc>
                <w:tcPr/>
                <w:p>
                  <w:pPr>
                    <w:pStyle w:val="Compact"/>
                    <w:jc w:val="right"/>
                    <w:jc w:val="center"/>
                  </w:pPr>
                  <w:r>
                    <w:t xml:space="preserve">−33.7–126.1</w:t>
                  </w:r>
                </w:p>
              </w:tc>
            </w:tr>
            <w:tr>
              <w:tc>
                <w:tcPr/>
                <w:p>
                  <w:pPr>
                    <w:pStyle w:val="Compact"/>
                    <w:jc w:val="left"/>
                    <w:jc w:val="center"/>
                  </w:pPr>
                  <w:r>
                    <w:t xml:space="preserve">Boston Naming (/23)</w:t>
                  </w:r>
                </w:p>
              </w:tc>
              <w:tc>
                <w:tcPr/>
                <w:p>
                  <w:pPr>
                    <w:pStyle w:val="Compact"/>
                    <w:jc w:val="right"/>
                    <w:jc w:val="center"/>
                  </w:pPr>
                  <w:r>
                    <w:t xml:space="preserve">62</w:t>
                  </w:r>
                </w:p>
              </w:tc>
              <w:tc>
                <w:tcPr/>
                <w:p>
                  <w:pPr>
                    <w:pStyle w:val="Compact"/>
                    <w:jc w:val="right"/>
                    <w:jc w:val="center"/>
                  </w:pPr>
                  <w:r>
                    <w:t xml:space="preserve">20.6 (2.6)</w:t>
                  </w:r>
                </w:p>
              </w:tc>
              <w:tc>
                <w:tcPr/>
                <w:p>
                  <w:pPr>
                    <w:pStyle w:val="Compact"/>
                    <w:jc w:val="right"/>
                    <w:jc w:val="center"/>
                  </w:pPr>
                  <w:r>
                    <w:t xml:space="preserve">14.0–23.0</w:t>
                  </w:r>
                </w:p>
              </w:tc>
            </w:tr>
            <w:tr>
              <w:tc>
                <w:tcPr/>
                <w:p>
                  <w:pPr>
                    <w:pStyle w:val="Compact"/>
                    <w:jc w:val="left"/>
                    <w:jc w:val="center"/>
                  </w:pPr>
                  <w:r>
                    <w:t xml:space="preserve">SILS (/40)</w:t>
                  </w:r>
                </w:p>
              </w:tc>
              <w:tc>
                <w:tcPr/>
                <w:p>
                  <w:pPr>
                    <w:pStyle w:val="Compact"/>
                    <w:jc w:val="right"/>
                    <w:jc w:val="center"/>
                  </w:pPr>
                  <w:r>
                    <w:t xml:space="preserve">63</w:t>
                  </w:r>
                </w:p>
              </w:tc>
              <w:tc>
                <w:tcPr/>
                <w:p>
                  <w:pPr>
                    <w:pStyle w:val="Compact"/>
                    <w:jc w:val="right"/>
                    <w:jc w:val="center"/>
                  </w:pPr>
                  <w:r>
                    <w:t xml:space="preserve">33.0 (3.6)</w:t>
                  </w:r>
                </w:p>
              </w:tc>
              <w:tc>
                <w:tcPr/>
                <w:p>
                  <w:pPr>
                    <w:pStyle w:val="Compact"/>
                    <w:jc w:val="right"/>
                    <w:jc w:val="center"/>
                  </w:pPr>
                  <w:r>
                    <w:t xml:space="preserve">18.0–38.0</w:t>
                  </w:r>
                </w:p>
              </w:tc>
            </w:tr>
            <w:tr>
              <w:tc>
                <w:tcPr/>
                <w:p>
                  <w:pPr>
                    <w:pStyle w:val="Compact"/>
                    <w:jc w:val="left"/>
                    <w:jc w:val="center"/>
                  </w:pPr>
                  <w:r>
                    <w:t xml:space="preserve">GDS (/15)</w:t>
                  </w:r>
                </w:p>
              </w:tc>
              <w:tc>
                <w:tcPr/>
                <w:p>
                  <w:pPr>
                    <w:pStyle w:val="Compact"/>
                    <w:jc w:val="right"/>
                    <w:jc w:val="center"/>
                  </w:pPr>
                  <w:r>
                    <w:t xml:space="preserve">61</w:t>
                  </w:r>
                </w:p>
              </w:tc>
              <w:tc>
                <w:tcPr/>
                <w:p>
                  <w:pPr>
                    <w:pStyle w:val="Compact"/>
                    <w:jc w:val="right"/>
                    <w:jc w:val="center"/>
                  </w:pPr>
                  <w:r>
                    <w:t xml:space="preserve">1.7 (2.0)</w:t>
                  </w:r>
                </w:p>
              </w:tc>
              <w:tc>
                <w:tcPr/>
                <w:p>
                  <w:pPr>
                    <w:pStyle w:val="Compact"/>
                    <w:jc w:val="right"/>
                    <w:jc w:val="center"/>
                  </w:pPr>
                  <w:r>
                    <w:t xml:space="preserve">0.0–10.0</w:t>
                  </w:r>
                </w:p>
              </w:tc>
            </w:tr>
            <w:tr>
              <w:tc>
                <w:tcPr/>
                <w:p>
                  <w:pPr>
                    <w:pStyle w:val="Compact"/>
                    <w:jc w:val="left"/>
                    <w:jc w:val="center"/>
                  </w:pPr>
                  <w:r>
                    <w:t xml:space="preserve">GAD-7 (/8)</w:t>
                  </w:r>
                </w:p>
              </w:tc>
              <w:tc>
                <w:tcPr/>
                <w:p>
                  <w:pPr>
                    <w:pStyle w:val="Compact"/>
                    <w:jc w:val="right"/>
                    <w:jc w:val="center"/>
                  </w:pPr>
                  <w:r>
                    <w:t xml:space="preserve">61</w:t>
                  </w:r>
                </w:p>
              </w:tc>
              <w:tc>
                <w:tcPr/>
                <w:p>
                  <w:pPr>
                    <w:pStyle w:val="Compact"/>
                    <w:jc w:val="right"/>
                    <w:jc w:val="center"/>
                  </w:pPr>
                  <w:r>
                    <w:t xml:space="preserve">2.3 (2.3)</w:t>
                  </w:r>
                </w:p>
              </w:tc>
              <w:tc>
                <w:tcPr/>
                <w:p>
                  <w:pPr>
                    <w:pStyle w:val="Compact"/>
                    <w:jc w:val="right"/>
                    <w:jc w:val="center"/>
                  </w:pPr>
                  <w:r>
                    <w:t xml:space="preserve">0.0–10.0</w:t>
                  </w:r>
                </w:p>
              </w:tc>
            </w:tr>
            <w:tr>
              <w:tc>
                <w:tcPr/>
                <w:p>
                  <w:pPr>
                    <w:pStyle w:val="Compact"/>
                    <w:jc w:val="left"/>
                    <w:jc w:val="center"/>
                  </w:pPr>
                  <w:r>
                    <w:t xml:space="preserve">EMQ-13</w:t>
                  </w:r>
                </w:p>
              </w:tc>
              <w:tc>
                <w:tcPr/>
                <w:p>
                  <w:pPr>
                    <w:pStyle w:val="Compact"/>
                    <w:jc w:val="right"/>
                    <w:jc w:val="center"/>
                  </w:pPr>
                  <w:r>
                    <w:t xml:space="preserve">62</w:t>
                  </w:r>
                </w:p>
              </w:tc>
              <w:tc>
                <w:tcPr/>
                <w:p>
                  <w:pPr>
                    <w:pStyle w:val="Compact"/>
                    <w:jc w:val="right"/>
                    <w:jc w:val="center"/>
                  </w:pPr>
                  <w:r>
                    <w:t xml:space="preserve">6.7 (4.7)</w:t>
                  </w:r>
                </w:p>
              </w:tc>
              <w:tc>
                <w:tcPr/>
                <w:p>
                  <w:pPr>
                    <w:pStyle w:val="Compact"/>
                    <w:jc w:val="right"/>
                    <w:jc w:val="center"/>
                  </w:pPr>
                  <w:r>
                    <w:t xml:space="preserve">1.0–28.0</w:t>
                  </w:r>
                </w:p>
              </w:tc>
            </w:tr>
            <w:tr>
              <w:tc>
                <w:tcPr/>
                <w:p>
                  <w:pPr>
                    <w:pStyle w:val="Compact"/>
                    <w:jc w:val="left"/>
                    <w:jc w:val="center"/>
                  </w:pPr>
                  <w:r>
                    <w:t xml:space="preserve">Female, n (%)</w:t>
                  </w:r>
                </w:p>
              </w:tc>
              <w:tc>
                <w:tcPr/>
                <w:p>
                  <w:pPr>
                    <w:pStyle w:val="Compact"/>
                  </w:pPr>
                </w:p>
              </w:tc>
              <w:tc>
                <w:tcPr/>
                <w:p>
                  <w:pPr>
                    <w:pStyle w:val="Compact"/>
                    <w:jc w:val="right"/>
                    <w:jc w:val="center"/>
                  </w:pPr>
                  <w:r>
                    <w:t xml:space="preserve">34 (50.7%)</w:t>
                  </w:r>
                </w:p>
              </w:tc>
              <w:tc>
                <w:tcPr/>
                <w:p>
                  <w:pPr>
                    <w:pStyle w:val="Compact"/>
                  </w:pPr>
                </w:p>
              </w:tc>
            </w:tr>
            <w:tr>
              <w:tc>
                <w:tcPr/>
                <w:p>
                  <w:pPr>
                    <w:pStyle w:val="Compact"/>
                    <w:jc w:val="left"/>
                    <w:jc w:val="center"/>
                  </w:pPr>
                  <w:r>
                    <w:t xml:space="preserve">Right-handed, n (%)</w:t>
                  </w:r>
                </w:p>
              </w:tc>
              <w:tc>
                <w:tcPr/>
                <w:p>
                  <w:pPr>
                    <w:pStyle w:val="Compact"/>
                  </w:pPr>
                </w:p>
              </w:tc>
              <w:tc>
                <w:tcPr/>
                <w:p>
                  <w:pPr>
                    <w:pStyle w:val="Compact"/>
                    <w:jc w:val="right"/>
                    <w:jc w:val="center"/>
                  </w:pPr>
                  <w:r>
                    <w:t xml:space="preserve">67 (100.0%)</w:t>
                  </w:r>
                </w:p>
              </w:tc>
              <w:tc>
                <w:tcPr/>
                <w:p>
                  <w:pPr>
                    <w:pStyle w:val="Compact"/>
                  </w:pPr>
                </w:p>
              </w:tc>
            </w:tr>
            <w:tr>
              <w:tc>
                <w:tcPr/>
                <w:p>
                  <w:pPr>
                    <w:pStyle w:val="Compact"/>
                    <w:jc w:val="left"/>
                    <w:jc w:val="center"/>
                  </w:pPr>
                  <w:r>
                    <w:t xml:space="preserve">White race, n (%)</w:t>
                  </w:r>
                </w:p>
              </w:tc>
              <w:tc>
                <w:tcPr/>
                <w:p>
                  <w:pPr>
                    <w:pStyle w:val="Compact"/>
                  </w:pPr>
                </w:p>
              </w:tc>
              <w:tc>
                <w:tcPr/>
                <w:p>
                  <w:pPr>
                    <w:pStyle w:val="Compact"/>
                    <w:jc w:val="right"/>
                    <w:jc w:val="center"/>
                  </w:pPr>
                  <w:r>
                    <w:t xml:space="preserve">51 (76.1%)</w:t>
                  </w:r>
                </w:p>
              </w:tc>
              <w:tc>
                <w:tcPr/>
                <w:p>
                  <w:pPr>
                    <w:pStyle w:val="Compact"/>
                  </w:pPr>
                </w:p>
              </w:tc>
            </w:tr>
            <w:tr>
              <w:tc>
                <w:tcPr/>
                <w:p>
                  <w:pPr>
                    <w:pStyle w:val="Compact"/>
                    <w:jc w:val="left"/>
                    <w:jc w:val="center"/>
                  </w:pPr>
                  <w:r>
                    <w:t xml:space="preserve">Hispanic/Latino ethnicity, n (%)</w:t>
                  </w:r>
                </w:p>
              </w:tc>
              <w:tc>
                <w:tcPr/>
                <w:p>
                  <w:pPr>
                    <w:pStyle w:val="Compact"/>
                  </w:pPr>
                </w:p>
              </w:tc>
              <w:tc>
                <w:tcPr/>
                <w:p>
                  <w:pPr>
                    <w:pStyle w:val="Compact"/>
                    <w:jc w:val="right"/>
                    <w:jc w:val="center"/>
                  </w:pPr>
                  <w:r>
                    <w:t xml:space="preserve">10 (15.4%)</w:t>
                  </w:r>
                </w:p>
              </w:tc>
              <w:tc>
                <w:tcPr/>
                <w:p>
                  <w:pPr>
                    <w:pStyle w:val="Compact"/>
                  </w:pPr>
                </w:p>
              </w:tc>
            </w:tr>
          </w:tbl>
          <w:p>
            <w:pPr>
              <w:jc w:val="center"/>
            </w:pPr>
            <w:r>
              <w:rPr>
                <w:i/>
                <w:iCs/>
              </w:rPr>
              <w:t xml:space="preserve">Note.</w:t>
            </w:r>
            <w:r>
              <w:t xml:space="preserve"> </w:t>
            </w:r>
            <w:r>
              <w:t xml:space="preserve">Values are from output/neuropsych_demographics/extended_baseline_continuous.csv and extended_baseline_categorical.csv, the July S9 source. T14 stored the means but dropped the ranges.</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neuropsych"/>
          <w:p>
            <w:pPr>
              <w:jc w:val="center"/>
            </w:pPr>
            <w:pPr>
              <w:jc w:val="left"/>
              <w:spacing w:before="200"/>
              <w:pStyle w:val="ImageCaption"/>
            </w:pPr>
            <w:r>
              <w:t xml:space="preserve">Table S21: Exploratory correlations between neuropsychological measures and behavioral and model-based outcomes, with false-discovery-rate-adjusted</w:t>
            </w:r>
            <w:r>
              <w:t xml:space="preserve"> </w:t>
            </w:r>
            <w:r>
              <w:rPr>
                <w:i/>
                <w:iCs/>
              </w:rPr>
              <w:t xml:space="preserve">p</w:t>
            </w:r>
            <w:r>
              <w:t xml:space="preserve"> </w:t>
            </w:r>
            <w:r>
              <w:t xml:space="preserve">values</w:t>
            </w:r>
          </w:p>
          <w:tbl>
            <w:tblPr>
              <w:tblStyle w:val="Table"/>
              <w:tblW w:type="pct" w:w="5000"/>
              <w:tblLayout w:type="fixed"/>
              <w:tblLook w:firstRow="1" w:lastRow="0" w:firstColumn="0" w:lastColumn="0" w:noHBand="0" w:noVBand="0" w:val="0020"/>
            </w:tblPr>
            <w:tblGrid>
              <w:gridCol w:w="1961"/>
              <w:gridCol w:w="3846"/>
              <w:gridCol w:w="678"/>
              <w:gridCol w:w="377"/>
              <w:gridCol w:w="754"/>
              <w:gridCol w:w="301"/>
            </w:tblGrid>
            <w:tr>
              <w:trPr>
                <w:tblHeader w:val="on"/>
              </w:trPr>
              <w:tc>
                <w:tcPr/>
                <w:p>
                  <w:pPr>
                    <w:pStyle w:val="Compact"/>
                    <w:jc w:val="left"/>
                    <w:jc w:val="center"/>
                  </w:pPr>
                  <w:r>
                    <w:t xml:space="preserve">Predictor</w:t>
                  </w:r>
                </w:p>
              </w:tc>
              <w:tc>
                <w:tcPr/>
                <w:p>
                  <w:pPr>
                    <w:pStyle w:val="Compact"/>
                    <w:jc w:val="right"/>
                    <w:jc w:val="center"/>
                  </w:pPr>
                  <w:r>
                    <w:t xml:space="preserve">Outcome</w:t>
                  </w:r>
                </w:p>
              </w:tc>
              <w:tc>
                <w:tcPr/>
                <w:p>
                  <w:pPr>
                    <w:pStyle w:val="Compact"/>
                    <w:jc w:val="right"/>
                    <w:jc w:val="center"/>
                  </w:pPr>
                  <w:r>
                    <w:t xml:space="preserve">r</w:t>
                  </w:r>
                </w:p>
              </w:tc>
              <w:tc>
                <w:tcPr/>
                <w:p>
                  <w:pPr>
                    <w:pStyle w:val="Compact"/>
                    <w:jc w:val="right"/>
                    <w:jc w:val="center"/>
                  </w:pPr>
                  <w:r>
                    <w:rPr>
                      <w:i/>
                      <w:iCs/>
                    </w:rPr>
                    <w:t xml:space="preserve">p</w:t>
                  </w:r>
                </w:p>
              </w:tc>
              <w:tc>
                <w:tcPr/>
                <w:p>
                  <w:pPr>
                    <w:pStyle w:val="Compact"/>
                    <w:jc w:val="right"/>
                    <w:jc w:val="center"/>
                  </w:pPr>
                  <w:r>
                    <w:rPr>
                      <w:i/>
                      <w:iCs/>
                    </w:rPr>
                    <w:t xml:space="preserve">p</w:t>
                  </w:r>
                  <w:r>
                    <w:t xml:space="preserve"> </w:t>
                  </w:r>
                  <w:r>
                    <w:t xml:space="preserve">(FDR)</w:t>
                  </w:r>
                </w:p>
              </w:tc>
              <w:tc>
                <w:tcPr/>
                <w:p>
                  <w:pPr>
                    <w:pStyle w:val="Compact"/>
                    <w:jc w:val="right"/>
                    <w:jc w:val="center"/>
                  </w:pPr>
                  <w:r>
                    <w:rPr>
                      <w:i/>
                      <w:iCs/>
                    </w:rPr>
                    <w:t xml:space="preserve">n</w:t>
                  </w:r>
                </w:p>
              </w:tc>
            </w:tr>
            <w:tr>
              <w:tc>
                <w:tcPr/>
                <w:p>
                  <w:pPr>
                    <w:pStyle w:val="Compact"/>
                    <w:jc w:val="left"/>
                    <w:jc w:val="center"/>
                  </w:pPr>
                  <w:r>
                    <w:t xml:space="preserve">Boston Naming</w:t>
                  </w:r>
                </w:p>
              </w:tc>
              <w:tc>
                <w:tcPr/>
                <w:p>
                  <w:pPr>
                    <w:pStyle w:val="Compact"/>
                    <w:jc w:val="right"/>
                    <w:jc w:val="center"/>
                  </w:pPr>
                  <w:r>
                    <w:t xml:space="preserve">mean accuracy</w:t>
                  </w:r>
                </w:p>
              </w:tc>
              <w:tc>
                <w:tcPr/>
                <w:p>
                  <w:pPr>
                    <w:pStyle w:val="Compact"/>
                    <w:jc w:val="right"/>
                    <w:jc w:val="center"/>
                  </w:pPr>
                  <w:r>
                    <w:t xml:space="preserve">r = .32</w:t>
                  </w:r>
                </w:p>
              </w:tc>
              <w:tc>
                <w:tcPr/>
                <w:p>
                  <w:pPr>
                    <w:pStyle w:val="Compact"/>
                    <w:jc w:val="right"/>
                    <w:jc w:val="center"/>
                  </w:pPr>
                  <w:r>
                    <w:t xml:space="preserve">.012</w:t>
                  </w:r>
                </w:p>
              </w:tc>
              <w:tc>
                <w:tcPr/>
                <w:p>
                  <w:pPr>
                    <w:pStyle w:val="Compact"/>
                    <w:jc w:val="right"/>
                    <w:jc w:val="center"/>
                  </w:pPr>
                  <w:r>
                    <w:t xml:space="preserve">.109</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|accuracy difference|</w:t>
                  </w:r>
                </w:p>
              </w:tc>
              <w:tc>
                <w:tcPr/>
                <w:p>
                  <w:pPr>
                    <w:pStyle w:val="Compact"/>
                    <w:jc w:val="right"/>
                    <w:jc w:val="center"/>
                  </w:pPr>
                  <w:r>
                    <w:t xml:space="preserve">r = −.14</w:t>
                  </w:r>
                </w:p>
              </w:tc>
              <w:tc>
                <w:tcPr/>
                <w:p>
                  <w:pPr>
                    <w:pStyle w:val="Compact"/>
                    <w:jc w:val="right"/>
                    <w:jc w:val="center"/>
                  </w:pPr>
                  <w:r>
                    <w:t xml:space="preserve">.270</w:t>
                  </w:r>
                </w:p>
              </w:tc>
              <w:tc>
                <w:tcPr/>
                <w:p>
                  <w:pPr>
                    <w:pStyle w:val="Compact"/>
                    <w:jc w:val="right"/>
                    <w:jc w:val="center"/>
                  </w:pPr>
                  <w:r>
                    <w:t xml:space="preserve">.529</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d′ (descriptive)</w:t>
                  </w:r>
                </w:p>
              </w:tc>
              <w:tc>
                <w:tcPr/>
                <w:p>
                  <w:pPr>
                    <w:pStyle w:val="Compact"/>
                    <w:jc w:val="right"/>
                    <w:jc w:val="center"/>
                  </w:pPr>
                  <w:r>
                    <w:t xml:space="preserve">r = .33</w:t>
                  </w:r>
                </w:p>
              </w:tc>
              <w:tc>
                <w:tcPr/>
                <w:p>
                  <w:pPr>
                    <w:pStyle w:val="Compact"/>
                    <w:jc w:val="right"/>
                    <w:jc w:val="center"/>
                  </w:pPr>
                  <w:r>
                    <w:t xml:space="preserve">.009</w:t>
                  </w:r>
                </w:p>
              </w:tc>
              <w:tc>
                <w:tcPr/>
                <w:p>
                  <w:pPr>
                    <w:pStyle w:val="Compact"/>
                    <w:jc w:val="right"/>
                    <w:jc w:val="center"/>
                  </w:pPr>
                  <w:r>
                    <w:t xml:space="preserve">.101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|RT effort difference|</w:t>
                  </w:r>
                </w:p>
              </w:tc>
              <w:tc>
                <w:tcPr/>
                <w:p>
                  <w:pPr>
                    <w:pStyle w:val="Compact"/>
                    <w:jc w:val="right"/>
                    <w:jc w:val="center"/>
                  </w:pPr>
                  <w:r>
                    <w:t xml:space="preserve">r = −.20</w:t>
                  </w:r>
                </w:p>
              </w:tc>
              <w:tc>
                <w:tcPr/>
                <w:p>
                  <w:pPr>
                    <w:pStyle w:val="Compact"/>
                    <w:jc w:val="right"/>
                    <w:jc w:val="center"/>
                  </w:pPr>
                  <w:r>
                    <w:t xml:space="preserve">.121</w:t>
                  </w:r>
                </w:p>
              </w:tc>
              <w:tc>
                <w:tcPr/>
                <w:p>
                  <w:pPr>
                    <w:pStyle w:val="Compact"/>
                    <w:jc w:val="right"/>
                    <w:jc w:val="center"/>
                  </w:pPr>
                  <w:r>
                    <w:t xml:space="preserve">.381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mean RT</w:t>
                  </w:r>
                </w:p>
              </w:tc>
              <w:tc>
                <w:tcPr/>
                <w:p>
                  <w:pPr>
                    <w:pStyle w:val="Compact"/>
                    <w:jc w:val="right"/>
                    <w:jc w:val="center"/>
                  </w:pPr>
                  <w:r>
                    <w:t xml:space="preserve">r = −.17</w:t>
                  </w:r>
                </w:p>
              </w:tc>
              <w:tc>
                <w:tcPr/>
                <w:p>
                  <w:pPr>
                    <w:pStyle w:val="Compact"/>
                    <w:jc w:val="right"/>
                    <w:jc w:val="center"/>
                  </w:pPr>
                  <w:r>
                    <w:t xml:space="preserve">.182</w:t>
                  </w:r>
                </w:p>
              </w:tc>
              <w:tc>
                <w:tcPr/>
                <w:p>
                  <w:pPr>
                    <w:pStyle w:val="Compact"/>
                    <w:jc w:val="right"/>
                    <w:jc w:val="center"/>
                  </w:pPr>
                  <w:r>
                    <w:t xml:space="preserve">.430</w:t>
                  </w:r>
                </w:p>
              </w:tc>
              <w:tc>
                <w:tcPr/>
                <w:p>
                  <w:pPr>
                    <w:pStyle w:val="Compact"/>
                    <w:jc w:val="right"/>
                    <w:jc w:val="center"/>
                  </w:pPr>
                  <w:r>
                    <w:t xml:space="preserve">62</w:t>
                  </w:r>
                </w:p>
              </w:tc>
            </w:tr>
            <w:tr>
              <w:tc>
                <w:tcPr/>
                <w:p>
                  <w:pPr>
                    <w:pStyle w:val="Compact"/>
                    <w:jc w:val="left"/>
                    <w:jc w:val="center"/>
                  </w:pPr>
                  <w:r>
                    <w:t xml:space="preserve">education</w:t>
                  </w:r>
                </w:p>
              </w:tc>
              <w:tc>
                <w:tcPr/>
                <w:p>
                  <w:pPr>
                    <w:pStyle w:val="Compact"/>
                    <w:jc w:val="right"/>
                    <w:jc w:val="center"/>
                  </w:pPr>
                  <w:r>
                    <w:t xml:space="preserve">mean accuracy</w:t>
                  </w:r>
                </w:p>
              </w:tc>
              <w:tc>
                <w:tcPr/>
                <w:p>
                  <w:pPr>
                    <w:pStyle w:val="Compact"/>
                    <w:jc w:val="right"/>
                    <w:jc w:val="center"/>
                  </w:pPr>
                  <w:r>
                    <w:t xml:space="preserve">r = .30</w:t>
                  </w:r>
                </w:p>
              </w:tc>
              <w:tc>
                <w:tcPr/>
                <w:p>
                  <w:pPr>
                    <w:pStyle w:val="Compact"/>
                    <w:jc w:val="right"/>
                    <w:jc w:val="center"/>
                  </w:pPr>
                  <w:r>
                    <w:t xml:space="preserve">.015</w:t>
                  </w:r>
                </w:p>
              </w:tc>
              <w:tc>
                <w:tcPr/>
                <w:p>
                  <w:pPr>
                    <w:pStyle w:val="Compact"/>
                    <w:jc w:val="right"/>
                    <w:jc w:val="center"/>
                  </w:pPr>
                  <w:r>
                    <w:t xml:space="preserve">.109</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|accuracy difference|</w:t>
                  </w:r>
                </w:p>
              </w:tc>
              <w:tc>
                <w:tcPr/>
                <w:p>
                  <w:pPr>
                    <w:pStyle w:val="Compact"/>
                    <w:jc w:val="right"/>
                    <w:jc w:val="center"/>
                  </w:pPr>
                  <w:r>
                    <w:t xml:space="preserve">r = .24</w:t>
                  </w:r>
                </w:p>
              </w:tc>
              <w:tc>
                <w:tcPr/>
                <w:p>
                  <w:pPr>
                    <w:pStyle w:val="Compact"/>
                    <w:jc w:val="right"/>
                    <w:jc w:val="center"/>
                  </w:pPr>
                  <w:r>
                    <w:t xml:space="preserve">.054</w:t>
                  </w:r>
                </w:p>
              </w:tc>
              <w:tc>
                <w:tcPr/>
                <w:p>
                  <w:pPr>
                    <w:pStyle w:val="Compact"/>
                    <w:jc w:val="right"/>
                    <w:jc w:val="center"/>
                  </w:pPr>
                  <w:r>
                    <w:t xml:space="preserve">.244</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d′ (descriptive)</w:t>
                  </w:r>
                </w:p>
              </w:tc>
              <w:tc>
                <w:tcPr/>
                <w:p>
                  <w:pPr>
                    <w:pStyle w:val="Compact"/>
                    <w:jc w:val="right"/>
                    <w:jc w:val="center"/>
                  </w:pPr>
                  <w:r>
                    <w:t xml:space="preserve">r = .07</w:t>
                  </w:r>
                </w:p>
              </w:tc>
              <w:tc>
                <w:tcPr/>
                <w:p>
                  <w:pPr>
                    <w:pStyle w:val="Compact"/>
                    <w:jc w:val="right"/>
                    <w:jc w:val="center"/>
                  </w:pPr>
                  <w:r>
                    <w:t xml:space="preserve">.596</w:t>
                  </w:r>
                </w:p>
              </w:tc>
              <w:tc>
                <w:tcPr/>
                <w:p>
                  <w:pPr>
                    <w:pStyle w:val="Compact"/>
                    <w:jc w:val="right"/>
                    <w:jc w:val="center"/>
                  </w:pPr>
                  <w:r>
                    <w:t xml:space="preserve">.902</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|RT effort difference|</w:t>
                  </w:r>
                </w:p>
              </w:tc>
              <w:tc>
                <w:tcPr/>
                <w:p>
                  <w:pPr>
                    <w:pStyle w:val="Compact"/>
                    <w:jc w:val="right"/>
                    <w:jc w:val="center"/>
                  </w:pPr>
                  <w:r>
                    <w:t xml:space="preserve">r = −.05</w:t>
                  </w:r>
                </w:p>
              </w:tc>
              <w:tc>
                <w:tcPr/>
                <w:p>
                  <w:pPr>
                    <w:pStyle w:val="Compact"/>
                    <w:jc w:val="right"/>
                    <w:jc w:val="center"/>
                  </w:pPr>
                  <w:r>
                    <w:t xml:space="preserve">.689</w:t>
                  </w:r>
                </w:p>
              </w:tc>
              <w:tc>
                <w:tcPr/>
                <w:p>
                  <w:pPr>
                    <w:pStyle w:val="Compact"/>
                    <w:jc w:val="right"/>
                    <w:jc w:val="center"/>
                  </w:pPr>
                  <w:r>
                    <w:t xml:space="preserve">.915</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mean RT</w:t>
                  </w:r>
                </w:p>
              </w:tc>
              <w:tc>
                <w:tcPr/>
                <w:p>
                  <w:pPr>
                    <w:pStyle w:val="Compact"/>
                    <w:jc w:val="right"/>
                    <w:jc w:val="center"/>
                  </w:pPr>
                  <w:r>
                    <w:t xml:space="preserve">r = −.07</w:t>
                  </w:r>
                </w:p>
              </w:tc>
              <w:tc>
                <w:tcPr/>
                <w:p>
                  <w:pPr>
                    <w:pStyle w:val="Compact"/>
                    <w:jc w:val="right"/>
                    <w:jc w:val="center"/>
                  </w:pPr>
                  <w:r>
                    <w:t xml:space="preserve">.601</w:t>
                  </w:r>
                </w:p>
              </w:tc>
              <w:tc>
                <w:tcPr/>
                <w:p>
                  <w:pPr>
                    <w:pStyle w:val="Compact"/>
                    <w:jc w:val="right"/>
                    <w:jc w:val="center"/>
                  </w:pPr>
                  <w:r>
                    <w:t xml:space="preserve">.902</w:t>
                  </w:r>
                </w:p>
              </w:tc>
              <w:tc>
                <w:tcPr/>
                <w:p>
                  <w:pPr>
                    <w:pStyle w:val="Compact"/>
                    <w:jc w:val="right"/>
                    <w:jc w:val="center"/>
                  </w:pPr>
                  <w:r>
                    <w:t xml:space="preserve">64</w:t>
                  </w:r>
                </w:p>
              </w:tc>
            </w:tr>
            <w:tr>
              <w:tc>
                <w:tcPr/>
                <w:p>
                  <w:pPr>
                    <w:pStyle w:val="Compact"/>
                    <w:jc w:val="left"/>
                    <w:jc w:val="center"/>
                  </w:pPr>
                  <w:r>
                    <w:t xml:space="preserve">EMQ-13</w:t>
                  </w:r>
                </w:p>
              </w:tc>
              <w:tc>
                <w:tcPr/>
                <w:p>
                  <w:pPr>
                    <w:pStyle w:val="Compact"/>
                    <w:jc w:val="right"/>
                    <w:jc w:val="center"/>
                  </w:pPr>
                  <w:r>
                    <w:t xml:space="preserve">mean accuracy</w:t>
                  </w:r>
                </w:p>
              </w:tc>
              <w:tc>
                <w:tcPr/>
                <w:p>
                  <w:pPr>
                    <w:pStyle w:val="Compact"/>
                    <w:jc w:val="right"/>
                    <w:jc w:val="center"/>
                  </w:pPr>
                  <w:r>
                    <w:t xml:space="preserve">r = .02</w:t>
                  </w:r>
                </w:p>
              </w:tc>
              <w:tc>
                <w:tcPr/>
                <w:p>
                  <w:pPr>
                    <w:pStyle w:val="Compact"/>
                    <w:jc w:val="right"/>
                    <w:jc w:val="center"/>
                  </w:pPr>
                  <w:r>
                    <w:t xml:space="preserve">.859</w:t>
                  </w:r>
                </w:p>
              </w:tc>
              <w:tc>
                <w:tcPr/>
                <w:p>
                  <w:pPr>
                    <w:pStyle w:val="Compact"/>
                    <w:jc w:val="right"/>
                    <w:jc w:val="center"/>
                  </w:pPr>
                  <w:r>
                    <w:t xml:space="preserve">.924</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|accuracy difference|</w:t>
                  </w:r>
                </w:p>
              </w:tc>
              <w:tc>
                <w:tcPr/>
                <w:p>
                  <w:pPr>
                    <w:pStyle w:val="Compact"/>
                    <w:jc w:val="right"/>
                    <w:jc w:val="center"/>
                  </w:pPr>
                  <w:r>
                    <w:t xml:space="preserve">r = .19</w:t>
                  </w:r>
                </w:p>
              </w:tc>
              <w:tc>
                <w:tcPr/>
                <w:p>
                  <w:pPr>
                    <w:pStyle w:val="Compact"/>
                    <w:jc w:val="right"/>
                    <w:jc w:val="center"/>
                  </w:pPr>
                  <w:r>
                    <w:t xml:space="preserve">.140</w:t>
                  </w:r>
                </w:p>
              </w:tc>
              <w:tc>
                <w:tcPr/>
                <w:p>
                  <w:pPr>
                    <w:pStyle w:val="Compact"/>
                    <w:jc w:val="right"/>
                    <w:jc w:val="center"/>
                  </w:pPr>
                  <w:r>
                    <w:t xml:space="preserve">.381</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d′ (descriptive)</w:t>
                  </w:r>
                </w:p>
              </w:tc>
              <w:tc>
                <w:tcPr/>
                <w:p>
                  <w:pPr>
                    <w:pStyle w:val="Compact"/>
                    <w:jc w:val="right"/>
                    <w:jc w:val="center"/>
                  </w:pPr>
                  <w:r>
                    <w:t xml:space="preserve">r = −.12</w:t>
                  </w:r>
                </w:p>
              </w:tc>
              <w:tc>
                <w:tcPr/>
                <w:p>
                  <w:pPr>
                    <w:pStyle w:val="Compact"/>
                    <w:jc w:val="right"/>
                    <w:jc w:val="center"/>
                  </w:pPr>
                  <w:r>
                    <w:t xml:space="preserve">.358</w:t>
                  </w:r>
                </w:p>
              </w:tc>
              <w:tc>
                <w:tcPr/>
                <w:p>
                  <w:pPr>
                    <w:pStyle w:val="Compact"/>
                    <w:jc w:val="right"/>
                    <w:jc w:val="center"/>
                  </w:pPr>
                  <w:r>
                    <w:t xml:space="preserve">.668</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|RT effort difference|</w:t>
                  </w:r>
                </w:p>
              </w:tc>
              <w:tc>
                <w:tcPr/>
                <w:p>
                  <w:pPr>
                    <w:pStyle w:val="Compact"/>
                    <w:jc w:val="right"/>
                    <w:jc w:val="center"/>
                  </w:pPr>
                  <w:r>
                    <w:t xml:space="preserve">r = .04</w:t>
                  </w:r>
                </w:p>
              </w:tc>
              <w:tc>
                <w:tcPr/>
                <w:p>
                  <w:pPr>
                    <w:pStyle w:val="Compact"/>
                    <w:jc w:val="right"/>
                    <w:jc w:val="center"/>
                  </w:pPr>
                  <w:r>
                    <w:t xml:space="preserve">.732</w:t>
                  </w:r>
                </w:p>
              </w:tc>
              <w:tc>
                <w:tcPr/>
                <w:p>
                  <w:pPr>
                    <w:pStyle w:val="Compact"/>
                    <w:jc w:val="right"/>
                    <w:jc w:val="center"/>
                  </w:pPr>
                  <w:r>
                    <w:t xml:space="preserve">.915</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mean RT</w:t>
                  </w:r>
                </w:p>
              </w:tc>
              <w:tc>
                <w:tcPr/>
                <w:p>
                  <w:pPr>
                    <w:pStyle w:val="Compact"/>
                    <w:jc w:val="right"/>
                    <w:jc w:val="center"/>
                  </w:pPr>
                  <w:r>
                    <w:t xml:space="preserve">r = .33</w:t>
                  </w:r>
                </w:p>
              </w:tc>
              <w:tc>
                <w:tcPr/>
                <w:p>
                  <w:pPr>
                    <w:pStyle w:val="Compact"/>
                    <w:jc w:val="right"/>
                    <w:jc w:val="center"/>
                  </w:pPr>
                  <w:r>
                    <w:t xml:space="preserve">.008</w:t>
                  </w:r>
                </w:p>
              </w:tc>
              <w:tc>
                <w:tcPr/>
                <w:p>
                  <w:pPr>
                    <w:pStyle w:val="Compact"/>
                    <w:jc w:val="right"/>
                    <w:jc w:val="center"/>
                  </w:pPr>
                  <w:r>
                    <w:t xml:space="preserve">.101</w:t>
                  </w:r>
                </w:p>
              </w:tc>
              <w:tc>
                <w:tcPr/>
                <w:p>
                  <w:pPr>
                    <w:pStyle w:val="Compact"/>
                    <w:jc w:val="right"/>
                    <w:jc w:val="center"/>
                  </w:pPr>
                  <w:r>
                    <w:t xml:space="preserve">62</w:t>
                  </w:r>
                </w:p>
              </w:tc>
            </w:tr>
            <w:tr>
              <w:tc>
                <w:tcPr/>
                <w:p>
                  <w:pPr>
                    <w:pStyle w:val="Compact"/>
                    <w:jc w:val="left"/>
                    <w:jc w:val="center"/>
                  </w:pPr>
                  <w:r>
                    <w:t xml:space="preserve">GAD-7</w:t>
                  </w:r>
                </w:p>
              </w:tc>
              <w:tc>
                <w:tcPr/>
                <w:p>
                  <w:pPr>
                    <w:pStyle w:val="Compact"/>
                    <w:jc w:val="right"/>
                    <w:jc w:val="center"/>
                  </w:pPr>
                  <w:r>
                    <w:t xml:space="preserve">mean accuracy</w:t>
                  </w:r>
                </w:p>
              </w:tc>
              <w:tc>
                <w:tcPr/>
                <w:p>
                  <w:pPr>
                    <w:pStyle w:val="Compact"/>
                    <w:jc w:val="right"/>
                    <w:jc w:val="center"/>
                  </w:pPr>
                  <w:r>
                    <w:t xml:space="preserve">r = −.03</w:t>
                  </w:r>
                </w:p>
              </w:tc>
              <w:tc>
                <w:tcPr/>
                <w:p>
                  <w:pPr>
                    <w:pStyle w:val="Compact"/>
                    <w:jc w:val="right"/>
                    <w:jc w:val="center"/>
                  </w:pPr>
                  <w:r>
                    <w:t xml:space="preserve">.834</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|accuracy difference|</w:t>
                  </w:r>
                </w:p>
              </w:tc>
              <w:tc>
                <w:tcPr/>
                <w:p>
                  <w:pPr>
                    <w:pStyle w:val="Compact"/>
                    <w:jc w:val="right"/>
                    <w:jc w:val="center"/>
                  </w:pPr>
                  <w:r>
                    <w:t xml:space="preserve">r = .20</w:t>
                  </w:r>
                </w:p>
              </w:tc>
              <w:tc>
                <w:tcPr/>
                <w:p>
                  <w:pPr>
                    <w:pStyle w:val="Compact"/>
                    <w:jc w:val="right"/>
                    <w:jc w:val="center"/>
                  </w:pPr>
                  <w:r>
                    <w:t xml:space="preserve">.113</w:t>
                  </w:r>
                </w:p>
              </w:tc>
              <w:tc>
                <w:tcPr/>
                <w:p>
                  <w:pPr>
                    <w:pStyle w:val="Compact"/>
                    <w:jc w:val="right"/>
                    <w:jc w:val="center"/>
                  </w:pPr>
                  <w:r>
                    <w:t xml:space="preserve">.381</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d′ (descriptive)</w:t>
                  </w:r>
                </w:p>
              </w:tc>
              <w:tc>
                <w:tcPr/>
                <w:p>
                  <w:pPr>
                    <w:pStyle w:val="Compact"/>
                    <w:jc w:val="right"/>
                    <w:jc w:val="center"/>
                  </w:pPr>
                  <w:r>
                    <w:t xml:space="preserve">r = .01</w:t>
                  </w:r>
                </w:p>
              </w:tc>
              <w:tc>
                <w:tcPr/>
                <w:p>
                  <w:pPr>
                    <w:pStyle w:val="Compact"/>
                    <w:jc w:val="right"/>
                    <w:jc w:val="center"/>
                  </w:pPr>
                  <w:r>
                    <w:t xml:space="preserve">.931</w:t>
                  </w:r>
                </w:p>
              </w:tc>
              <w:tc>
                <w:tcPr/>
                <w:p>
                  <w:pPr>
                    <w:pStyle w:val="Compact"/>
                    <w:jc w:val="right"/>
                    <w:jc w:val="center"/>
                  </w:pPr>
                  <w:r>
                    <w:t xml:space="preserve">.952</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|RT effort difference|</w:t>
                  </w:r>
                </w:p>
              </w:tc>
              <w:tc>
                <w:tcPr/>
                <w:p>
                  <w:pPr>
                    <w:pStyle w:val="Compact"/>
                    <w:jc w:val="right"/>
                    <w:jc w:val="center"/>
                  </w:pPr>
                  <w:r>
                    <w:t xml:space="preserve">r = −.02</w:t>
                  </w:r>
                </w:p>
              </w:tc>
              <w:tc>
                <w:tcPr/>
                <w:p>
                  <w:pPr>
                    <w:pStyle w:val="Compact"/>
                    <w:jc w:val="right"/>
                    <w:jc w:val="center"/>
                  </w:pPr>
                  <w:r>
                    <w:t xml:space="preserve">.864</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mean RT</w:t>
                  </w:r>
                </w:p>
              </w:tc>
              <w:tc>
                <w:tcPr/>
                <w:p>
                  <w:pPr>
                    <w:pStyle w:val="Compact"/>
                    <w:jc w:val="right"/>
                    <w:jc w:val="center"/>
                  </w:pPr>
                  <w:r>
                    <w:t xml:space="preserve">r = −.02</w:t>
                  </w:r>
                </w:p>
              </w:tc>
              <w:tc>
                <w:tcPr/>
                <w:p>
                  <w:pPr>
                    <w:pStyle w:val="Compact"/>
                    <w:jc w:val="right"/>
                    <w:jc w:val="center"/>
                  </w:pPr>
                  <w:r>
                    <w:t xml:space="preserve">.883</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mean accuracy</w:t>
                  </w:r>
                </w:p>
              </w:tc>
              <w:tc>
                <w:tcPr/>
                <w:p>
                  <w:pPr>
                    <w:pStyle w:val="Compact"/>
                    <w:jc w:val="right"/>
                    <w:jc w:val="center"/>
                  </w:pPr>
                  <w:r>
                    <w:t xml:space="preserve">r = −.03</w:t>
                  </w:r>
                </w:p>
              </w:tc>
              <w:tc>
                <w:tcPr/>
                <w:p>
                  <w:pPr>
                    <w:pStyle w:val="Compact"/>
                    <w:jc w:val="right"/>
                    <w:jc w:val="center"/>
                  </w:pPr>
                  <w:r>
                    <w:t xml:space="preserve">.844</w:t>
                  </w:r>
                </w:p>
              </w:tc>
              <w:tc>
                <w:tcPr/>
                <w:p>
                  <w:pPr>
                    <w:pStyle w:val="Compact"/>
                    <w:jc w:val="right"/>
                    <w:jc w:val="center"/>
                  </w:pPr>
                  <w:r>
                    <w:t xml:space="preserve">.924</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|accuracy difference|</w:t>
                  </w:r>
                </w:p>
              </w:tc>
              <w:tc>
                <w:tcPr/>
                <w:p>
                  <w:pPr>
                    <w:pStyle w:val="Compact"/>
                    <w:jc w:val="right"/>
                    <w:jc w:val="center"/>
                  </w:pPr>
                  <w:r>
                    <w:t xml:space="preserve">r = .07</w:t>
                  </w:r>
                </w:p>
              </w:tc>
              <w:tc>
                <w:tcPr/>
                <w:p>
                  <w:pPr>
                    <w:pStyle w:val="Compact"/>
                    <w:jc w:val="right"/>
                    <w:jc w:val="center"/>
                  </w:pPr>
                  <w:r>
                    <w:t xml:space="preserve">.569</w:t>
                  </w:r>
                </w:p>
              </w:tc>
              <w:tc>
                <w:tcPr/>
                <w:p>
                  <w:pPr>
                    <w:pStyle w:val="Compact"/>
                    <w:jc w:val="right"/>
                    <w:jc w:val="center"/>
                  </w:pPr>
                  <w:r>
                    <w:t xml:space="preserve">.902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d′ (descriptive)</w:t>
                  </w:r>
                </w:p>
              </w:tc>
              <w:tc>
                <w:tcPr/>
                <w:p>
                  <w:pPr>
                    <w:pStyle w:val="Compact"/>
                    <w:jc w:val="right"/>
                    <w:jc w:val="center"/>
                  </w:pPr>
                  <w:r>
                    <w:t xml:space="preserve">r = −.27</w:t>
                  </w:r>
                </w:p>
              </w:tc>
              <w:tc>
                <w:tcPr/>
                <w:p>
                  <w:pPr>
                    <w:pStyle w:val="Compact"/>
                    <w:jc w:val="right"/>
                    <w:jc w:val="center"/>
                  </w:pPr>
                  <w:r>
                    <w:t xml:space="preserve">.034</w:t>
                  </w:r>
                </w:p>
              </w:tc>
              <w:tc>
                <w:tcPr/>
                <w:p>
                  <w:pPr>
                    <w:pStyle w:val="Compact"/>
                    <w:jc w:val="right"/>
                    <w:jc w:val="center"/>
                  </w:pPr>
                  <w:r>
                    <w:t xml:space="preserve">.203</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|RT effort difference|</w:t>
                  </w:r>
                </w:p>
              </w:tc>
              <w:tc>
                <w:tcPr/>
                <w:p>
                  <w:pPr>
                    <w:pStyle w:val="Compact"/>
                    <w:jc w:val="right"/>
                    <w:jc w:val="center"/>
                  </w:pPr>
                  <w:r>
                    <w:t xml:space="preserve">r = .19</w:t>
                  </w:r>
                </w:p>
              </w:tc>
              <w:tc>
                <w:tcPr/>
                <w:p>
                  <w:pPr>
                    <w:pStyle w:val="Compact"/>
                    <w:jc w:val="right"/>
                    <w:jc w:val="center"/>
                  </w:pPr>
                  <w:r>
                    <w:t xml:space="preserve">.134</w:t>
                  </w:r>
                </w:p>
              </w:tc>
              <w:tc>
                <w:tcPr/>
                <w:p>
                  <w:pPr>
                    <w:pStyle w:val="Compact"/>
                    <w:jc w:val="right"/>
                    <w:jc w:val="center"/>
                  </w:pPr>
                  <w:r>
                    <w:t xml:space="preserve">.381</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mean RT</w:t>
                  </w:r>
                </w:p>
              </w:tc>
              <w:tc>
                <w:tcPr/>
                <w:p>
                  <w:pPr>
                    <w:pStyle w:val="Compact"/>
                    <w:jc w:val="right"/>
                    <w:jc w:val="center"/>
                  </w:pPr>
                  <w:r>
                    <w:t xml:space="preserve">r = .19</w:t>
                  </w:r>
                </w:p>
              </w:tc>
              <w:tc>
                <w:tcPr/>
                <w:p>
                  <w:pPr>
                    <w:pStyle w:val="Compact"/>
                    <w:jc w:val="right"/>
                    <w:jc w:val="center"/>
                  </w:pPr>
                  <w:r>
                    <w:t xml:space="preserve">.144</w:t>
                  </w:r>
                </w:p>
              </w:tc>
              <w:tc>
                <w:tcPr/>
                <w:p>
                  <w:pPr>
                    <w:pStyle w:val="Compact"/>
                    <w:jc w:val="right"/>
                    <w:jc w:val="center"/>
                  </w:pPr>
                  <w:r>
                    <w:t xml:space="preserve">.381</w:t>
                  </w:r>
                </w:p>
              </w:tc>
              <w:tc>
                <w:tcPr/>
                <w:p>
                  <w:pPr>
                    <w:pStyle w:val="Compact"/>
                    <w:jc w:val="right"/>
                    <w:jc w:val="center"/>
                  </w:pPr>
                  <w:r>
                    <w:t xml:space="preserve">61</w:t>
                  </w:r>
                </w:p>
              </w:tc>
            </w:tr>
            <w:tr>
              <w:tc>
                <w:tcPr/>
                <w:p>
                  <w:pPr>
                    <w:pStyle w:val="Compact"/>
                    <w:jc w:val="left"/>
                    <w:jc w:val="center"/>
                  </w:pPr>
                  <w:r>
                    <w:t xml:space="preserve">MoCA-telephone, score /22</w:t>
                  </w:r>
                </w:p>
              </w:tc>
              <w:tc>
                <w:tcPr/>
                <w:p>
                  <w:pPr>
                    <w:pStyle w:val="Compact"/>
                    <w:jc w:val="right"/>
                    <w:jc w:val="center"/>
                  </w:pPr>
                  <w:r>
                    <w:t xml:space="preserve">mean accuracy</w:t>
                  </w:r>
                </w:p>
              </w:tc>
              <w:tc>
                <w:tcPr/>
                <w:p>
                  <w:pPr>
                    <w:pStyle w:val="Compact"/>
                    <w:jc w:val="right"/>
                    <w:jc w:val="center"/>
                  </w:pPr>
                  <w:r>
                    <w:t xml:space="preserve">r = .01</w:t>
                  </w:r>
                </w:p>
              </w:tc>
              <w:tc>
                <w:tcPr/>
                <w:p>
                  <w:pPr>
                    <w:pStyle w:val="Compact"/>
                    <w:jc w:val="right"/>
                    <w:jc w:val="center"/>
                  </w:pPr>
                  <w:r>
                    <w:t xml:space="preserve">.964</w:t>
                  </w:r>
                </w:p>
              </w:tc>
              <w:tc>
                <w:tcPr/>
                <w:p>
                  <w:pPr>
                    <w:pStyle w:val="Compact"/>
                    <w:jc w:val="right"/>
                    <w:jc w:val="center"/>
                  </w:pPr>
                  <w:r>
                    <w:t xml:space="preserve">.964</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|accuracy difference|</w:t>
                  </w:r>
                </w:p>
              </w:tc>
              <w:tc>
                <w:tcPr/>
                <w:p>
                  <w:pPr>
                    <w:pStyle w:val="Compact"/>
                    <w:jc w:val="right"/>
                    <w:jc w:val="center"/>
                  </w:pPr>
                  <w:r>
                    <w:t xml:space="preserve">r = .18</w:t>
                  </w:r>
                </w:p>
              </w:tc>
              <w:tc>
                <w:tcPr/>
                <w:p>
                  <w:pPr>
                    <w:pStyle w:val="Compact"/>
                    <w:jc w:val="right"/>
                    <w:jc w:val="center"/>
                  </w:pPr>
                  <w:r>
                    <w:t xml:space="preserve">.164</w:t>
                  </w:r>
                </w:p>
              </w:tc>
              <w:tc>
                <w:tcPr/>
                <w:p>
                  <w:pPr>
                    <w:pStyle w:val="Compact"/>
                    <w:jc w:val="right"/>
                    <w:jc w:val="center"/>
                  </w:pPr>
                  <w:r>
                    <w:t xml:space="preserve">.409</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d′ (descriptive)</w:t>
                  </w:r>
                </w:p>
              </w:tc>
              <w:tc>
                <w:tcPr/>
                <w:p>
                  <w:pPr>
                    <w:pStyle w:val="Compact"/>
                    <w:jc w:val="right"/>
                    <w:jc w:val="center"/>
                  </w:pPr>
                  <w:r>
                    <w:t xml:space="preserve">r = .10</w:t>
                  </w:r>
                </w:p>
              </w:tc>
              <w:tc>
                <w:tcPr/>
                <w:p>
                  <w:pPr>
                    <w:pStyle w:val="Compact"/>
                    <w:jc w:val="right"/>
                    <w:jc w:val="center"/>
                  </w:pPr>
                  <w:r>
                    <w:t xml:space="preserve">.449</w:t>
                  </w:r>
                </w:p>
              </w:tc>
              <w:tc>
                <w:tcPr/>
                <w:p>
                  <w:pPr>
                    <w:pStyle w:val="Compact"/>
                    <w:jc w:val="right"/>
                    <w:jc w:val="center"/>
                  </w:pPr>
                  <w:r>
                    <w:t xml:space="preserve">.749</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|RT effort difference|</w:t>
                  </w:r>
                </w:p>
              </w:tc>
              <w:tc>
                <w:tcPr/>
                <w:p>
                  <w:pPr>
                    <w:pStyle w:val="Compact"/>
                    <w:jc w:val="right"/>
                    <w:jc w:val="center"/>
                  </w:pPr>
                  <w:r>
                    <w:t xml:space="preserve">r = .06</w:t>
                  </w:r>
                </w:p>
              </w:tc>
              <w:tc>
                <w:tcPr/>
                <w:p>
                  <w:pPr>
                    <w:pStyle w:val="Compact"/>
                    <w:jc w:val="right"/>
                    <w:jc w:val="center"/>
                  </w:pPr>
                  <w:r>
                    <w:t xml:space="preserve">.658</w:t>
                  </w:r>
                </w:p>
              </w:tc>
              <w:tc>
                <w:tcPr/>
                <w:p>
                  <w:pPr>
                    <w:pStyle w:val="Compact"/>
                    <w:jc w:val="right"/>
                    <w:jc w:val="center"/>
                  </w:pPr>
                  <w:r>
                    <w:t xml:space="preserve">.915</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mean RT</w:t>
                  </w:r>
                </w:p>
              </w:tc>
              <w:tc>
                <w:tcPr/>
                <w:p>
                  <w:pPr>
                    <w:pStyle w:val="Compact"/>
                    <w:jc w:val="right"/>
                    <w:jc w:val="center"/>
                  </w:pPr>
                  <w:r>
                    <w:t xml:space="preserve">r = −.16</w:t>
                  </w:r>
                </w:p>
              </w:tc>
              <w:tc>
                <w:tcPr/>
                <w:p>
                  <w:pPr>
                    <w:pStyle w:val="Compact"/>
                    <w:jc w:val="right"/>
                    <w:jc w:val="center"/>
                  </w:pPr>
                  <w:r>
                    <w:t xml:space="preserve">.226</w:t>
                  </w:r>
                </w:p>
              </w:tc>
              <w:tc>
                <w:tcPr/>
                <w:p>
                  <w:pPr>
                    <w:pStyle w:val="Compact"/>
                    <w:jc w:val="right"/>
                    <w:jc w:val="center"/>
                  </w:pPr>
                  <w:r>
                    <w:t xml:space="preserve">.484</w:t>
                  </w:r>
                </w:p>
              </w:tc>
              <w:tc>
                <w:tcPr/>
                <w:p>
                  <w:pPr>
                    <w:pStyle w:val="Compact"/>
                    <w:jc w:val="right"/>
                    <w:jc w:val="center"/>
                  </w:pPr>
                  <w:r>
                    <w:t xml:space="preserve">62</w:t>
                  </w:r>
                </w:p>
              </w:tc>
            </w:tr>
            <w:tr>
              <w:tc>
                <w:tcPr/>
                <w:p>
                  <w:pPr>
                    <w:pStyle w:val="Compact"/>
                    <w:jc w:val="left"/>
                    <w:jc w:val="center"/>
                  </w:pPr>
                  <w:r>
                    <w:t xml:space="preserve">Shipley vocabulary (SILS)</w:t>
                  </w:r>
                </w:p>
              </w:tc>
              <w:tc>
                <w:tcPr/>
                <w:p>
                  <w:pPr>
                    <w:pStyle w:val="Compact"/>
                    <w:jc w:val="right"/>
                    <w:jc w:val="center"/>
                  </w:pPr>
                  <w:r>
                    <w:t xml:space="preserve">mean accuracy</w:t>
                  </w:r>
                </w:p>
              </w:tc>
              <w:tc>
                <w:tcPr/>
                <w:p>
                  <w:pPr>
                    <w:pStyle w:val="Compact"/>
                    <w:jc w:val="right"/>
                    <w:jc w:val="center"/>
                  </w:pPr>
                  <w:r>
                    <w:t xml:space="preserve">r = .37</w:t>
                  </w:r>
                </w:p>
              </w:tc>
              <w:tc>
                <w:tcPr/>
                <w:p>
                  <w:pPr>
                    <w:pStyle w:val="Compact"/>
                    <w:jc w:val="right"/>
                    <w:jc w:val="center"/>
                  </w:pPr>
                  <w:r>
                    <w:t xml:space="preserve">.003</w:t>
                  </w:r>
                </w:p>
              </w:tc>
              <w:tc>
                <w:tcPr/>
                <w:p>
                  <w:pPr>
                    <w:pStyle w:val="Compact"/>
                    <w:jc w:val="right"/>
                    <w:jc w:val="center"/>
                  </w:pPr>
                  <w:r>
                    <w:t xml:space="preserve">.095</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|accuracy difference|</w:t>
                  </w:r>
                </w:p>
              </w:tc>
              <w:tc>
                <w:tcPr/>
                <w:p>
                  <w:pPr>
                    <w:pStyle w:val="Compact"/>
                    <w:jc w:val="right"/>
                    <w:jc w:val="center"/>
                  </w:pPr>
                  <w:r>
                    <w:t xml:space="preserve">r = −.03</w:t>
                  </w:r>
                </w:p>
              </w:tc>
              <w:tc>
                <w:tcPr/>
                <w:p>
                  <w:pPr>
                    <w:pStyle w:val="Compact"/>
                    <w:jc w:val="right"/>
                    <w:jc w:val="center"/>
                  </w:pPr>
                  <w:r>
                    <w:t xml:space="preserve">.816</w:t>
                  </w:r>
                </w:p>
              </w:tc>
              <w:tc>
                <w:tcPr/>
                <w:p>
                  <w:pPr>
                    <w:pStyle w:val="Compact"/>
                    <w:jc w:val="right"/>
                    <w:jc w:val="center"/>
                  </w:pPr>
                  <w:r>
                    <w:t xml:space="preserve">.924</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d′ (descriptive)</w:t>
                  </w:r>
                </w:p>
              </w:tc>
              <w:tc>
                <w:tcPr/>
                <w:p>
                  <w:pPr>
                    <w:pStyle w:val="Compact"/>
                    <w:jc w:val="right"/>
                    <w:jc w:val="center"/>
                  </w:pPr>
                  <w:r>
                    <w:t xml:space="preserve">r = .26</w:t>
                  </w:r>
                </w:p>
              </w:tc>
              <w:tc>
                <w:tcPr/>
                <w:p>
                  <w:pPr>
                    <w:pStyle w:val="Compact"/>
                    <w:jc w:val="right"/>
                    <w:jc w:val="center"/>
                  </w:pPr>
                  <w:r>
                    <w:t xml:space="preserve">.038</w:t>
                  </w:r>
                </w:p>
              </w:tc>
              <w:tc>
                <w:tcPr/>
                <w:p>
                  <w:pPr>
                    <w:pStyle w:val="Compact"/>
                    <w:jc w:val="right"/>
                    <w:jc w:val="center"/>
                  </w:pPr>
                  <w:r>
                    <w:t xml:space="preserve">.203</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|RT effort difference|</w:t>
                  </w:r>
                </w:p>
              </w:tc>
              <w:tc>
                <w:tcPr/>
                <w:p>
                  <w:pPr>
                    <w:pStyle w:val="Compact"/>
                    <w:jc w:val="right"/>
                    <w:jc w:val="center"/>
                  </w:pPr>
                  <w:r>
                    <w:t xml:space="preserve">r = −.26</w:t>
                  </w:r>
                </w:p>
              </w:tc>
              <w:tc>
                <w:tcPr/>
                <w:p>
                  <w:pPr>
                    <w:pStyle w:val="Compact"/>
                    <w:jc w:val="right"/>
                    <w:jc w:val="center"/>
                  </w:pPr>
                  <w:r>
                    <w:t xml:space="preserve">.041</w:t>
                  </w:r>
                </w:p>
              </w:tc>
              <w:tc>
                <w:tcPr/>
                <w:p>
                  <w:pPr>
                    <w:pStyle w:val="Compact"/>
                    <w:jc w:val="right"/>
                    <w:jc w:val="center"/>
                  </w:pPr>
                  <w:r>
                    <w:t xml:space="preserve">.203</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mean RT</w:t>
                  </w:r>
                </w:p>
              </w:tc>
              <w:tc>
                <w:tcPr/>
                <w:p>
                  <w:pPr>
                    <w:pStyle w:val="Compact"/>
                    <w:jc w:val="right"/>
                    <w:jc w:val="center"/>
                  </w:pPr>
                  <w:r>
                    <w:t xml:space="preserve">r = −.36</w:t>
                  </w:r>
                </w:p>
              </w:tc>
              <w:tc>
                <w:tcPr/>
                <w:p>
                  <w:pPr>
                    <w:pStyle w:val="Compact"/>
                    <w:jc w:val="right"/>
                    <w:jc w:val="center"/>
                  </w:pPr>
                  <w:r>
                    <w:t xml:space="preserve">.004</w:t>
                  </w:r>
                </w:p>
              </w:tc>
              <w:tc>
                <w:tcPr/>
                <w:p>
                  <w:pPr>
                    <w:pStyle w:val="Compact"/>
                    <w:jc w:val="right"/>
                    <w:jc w:val="center"/>
                  </w:pPr>
                  <w:r>
                    <w:t xml:space="preserve">.095</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mean accuracy</w:t>
                  </w:r>
                </w:p>
              </w:tc>
              <w:tc>
                <w:tcPr/>
                <w:p>
                  <w:pPr>
                    <w:pStyle w:val="Compact"/>
                    <w:jc w:val="right"/>
                    <w:jc w:val="center"/>
                  </w:pPr>
                  <w:r>
                    <w:t xml:space="preserve">r = −.23</w:t>
                  </w:r>
                </w:p>
              </w:tc>
              <w:tc>
                <w:tcPr/>
                <w:p>
                  <w:pPr>
                    <w:pStyle w:val="Compact"/>
                    <w:jc w:val="right"/>
                    <w:jc w:val="center"/>
                  </w:pPr>
                  <w:r>
                    <w:t xml:space="preserve">.074</w:t>
                  </w:r>
                </w:p>
              </w:tc>
              <w:tc>
                <w:tcPr/>
                <w:p>
                  <w:pPr>
                    <w:pStyle w:val="Compact"/>
                    <w:jc w:val="right"/>
                    <w:jc w:val="center"/>
                  </w:pPr>
                  <w:r>
                    <w:t xml:space="preserve">.302</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|accuracy difference|</w:t>
                  </w:r>
                </w:p>
              </w:tc>
              <w:tc>
                <w:tcPr/>
                <w:p>
                  <w:pPr>
                    <w:pStyle w:val="Compact"/>
                    <w:jc w:val="right"/>
                    <w:jc w:val="center"/>
                  </w:pPr>
                  <w:r>
                    <w:t xml:space="preserve">r = −.05</w:t>
                  </w:r>
                </w:p>
              </w:tc>
              <w:tc>
                <w:tcPr/>
                <w:p>
                  <w:pPr>
                    <w:pStyle w:val="Compact"/>
                    <w:jc w:val="right"/>
                    <w:jc w:val="center"/>
                  </w:pPr>
                  <w:r>
                    <w:t xml:space="preserve">.726</w:t>
                  </w:r>
                </w:p>
              </w:tc>
              <w:tc>
                <w:tcPr/>
                <w:p>
                  <w:pPr>
                    <w:pStyle w:val="Compact"/>
                    <w:jc w:val="right"/>
                    <w:jc w:val="center"/>
                  </w:pPr>
                  <w:r>
                    <w:t xml:space="preserve">.915</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d′ (descriptive)</w:t>
                  </w:r>
                </w:p>
              </w:tc>
              <w:tc>
                <w:tcPr/>
                <w:p>
                  <w:pPr>
                    <w:pStyle w:val="Compact"/>
                    <w:jc w:val="right"/>
                    <w:jc w:val="center"/>
                  </w:pPr>
                  <w:r>
                    <w:t xml:space="preserve">r = .20</w:t>
                  </w:r>
                </w:p>
              </w:tc>
              <w:tc>
                <w:tcPr/>
                <w:p>
                  <w:pPr>
                    <w:pStyle w:val="Compact"/>
                    <w:jc w:val="right"/>
                    <w:jc w:val="center"/>
                  </w:pPr>
                  <w:r>
                    <w:t xml:space="preserve">.117</w:t>
                  </w:r>
                </w:p>
              </w:tc>
              <w:tc>
                <w:tcPr/>
                <w:p>
                  <w:pPr>
                    <w:pStyle w:val="Compact"/>
                    <w:jc w:val="right"/>
                    <w:jc w:val="center"/>
                  </w:pPr>
                  <w:r>
                    <w:t xml:space="preserve">.381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|RT effort difference|</w:t>
                  </w:r>
                </w:p>
              </w:tc>
              <w:tc>
                <w:tcPr/>
                <w:p>
                  <w:pPr>
                    <w:pStyle w:val="Compact"/>
                    <w:jc w:val="right"/>
                    <w:jc w:val="center"/>
                  </w:pPr>
                  <w:r>
                    <w:t xml:space="preserve">r = −.11</w:t>
                  </w:r>
                </w:p>
              </w:tc>
              <w:tc>
                <w:tcPr/>
                <w:p>
                  <w:pPr>
                    <w:pStyle w:val="Compact"/>
                    <w:jc w:val="right"/>
                    <w:jc w:val="center"/>
                  </w:pPr>
                  <w:r>
                    <w:t xml:space="preserve">.371</w:t>
                  </w:r>
                </w:p>
              </w:tc>
              <w:tc>
                <w:tcPr/>
                <w:p>
                  <w:pPr>
                    <w:pStyle w:val="Compact"/>
                    <w:jc w:val="right"/>
                    <w:jc w:val="center"/>
                  </w:pPr>
                  <w:r>
                    <w:t xml:space="preserve">.668</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mean RT</w:t>
                  </w:r>
                </w:p>
              </w:tc>
              <w:tc>
                <w:tcPr/>
                <w:p>
                  <w:pPr>
                    <w:pStyle w:val="Compact"/>
                    <w:jc w:val="right"/>
                    <w:jc w:val="center"/>
                  </w:pPr>
                  <w:r>
                    <w:t xml:space="preserve">r = .05</w:t>
                  </w:r>
                </w:p>
              </w:tc>
              <w:tc>
                <w:tcPr/>
                <w:p>
                  <w:pPr>
                    <w:pStyle w:val="Compact"/>
                    <w:jc w:val="right"/>
                    <w:jc w:val="center"/>
                  </w:pPr>
                  <w:r>
                    <w:t xml:space="preserve">.725</w:t>
                  </w:r>
                </w:p>
              </w:tc>
              <w:tc>
                <w:tcPr/>
                <w:p>
                  <w:pPr>
                    <w:pStyle w:val="Compact"/>
                    <w:jc w:val="right"/>
                    <w:jc w:val="center"/>
                  </w:pPr>
                  <w:r>
                    <w:t xml:space="preserve">.915</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mean accuracy</w:t>
                  </w:r>
                </w:p>
              </w:tc>
              <w:tc>
                <w:tcPr/>
                <w:p>
                  <w:pPr>
                    <w:pStyle w:val="Compact"/>
                    <w:jc w:val="right"/>
                    <w:jc w:val="center"/>
                  </w:pPr>
                  <w:r>
                    <w:t xml:space="preserve">r = −.14</w:t>
                  </w:r>
                </w:p>
              </w:tc>
              <w:tc>
                <w:tcPr/>
                <w:p>
                  <w:pPr>
                    <w:pStyle w:val="Compact"/>
                    <w:jc w:val="right"/>
                    <w:jc w:val="center"/>
                  </w:pPr>
                  <w:r>
                    <w:t xml:space="preserve">.268</w:t>
                  </w:r>
                </w:p>
              </w:tc>
              <w:tc>
                <w:tcPr/>
                <w:p>
                  <w:pPr>
                    <w:pStyle w:val="Compact"/>
                    <w:jc w:val="right"/>
                    <w:jc w:val="center"/>
                  </w:pPr>
                  <w:r>
                    <w:t xml:space="preserve">.529</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|accuracy difference|</w:t>
                  </w:r>
                </w:p>
              </w:tc>
              <w:tc>
                <w:tcPr/>
                <w:p>
                  <w:pPr>
                    <w:pStyle w:val="Compact"/>
                    <w:jc w:val="right"/>
                    <w:jc w:val="center"/>
                  </w:pPr>
                  <w:r>
                    <w:t xml:space="preserve">r = .10</w:t>
                  </w:r>
                </w:p>
              </w:tc>
              <w:tc>
                <w:tcPr/>
                <w:p>
                  <w:pPr>
                    <w:pStyle w:val="Compact"/>
                    <w:jc w:val="right"/>
                    <w:jc w:val="center"/>
                  </w:pPr>
                  <w:r>
                    <w:t xml:space="preserve">.423</w:t>
                  </w:r>
                </w:p>
              </w:tc>
              <w:tc>
                <w:tcPr/>
                <w:p>
                  <w:pPr>
                    <w:pStyle w:val="Compact"/>
                    <w:jc w:val="right"/>
                    <w:jc w:val="center"/>
                  </w:pPr>
                  <w:r>
                    <w:t xml:space="preserve">.732</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d′ (descriptive)</w:t>
                  </w:r>
                </w:p>
              </w:tc>
              <w:tc>
                <w:tcPr/>
                <w:p>
                  <w:pPr>
                    <w:pStyle w:val="Compact"/>
                    <w:jc w:val="right"/>
                    <w:jc w:val="center"/>
                  </w:pPr>
                  <w:r>
                    <w:t xml:space="preserve">r = .16</w:t>
                  </w:r>
                </w:p>
              </w:tc>
              <w:tc>
                <w:tcPr/>
                <w:p>
                  <w:pPr>
                    <w:pStyle w:val="Compact"/>
                    <w:jc w:val="right"/>
                    <w:jc w:val="center"/>
                  </w:pPr>
                  <w:r>
                    <w:t xml:space="preserve">.197</w:t>
                  </w:r>
                </w:p>
              </w:tc>
              <w:tc>
                <w:tcPr/>
                <w:p>
                  <w:pPr>
                    <w:pStyle w:val="Compact"/>
                    <w:jc w:val="right"/>
                    <w:jc w:val="center"/>
                  </w:pPr>
                  <w:r>
                    <w:t xml:space="preserve">.444</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|RT effort difference|</w:t>
                  </w:r>
                </w:p>
              </w:tc>
              <w:tc>
                <w:tcPr/>
                <w:p>
                  <w:pPr>
                    <w:pStyle w:val="Compact"/>
                    <w:jc w:val="right"/>
                    <w:jc w:val="center"/>
                  </w:pPr>
                  <w:r>
                    <w:t xml:space="preserve">r = −.06</w:t>
                  </w:r>
                </w:p>
              </w:tc>
              <w:tc>
                <w:tcPr/>
                <w:p>
                  <w:pPr>
                    <w:pStyle w:val="Compact"/>
                    <w:jc w:val="right"/>
                    <w:jc w:val="center"/>
                  </w:pPr>
                  <w:r>
                    <w:t xml:space="preserve">.668</w:t>
                  </w:r>
                </w:p>
              </w:tc>
              <w:tc>
                <w:tcPr/>
                <w:p>
                  <w:pPr>
                    <w:pStyle w:val="Compact"/>
                    <w:jc w:val="right"/>
                    <w:jc w:val="center"/>
                  </w:pPr>
                  <w:r>
                    <w:t xml:space="preserve">.915</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mean RT</w:t>
                  </w:r>
                </w:p>
              </w:tc>
              <w:tc>
                <w:tcPr/>
                <w:p>
                  <w:pPr>
                    <w:pStyle w:val="Compact"/>
                    <w:jc w:val="right"/>
                    <w:jc w:val="center"/>
                  </w:pPr>
                  <w:r>
                    <w:t xml:space="preserve">r = .02</w:t>
                  </w:r>
                </w:p>
              </w:tc>
              <w:tc>
                <w:tcPr/>
                <w:p>
                  <w:pPr>
                    <w:pStyle w:val="Compact"/>
                    <w:jc w:val="right"/>
                    <w:jc w:val="center"/>
                  </w:pPr>
                  <w:r>
                    <w:t xml:space="preserve">.850</w:t>
                  </w:r>
                </w:p>
              </w:tc>
              <w:tc>
                <w:tcPr/>
                <w:p>
                  <w:pPr>
                    <w:pStyle w:val="Compact"/>
                    <w:jc w:val="right"/>
                    <w:jc w:val="center"/>
                  </w:pPr>
                  <w:r>
                    <w:t xml:space="preserve">.924</w:t>
                  </w:r>
                </w:p>
              </w:tc>
              <w:tc>
                <w:tcPr/>
                <w:p>
                  <w:pPr>
                    <w:pStyle w:val="Compact"/>
                    <w:jc w:val="right"/>
                    <w:jc w:val="center"/>
                  </w:pPr>
                  <w:r>
                    <w:t xml:space="preserve">63</w:t>
                  </w:r>
                </w:p>
              </w:tc>
            </w:tr>
            <w:tr>
              <w:tc>
                <w:tcPr/>
                <w:p>
                  <w:pPr>
                    <w:pStyle w:val="Compact"/>
                    <w:jc w:val="left"/>
                    <w:jc w:val="center"/>
                  </w:pPr>
                  <w:r>
                    <w:t xml:space="preserve">Boston Naming</w:t>
                  </w:r>
                </w:p>
              </w:tc>
              <w:tc>
                <w:tcPr/>
                <w:p>
                  <w:pPr>
                    <w:pStyle w:val="Compact"/>
                    <w:jc w:val="right"/>
                    <w:jc w:val="center"/>
                  </w:pPr>
                  <w:r>
                    <w:t xml:space="preserve">subject-level boundary (M4 random intercept)</w:t>
                  </w:r>
                </w:p>
              </w:tc>
              <w:tc>
                <w:tcPr/>
                <w:p>
                  <w:pPr>
                    <w:pStyle w:val="Compact"/>
                    <w:jc w:val="right"/>
                    <w:jc w:val="center"/>
                  </w:pPr>
                  <w:r>
                    <w:t xml:space="preserve">r = −.04</w:t>
                  </w:r>
                </w:p>
              </w:tc>
              <w:tc>
                <w:tcPr/>
                <w:p>
                  <w:pPr>
                    <w:pStyle w:val="Compact"/>
                    <w:jc w:val="right"/>
                    <w:jc w:val="center"/>
                  </w:pPr>
                  <w:r>
                    <w:t xml:space="preserve">.771</w:t>
                  </w:r>
                </w:p>
              </w:tc>
              <w:tc>
                <w:tcPr/>
                <w:p>
                  <w:pPr>
                    <w:pStyle w:val="Compact"/>
                    <w:jc w:val="right"/>
                    <w:jc w:val="center"/>
                  </w:pPr>
                  <w:r>
                    <w:t xml:space="preserve">.952</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subject-level drift (M4 random intercept)</w:t>
                  </w:r>
                </w:p>
              </w:tc>
              <w:tc>
                <w:tcPr/>
                <w:p>
                  <w:pPr>
                    <w:pStyle w:val="Compact"/>
                    <w:jc w:val="right"/>
                    <w:jc w:val="center"/>
                  </w:pPr>
                  <w:r>
                    <w:t xml:space="preserve">r = .08</w:t>
                  </w:r>
                </w:p>
              </w:tc>
              <w:tc>
                <w:tcPr/>
                <w:p>
                  <w:pPr>
                    <w:pStyle w:val="Compact"/>
                    <w:jc w:val="right"/>
                    <w:jc w:val="center"/>
                  </w:pPr>
                  <w:r>
                    <w:t xml:space="preserve">.525</w:t>
                  </w:r>
                </w:p>
              </w:tc>
              <w:tc>
                <w:tcPr/>
                <w:p>
                  <w:pPr>
                    <w:pStyle w:val="Compact"/>
                    <w:jc w:val="right"/>
                    <w:jc w:val="center"/>
                  </w:pPr>
                  <w:r>
                    <w:t xml:space="preserve">.751</w:t>
                  </w:r>
                </w:p>
              </w:tc>
              <w:tc>
                <w:tcPr/>
                <w:p>
                  <w:pPr>
                    <w:pStyle w:val="Compact"/>
                    <w:jc w:val="right"/>
                    <w:jc w:val="center"/>
                  </w:pPr>
                  <w:r>
                    <w:t xml:space="preserve">62</w:t>
                  </w:r>
                </w:p>
              </w:tc>
            </w:tr>
            <w:tr>
              <w:tc>
                <w:tcPr/>
                <w:p>
                  <w:pPr>
                    <w:pStyle w:val="Compact"/>
                    <w:jc w:val="left"/>
                    <w:jc w:val="center"/>
                  </w:pPr>
                  <w:r>
                    <w:t xml:space="preserve">Boston Naming</w:t>
                  </w:r>
                </w:p>
              </w:tc>
              <w:tc>
                <w:tcPr/>
                <w:p>
                  <w:pPr>
                    <w:pStyle w:val="Compact"/>
                    <w:jc w:val="right"/>
                    <w:jc w:val="center"/>
                  </w:pPr>
                  <w:r>
                    <w:t xml:space="preserve">subject-level starting point (M4 random intercept)</w:t>
                  </w:r>
                </w:p>
              </w:tc>
              <w:tc>
                <w:tcPr/>
                <w:p>
                  <w:pPr>
                    <w:pStyle w:val="Compact"/>
                    <w:jc w:val="right"/>
                    <w:jc w:val="center"/>
                  </w:pPr>
                  <w:r>
                    <w:t xml:space="preserve">r = .08</w:t>
                  </w:r>
                </w:p>
              </w:tc>
              <w:tc>
                <w:tcPr/>
                <w:p>
                  <w:pPr>
                    <w:pStyle w:val="Compact"/>
                    <w:jc w:val="right"/>
                    <w:jc w:val="center"/>
                  </w:pPr>
                  <w:r>
                    <w:t xml:space="preserve">.522</w:t>
                  </w:r>
                </w:p>
              </w:tc>
              <w:tc>
                <w:tcPr/>
                <w:p>
                  <w:pPr>
                    <w:pStyle w:val="Compact"/>
                    <w:jc w:val="right"/>
                    <w:jc w:val="center"/>
                  </w:pPr>
                  <w:r>
                    <w:t xml:space="preserve">.751</w:t>
                  </w:r>
                </w:p>
              </w:tc>
              <w:tc>
                <w:tcPr/>
                <w:p>
                  <w:pPr>
                    <w:pStyle w:val="Compact"/>
                    <w:jc w:val="right"/>
                    <w:jc w:val="center"/>
                  </w:pPr>
                  <w:r>
                    <w:t xml:space="preserve">62</w:t>
                  </w:r>
                </w:p>
              </w:tc>
            </w:tr>
            <w:tr>
              <w:tc>
                <w:tcPr/>
                <w:p>
                  <w:pPr>
                    <w:pStyle w:val="Compact"/>
                    <w:jc w:val="left"/>
                    <w:jc w:val="center"/>
                  </w:pPr>
                  <w:r>
                    <w:t xml:space="preserve">education</w:t>
                  </w:r>
                </w:p>
              </w:tc>
              <w:tc>
                <w:tcPr/>
                <w:p>
                  <w:pPr>
                    <w:pStyle w:val="Compact"/>
                    <w:jc w:val="right"/>
                    <w:jc w:val="center"/>
                  </w:pPr>
                  <w:r>
                    <w:t xml:space="preserve">subject-level boundary (M4 random intercept)</w:t>
                  </w:r>
                </w:p>
              </w:tc>
              <w:tc>
                <w:tcPr/>
                <w:p>
                  <w:pPr>
                    <w:pStyle w:val="Compact"/>
                    <w:jc w:val="right"/>
                    <w:jc w:val="center"/>
                  </w:pPr>
                  <w:r>
                    <w:t xml:space="preserve">r = .02</w:t>
                  </w:r>
                </w:p>
              </w:tc>
              <w:tc>
                <w:tcPr/>
                <w:p>
                  <w:pPr>
                    <w:pStyle w:val="Compact"/>
                    <w:jc w:val="right"/>
                    <w:jc w:val="center"/>
                  </w:pPr>
                  <w:r>
                    <w:t xml:space="preserve">.887</w:t>
                  </w:r>
                </w:p>
              </w:tc>
              <w:tc>
                <w:tcPr/>
                <w:p>
                  <w:pPr>
                    <w:pStyle w:val="Compact"/>
                    <w:jc w:val="right"/>
                    <w:jc w:val="center"/>
                  </w:pPr>
                  <w:r>
                    <w:t xml:space="preserve">.968</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subject-level drift (M4 random intercept)</w:t>
                  </w:r>
                </w:p>
              </w:tc>
              <w:tc>
                <w:tcPr/>
                <w:p>
                  <w:pPr>
                    <w:pStyle w:val="Compact"/>
                    <w:jc w:val="right"/>
                    <w:jc w:val="center"/>
                  </w:pPr>
                  <w:r>
                    <w:t xml:space="preserve">r = .17</w:t>
                  </w:r>
                </w:p>
              </w:tc>
              <w:tc>
                <w:tcPr/>
                <w:p>
                  <w:pPr>
                    <w:pStyle w:val="Compact"/>
                    <w:jc w:val="right"/>
                    <w:jc w:val="center"/>
                  </w:pPr>
                  <w:r>
                    <w:t xml:space="preserve">.181</w:t>
                  </w:r>
                </w:p>
              </w:tc>
              <w:tc>
                <w:tcPr/>
                <w:p>
                  <w:pPr>
                    <w:pStyle w:val="Compact"/>
                    <w:jc w:val="right"/>
                    <w:jc w:val="center"/>
                  </w:pPr>
                  <w:r>
                    <w:t xml:space="preserve">.562</w:t>
                  </w:r>
                </w:p>
              </w:tc>
              <w:tc>
                <w:tcPr/>
                <w:p>
                  <w:pPr>
                    <w:pStyle w:val="Compact"/>
                    <w:jc w:val="right"/>
                    <w:jc w:val="center"/>
                  </w:pPr>
                  <w:r>
                    <w:t xml:space="preserve">64</w:t>
                  </w:r>
                </w:p>
              </w:tc>
            </w:tr>
            <w:tr>
              <w:tc>
                <w:tcPr/>
                <w:p>
                  <w:pPr>
                    <w:pStyle w:val="Compact"/>
                    <w:jc w:val="left"/>
                    <w:jc w:val="center"/>
                  </w:pPr>
                  <w:r>
                    <w:t xml:space="preserve">education</w:t>
                  </w:r>
                </w:p>
              </w:tc>
              <w:tc>
                <w:tcPr/>
                <w:p>
                  <w:pPr>
                    <w:pStyle w:val="Compact"/>
                    <w:jc w:val="right"/>
                    <w:jc w:val="center"/>
                  </w:pPr>
                  <w:r>
                    <w:t xml:space="preserve">subject-level starting point (M4 random intercept)</w:t>
                  </w:r>
                </w:p>
              </w:tc>
              <w:tc>
                <w:tcPr/>
                <w:p>
                  <w:pPr>
                    <w:pStyle w:val="Compact"/>
                    <w:jc w:val="right"/>
                    <w:jc w:val="center"/>
                  </w:pPr>
                  <w:r>
                    <w:t xml:space="preserve">r = .10</w:t>
                  </w:r>
                </w:p>
              </w:tc>
              <w:tc>
                <w:tcPr/>
                <w:p>
                  <w:pPr>
                    <w:pStyle w:val="Compact"/>
                    <w:jc w:val="right"/>
                    <w:jc w:val="center"/>
                  </w:pPr>
                  <w:r>
                    <w:t xml:space="preserve">.451</w:t>
                  </w:r>
                </w:p>
              </w:tc>
              <w:tc>
                <w:tcPr/>
                <w:p>
                  <w:pPr>
                    <w:pStyle w:val="Compact"/>
                    <w:jc w:val="right"/>
                    <w:jc w:val="center"/>
                  </w:pPr>
                  <w:r>
                    <w:t xml:space="preserve">.751</w:t>
                  </w:r>
                </w:p>
              </w:tc>
              <w:tc>
                <w:tcPr/>
                <w:p>
                  <w:pPr>
                    <w:pStyle w:val="Compact"/>
                    <w:jc w:val="right"/>
                    <w:jc w:val="center"/>
                  </w:pPr>
                  <w:r>
                    <w:t xml:space="preserve">64</w:t>
                  </w:r>
                </w:p>
              </w:tc>
            </w:tr>
            <w:tr>
              <w:tc>
                <w:tcPr/>
                <w:p>
                  <w:pPr>
                    <w:pStyle w:val="Compact"/>
                    <w:jc w:val="left"/>
                    <w:jc w:val="center"/>
                  </w:pPr>
                  <w:r>
                    <w:t xml:space="preserve">EMQ-13</w:t>
                  </w:r>
                </w:p>
              </w:tc>
              <w:tc>
                <w:tcPr/>
                <w:p>
                  <w:pPr>
                    <w:pStyle w:val="Compact"/>
                    <w:jc w:val="right"/>
                    <w:jc w:val="center"/>
                  </w:pPr>
                  <w:r>
                    <w:t xml:space="preserve">subject-level boundary (M4 random intercept)</w:t>
                  </w:r>
                </w:p>
              </w:tc>
              <w:tc>
                <w:tcPr/>
                <w:p>
                  <w:pPr>
                    <w:pStyle w:val="Compact"/>
                    <w:jc w:val="right"/>
                    <w:jc w:val="center"/>
                  </w:pPr>
                  <w:r>
                    <w:t xml:space="preserve">r = .35</w:t>
                  </w:r>
                </w:p>
              </w:tc>
              <w:tc>
                <w:tcPr/>
                <w:p>
                  <w:pPr>
                    <w:pStyle w:val="Compact"/>
                    <w:jc w:val="right"/>
                    <w:jc w:val="center"/>
                  </w:pPr>
                  <w:r>
                    <w:t xml:space="preserve">.006</w:t>
                  </w:r>
                </w:p>
              </w:tc>
              <w:tc>
                <w:tcPr/>
                <w:p>
                  <w:pPr>
                    <w:pStyle w:val="Compact"/>
                    <w:jc w:val="right"/>
                    <w:jc w:val="center"/>
                  </w:pPr>
                  <w:r>
                    <w:t xml:space="preserve">.149</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subject-level drift (M4 random intercept)</w:t>
                  </w:r>
                </w:p>
              </w:tc>
              <w:tc>
                <w:tcPr/>
                <w:p>
                  <w:pPr>
                    <w:pStyle w:val="Compact"/>
                    <w:jc w:val="right"/>
                    <w:jc w:val="center"/>
                  </w:pPr>
                  <w:r>
                    <w:t xml:space="preserve">r = .17</w:t>
                  </w:r>
                </w:p>
              </w:tc>
              <w:tc>
                <w:tcPr/>
                <w:p>
                  <w:pPr>
                    <w:pStyle w:val="Compact"/>
                    <w:jc w:val="right"/>
                    <w:jc w:val="center"/>
                  </w:pPr>
                  <w:r>
                    <w:t xml:space="preserve">.187</w:t>
                  </w:r>
                </w:p>
              </w:tc>
              <w:tc>
                <w:tcPr/>
                <w:p>
                  <w:pPr>
                    <w:pStyle w:val="Compact"/>
                    <w:jc w:val="right"/>
                    <w:jc w:val="center"/>
                  </w:pPr>
                  <w:r>
                    <w:t xml:space="preserve">.562</w:t>
                  </w:r>
                </w:p>
              </w:tc>
              <w:tc>
                <w:tcPr/>
                <w:p>
                  <w:pPr>
                    <w:pStyle w:val="Compact"/>
                    <w:jc w:val="right"/>
                    <w:jc w:val="center"/>
                  </w:pPr>
                  <w:r>
                    <w:t xml:space="preserve">62</w:t>
                  </w:r>
                </w:p>
              </w:tc>
            </w:tr>
            <w:tr>
              <w:tc>
                <w:tcPr/>
                <w:p>
                  <w:pPr>
                    <w:pStyle w:val="Compact"/>
                    <w:jc w:val="left"/>
                    <w:jc w:val="center"/>
                  </w:pPr>
                  <w:r>
                    <w:t xml:space="preserve">EMQ-13</w:t>
                  </w:r>
                </w:p>
              </w:tc>
              <w:tc>
                <w:tcPr/>
                <w:p>
                  <w:pPr>
                    <w:pStyle w:val="Compact"/>
                    <w:jc w:val="right"/>
                    <w:jc w:val="center"/>
                  </w:pPr>
                  <w:r>
                    <w:t xml:space="preserve">subject-level starting point (M4 random intercept)</w:t>
                  </w:r>
                </w:p>
              </w:tc>
              <w:tc>
                <w:tcPr/>
                <w:p>
                  <w:pPr>
                    <w:pStyle w:val="Compact"/>
                    <w:jc w:val="right"/>
                    <w:jc w:val="center"/>
                  </w:pPr>
                  <w:r>
                    <w:t xml:space="preserve">r = −.22</w:t>
                  </w:r>
                </w:p>
              </w:tc>
              <w:tc>
                <w:tcPr/>
                <w:p>
                  <w:pPr>
                    <w:pStyle w:val="Compact"/>
                    <w:jc w:val="right"/>
                    <w:jc w:val="center"/>
                  </w:pPr>
                  <w:r>
                    <w:t xml:space="preserve">.086</w:t>
                  </w:r>
                </w:p>
              </w:tc>
              <w:tc>
                <w:tcPr/>
                <w:p>
                  <w:pPr>
                    <w:pStyle w:val="Compact"/>
                    <w:jc w:val="right"/>
                    <w:jc w:val="center"/>
                  </w:pPr>
                  <w:r>
                    <w:t xml:space="preserve">.562</w:t>
                  </w:r>
                </w:p>
              </w:tc>
              <w:tc>
                <w:tcPr/>
                <w:p>
                  <w:pPr>
                    <w:pStyle w:val="Compact"/>
                    <w:jc w:val="right"/>
                    <w:jc w:val="center"/>
                  </w:pPr>
                  <w:r>
                    <w:t xml:space="preserve">62</w:t>
                  </w:r>
                </w:p>
              </w:tc>
            </w:tr>
            <w:tr>
              <w:tc>
                <w:tcPr/>
                <w:p>
                  <w:pPr>
                    <w:pStyle w:val="Compact"/>
                    <w:jc w:val="left"/>
                    <w:jc w:val="center"/>
                  </w:pPr>
                  <w:r>
                    <w:t xml:space="preserve">GAD-7</w:t>
                  </w:r>
                </w:p>
              </w:tc>
              <w:tc>
                <w:tcPr/>
                <w:p>
                  <w:pPr>
                    <w:pStyle w:val="Compact"/>
                    <w:jc w:val="right"/>
                    <w:jc w:val="center"/>
                  </w:pPr>
                  <w:r>
                    <w:t xml:space="preserve">subject-level boundary (M4 random intercept)</w:t>
                  </w:r>
                </w:p>
              </w:tc>
              <w:tc>
                <w:tcPr/>
                <w:p>
                  <w:pPr>
                    <w:pStyle w:val="Compact"/>
                    <w:jc w:val="right"/>
                    <w:jc w:val="center"/>
                  </w:pPr>
                  <w:r>
                    <w:t xml:space="preserve">r = .01</w:t>
                  </w:r>
                </w:p>
              </w:tc>
              <w:tc>
                <w:tcPr/>
                <w:p>
                  <w:pPr>
                    <w:pStyle w:val="Compact"/>
                    <w:jc w:val="right"/>
                    <w:jc w:val="center"/>
                  </w:pPr>
                  <w:r>
                    <w:t xml:space="preserve">.968</w:t>
                  </w:r>
                </w:p>
              </w:tc>
              <w:tc>
                <w:tcPr/>
                <w:p>
                  <w:pPr>
                    <w:pStyle w:val="Compact"/>
                    <w:jc w:val="right"/>
                    <w:jc w:val="center"/>
                  </w:pPr>
                  <w:r>
                    <w:t xml:space="preserve">.968</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subject-level drift (M4 random intercept)</w:t>
                  </w:r>
                </w:p>
              </w:tc>
              <w:tc>
                <w:tcPr/>
                <w:p>
                  <w:pPr>
                    <w:pStyle w:val="Compact"/>
                    <w:jc w:val="right"/>
                    <w:jc w:val="center"/>
                  </w:pPr>
                  <w:r>
                    <w:t xml:space="preserve">r = .04</w:t>
                  </w:r>
                </w:p>
              </w:tc>
              <w:tc>
                <w:tcPr/>
                <w:p>
                  <w:pPr>
                    <w:pStyle w:val="Compact"/>
                    <w:jc w:val="right"/>
                    <w:jc w:val="center"/>
                  </w:pPr>
                  <w:r>
                    <w:t xml:space="preserve">.776</w:t>
                  </w:r>
                </w:p>
              </w:tc>
              <w:tc>
                <w:tcPr/>
                <w:p>
                  <w:pPr>
                    <w:pStyle w:val="Compact"/>
                    <w:jc w:val="right"/>
                    <w:jc w:val="center"/>
                  </w:pPr>
                  <w:r>
                    <w:t xml:space="preserve">.952</w:t>
                  </w:r>
                </w:p>
              </w:tc>
              <w:tc>
                <w:tcPr/>
                <w:p>
                  <w:pPr>
                    <w:pStyle w:val="Compact"/>
                    <w:jc w:val="right"/>
                    <w:jc w:val="center"/>
                  </w:pPr>
                  <w:r>
                    <w:t xml:space="preserve">61</w:t>
                  </w:r>
                </w:p>
              </w:tc>
            </w:tr>
            <w:tr>
              <w:tc>
                <w:tcPr/>
                <w:p>
                  <w:pPr>
                    <w:pStyle w:val="Compact"/>
                    <w:jc w:val="left"/>
                    <w:jc w:val="center"/>
                  </w:pPr>
                  <w:r>
                    <w:t xml:space="preserve">GAD-7</w:t>
                  </w:r>
                </w:p>
              </w:tc>
              <w:tc>
                <w:tcPr/>
                <w:p>
                  <w:pPr>
                    <w:pStyle w:val="Compact"/>
                    <w:jc w:val="right"/>
                    <w:jc w:val="center"/>
                  </w:pPr>
                  <w:r>
                    <w:t xml:space="preserve">subject-level starting point (M4 random intercept)</w:t>
                  </w:r>
                </w:p>
              </w:tc>
              <w:tc>
                <w:tcPr/>
                <w:p>
                  <w:pPr>
                    <w:pStyle w:val="Compact"/>
                    <w:jc w:val="right"/>
                    <w:jc w:val="center"/>
                  </w:pPr>
                  <w:r>
                    <w:t xml:space="preserve">r = −.18</w:t>
                  </w:r>
                </w:p>
              </w:tc>
              <w:tc>
                <w:tcPr/>
                <w:p>
                  <w:pPr>
                    <w:pStyle w:val="Compact"/>
                    <w:jc w:val="right"/>
                    <w:jc w:val="center"/>
                  </w:pPr>
                  <w:r>
                    <w:t xml:space="preserve">.164</w:t>
                  </w:r>
                </w:p>
              </w:tc>
              <w:tc>
                <w:tcPr/>
                <w:p>
                  <w:pPr>
                    <w:pStyle w:val="Compact"/>
                    <w:jc w:val="right"/>
                    <w:jc w:val="center"/>
                  </w:pPr>
                  <w:r>
                    <w:t xml:space="preserve">.562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boundary (M4 random intercept)</w:t>
                  </w:r>
                </w:p>
              </w:tc>
              <w:tc>
                <w:tcPr/>
                <w:p>
                  <w:pPr>
                    <w:pStyle w:val="Compact"/>
                    <w:jc w:val="right"/>
                    <w:jc w:val="center"/>
                  </w:pPr>
                  <w:r>
                    <w:t xml:space="preserve">r = .18</w:t>
                  </w:r>
                </w:p>
              </w:tc>
              <w:tc>
                <w:tcPr/>
                <w:p>
                  <w:pPr>
                    <w:pStyle w:val="Compact"/>
                    <w:jc w:val="right"/>
                    <w:jc w:val="center"/>
                  </w:pPr>
                  <w:r>
                    <w:t xml:space="preserve">.156</w:t>
                  </w:r>
                </w:p>
              </w:tc>
              <w:tc>
                <w:tcPr/>
                <w:p>
                  <w:pPr>
                    <w:pStyle w:val="Compact"/>
                    <w:jc w:val="right"/>
                    <w:jc w:val="center"/>
                  </w:pPr>
                  <w:r>
                    <w:t xml:space="preserve">.562</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drift (M4 random intercept)</w:t>
                  </w:r>
                </w:p>
              </w:tc>
              <w:tc>
                <w:tcPr/>
                <w:p>
                  <w:pPr>
                    <w:pStyle w:val="Compact"/>
                    <w:jc w:val="right"/>
                    <w:jc w:val="center"/>
                  </w:pPr>
                  <w:r>
                    <w:t xml:space="preserve">r = .14</w:t>
                  </w:r>
                </w:p>
              </w:tc>
              <w:tc>
                <w:tcPr/>
                <w:p>
                  <w:pPr>
                    <w:pStyle w:val="Compact"/>
                    <w:jc w:val="right"/>
                    <w:jc w:val="center"/>
                  </w:pPr>
                  <w:r>
                    <w:t xml:space="preserve">.283</w:t>
                  </w:r>
                </w:p>
              </w:tc>
              <w:tc>
                <w:tcPr/>
                <w:p>
                  <w:pPr>
                    <w:pStyle w:val="Compact"/>
                    <w:jc w:val="right"/>
                    <w:jc w:val="center"/>
                  </w:pPr>
                  <w:r>
                    <w:t xml:space="preserve">.637</w:t>
                  </w:r>
                </w:p>
              </w:tc>
              <w:tc>
                <w:tcPr/>
                <w:p>
                  <w:pPr>
                    <w:pStyle w:val="Compact"/>
                    <w:jc w:val="right"/>
                    <w:jc w:val="center"/>
                  </w:pPr>
                  <w:r>
                    <w:t xml:space="preserve">61</w:t>
                  </w:r>
                </w:p>
              </w:tc>
            </w:tr>
            <w:tr>
              <w:tc>
                <w:tcPr/>
                <w:p>
                  <w:pPr>
                    <w:pStyle w:val="Compact"/>
                    <w:jc w:val="left"/>
                    <w:jc w:val="center"/>
                  </w:pPr>
                  <w:r>
                    <w:t xml:space="preserve">GDS</w:t>
                  </w:r>
                </w:p>
              </w:tc>
              <w:tc>
                <w:tcPr/>
                <w:p>
                  <w:pPr>
                    <w:pStyle w:val="Compact"/>
                    <w:jc w:val="right"/>
                    <w:jc w:val="center"/>
                  </w:pPr>
                  <w:r>
                    <w:t xml:space="preserve">subject-level starting point (M4 random intercept)</w:t>
                  </w:r>
                </w:p>
              </w:tc>
              <w:tc>
                <w:tcPr/>
                <w:p>
                  <w:pPr>
                    <w:pStyle w:val="Compact"/>
                    <w:jc w:val="right"/>
                    <w:jc w:val="center"/>
                  </w:pPr>
                  <w:r>
                    <w:t xml:space="preserve">r = −.26</w:t>
                  </w:r>
                </w:p>
              </w:tc>
              <w:tc>
                <w:tcPr/>
                <w:p>
                  <w:pPr>
                    <w:pStyle w:val="Compact"/>
                    <w:jc w:val="right"/>
                    <w:jc w:val="center"/>
                  </w:pPr>
                  <w:r>
                    <w:t xml:space="preserve">.045</w:t>
                  </w:r>
                </w:p>
              </w:tc>
              <w:tc>
                <w:tcPr/>
                <w:p>
                  <w:pPr>
                    <w:pStyle w:val="Compact"/>
                    <w:jc w:val="right"/>
                    <w:jc w:val="center"/>
                  </w:pPr>
                  <w:r>
                    <w:t xml:space="preserve">.408</w:t>
                  </w:r>
                </w:p>
              </w:tc>
              <w:tc>
                <w:tcPr/>
                <w:p>
                  <w:pPr>
                    <w:pStyle w:val="Compact"/>
                    <w:jc w:val="right"/>
                    <w:jc w:val="center"/>
                  </w:pPr>
                  <w:r>
                    <w:t xml:space="preserve">61</w:t>
                  </w:r>
                </w:p>
              </w:tc>
            </w:tr>
            <w:tr>
              <w:tc>
                <w:tcPr/>
                <w:p>
                  <w:pPr>
                    <w:pStyle w:val="Compact"/>
                    <w:jc w:val="left"/>
                    <w:jc w:val="center"/>
                  </w:pPr>
                  <w:r>
                    <w:t xml:space="preserve">MoCA-telephone, score /22</w:t>
                  </w:r>
                </w:p>
              </w:tc>
              <w:tc>
                <w:tcPr/>
                <w:p>
                  <w:pPr>
                    <w:pStyle w:val="Compact"/>
                    <w:jc w:val="right"/>
                    <w:jc w:val="center"/>
                  </w:pPr>
                  <w:r>
                    <w:t xml:space="preserve">subject-level boundary (M4 random intercept)</w:t>
                  </w:r>
                </w:p>
              </w:tc>
              <w:tc>
                <w:tcPr/>
                <w:p>
                  <w:pPr>
                    <w:pStyle w:val="Compact"/>
                    <w:jc w:val="right"/>
                    <w:jc w:val="center"/>
                  </w:pPr>
                  <w:r>
                    <w:t xml:space="preserve">r = −.10</w:t>
                  </w:r>
                </w:p>
              </w:tc>
              <w:tc>
                <w:tcPr/>
                <w:p>
                  <w:pPr>
                    <w:pStyle w:val="Compact"/>
                    <w:jc w:val="right"/>
                    <w:jc w:val="center"/>
                  </w:pPr>
                  <w:r>
                    <w:t xml:space="preserve">.454</w:t>
                  </w:r>
                </w:p>
              </w:tc>
              <w:tc>
                <w:tcPr/>
                <w:p>
                  <w:pPr>
                    <w:pStyle w:val="Compact"/>
                    <w:jc w:val="right"/>
                    <w:jc w:val="center"/>
                  </w:pPr>
                  <w:r>
                    <w:t xml:space="preserve">.751</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subject-level drift (M4 random intercept)</w:t>
                  </w:r>
                </w:p>
              </w:tc>
              <w:tc>
                <w:tcPr/>
                <w:p>
                  <w:pPr>
                    <w:pStyle w:val="Compact"/>
                    <w:jc w:val="right"/>
                    <w:jc w:val="center"/>
                  </w:pPr>
                  <w:r>
                    <w:t xml:space="preserve">r = .01</w:t>
                  </w:r>
                </w:p>
              </w:tc>
              <w:tc>
                <w:tcPr/>
                <w:p>
                  <w:pPr>
                    <w:pStyle w:val="Compact"/>
                    <w:jc w:val="right"/>
                    <w:jc w:val="center"/>
                  </w:pPr>
                  <w:r>
                    <w:t xml:space="preserve">.950</w:t>
                  </w:r>
                </w:p>
              </w:tc>
              <w:tc>
                <w:tcPr/>
                <w:p>
                  <w:pPr>
                    <w:pStyle w:val="Compact"/>
                    <w:jc w:val="right"/>
                    <w:jc w:val="center"/>
                  </w:pPr>
                  <w:r>
                    <w:t xml:space="preserve">.968</w:t>
                  </w:r>
                </w:p>
              </w:tc>
              <w:tc>
                <w:tcPr/>
                <w:p>
                  <w:pPr>
                    <w:pStyle w:val="Compact"/>
                    <w:jc w:val="right"/>
                    <w:jc w:val="center"/>
                  </w:pPr>
                  <w:r>
                    <w:t xml:space="preserve">62</w:t>
                  </w:r>
                </w:p>
              </w:tc>
            </w:tr>
            <w:tr>
              <w:tc>
                <w:tcPr/>
                <w:p>
                  <w:pPr>
                    <w:pStyle w:val="Compact"/>
                    <w:jc w:val="left"/>
                    <w:jc w:val="center"/>
                  </w:pPr>
                  <w:r>
                    <w:t xml:space="preserve">MoCA-telephone, score /22</w:t>
                  </w:r>
                </w:p>
              </w:tc>
              <w:tc>
                <w:tcPr/>
                <w:p>
                  <w:pPr>
                    <w:pStyle w:val="Compact"/>
                    <w:jc w:val="right"/>
                    <w:jc w:val="center"/>
                  </w:pPr>
                  <w:r>
                    <w:t xml:space="preserve">subject-level starting point (M4 random intercept)</w:t>
                  </w:r>
                </w:p>
              </w:tc>
              <w:tc>
                <w:tcPr/>
                <w:p>
                  <w:pPr>
                    <w:pStyle w:val="Compact"/>
                    <w:jc w:val="right"/>
                    <w:jc w:val="center"/>
                  </w:pPr>
                  <w:r>
                    <w:t xml:space="preserve">r = −.05</w:t>
                  </w:r>
                </w:p>
              </w:tc>
              <w:tc>
                <w:tcPr/>
                <w:p>
                  <w:pPr>
                    <w:pStyle w:val="Compact"/>
                    <w:jc w:val="right"/>
                    <w:jc w:val="center"/>
                  </w:pPr>
                  <w:r>
                    <w:t xml:space="preserve">.714</w:t>
                  </w:r>
                </w:p>
              </w:tc>
              <w:tc>
                <w:tcPr/>
                <w:p>
                  <w:pPr>
                    <w:pStyle w:val="Compact"/>
                    <w:jc w:val="right"/>
                    <w:jc w:val="center"/>
                  </w:pPr>
                  <w:r>
                    <w:t xml:space="preserve">.952</w:t>
                  </w:r>
                </w:p>
              </w:tc>
              <w:tc>
                <w:tcPr/>
                <w:p>
                  <w:pPr>
                    <w:pStyle w:val="Compact"/>
                    <w:jc w:val="right"/>
                    <w:jc w:val="center"/>
                  </w:pPr>
                  <w:r>
                    <w:t xml:space="preserve">62</w:t>
                  </w:r>
                </w:p>
              </w:tc>
            </w:tr>
            <w:tr>
              <w:tc>
                <w:tcPr/>
                <w:p>
                  <w:pPr>
                    <w:pStyle w:val="Compact"/>
                    <w:jc w:val="left"/>
                    <w:jc w:val="center"/>
                  </w:pPr>
                  <w:r>
                    <w:t xml:space="preserve">Shipley vocabulary (SILS)</w:t>
                  </w:r>
                </w:p>
              </w:tc>
              <w:tc>
                <w:tcPr/>
                <w:p>
                  <w:pPr>
                    <w:pStyle w:val="Compact"/>
                    <w:jc w:val="right"/>
                    <w:jc w:val="center"/>
                  </w:pPr>
                  <w:r>
                    <w:t xml:space="preserve">subject-level boundary (M4 random intercept)</w:t>
                  </w:r>
                </w:p>
              </w:tc>
              <w:tc>
                <w:tcPr/>
                <w:p>
                  <w:pPr>
                    <w:pStyle w:val="Compact"/>
                    <w:jc w:val="right"/>
                    <w:jc w:val="center"/>
                  </w:pPr>
                  <w:r>
                    <w:t xml:space="preserve">r = −.20</w:t>
                  </w:r>
                </w:p>
              </w:tc>
              <w:tc>
                <w:tcPr/>
                <w:p>
                  <w:pPr>
                    <w:pStyle w:val="Compact"/>
                    <w:jc w:val="right"/>
                    <w:jc w:val="center"/>
                  </w:pPr>
                  <w:r>
                    <w:t xml:space="preserve">.107</w:t>
                  </w:r>
                </w:p>
              </w:tc>
              <w:tc>
                <w:tcPr/>
                <w:p>
                  <w:pPr>
                    <w:pStyle w:val="Compact"/>
                    <w:jc w:val="right"/>
                    <w:jc w:val="center"/>
                  </w:pPr>
                  <w:r>
                    <w:t xml:space="preserve">.562</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subject-level drift (M4 random intercept)</w:t>
                  </w:r>
                </w:p>
              </w:tc>
              <w:tc>
                <w:tcPr/>
                <w:p>
                  <w:pPr>
                    <w:pStyle w:val="Compact"/>
                    <w:jc w:val="right"/>
                    <w:jc w:val="center"/>
                  </w:pPr>
                  <w:r>
                    <w:t xml:space="preserve">r = .14</w:t>
                  </w:r>
                </w:p>
              </w:tc>
              <w:tc>
                <w:tcPr/>
                <w:p>
                  <w:pPr>
                    <w:pStyle w:val="Compact"/>
                    <w:jc w:val="right"/>
                    <w:jc w:val="center"/>
                  </w:pPr>
                  <w:r>
                    <w:t xml:space="preserve">.266</w:t>
                  </w:r>
                </w:p>
              </w:tc>
              <w:tc>
                <w:tcPr/>
                <w:p>
                  <w:pPr>
                    <w:pStyle w:val="Compact"/>
                    <w:jc w:val="right"/>
                    <w:jc w:val="center"/>
                  </w:pPr>
                  <w:r>
                    <w:t xml:space="preserve">.637</w:t>
                  </w:r>
                </w:p>
              </w:tc>
              <w:tc>
                <w:tcPr/>
                <w:p>
                  <w:pPr>
                    <w:pStyle w:val="Compact"/>
                    <w:jc w:val="right"/>
                    <w:jc w:val="center"/>
                  </w:pPr>
                  <w:r>
                    <w:t xml:space="preserve">63</w:t>
                  </w:r>
                </w:p>
              </w:tc>
            </w:tr>
            <w:tr>
              <w:tc>
                <w:tcPr/>
                <w:p>
                  <w:pPr>
                    <w:pStyle w:val="Compact"/>
                    <w:jc w:val="left"/>
                    <w:jc w:val="center"/>
                  </w:pPr>
                  <w:r>
                    <w:t xml:space="preserve">Shipley vocabulary (SILS)</w:t>
                  </w:r>
                </w:p>
              </w:tc>
              <w:tc>
                <w:tcPr/>
                <w:p>
                  <w:pPr>
                    <w:pStyle w:val="Compact"/>
                    <w:jc w:val="right"/>
                    <w:jc w:val="center"/>
                  </w:pPr>
                  <w:r>
                    <w:t xml:space="preserve">subject-level starting point (M4 random intercept)</w:t>
                  </w:r>
                </w:p>
              </w:tc>
              <w:tc>
                <w:tcPr/>
                <w:p>
                  <w:pPr>
                    <w:pStyle w:val="Compact"/>
                    <w:jc w:val="right"/>
                    <w:jc w:val="center"/>
                  </w:pPr>
                  <w:r>
                    <w:t xml:space="preserve">r = .08</w:t>
                  </w:r>
                </w:p>
              </w:tc>
              <w:tc>
                <w:tcPr/>
                <w:p>
                  <w:pPr>
                    <w:pStyle w:val="Compact"/>
                    <w:jc w:val="right"/>
                    <w:jc w:val="center"/>
                  </w:pPr>
                  <w:r>
                    <w:t xml:space="preserve">.528</w:t>
                  </w:r>
                </w:p>
              </w:tc>
              <w:tc>
                <w:tcPr/>
                <w:p>
                  <w:pPr>
                    <w:pStyle w:val="Compact"/>
                    <w:jc w:val="right"/>
                    <w:jc w:val="center"/>
                  </w:pPr>
                  <w:r>
                    <w:t xml:space="preserve">.751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boundary (M4 random intercept)</w:t>
                  </w:r>
                </w:p>
              </w:tc>
              <w:tc>
                <w:tcPr/>
                <w:p>
                  <w:pPr>
                    <w:pStyle w:val="Compact"/>
                    <w:jc w:val="right"/>
                    <w:jc w:val="center"/>
                  </w:pPr>
                  <w:r>
                    <w:t xml:space="preserve">r = .01</w:t>
                  </w:r>
                </w:p>
              </w:tc>
              <w:tc>
                <w:tcPr/>
                <w:p>
                  <w:pPr>
                    <w:pStyle w:val="Compact"/>
                    <w:jc w:val="right"/>
                    <w:jc w:val="center"/>
                  </w:pPr>
                  <w:r>
                    <w:t xml:space="preserve">.939</w:t>
                  </w:r>
                </w:p>
              </w:tc>
              <w:tc>
                <w:tcPr/>
                <w:p>
                  <w:pPr>
                    <w:pStyle w:val="Compact"/>
                    <w:jc w:val="right"/>
                    <w:jc w:val="center"/>
                  </w:pPr>
                  <w:r>
                    <w:t xml:space="preserve">.968</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drift (M4 random intercept)</w:t>
                  </w:r>
                </w:p>
              </w:tc>
              <w:tc>
                <w:tcPr/>
                <w:p>
                  <w:pPr>
                    <w:pStyle w:val="Compact"/>
                    <w:jc w:val="right"/>
                    <w:jc w:val="center"/>
                  </w:pPr>
                  <w:r>
                    <w:t xml:space="preserve">r = −.10</w:t>
                  </w:r>
                </w:p>
              </w:tc>
              <w:tc>
                <w:tcPr/>
                <w:p>
                  <w:pPr>
                    <w:pStyle w:val="Compact"/>
                    <w:jc w:val="right"/>
                    <w:jc w:val="center"/>
                  </w:pPr>
                  <w:r>
                    <w:t xml:space="preserve">.420</w:t>
                  </w:r>
                </w:p>
              </w:tc>
              <w:tc>
                <w:tcPr/>
                <w:p>
                  <w:pPr>
                    <w:pStyle w:val="Compact"/>
                    <w:jc w:val="right"/>
                    <w:jc w:val="center"/>
                  </w:pPr>
                  <w:r>
                    <w:t xml:space="preserve">.751</w:t>
                  </w:r>
                </w:p>
              </w:tc>
              <w:tc>
                <w:tcPr/>
                <w:p>
                  <w:pPr>
                    <w:pStyle w:val="Compact"/>
                    <w:jc w:val="right"/>
                    <w:jc w:val="center"/>
                  </w:pPr>
                  <w:r>
                    <w:t xml:space="preserve">63</w:t>
                  </w:r>
                </w:p>
              </w:tc>
            </w:tr>
            <w:tr>
              <w:tc>
                <w:tcPr/>
                <w:p>
                  <w:pPr>
                    <w:pStyle w:val="Compact"/>
                    <w:jc w:val="left"/>
                    <w:jc w:val="center"/>
                  </w:pPr>
                  <w:r>
                    <w:t xml:space="preserve">Trail Making A</w:t>
                  </w:r>
                </w:p>
              </w:tc>
              <w:tc>
                <w:tcPr/>
                <w:p>
                  <w:pPr>
                    <w:pStyle w:val="Compact"/>
                    <w:jc w:val="right"/>
                    <w:jc w:val="center"/>
                  </w:pPr>
                  <w:r>
                    <w:t xml:space="preserve">subject-level starting point (M4 random intercept)</w:t>
                  </w:r>
                </w:p>
              </w:tc>
              <w:tc>
                <w:tcPr/>
                <w:p>
                  <w:pPr>
                    <w:pStyle w:val="Compact"/>
                    <w:jc w:val="right"/>
                    <w:jc w:val="center"/>
                  </w:pPr>
                  <w:r>
                    <w:t xml:space="preserve">r = −.30</w:t>
                  </w:r>
                </w:p>
              </w:tc>
              <w:tc>
                <w:tcPr/>
                <w:p>
                  <w:pPr>
                    <w:pStyle w:val="Compact"/>
                    <w:jc w:val="right"/>
                    <w:jc w:val="center"/>
                  </w:pPr>
                  <w:r>
                    <w:t xml:space="preserve">.019</w:t>
                  </w:r>
                </w:p>
              </w:tc>
              <w:tc>
                <w:tcPr/>
                <w:p>
                  <w:pPr>
                    <w:pStyle w:val="Compact"/>
                    <w:jc w:val="right"/>
                    <w:jc w:val="center"/>
                  </w:pPr>
                  <w:r>
                    <w:t xml:space="preserve">.251</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boundary (M4 random intercept)</w:t>
                  </w:r>
                </w:p>
              </w:tc>
              <w:tc>
                <w:tcPr/>
                <w:p>
                  <w:pPr>
                    <w:pStyle w:val="Compact"/>
                    <w:jc w:val="right"/>
                    <w:jc w:val="center"/>
                  </w:pPr>
                  <w:r>
                    <w:t xml:space="preserve">r = .08</w:t>
                  </w:r>
                </w:p>
              </w:tc>
              <w:tc>
                <w:tcPr/>
                <w:p>
                  <w:pPr>
                    <w:pStyle w:val="Compact"/>
                    <w:jc w:val="right"/>
                    <w:jc w:val="center"/>
                  </w:pPr>
                  <w:r>
                    <w:t xml:space="preserve">.518</w:t>
                  </w:r>
                </w:p>
              </w:tc>
              <w:tc>
                <w:tcPr/>
                <w:p>
                  <w:pPr>
                    <w:pStyle w:val="Compact"/>
                    <w:jc w:val="right"/>
                    <w:jc w:val="center"/>
                  </w:pPr>
                  <w:r>
                    <w:t xml:space="preserve">.751</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drift (M4 random intercept)</w:t>
                  </w:r>
                </w:p>
              </w:tc>
              <w:tc>
                <w:tcPr/>
                <w:p>
                  <w:pPr>
                    <w:pStyle w:val="Compact"/>
                    <w:jc w:val="right"/>
                    <w:jc w:val="center"/>
                  </w:pPr>
                  <w:r>
                    <w:t xml:space="preserve">r = −.15</w:t>
                  </w:r>
                </w:p>
              </w:tc>
              <w:tc>
                <w:tcPr/>
                <w:p>
                  <w:pPr>
                    <w:pStyle w:val="Compact"/>
                    <w:jc w:val="right"/>
                    <w:jc w:val="center"/>
                  </w:pPr>
                  <w:r>
                    <w:t xml:space="preserve">.235</w:t>
                  </w:r>
                </w:p>
              </w:tc>
              <w:tc>
                <w:tcPr/>
                <w:p>
                  <w:pPr>
                    <w:pStyle w:val="Compact"/>
                    <w:jc w:val="right"/>
                    <w:jc w:val="center"/>
                  </w:pPr>
                  <w:r>
                    <w:t xml:space="preserve">.636</w:t>
                  </w:r>
                </w:p>
              </w:tc>
              <w:tc>
                <w:tcPr/>
                <w:p>
                  <w:pPr>
                    <w:pStyle w:val="Compact"/>
                    <w:jc w:val="right"/>
                    <w:jc w:val="center"/>
                  </w:pPr>
                  <w:r>
                    <w:t xml:space="preserve">63</w:t>
                  </w:r>
                </w:p>
              </w:tc>
            </w:tr>
            <w:tr>
              <w:tc>
                <w:tcPr/>
                <w:p>
                  <w:pPr>
                    <w:pStyle w:val="Compact"/>
                    <w:jc w:val="left"/>
                    <w:jc w:val="center"/>
                  </w:pPr>
                  <w:r>
                    <w:t xml:space="preserve">TMT B − A</w:t>
                  </w:r>
                </w:p>
              </w:tc>
              <w:tc>
                <w:tcPr/>
                <w:p>
                  <w:pPr>
                    <w:pStyle w:val="Compact"/>
                    <w:jc w:val="right"/>
                    <w:jc w:val="center"/>
                  </w:pPr>
                  <w:r>
                    <w:t xml:space="preserve">subject-level starting point (M4 random intercept)</w:t>
                  </w:r>
                </w:p>
              </w:tc>
              <w:tc>
                <w:tcPr/>
                <w:p>
                  <w:pPr>
                    <w:pStyle w:val="Compact"/>
                    <w:jc w:val="right"/>
                    <w:jc w:val="center"/>
                  </w:pPr>
                  <w:r>
                    <w:t xml:space="preserve">r = .01</w:t>
                  </w:r>
                </w:p>
              </w:tc>
              <w:tc>
                <w:tcPr/>
                <w:p>
                  <w:pPr>
                    <w:pStyle w:val="Compact"/>
                    <w:jc w:val="right"/>
                    <w:jc w:val="center"/>
                  </w:pPr>
                  <w:r>
                    <w:t xml:space="preserve">.949</w:t>
                  </w:r>
                </w:p>
              </w:tc>
              <w:tc>
                <w:tcPr/>
                <w:p>
                  <w:pPr>
                    <w:pStyle w:val="Compact"/>
                    <w:jc w:val="right"/>
                    <w:jc w:val="center"/>
                  </w:pPr>
                  <w:r>
                    <w:t xml:space="preserve">.968</w:t>
                  </w:r>
                </w:p>
              </w:tc>
              <w:tc>
                <w:tcPr/>
                <w:p>
                  <w:pPr>
                    <w:pStyle w:val="Compact"/>
                    <w:jc w:val="right"/>
                    <w:jc w:val="center"/>
                  </w:pPr>
                  <w:r>
                    <w:t xml:space="preserve">63</w:t>
                  </w:r>
                </w:p>
              </w:tc>
            </w:tr>
          </w:tbl>
          <w:p>
            <w:pPr>
              <w:jc w:val="center"/>
            </w:pPr>
            <w:r>
              <w:rPr>
                <w:i/>
                <w:iCs/>
              </w:rPr>
              <w:t xml:space="preserve">Note.</w:t>
            </w:r>
            <w:r>
              <w:t xml:space="preserve"> </w:t>
            </w:r>
            <w:r>
              <w:t xml:space="preserve">Benjamini-Hochberg FDR is computed within family. Neuropsych x behavioral outcomes: 45 tests. Neuropsych x DDM parameters: 27 tests. d′ (descriptive) is the SD of d′ across grip conditions. No SD of accuracy across conditions is in the source table.</w:t>
            </w:r>
          </w:p>
          <w:bookmarkEnd w:id="171"/>
        </w:tc>
      </w:tr>
    </w:tbl>
    <w:bookmarkEnd w:id="172"/>
    <w:bookmarkStart w:id="174" w:name="Xca629de48c53e5ea657d5aec29b7cc12f2d48e3"/>
    <w:p>
      <w:pPr>
        <w:pStyle w:val="Heading2"/>
      </w:pPr>
      <w:r>
        <w:t xml:space="preserve">Exploratory temporal dynamics (dissertation only; pre-revision model structure)</w:t>
      </w:r>
    </w:p>
    <w:p>
      <w:pPr>
        <w:pStyle w:val="FirstParagraph"/>
      </w:pPr>
      <w:r>
        <w:t xml:space="preserve">These choice-history and within-run models were fit before the model revision used in this chapter (the response coding and effort terms of M4) and were not refit. They are reported for completeness and are not interpreted.</w:t>
      </w:r>
    </w:p>
    <w:tbl>
      <w:tblPr>
        <w:tblStyle w:val="Table"/>
        <w:tblW w:type="pct" w:w="5000"/>
        <w:tblLayout w:type="fixed"/>
        <w:tblLook w:firstRow="0" w:lastRow="0" w:firstColumn="0" w:lastColumn="0" w:noHBand="0" w:noVBand="0" w:val="0000"/>
      </w:tblPr>
      <w:tblGrid>
        <w:gridCol w:w="7920"/>
      </w:tblGrid>
      <w:tr>
        <w:tc>
          <w:tcPr/>
          <w:bookmarkStart w:id="173" w:name="supptbl-temporal"/>
          <w:p>
            <w:pPr>
              <w:jc w:val="center"/>
            </w:pPr>
            <w:pPr>
              <w:jc w:val="left"/>
              <w:spacing w:before="200"/>
              <w:pStyle w:val="ImageCaption"/>
            </w:pPr>
            <w:r>
              <w:t xml:space="preserve">Table S22: Exploratory choice-history and within-run models. These were fit with the pre-revision model structure and not refit; see the text.</w:t>
            </w:r>
          </w:p>
          <w:tbl>
            <w:tblPr>
              <w:tblStyle w:val="Table"/>
              <w:tblW w:type="pct" w:w="5000"/>
              <w:tblLayout w:type="fixed"/>
              <w:tblLook w:firstRow="1" w:lastRow="0" w:firstColumn="0" w:lastColumn="0" w:noHBand="0" w:noVBand="0" w:val="0020"/>
            </w:tblPr>
            <w:tblGrid>
              <w:gridCol w:w="1667"/>
              <w:gridCol w:w="4251"/>
              <w:gridCol w:w="750"/>
              <w:gridCol w:w="500"/>
              <w:gridCol w:w="750"/>
            </w:tblGrid>
            <w:tr>
              <w:trPr>
                <w:tblHeader w:val="on"/>
              </w:trPr>
              <w:tc>
                <w:tcPr/>
                <w:p>
                  <w:pPr>
                    <w:pStyle w:val="Compact"/>
                    <w:jc w:val="lef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rPr>
                      <w:i/>
                      <w:iCs/>
                    </w:rPr>
                    <w:t xml:space="preserve">SD</w:t>
                  </w:r>
                </w:p>
              </w:tc>
              <w:tc>
                <w:tcPr/>
                <w:p>
                  <w:pPr>
                    <w:pStyle w:val="Compact"/>
                    <w:jc w:val="right"/>
                    <w:jc w:val="center"/>
                  </w:pPr>
                  <w:r>
                    <w:t xml:space="preserve">P(β &gt; 0)</w:t>
                  </w:r>
                </w:p>
              </w:tc>
            </w:tr>
            <w:tr>
              <w:tc>
                <w:tcPr/>
                <w:p>
                  <w:pPr>
                    <w:pStyle w:val="Compact"/>
                    <w:jc w:val="left"/>
                    <w:jc w:val="center"/>
                  </w:pPr>
                  <w:r>
                    <w:t xml:space="preserve">Choice history</w:t>
                  </w:r>
                </w:p>
              </w:tc>
              <w:tc>
                <w:tcPr/>
                <w:p>
                  <w:pPr>
                    <w:pStyle w:val="Compact"/>
                    <w:jc w:val="right"/>
                    <w:jc w:val="center"/>
                  </w:pPr>
                  <w:r>
                    <w:t xml:space="preserve">Starting-point intercept</w:t>
                  </w:r>
                </w:p>
              </w:tc>
              <w:tc>
                <w:tcPr/>
                <w:p>
                  <w:pPr>
                    <w:pStyle w:val="Compact"/>
                    <w:jc w:val="right"/>
                    <w:jc w:val="center"/>
                  </w:pPr>
                  <w:r>
                    <w:t xml:space="preserve">0.197</w:t>
                  </w:r>
                </w:p>
              </w:tc>
              <w:tc>
                <w:tcPr/>
                <w:p>
                  <w:pPr>
                    <w:pStyle w:val="Compact"/>
                    <w:jc w:val="right"/>
                    <w:jc w:val="center"/>
                  </w:pPr>
                  <w:r>
                    <w:t xml:space="preserve">0.033</w:t>
                  </w:r>
                </w:p>
              </w:tc>
              <w:tc>
                <w:tcPr/>
                <w:p>
                  <w:pPr>
                    <w:pStyle w:val="Compact"/>
                    <w:jc w:val="right"/>
                    <w:jc w:val="center"/>
                  </w:pPr>
                  <w:r>
                    <w:t xml:space="preserve">&gt; .999</w:t>
                  </w:r>
                </w:p>
              </w:tc>
            </w:tr>
            <w:tr>
              <w:tc>
                <w:tcPr/>
                <w:p>
                  <w:pPr>
                    <w:pStyle w:val="Compact"/>
                    <w:jc w:val="left"/>
                    <w:jc w:val="center"/>
                  </w:pPr>
                  <w:r>
                    <w:t xml:space="preserve">Choice history</w:t>
                  </w:r>
                </w:p>
              </w:tc>
              <w:tc>
                <w:tcPr/>
                <w:p>
                  <w:pPr>
                    <w:pStyle w:val="Compact"/>
                    <w:jc w:val="right"/>
                    <w:jc w:val="center"/>
                  </w:pPr>
                  <w:r>
                    <w:t xml:space="preserve">Starting point, low effort</w:t>
                  </w:r>
                </w:p>
              </w:tc>
              <w:tc>
                <w:tcPr/>
                <w:p>
                  <w:pPr>
                    <w:pStyle w:val="Compact"/>
                    <w:jc w:val="right"/>
                    <w:jc w:val="center"/>
                  </w:pPr>
                  <w:r>
                    <w:t xml:space="preserve">−0.016</w:t>
                  </w:r>
                </w:p>
              </w:tc>
              <w:tc>
                <w:tcPr/>
                <w:p>
                  <w:pPr>
                    <w:pStyle w:val="Compact"/>
                    <w:jc w:val="right"/>
                    <w:jc w:val="center"/>
                  </w:pPr>
                  <w:r>
                    <w:t xml:space="preserve">0.022</w:t>
                  </w:r>
                </w:p>
              </w:tc>
              <w:tc>
                <w:tcPr/>
                <w:p>
                  <w:pPr>
                    <w:pStyle w:val="Compact"/>
                    <w:jc w:val="right"/>
                    <w:jc w:val="center"/>
                  </w:pPr>
                  <w:r>
                    <w:t xml:space="preserve">.225</w:t>
                  </w:r>
                </w:p>
              </w:tc>
            </w:tr>
            <w:tr>
              <w:tc>
                <w:tcPr/>
                <w:p>
                  <w:pPr>
                    <w:pStyle w:val="Compact"/>
                    <w:jc w:val="left"/>
                    <w:jc w:val="center"/>
                  </w:pPr>
                  <w:r>
                    <w:t xml:space="preserve">Choice history</w:t>
                  </w:r>
                </w:p>
              </w:tc>
              <w:tc>
                <w:tcPr/>
                <w:p>
                  <w:pPr>
                    <w:pStyle w:val="Compact"/>
                    <w:jc w:val="right"/>
                    <w:jc w:val="center"/>
                  </w:pPr>
                  <w:r>
                    <w:t xml:space="preserve">Starting point, previous choice</w:t>
                  </w:r>
                </w:p>
              </w:tc>
              <w:tc>
                <w:tcPr/>
                <w:p>
                  <w:pPr>
                    <w:pStyle w:val="Compact"/>
                    <w:jc w:val="right"/>
                    <w:jc w:val="center"/>
                  </w:pPr>
                  <w:r>
                    <w:t xml:space="preserve">0.065</w:t>
                  </w:r>
                </w:p>
              </w:tc>
              <w:tc>
                <w:tcPr/>
                <w:p>
                  <w:pPr>
                    <w:pStyle w:val="Compact"/>
                    <w:jc w:val="right"/>
                    <w:jc w:val="center"/>
                  </w:pPr>
                  <w:r>
                    <w:t xml:space="preserve">0.031</w:t>
                  </w:r>
                </w:p>
              </w:tc>
              <w:tc>
                <w:tcPr/>
                <w:p>
                  <w:pPr>
                    <w:pStyle w:val="Compact"/>
                    <w:jc w:val="right"/>
                    <w:jc w:val="center"/>
                  </w:pPr>
                  <w:r>
                    <w:t xml:space="preserve">.982</w:t>
                  </w:r>
                </w:p>
              </w:tc>
            </w:tr>
            <w:tr>
              <w:tc>
                <w:tcPr/>
                <w:p>
                  <w:pPr>
                    <w:pStyle w:val="Compact"/>
                    <w:jc w:val="left"/>
                    <w:jc w:val="center"/>
                  </w:pPr>
                  <w:r>
                    <w:t xml:space="preserve">Choice history</w:t>
                  </w:r>
                </w:p>
              </w:tc>
              <w:tc>
                <w:tcPr/>
                <w:p>
                  <w:pPr>
                    <w:pStyle w:val="Compact"/>
                    <w:jc w:val="right"/>
                    <w:jc w:val="center"/>
                  </w:pPr>
                  <w:r>
                    <w:t xml:space="preserve">Starting point, previous choice × low effort</w:t>
                  </w:r>
                </w:p>
              </w:tc>
              <w:tc>
                <w:tcPr/>
                <w:p>
                  <w:pPr>
                    <w:pStyle w:val="Compact"/>
                    <w:jc w:val="right"/>
                    <w:jc w:val="center"/>
                  </w:pPr>
                  <w:r>
                    <w:t xml:space="preserve">−0.001</w:t>
                  </w:r>
                </w:p>
              </w:tc>
              <w:tc>
                <w:tcPr/>
                <w:p>
                  <w:pPr>
                    <w:pStyle w:val="Compact"/>
                    <w:jc w:val="right"/>
                    <w:jc w:val="center"/>
                  </w:pPr>
                  <w:r>
                    <w:t xml:space="preserve">0.033</w:t>
                  </w:r>
                </w:p>
              </w:tc>
              <w:tc>
                <w:tcPr/>
                <w:p>
                  <w:pPr>
                    <w:pStyle w:val="Compact"/>
                    <w:jc w:val="right"/>
                    <w:jc w:val="center"/>
                  </w:pPr>
                  <w:r>
                    <w:t xml:space="preserve">.488</w:t>
                  </w:r>
                </w:p>
              </w:tc>
            </w:tr>
            <w:tr>
              <w:tc>
                <w:tcPr/>
                <w:p>
                  <w:pPr>
                    <w:pStyle w:val="Compact"/>
                    <w:jc w:val="left"/>
                    <w:jc w:val="center"/>
                  </w:pPr>
                  <w:r>
                    <w:t xml:space="preserve">Choice history</w:t>
                  </w:r>
                </w:p>
              </w:tc>
              <w:tc>
                <w:tcPr/>
                <w:p>
                  <w:pPr>
                    <w:pStyle w:val="Compact"/>
                    <w:jc w:val="right"/>
                    <w:jc w:val="center"/>
                  </w:pPr>
                  <w:r>
                    <w:t xml:space="preserve">Drift, previous choice</w:t>
                  </w:r>
                </w:p>
              </w:tc>
              <w:tc>
                <w:tcPr/>
                <w:p>
                  <w:pPr>
                    <w:pStyle w:val="Compact"/>
                    <w:jc w:val="right"/>
                    <w:jc w:val="center"/>
                  </w:pPr>
                  <w:r>
                    <w:t xml:space="preserve">0.054</w:t>
                  </w:r>
                </w:p>
              </w:tc>
              <w:tc>
                <w:tcPr/>
                <w:p>
                  <w:pPr>
                    <w:pStyle w:val="Compact"/>
                    <w:jc w:val="right"/>
                    <w:jc w:val="center"/>
                  </w:pPr>
                  <w:r>
                    <w:t xml:space="preserve">0.023</w:t>
                  </w:r>
                </w:p>
              </w:tc>
              <w:tc>
                <w:tcPr/>
                <w:p>
                  <w:pPr>
                    <w:pStyle w:val="Compact"/>
                    <w:jc w:val="right"/>
                    <w:jc w:val="center"/>
                  </w:pPr>
                  <w:r>
                    <w:t xml:space="preserve">.991</w:t>
                  </w:r>
                </w:p>
              </w:tc>
            </w:tr>
            <w:tr>
              <w:tc>
                <w:tcPr/>
                <w:p>
                  <w:pPr>
                    <w:pStyle w:val="Compact"/>
                    <w:jc w:val="left"/>
                    <w:jc w:val="center"/>
                  </w:pPr>
                  <w:r>
                    <w:t xml:space="preserve">Win-stay/lose-shift</w:t>
                  </w:r>
                </w:p>
              </w:tc>
              <w:tc>
                <w:tcPr/>
                <w:p>
                  <w:pPr>
                    <w:pStyle w:val="Compact"/>
                    <w:jc w:val="right"/>
                    <w:jc w:val="center"/>
                  </w:pPr>
                  <w:r>
                    <w:t xml:space="preserve">Starting-point intercept</w:t>
                  </w:r>
                </w:p>
              </w:tc>
              <w:tc>
                <w:tcPr/>
                <w:p>
                  <w:pPr>
                    <w:pStyle w:val="Compact"/>
                    <w:jc w:val="right"/>
                    <w:jc w:val="center"/>
                  </w:pPr>
                  <w:r>
                    <w:t xml:space="preserve">0.214</w:t>
                  </w:r>
                </w:p>
              </w:tc>
              <w:tc>
                <w:tcPr/>
                <w:p>
                  <w:pPr>
                    <w:pStyle w:val="Compact"/>
                    <w:jc w:val="right"/>
                    <w:jc w:val="center"/>
                  </w:pPr>
                  <w:r>
                    <w:t xml:space="preserve">0.042</w:t>
                  </w:r>
                </w:p>
              </w:tc>
              <w:tc>
                <w:tcPr/>
                <w:p>
                  <w:pPr>
                    <w:pStyle w:val="Compact"/>
                    <w:jc w:val="right"/>
                    <w:jc w:val="center"/>
                  </w:pPr>
                  <w:r>
                    <w:t xml:space="preserve">&gt; .999</w:t>
                  </w:r>
                </w:p>
              </w:tc>
            </w:tr>
            <w:tr>
              <w:tc>
                <w:tcPr/>
                <w:p>
                  <w:pPr>
                    <w:pStyle w:val="Compact"/>
                    <w:jc w:val="left"/>
                    <w:jc w:val="center"/>
                  </w:pPr>
                  <w:r>
                    <w:t xml:space="preserve">Win-stay/lose-shift</w:t>
                  </w:r>
                </w:p>
              </w:tc>
              <w:tc>
                <w:tcPr/>
                <w:p>
                  <w:pPr>
                    <w:pStyle w:val="Compact"/>
                    <w:jc w:val="right"/>
                    <w:jc w:val="center"/>
                  </w:pPr>
                  <w:r>
                    <w:t xml:space="preserve">Starting point, low effort</w:t>
                  </w:r>
                </w:p>
              </w:tc>
              <w:tc>
                <w:tcPr/>
                <w:p>
                  <w:pPr>
                    <w:pStyle w:val="Compact"/>
                    <w:jc w:val="right"/>
                    <w:jc w:val="center"/>
                  </w:pPr>
                  <w:r>
                    <w:t xml:space="preserve">−0.017</w:t>
                  </w:r>
                </w:p>
              </w:tc>
              <w:tc>
                <w:tcPr/>
                <w:p>
                  <w:pPr>
                    <w:pStyle w:val="Compact"/>
                    <w:jc w:val="right"/>
                    <w:jc w:val="center"/>
                  </w:pPr>
                  <w:r>
                    <w:t xml:space="preserve">0.022</w:t>
                  </w:r>
                </w:p>
              </w:tc>
              <w:tc>
                <w:tcPr/>
                <w:p>
                  <w:pPr>
                    <w:pStyle w:val="Compact"/>
                    <w:jc w:val="right"/>
                    <w:jc w:val="center"/>
                  </w:pPr>
                  <w:r>
                    <w:t xml:space="preserve">.225</w:t>
                  </w:r>
                </w:p>
              </w:tc>
            </w:tr>
            <w:tr>
              <w:tc>
                <w:tcPr/>
                <w:p>
                  <w:pPr>
                    <w:pStyle w:val="Compact"/>
                    <w:jc w:val="left"/>
                    <w:jc w:val="center"/>
                  </w:pPr>
                  <w:r>
                    <w:t xml:space="preserve">Win-stay/lose-shift</w:t>
                  </w:r>
                </w:p>
              </w:tc>
              <w:tc>
                <w:tcPr/>
                <w:p>
                  <w:pPr>
                    <w:pStyle w:val="Compact"/>
                    <w:jc w:val="right"/>
                    <w:jc w:val="center"/>
                  </w:pPr>
                  <w:r>
                    <w:t xml:space="preserve">Starting point, previous choice</w:t>
                  </w:r>
                </w:p>
              </w:tc>
              <w:tc>
                <w:tcPr/>
                <w:p>
                  <w:pPr>
                    <w:pStyle w:val="Compact"/>
                    <w:jc w:val="right"/>
                    <w:jc w:val="center"/>
                  </w:pPr>
                  <w:r>
                    <w:t xml:space="preserve">0.137</w:t>
                  </w:r>
                </w:p>
              </w:tc>
              <w:tc>
                <w:tcPr/>
                <w:p>
                  <w:pPr>
                    <w:pStyle w:val="Compact"/>
                    <w:jc w:val="right"/>
                    <w:jc w:val="center"/>
                  </w:pPr>
                  <w:r>
                    <w:t xml:space="preserve">0.061</w:t>
                  </w:r>
                </w:p>
              </w:tc>
              <w:tc>
                <w:tcPr/>
                <w:p>
                  <w:pPr>
                    <w:pStyle w:val="Compact"/>
                    <w:jc w:val="right"/>
                    <w:jc w:val="center"/>
                  </w:pPr>
                  <w:r>
                    <w:t xml:space="preserve">.987</w:t>
                  </w:r>
                </w:p>
              </w:tc>
            </w:tr>
            <w:tr>
              <w:tc>
                <w:tcPr/>
                <w:p>
                  <w:pPr>
                    <w:pStyle w:val="Compact"/>
                    <w:jc w:val="left"/>
                    <w:jc w:val="center"/>
                  </w:pPr>
                  <w:r>
                    <w:t xml:space="preserve">Win-stay/lose-shift</w:t>
                  </w:r>
                </w:p>
              </w:tc>
              <w:tc>
                <w:tcPr/>
                <w:p>
                  <w:pPr>
                    <w:pStyle w:val="Compact"/>
                    <w:jc w:val="right"/>
                    <w:jc w:val="center"/>
                  </w:pPr>
                  <w:r>
                    <w:t xml:space="preserve">Starting point, previous choice × low effort</w:t>
                  </w:r>
                </w:p>
              </w:tc>
              <w:tc>
                <w:tcPr/>
                <w:p>
                  <w:pPr>
                    <w:pStyle w:val="Compact"/>
                    <w:jc w:val="right"/>
                    <w:jc w:val="center"/>
                  </w:pPr>
                  <w:r>
                    <w:t xml:space="preserve">−0.001</w:t>
                  </w:r>
                </w:p>
              </w:tc>
              <w:tc>
                <w:tcPr/>
                <w:p>
                  <w:pPr>
                    <w:pStyle w:val="Compact"/>
                    <w:jc w:val="right"/>
                    <w:jc w:val="center"/>
                  </w:pPr>
                  <w:r>
                    <w:t xml:space="preserve">0.033</w:t>
                  </w:r>
                </w:p>
              </w:tc>
              <w:tc>
                <w:tcPr/>
                <w:p>
                  <w:pPr>
                    <w:pStyle w:val="Compact"/>
                    <w:jc w:val="right"/>
                    <w:jc w:val="center"/>
                  </w:pPr>
                  <w:r>
                    <w:t xml:space="preserve">.489</w:t>
                  </w:r>
                </w:p>
              </w:tc>
            </w:tr>
            <w:tr>
              <w:tc>
                <w:tcPr/>
                <w:p>
                  <w:pPr>
                    <w:pStyle w:val="Compact"/>
                    <w:jc w:val="left"/>
                    <w:jc w:val="center"/>
                  </w:pPr>
                  <w:r>
                    <w:t xml:space="preserve">Win-stay/lose-shift</w:t>
                  </w:r>
                </w:p>
              </w:tc>
              <w:tc>
                <w:tcPr/>
                <w:p>
                  <w:pPr>
                    <w:pStyle w:val="Compact"/>
                    <w:jc w:val="right"/>
                    <w:jc w:val="center"/>
                  </w:pPr>
                  <w:r>
                    <w:t xml:space="preserve">Starting point, previous choice × previous correct</w:t>
                  </w:r>
                </w:p>
              </w:tc>
              <w:tc>
                <w:tcPr/>
                <w:p>
                  <w:pPr>
                    <w:pStyle w:val="Compact"/>
                    <w:jc w:val="right"/>
                    <w:jc w:val="center"/>
                  </w:pPr>
                  <w:r>
                    <w:t xml:space="preserve">−0.107</w:t>
                  </w:r>
                </w:p>
              </w:tc>
              <w:tc>
                <w:tcPr/>
                <w:p>
                  <w:pPr>
                    <w:pStyle w:val="Compact"/>
                    <w:jc w:val="right"/>
                    <w:jc w:val="center"/>
                  </w:pPr>
                  <w:r>
                    <w:t xml:space="preserve">0.060</w:t>
                  </w:r>
                </w:p>
              </w:tc>
              <w:tc>
                <w:tcPr/>
                <w:p>
                  <w:pPr>
                    <w:pStyle w:val="Compact"/>
                    <w:jc w:val="right"/>
                    <w:jc w:val="center"/>
                  </w:pPr>
                  <w:r>
                    <w:t xml:space="preserve">.036</w:t>
                  </w:r>
                </w:p>
              </w:tc>
            </w:tr>
            <w:tr>
              <w:tc>
                <w:tcPr/>
                <w:p>
                  <w:pPr>
                    <w:pStyle w:val="Compact"/>
                    <w:jc w:val="left"/>
                    <w:jc w:val="center"/>
                  </w:pPr>
                  <w:r>
                    <w:t xml:space="preserve">Win-stay/lose-shift</w:t>
                  </w:r>
                </w:p>
              </w:tc>
              <w:tc>
                <w:tcPr/>
                <w:p>
                  <w:pPr>
                    <w:pStyle w:val="Compact"/>
                    <w:jc w:val="right"/>
                    <w:jc w:val="center"/>
                  </w:pPr>
                  <w:r>
                    <w:t xml:space="preserve">Starting point, previous correct</w:t>
                  </w:r>
                </w:p>
              </w:tc>
              <w:tc>
                <w:tcPr/>
                <w:p>
                  <w:pPr>
                    <w:pStyle w:val="Compact"/>
                    <w:jc w:val="right"/>
                    <w:jc w:val="center"/>
                  </w:pPr>
                  <w:r>
                    <w:t xml:space="preserve">0.000</w:t>
                  </w:r>
                </w:p>
              </w:tc>
              <w:tc>
                <w:tcPr/>
                <w:p>
                  <w:pPr>
                    <w:pStyle w:val="Compact"/>
                    <w:jc w:val="right"/>
                    <w:jc w:val="center"/>
                  </w:pPr>
                  <w:r>
                    <w:t xml:space="preserve">0.031</w:t>
                  </w:r>
                </w:p>
              </w:tc>
              <w:tc>
                <w:tcPr/>
                <w:p>
                  <w:pPr>
                    <w:pStyle w:val="Compact"/>
                    <w:jc w:val="right"/>
                    <w:jc w:val="center"/>
                  </w:pPr>
                  <w:r>
                    <w:t xml:space="preserve">.499</w:t>
                  </w:r>
                </w:p>
              </w:tc>
            </w:tr>
            <w:tr>
              <w:tc>
                <w:tcPr/>
                <w:p>
                  <w:pPr>
                    <w:pStyle w:val="Compact"/>
                    <w:jc w:val="left"/>
                    <w:jc w:val="center"/>
                  </w:pPr>
                  <w:r>
                    <w:t xml:space="preserve">Win-stay/lose-shift</w:t>
                  </w:r>
                </w:p>
              </w:tc>
              <w:tc>
                <w:tcPr/>
                <w:p>
                  <w:pPr>
                    <w:pStyle w:val="Compact"/>
                    <w:jc w:val="right"/>
                    <w:jc w:val="center"/>
                  </w:pPr>
                  <w:r>
                    <w:t xml:space="preserve">Drift, previous choice</w:t>
                  </w:r>
                </w:p>
              </w:tc>
              <w:tc>
                <w:tcPr/>
                <w:p>
                  <w:pPr>
                    <w:pStyle w:val="Compact"/>
                    <w:jc w:val="right"/>
                    <w:jc w:val="center"/>
                  </w:pPr>
                  <w:r>
                    <w:t xml:space="preserve">0.053</w:t>
                  </w:r>
                </w:p>
              </w:tc>
              <w:tc>
                <w:tcPr/>
                <w:p>
                  <w:pPr>
                    <w:pStyle w:val="Compact"/>
                    <w:jc w:val="right"/>
                    <w:jc w:val="center"/>
                  </w:pPr>
                  <w:r>
                    <w:t xml:space="preserve">0.023</w:t>
                  </w:r>
                </w:p>
              </w:tc>
              <w:tc>
                <w:tcPr/>
                <w:p>
                  <w:pPr>
                    <w:pStyle w:val="Compact"/>
                    <w:jc w:val="right"/>
                    <w:jc w:val="center"/>
                  </w:pPr>
                  <w:r>
                    <w:t xml:space="preserve">.991</w:t>
                  </w:r>
                </w:p>
              </w:tc>
            </w:tr>
            <w:tr>
              <w:tc>
                <w:tcPr/>
                <w:p>
                  <w:pPr>
                    <w:pStyle w:val="Compact"/>
                    <w:jc w:val="left"/>
                    <w:jc w:val="center"/>
                  </w:pPr>
                  <w:r>
                    <w:t xml:space="preserve">Within-run trend</w:t>
                  </w:r>
                </w:p>
              </w:tc>
              <w:tc>
                <w:tcPr/>
                <w:p>
                  <w:pPr>
                    <w:pStyle w:val="Compact"/>
                    <w:jc w:val="right"/>
                    <w:jc w:val="center"/>
                  </w:pPr>
                  <w:r>
                    <w:t xml:space="preserve">Boundary separation, age</w:t>
                  </w:r>
                </w:p>
              </w:tc>
              <w:tc>
                <w:tcPr/>
                <w:p>
                  <w:pPr>
                    <w:pStyle w:val="Compact"/>
                    <w:jc w:val="right"/>
                    <w:jc w:val="center"/>
                  </w:pPr>
                  <w:r>
                    <w:t xml:space="preserve">0.003</w:t>
                  </w:r>
                </w:p>
              </w:tc>
              <w:tc>
                <w:tcPr/>
                <w:p>
                  <w:pPr>
                    <w:pStyle w:val="Compact"/>
                    <w:jc w:val="right"/>
                    <w:jc w:val="center"/>
                  </w:pPr>
                  <w:r>
                    <w:t xml:space="preserve">0.025</w:t>
                  </w:r>
                </w:p>
              </w:tc>
              <w:tc>
                <w:tcPr/>
                <w:p>
                  <w:pPr>
                    <w:pStyle w:val="Compact"/>
                    <w:jc w:val="right"/>
                    <w:jc w:val="center"/>
                  </w:pPr>
                  <w:r>
                    <w:t xml:space="preserve">.552</w:t>
                  </w:r>
                </w:p>
              </w:tc>
            </w:tr>
            <w:tr>
              <w:tc>
                <w:tcPr/>
                <w:p>
                  <w:pPr>
                    <w:pStyle w:val="Compact"/>
                    <w:jc w:val="left"/>
                    <w:jc w:val="center"/>
                  </w:pPr>
                  <w:r>
                    <w:t xml:space="preserve">Within-run trend</w:t>
                  </w:r>
                </w:p>
              </w:tc>
              <w:tc>
                <w:tcPr/>
                <w:p>
                  <w:pPr>
                    <w:pStyle w:val="Compact"/>
                    <w:jc w:val="right"/>
                    <w:jc w:val="center"/>
                  </w:pPr>
                  <w:r>
                    <w:t xml:space="preserve">Boundary separation, second half</w:t>
                  </w:r>
                </w:p>
              </w:tc>
              <w:tc>
                <w:tcPr/>
                <w:p>
                  <w:pPr>
                    <w:pStyle w:val="Compact"/>
                    <w:jc w:val="right"/>
                    <w:jc w:val="center"/>
                  </w:pPr>
                  <w:r>
                    <w:t xml:space="preserve">−0.022</w:t>
                  </w:r>
                </w:p>
              </w:tc>
              <w:tc>
                <w:tcPr/>
                <w:p>
                  <w:pPr>
                    <w:pStyle w:val="Compact"/>
                    <w:jc w:val="right"/>
                    <w:jc w:val="center"/>
                  </w:pPr>
                  <w:r>
                    <w:t xml:space="preserve">0.009</w:t>
                  </w:r>
                </w:p>
              </w:tc>
              <w:tc>
                <w:tcPr/>
                <w:p>
                  <w:pPr>
                    <w:pStyle w:val="Compact"/>
                    <w:jc w:val="right"/>
                    <w:jc w:val="center"/>
                  </w:pPr>
                  <w:r>
                    <w:t xml:space="preserve">.007</w:t>
                  </w:r>
                </w:p>
              </w:tc>
            </w:tr>
            <w:tr>
              <w:tc>
                <w:tcPr/>
                <w:p>
                  <w:pPr>
                    <w:pStyle w:val="Compact"/>
                    <w:jc w:val="left"/>
                    <w:jc w:val="center"/>
                  </w:pPr>
                  <w:r>
                    <w:t xml:space="preserve">Within-run trend</w:t>
                  </w:r>
                </w:p>
              </w:tc>
              <w:tc>
                <w:tcPr/>
                <w:p>
                  <w:pPr>
                    <w:pStyle w:val="Compact"/>
                    <w:jc w:val="right"/>
                    <w:jc w:val="center"/>
                  </w:pPr>
                  <w:r>
                    <w:t xml:space="preserve">Boundary separation, high effort</w:t>
                  </w:r>
                </w:p>
              </w:tc>
              <w:tc>
                <w:tcPr/>
                <w:p>
                  <w:pPr>
                    <w:pStyle w:val="Compact"/>
                    <w:jc w:val="right"/>
                    <w:jc w:val="center"/>
                  </w:pPr>
                  <w:r>
                    <w:t xml:space="preserve">0.009</w:t>
                  </w:r>
                </w:p>
              </w:tc>
              <w:tc>
                <w:tcPr/>
                <w:p>
                  <w:pPr>
                    <w:pStyle w:val="Compact"/>
                    <w:jc w:val="right"/>
                    <w:jc w:val="center"/>
                  </w:pPr>
                  <w:r>
                    <w:t xml:space="preserve">0.010</w:t>
                  </w:r>
                </w:p>
              </w:tc>
              <w:tc>
                <w:tcPr/>
                <w:p>
                  <w:pPr>
                    <w:pStyle w:val="Compact"/>
                    <w:jc w:val="right"/>
                    <w:jc w:val="center"/>
                  </w:pPr>
                  <w:r>
                    <w:t xml:space="preserve">.819</w:t>
                  </w:r>
                </w:p>
              </w:tc>
            </w:tr>
            <w:tr>
              <w:tc>
                <w:tcPr/>
                <w:p>
                  <w:pPr>
                    <w:pStyle w:val="Compact"/>
                    <w:jc w:val="left"/>
                    <w:jc w:val="center"/>
                  </w:pPr>
                  <w:r>
                    <w:t xml:space="preserve">Within-run trend</w:t>
                  </w:r>
                </w:p>
              </w:tc>
              <w:tc>
                <w:tcPr/>
                <w:p>
                  <w:pPr>
                    <w:pStyle w:val="Compact"/>
                    <w:jc w:val="right"/>
                    <w:jc w:val="center"/>
                  </w:pPr>
                  <w:r>
                    <w:t xml:space="preserve">Boundary separation, high effort × second half</w:t>
                  </w:r>
                </w:p>
              </w:tc>
              <w:tc>
                <w:tcPr/>
                <w:p>
                  <w:pPr>
                    <w:pStyle w:val="Compact"/>
                    <w:jc w:val="right"/>
                    <w:jc w:val="center"/>
                  </w:pPr>
                  <w:r>
                    <w:t xml:space="preserve">0.011</w:t>
                  </w:r>
                </w:p>
              </w:tc>
              <w:tc>
                <w:tcPr/>
                <w:p>
                  <w:pPr>
                    <w:pStyle w:val="Compact"/>
                    <w:jc w:val="right"/>
                    <w:jc w:val="center"/>
                  </w:pPr>
                  <w:r>
                    <w:t xml:space="preserve">0.013</w:t>
                  </w:r>
                </w:p>
              </w:tc>
              <w:tc>
                <w:tcPr/>
                <w:p>
                  <w:pPr>
                    <w:pStyle w:val="Compact"/>
                    <w:jc w:val="right"/>
                    <w:jc w:val="center"/>
                  </w:pPr>
                  <w:r>
                    <w:t xml:space="preserve">.808</w:t>
                  </w:r>
                </w:p>
              </w:tc>
            </w:tr>
            <w:tr>
              <w:tc>
                <w:tcPr/>
                <w:p>
                  <w:pPr>
                    <w:pStyle w:val="Compact"/>
                    <w:jc w:val="left"/>
                    <w:jc w:val="center"/>
                  </w:pPr>
                  <w:r>
                    <w:t xml:space="preserve">Within-run trend</w:t>
                  </w:r>
                </w:p>
              </w:tc>
              <w:tc>
                <w:tcPr/>
                <w:p>
                  <w:pPr>
                    <w:pStyle w:val="Compact"/>
                    <w:jc w:val="right"/>
                    <w:jc w:val="center"/>
                  </w:pPr>
                  <w:r>
                    <w:t xml:space="preserve">Drift, age</w:t>
                  </w:r>
                </w:p>
              </w:tc>
              <w:tc>
                <w:tcPr/>
                <w:p>
                  <w:pPr>
                    <w:pStyle w:val="Compact"/>
                    <w:jc w:val="right"/>
                    <w:jc w:val="center"/>
                  </w:pPr>
                  <w:r>
                    <w:t xml:space="preserve">−0.027</w:t>
                  </w:r>
                </w:p>
              </w:tc>
              <w:tc>
                <w:tcPr/>
                <w:p>
                  <w:pPr>
                    <w:pStyle w:val="Compact"/>
                    <w:jc w:val="right"/>
                    <w:jc w:val="center"/>
                  </w:pPr>
                  <w:r>
                    <w:t xml:space="preserve">0.051</w:t>
                  </w:r>
                </w:p>
              </w:tc>
              <w:tc>
                <w:tcPr/>
                <w:p>
                  <w:pPr>
                    <w:pStyle w:val="Compact"/>
                    <w:jc w:val="right"/>
                    <w:jc w:val="center"/>
                  </w:pPr>
                  <w:r>
                    <w:t xml:space="preserve">.301</w:t>
                  </w:r>
                </w:p>
              </w:tc>
            </w:tr>
            <w:tr>
              <w:tc>
                <w:tcPr/>
                <w:p>
                  <w:pPr>
                    <w:pStyle w:val="Compact"/>
                    <w:jc w:val="left"/>
                    <w:jc w:val="center"/>
                  </w:pPr>
                  <w:r>
                    <w:t xml:space="preserve">Within-run trend</w:t>
                  </w:r>
                </w:p>
              </w:tc>
              <w:tc>
                <w:tcPr/>
                <w:p>
                  <w:pPr>
                    <w:pStyle w:val="Compact"/>
                    <w:jc w:val="right"/>
                    <w:jc w:val="center"/>
                  </w:pPr>
                  <w:r>
                    <w:t xml:space="preserve">Drift, second half</w:t>
                  </w:r>
                </w:p>
              </w:tc>
              <w:tc>
                <w:tcPr/>
                <w:p>
                  <w:pPr>
                    <w:pStyle w:val="Compact"/>
                    <w:jc w:val="right"/>
                    <w:jc w:val="center"/>
                  </w:pPr>
                  <w:r>
                    <w:t xml:space="preserve">0.014</w:t>
                  </w:r>
                </w:p>
              </w:tc>
              <w:tc>
                <w:tcPr/>
                <w:p>
                  <w:pPr>
                    <w:pStyle w:val="Compact"/>
                    <w:jc w:val="right"/>
                    <w:jc w:val="center"/>
                  </w:pPr>
                  <w:r>
                    <w:t xml:space="preserve">0.027</w:t>
                  </w:r>
                </w:p>
              </w:tc>
              <w:tc>
                <w:tcPr/>
                <w:p>
                  <w:pPr>
                    <w:pStyle w:val="Compact"/>
                    <w:jc w:val="right"/>
                    <w:jc w:val="center"/>
                  </w:pPr>
                  <w:r>
                    <w:t xml:space="preserve">.705</w:t>
                  </w:r>
                </w:p>
              </w:tc>
            </w:tr>
            <w:tr>
              <w:tc>
                <w:tcPr/>
                <w:p>
                  <w:pPr>
                    <w:pStyle w:val="Compact"/>
                    <w:jc w:val="left"/>
                    <w:jc w:val="center"/>
                  </w:pPr>
                  <w:r>
                    <w:t xml:space="preserve">Within-run trend</w:t>
                  </w:r>
                </w:p>
              </w:tc>
              <w:tc>
                <w:tcPr/>
                <w:p>
                  <w:pPr>
                    <w:pStyle w:val="Compact"/>
                    <w:jc w:val="right"/>
                    <w:jc w:val="center"/>
                  </w:pPr>
                  <w:r>
                    <w:t xml:space="preserve">Drift, second half × age</w:t>
                  </w:r>
                </w:p>
              </w:tc>
              <w:tc>
                <w:tcPr/>
                <w:p>
                  <w:pPr>
                    <w:pStyle w:val="Compact"/>
                    <w:jc w:val="right"/>
                    <w:jc w:val="center"/>
                  </w:pPr>
                  <w:r>
                    <w:t xml:space="preserve">0.048</w:t>
                  </w:r>
                </w:p>
              </w:tc>
              <w:tc>
                <w:tcPr/>
                <w:p>
                  <w:pPr>
                    <w:pStyle w:val="Compact"/>
                    <w:jc w:val="right"/>
                    <w:jc w:val="center"/>
                  </w:pPr>
                  <w:r>
                    <w:t xml:space="preserve">0.027</w:t>
                  </w:r>
                </w:p>
              </w:tc>
              <w:tc>
                <w:tcPr/>
                <w:p>
                  <w:pPr>
                    <w:pStyle w:val="Compact"/>
                    <w:jc w:val="right"/>
                    <w:jc w:val="center"/>
                  </w:pPr>
                  <w:r>
                    <w:t xml:space="preserve">.958</w:t>
                  </w:r>
                </w:p>
              </w:tc>
            </w:tr>
            <w:tr>
              <w:tc>
                <w:tcPr/>
                <w:p>
                  <w:pPr>
                    <w:pStyle w:val="Compact"/>
                    <w:jc w:val="left"/>
                    <w:jc w:val="center"/>
                  </w:pPr>
                  <w:r>
                    <w:t xml:space="preserve">Within-run trend</w:t>
                  </w:r>
                </w:p>
              </w:tc>
              <w:tc>
                <w:tcPr/>
                <w:p>
                  <w:pPr>
                    <w:pStyle w:val="Compact"/>
                    <w:jc w:val="right"/>
                    <w:jc w:val="center"/>
                  </w:pPr>
                  <w:r>
                    <w:t xml:space="preserve">Drift, high effort</w:t>
                  </w:r>
                </w:p>
              </w:tc>
              <w:tc>
                <w:tcPr/>
                <w:p>
                  <w:pPr>
                    <w:pStyle w:val="Compact"/>
                    <w:jc w:val="right"/>
                    <w:jc w:val="center"/>
                  </w:pPr>
                  <w:r>
                    <w:t xml:space="preserve">−0.038</w:t>
                  </w:r>
                </w:p>
              </w:tc>
              <w:tc>
                <w:tcPr/>
                <w:p>
                  <w:pPr>
                    <w:pStyle w:val="Compact"/>
                    <w:jc w:val="right"/>
                    <w:jc w:val="center"/>
                  </w:pPr>
                  <w:r>
                    <w:t xml:space="preserve">0.024</w:t>
                  </w:r>
                </w:p>
              </w:tc>
              <w:tc>
                <w:tcPr/>
                <w:p>
                  <w:pPr>
                    <w:pStyle w:val="Compact"/>
                    <w:jc w:val="right"/>
                    <w:jc w:val="center"/>
                  </w:pPr>
                  <w:r>
                    <w:t xml:space="preserve">.052</w:t>
                  </w:r>
                </w:p>
              </w:tc>
            </w:tr>
            <w:tr>
              <w:tc>
                <w:tcPr/>
                <w:p>
                  <w:pPr>
                    <w:pStyle w:val="Compact"/>
                    <w:jc w:val="left"/>
                    <w:jc w:val="center"/>
                  </w:pPr>
                  <w:r>
                    <w:t xml:space="preserve">Within-run trend</w:t>
                  </w:r>
                </w:p>
              </w:tc>
              <w:tc>
                <w:tcPr/>
                <w:p>
                  <w:pPr>
                    <w:pStyle w:val="Compact"/>
                    <w:jc w:val="right"/>
                    <w:jc w:val="center"/>
                  </w:pPr>
                  <w:r>
                    <w:t xml:space="preserve">Drift, high effort × age</w:t>
                  </w:r>
                </w:p>
              </w:tc>
              <w:tc>
                <w:tcPr/>
                <w:p>
                  <w:pPr>
                    <w:pStyle w:val="Compact"/>
                    <w:jc w:val="right"/>
                    <w:jc w:val="center"/>
                  </w:pPr>
                  <w:r>
                    <w:t xml:space="preserve">−0.029</w:t>
                  </w:r>
                </w:p>
              </w:tc>
              <w:tc>
                <w:tcPr/>
                <w:p>
                  <w:pPr>
                    <w:pStyle w:val="Compact"/>
                    <w:jc w:val="right"/>
                    <w:jc w:val="center"/>
                  </w:pPr>
                  <w:r>
                    <w:t xml:space="preserve">0.024</w:t>
                  </w:r>
                </w:p>
              </w:tc>
              <w:tc>
                <w:tcPr/>
                <w:p>
                  <w:pPr>
                    <w:pStyle w:val="Compact"/>
                    <w:jc w:val="right"/>
                    <w:jc w:val="center"/>
                  </w:pPr>
                  <w:r>
                    <w:t xml:space="preserve">.113</w:t>
                  </w:r>
                </w:p>
              </w:tc>
            </w:tr>
            <w:tr>
              <w:tc>
                <w:tcPr/>
                <w:p>
                  <w:pPr>
                    <w:pStyle w:val="Compact"/>
                    <w:jc w:val="left"/>
                    <w:jc w:val="center"/>
                  </w:pPr>
                  <w:r>
                    <w:t xml:space="preserve">Within-run trend</w:t>
                  </w:r>
                </w:p>
              </w:tc>
              <w:tc>
                <w:tcPr/>
                <w:p>
                  <w:pPr>
                    <w:pStyle w:val="Compact"/>
                    <w:jc w:val="right"/>
                    <w:jc w:val="center"/>
                  </w:pPr>
                  <w:r>
                    <w:t xml:space="preserve">Drift, high effort × second half</w:t>
                  </w:r>
                </w:p>
              </w:tc>
              <w:tc>
                <w:tcPr/>
                <w:p>
                  <w:pPr>
                    <w:pStyle w:val="Compact"/>
                    <w:jc w:val="right"/>
                    <w:jc w:val="center"/>
                  </w:pPr>
                  <w:r>
                    <w:t xml:space="preserve">−0.035</w:t>
                  </w:r>
                </w:p>
              </w:tc>
              <w:tc>
                <w:tcPr/>
                <w:p>
                  <w:pPr>
                    <w:pStyle w:val="Compact"/>
                    <w:jc w:val="right"/>
                    <w:jc w:val="center"/>
                  </w:pPr>
                  <w:r>
                    <w:t xml:space="preserve">0.034</w:t>
                  </w:r>
                </w:p>
              </w:tc>
              <w:tc>
                <w:tcPr/>
                <w:p>
                  <w:pPr>
                    <w:pStyle w:val="Compact"/>
                    <w:jc w:val="right"/>
                    <w:jc w:val="center"/>
                  </w:pPr>
                  <w:r>
                    <w:t xml:space="preserve">.147</w:t>
                  </w:r>
                </w:p>
              </w:tc>
            </w:tr>
            <w:tr>
              <w:tc>
                <w:tcPr/>
                <w:p>
                  <w:pPr>
                    <w:pStyle w:val="Compact"/>
                    <w:jc w:val="left"/>
                    <w:jc w:val="center"/>
                  </w:pPr>
                  <w:r>
                    <w:t xml:space="preserve">Within-run trend</w:t>
                  </w:r>
                </w:p>
              </w:tc>
              <w:tc>
                <w:tcPr/>
                <w:p>
                  <w:pPr>
                    <w:pStyle w:val="Compact"/>
                    <w:jc w:val="right"/>
                    <w:jc w:val="center"/>
                  </w:pPr>
                  <w:r>
                    <w:t xml:space="preserve">Drift, high effort × second half × age</w:t>
                  </w:r>
                </w:p>
              </w:tc>
              <w:tc>
                <w:tcPr/>
                <w:p>
                  <w:pPr>
                    <w:pStyle w:val="Compact"/>
                    <w:jc w:val="right"/>
                    <w:jc w:val="center"/>
                  </w:pPr>
                  <w:r>
                    <w:t xml:space="preserve">−0.023</w:t>
                  </w:r>
                </w:p>
              </w:tc>
              <w:tc>
                <w:tcPr/>
                <w:p>
                  <w:pPr>
                    <w:pStyle w:val="Compact"/>
                    <w:jc w:val="right"/>
                    <w:jc w:val="center"/>
                  </w:pPr>
                  <w:r>
                    <w:t xml:space="preserve">0.035</w:t>
                  </w:r>
                </w:p>
              </w:tc>
              <w:tc>
                <w:tcPr/>
                <w:p>
                  <w:pPr>
                    <w:pStyle w:val="Compact"/>
                    <w:jc w:val="right"/>
                    <w:jc w:val="center"/>
                  </w:pPr>
                  <w:r>
                    <w:t xml:space="preserve">.260</w:t>
                  </w:r>
                </w:p>
              </w:tc>
            </w:tr>
          </w:tbl>
          <w:p>
            <w:pPr>
              <w:jc w:val="center"/>
            </w:pPr>
            <w:r>
              <w:rPr>
                <w:i/>
                <w:iCs/>
              </w:rPr>
              <w:t xml:space="preserve">Note.</w:t>
            </w:r>
            <w:r>
              <w:t xml:space="preserve"> </w:t>
            </w:r>
            <w:r>
              <w:t xml:space="preserve">Fit on the pre-revision model structure. The within-run rows come from the fatigue-trajectory file, which has no model column. P(β &gt; 0) is the posterior probability that the coefficient is positive.</w:t>
            </w:r>
          </w:p>
          <w:bookmarkEnd w:id="173"/>
        </w:tc>
      </w:tr>
    </w:tbl>
    <w:bookmarkEnd w:id="174"/>
    <w:bookmarkStart w:id="187" w:name="X28382c03197a763bcc44ea3fb703cff838a2d94"/>
    <w:p>
      <w:pPr>
        <w:pStyle w:val="Heading2"/>
      </w:pPr>
      <w:r>
        <w:t xml:space="preserve">Additional diagnostics (dissertation only): CAF and RT distributions</w:t>
      </w:r>
    </w:p>
    <w:p>
      <w:pPr>
        <w:pStyle w:val="FirstParagraph"/>
      </w:pPr>
      <w:r>
        <w:t xml:space="preserve">Figures S6–S8 show the Hard-versus-Easy RT relation, conditional accuracy functions and RT distributions.</w:t>
      </w:r>
    </w:p>
    <w:tbl>
      <w:tblPr>
        <w:tblStyle w:val="Table"/>
        <w:tblW w:type="pct" w:w="5000"/>
        <w:tblLayout w:type="fixed"/>
        <w:tblLook w:firstRow="0" w:lastRow="0" w:firstColumn="0" w:lastColumn="0" w:noHBand="0" w:noVBand="0" w:val="0000"/>
      </w:tblPr>
      <w:tblGrid>
        <w:gridCol w:w="7920"/>
      </w:tblGrid>
      <w:tr>
        <w:tc>
          <w:tcPr/>
          <w:bookmarkStart w:id="178" w:name="suppfig-brinley"/>
          <w:p>
            <w:pPr>
              <w:jc w:val="center"/>
            </w:pPr>
            <w:r>
              <w:drawing>
                <wp:inline>
                  <wp:extent cx="4954274" cy="4770782"/>
                  <wp:effectExtent b="0" l="0" r="0" t="0"/>
                  <wp:docPr descr="" title="" id="176" name="Picture"/>
                  <a:graphic>
                    <a:graphicData uri="http://schemas.openxmlformats.org/drawingml/2006/picture">
                      <pic:pic>
                        <pic:nvPicPr>
                          <pic:cNvPr descr="../output/ddm_refits/runs/final_20261016/figures/final/F4_brinley.png" id="177" name="Picture"/>
                          <pic:cNvPicPr>
                            <a:picLocks noChangeArrowheads="1" noChangeAspect="1"/>
                          </pic:cNvPicPr>
                        </pic:nvPicPr>
                        <pic:blipFill>
                          <a:blip r:embed="rId175"/>
                          <a:stretch>
                            <a:fillRect/>
                          </a:stretch>
                        </pic:blipFill>
                        <pic:spPr bwMode="auto">
                          <a:xfrm>
                            <a:off x="0" y="0"/>
                            <a:ext cx="4954274" cy="4770782"/>
                          </a:xfrm>
                          <a:prstGeom prst="rect">
                            <a:avLst/>
                          </a:prstGeom>
                          <a:noFill/>
                          <a:ln w="9525">
                            <a:noFill/>
                            <a:headEnd/>
                            <a:tailEnd/>
                          </a:ln>
                        </pic:spPr>
                      </pic:pic>
                    </a:graphicData>
                  </a:graphic>
                </wp:inline>
              </w:drawing>
            </w:r>
          </w:p>
          <w:p>
            <w:pPr>
              <w:jc w:val="center"/>
            </w:pPr>
            <w:pPr>
              <w:jc w:val="left"/>
              <w:spacing w:before="200"/>
              <w:pStyle w:val="ImageCaption"/>
            </w:pPr>
            <w:r>
              <w:t xml:space="preserve">Figure S6: Participant mean RT on Hard versus Easy trials. The line is the least-squares fit with 95% CI; the dashed line is identity.</w:t>
            </w:r>
          </w:p>
          <w:bookmarkEnd w:id="17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2" w:name="suppfig-caf"/>
          <w:p>
            <w:pPr>
              <w:jc w:val="center"/>
            </w:pPr>
            <w:r>
              <w:drawing>
                <wp:inline>
                  <wp:extent cx="5334000" cy="3674533"/>
                  <wp:effectExtent b="0" l="0" r="0" t="0"/>
                  <wp:docPr descr="" title="" id="180" name="Picture"/>
                  <a:graphic>
                    <a:graphicData uri="http://schemas.openxmlformats.org/drawingml/2006/picture">
                      <pic:pic>
                        <pic:nvPicPr>
                          <pic:cNvPr descr="../output/ddm_refits/runs/final_20261016/figures/final/S_caf.png" id="181" name="Picture"/>
                          <pic:cNvPicPr>
                            <a:picLocks noChangeArrowheads="1" noChangeAspect="1"/>
                          </pic:cNvPicPr>
                        </pic:nvPicPr>
                        <pic:blipFill>
                          <a:blip r:embed="rId179"/>
                          <a:stretch>
                            <a:fillRect/>
                          </a:stretch>
                        </pic:blipFill>
                        <pic:spPr bwMode="auto">
                          <a:xfrm>
                            <a:off x="0" y="0"/>
                            <a:ext cx="5334000" cy="3674533"/>
                          </a:xfrm>
                          <a:prstGeom prst="rect">
                            <a:avLst/>
                          </a:prstGeom>
                          <a:noFill/>
                          <a:ln w="9525">
                            <a:noFill/>
                            <a:headEnd/>
                            <a:tailEnd/>
                          </a:ln>
                        </pic:spPr>
                      </pic:pic>
                    </a:graphicData>
                  </a:graphic>
                </wp:inline>
              </w:drawing>
            </w:r>
          </w:p>
          <w:p>
            <w:pPr>
              <w:jc w:val="center"/>
            </w:pPr>
            <w:pPr>
              <w:jc w:val="left"/>
              <w:spacing w:before="200"/>
              <w:pStyle w:val="ImageCaption"/>
            </w:pPr>
            <w:r>
              <w:t xml:space="preserve">Figure S7: Conditional accuracy functions: accuracy by RT bin, task, stimulus type and effort</w:t>
            </w:r>
          </w:p>
          <w:bookmarkEnd w:id="18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86" w:name="suppfig-rtdist"/>
          <w:p>
            <w:pPr>
              <w:jc w:val="center"/>
            </w:pPr>
            <w:r>
              <w:drawing>
                <wp:inline>
                  <wp:extent cx="5334000" cy="3962400"/>
                  <wp:effectExtent b="0" l="0" r="0" t="0"/>
                  <wp:docPr descr="" title="" id="184" name="Picture"/>
                  <a:graphic>
                    <a:graphicData uri="http://schemas.openxmlformats.org/drawingml/2006/picture">
                      <pic:pic>
                        <pic:nvPicPr>
                          <pic:cNvPr descr="../output/ddm_refits/runs/final_20261016/figures/final/S_rt_distributions.png" id="185" name="Picture"/>
                          <pic:cNvPicPr>
                            <a:picLocks noChangeArrowheads="1" noChangeAspect="1"/>
                          </pic:cNvPicPr>
                        </pic:nvPicPr>
                        <pic:blipFill>
                          <a:blip r:embed="rId183"/>
                          <a:stretch>
                            <a:fillRect/>
                          </a:stretch>
                        </pic:blipFill>
                        <pic:spPr bwMode="auto">
                          <a:xfrm>
                            <a:off x="0" y="0"/>
                            <a:ext cx="53340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S8: Distributions of cue-locked and probe-locked RT in the primary sample</w:t>
            </w:r>
          </w:p>
          <w:bookmarkEnd w:id="186"/>
        </w:tc>
      </w:tr>
    </w:tbl>
    <w:bookmarkEnd w:id="187"/>
    <w:bookmarkStart w:id="188" w:name="analysis-provenance-dissertation-only"/>
    <w:p>
      <w:pPr>
        <w:pStyle w:val="Heading2"/>
      </w:pPr>
      <w:r>
        <w:t xml:space="preserve">Analysis provenance (dissertation only)</w:t>
      </w:r>
    </w:p>
    <w:p>
      <w:pPr>
        <w:pStyle w:val="FirstParagraph"/>
      </w:pPr>
      <w:r>
        <w:t xml:space="preserve">Pupil samples were placed on a time axis at the recorded 250-Hz sampling rate, from 3 s before squeeze onset to the end of the confidence window. Earlier internal analyses that used a time axis derived from file timestamps were discarded, because that axis compressed time and misplaced the analysis windows; no result from those analyses is reported.</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75" Target="media/rId175.png" /><Relationship Type="http://schemas.openxmlformats.org/officeDocument/2006/relationships/image" Id="rId40" Target="media/rId40.png" /><Relationship Type="http://schemas.openxmlformats.org/officeDocument/2006/relationships/image" Id="rId165" Target="media/rId165.png" /><Relationship Type="http://schemas.openxmlformats.org/officeDocument/2006/relationships/image" Id="rId179" Target="media/rId179.png" /><Relationship Type="http://schemas.openxmlformats.org/officeDocument/2006/relationships/image" Id="rId143" Target="media/rId143.png" /><Relationship Type="http://schemas.openxmlformats.org/officeDocument/2006/relationships/image" Id="rId127" Target="media/rId127.png" /><Relationship Type="http://schemas.openxmlformats.org/officeDocument/2006/relationships/image" Id="rId138" Target="media/rId138.png" /><Relationship Type="http://schemas.openxmlformats.org/officeDocument/2006/relationships/image" Id="rId183" Target="media/rId183.png" /><Relationship Type="http://schemas.openxmlformats.org/officeDocument/2006/relationships/image" Id="rId155" Target="media/rId155.png" /><Relationship Type="http://schemas.openxmlformats.org/officeDocument/2006/relationships/hyperlink" Id="rId107" Target="https://doi.org/10.1007/s00426-020-01371-8" TargetMode="External" /><Relationship Type="http://schemas.openxmlformats.org/officeDocument/2006/relationships/hyperlink" Id="rId113" Target="https://doi.org/10.1007/s11222-016-9696-4" TargetMode="External" /><Relationship Type="http://schemas.openxmlformats.org/officeDocument/2006/relationships/hyperlink" Id="rId60" Target="https://doi.org/10.1016/j.jml.2012.11.001" TargetMode="External" /><Relationship Type="http://schemas.openxmlformats.org/officeDocument/2006/relationships/hyperlink" Id="rId91" Target="https://doi.org/10.1016/j.neuroimage.2020.116560" TargetMode="External" /><Relationship Type="http://schemas.openxmlformats.org/officeDocument/2006/relationships/hyperlink" Id="rId80" Target="https://doi.org/10.1016/j.neuron.2015.11.028" TargetMode="External" /><Relationship Type="http://schemas.openxmlformats.org/officeDocument/2006/relationships/hyperlink" Id="rId89" Target="https://doi.org/10.1016/j.tics.2016.01.001" TargetMode="External" /><Relationship Type="http://schemas.openxmlformats.org/officeDocument/2006/relationships/hyperlink" Id="rId66" Target="https://doi.org/10.1037/0033-2909.91.2.276" TargetMode="External" /><Relationship Type="http://schemas.openxmlformats.org/officeDocument/2006/relationships/hyperlink" Id="rId99" Target="https://doi.org/10.1037/0882-7974.16.2.323" TargetMode="External" /><Relationship Type="http://schemas.openxmlformats.org/officeDocument/2006/relationships/hyperlink" Id="rId117" Target="https://doi.org/10.1037/0882-7974.18.3.443" TargetMode="External" /><Relationship Type="http://schemas.openxmlformats.org/officeDocument/2006/relationships/hyperlink" Id="rId105" Target="https://doi.org/10.1037/a0018022" TargetMode="External" /><Relationship Type="http://schemas.openxmlformats.org/officeDocument/2006/relationships/hyperlink" Id="rId74" Target="https://doi.org/10.1037/a0035813" TargetMode="External" /><Relationship Type="http://schemas.openxmlformats.org/officeDocument/2006/relationships/hyperlink" Id="rId70"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09" Target="https://doi.org/10.1038/ncomms14637" TargetMode="External" /><Relationship Type="http://schemas.openxmlformats.org/officeDocument/2006/relationships/hyperlink" Id="rId95" Target="https://doi.org/10.1111/j.1469-8986.2009.00947.x" TargetMode="External" /><Relationship Type="http://schemas.openxmlformats.org/officeDocument/2006/relationships/hyperlink" Id="rId54" Target="https://doi.org/10.1146/annurev.neuro.28.061604.135709" TargetMode="External" /><Relationship Type="http://schemas.openxmlformats.org/officeDocument/2006/relationships/hyperlink" Id="rId97" Target="https://doi.org/10.1162/neco.2008.12-06-420" TargetMode="External" /><Relationship Type="http://schemas.openxmlformats.org/officeDocument/2006/relationships/hyperlink" Id="rId68" Target="https://doi.org/10.1163/156856897X00357" TargetMode="External" /><Relationship Type="http://schemas.openxmlformats.org/officeDocument/2006/relationships/hyperlink" Id="rId85" Target="https://doi.org/10.1177/2515245918771304" TargetMode="External" /><Relationship Type="http://schemas.openxmlformats.org/officeDocument/2006/relationships/hyperlink" Id="rId115" Target="https://doi.org/10.1214/20-BA1221" TargetMode="External" /><Relationship Type="http://schemas.openxmlformats.org/officeDocument/2006/relationships/hyperlink" Id="rId119" Target="https://doi.org/10.1518/001872008X288394" TargetMode="External" /><Relationship Type="http://schemas.openxmlformats.org/officeDocument/2006/relationships/hyperlink" Id="rId64" Target="https://doi.org/10.18637/jss.v067.i01" TargetMode="External" /><Relationship Type="http://schemas.openxmlformats.org/officeDocument/2006/relationships/hyperlink" Id="rId72"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87" Target="https://doi.org/10.32614/CRAN.package.emmeans" TargetMode="External" /><Relationship Type="http://schemas.openxmlformats.org/officeDocument/2006/relationships/hyperlink" Id="rId123" Target="https://doi.org/10.3389/fnbeh.2014.00286" TargetMode="External" /><Relationship Type="http://schemas.openxmlformats.org/officeDocument/2006/relationships/hyperlink" Id="rId101" Target="https://doi.org/10.3758/BF03196302" TargetMode="External" /><Relationship Type="http://schemas.openxmlformats.org/officeDocument/2006/relationships/hyperlink" Id="rId76" Target="https://doi.org/10.3758/s13415-020-00843-z" TargetMode="External" /><Relationship Type="http://schemas.openxmlformats.org/officeDocument/2006/relationships/hyperlink" Id="rId111" Target="https://doi.org/10.3758/s13423-018-1432-y" TargetMode="External" /><Relationship Type="http://schemas.openxmlformats.org/officeDocument/2006/relationships/hyperlink" Id="rId62" Target="https://doi.org/10.48550/arXiv.1506.04967" TargetMode="External" /><Relationship Type="http://schemas.openxmlformats.org/officeDocument/2006/relationships/hyperlink" Id="rId93" Target="https://doi.org/10.5334/joc.18" TargetMode="External" /><Relationship Type="http://schemas.openxmlformats.org/officeDocument/2006/relationships/hyperlink" Id="rId78" Target="https://doi.org/10.7554/eLife.54014" TargetMode="External" /><Relationship Type="http://schemas.openxmlformats.org/officeDocument/2006/relationships/hyperlink" Id="rId121" Target="https://iovs.arvojournals.org/article.aspx?articleid=2161149" TargetMode="External" /><Relationship Type="http://schemas.openxmlformats.org/officeDocument/2006/relationships/hyperlink" Id="rId103" Target="https://mc-stan.org/docs/cmdstan-guide/" TargetMode="External" /><Relationship Type="http://schemas.openxmlformats.org/officeDocument/2006/relationships/hyperlink" Id="rId83" Target="https://pure.mpg.de/rest/items/item_1790332/component/file_3136265/content"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7/s00426-020-01371-8" TargetMode="External" /><Relationship Type="http://schemas.openxmlformats.org/officeDocument/2006/relationships/hyperlink" Id="rId113" Target="https://doi.org/10.1007/s11222-016-9696-4" TargetMode="External" /><Relationship Type="http://schemas.openxmlformats.org/officeDocument/2006/relationships/hyperlink" Id="rId60" Target="https://doi.org/10.1016/j.jml.2012.11.001" TargetMode="External" /><Relationship Type="http://schemas.openxmlformats.org/officeDocument/2006/relationships/hyperlink" Id="rId91" Target="https://doi.org/10.1016/j.neuroimage.2020.116560" TargetMode="External" /><Relationship Type="http://schemas.openxmlformats.org/officeDocument/2006/relationships/hyperlink" Id="rId80" Target="https://doi.org/10.1016/j.neuron.2015.11.028" TargetMode="External" /><Relationship Type="http://schemas.openxmlformats.org/officeDocument/2006/relationships/hyperlink" Id="rId89" Target="https://doi.org/10.1016/j.tics.2016.01.001" TargetMode="External" /><Relationship Type="http://schemas.openxmlformats.org/officeDocument/2006/relationships/hyperlink" Id="rId66" Target="https://doi.org/10.1037/0033-2909.91.2.276" TargetMode="External" /><Relationship Type="http://schemas.openxmlformats.org/officeDocument/2006/relationships/hyperlink" Id="rId99" Target="https://doi.org/10.1037/0882-7974.16.2.323" TargetMode="External" /><Relationship Type="http://schemas.openxmlformats.org/officeDocument/2006/relationships/hyperlink" Id="rId117" Target="https://doi.org/10.1037/0882-7974.18.3.443" TargetMode="External" /><Relationship Type="http://schemas.openxmlformats.org/officeDocument/2006/relationships/hyperlink" Id="rId105" Target="https://doi.org/10.1037/a0018022" TargetMode="External" /><Relationship Type="http://schemas.openxmlformats.org/officeDocument/2006/relationships/hyperlink" Id="rId74" Target="https://doi.org/10.1037/a0035813" TargetMode="External" /><Relationship Type="http://schemas.openxmlformats.org/officeDocument/2006/relationships/hyperlink" Id="rId70" Target="https://doi.org/10.1037/met0000159" TargetMode="External" /><Relationship Type="http://schemas.openxmlformats.org/officeDocument/2006/relationships/hyperlink" Id="rId58" Target="https://doi.org/10.1037/pag0000730" TargetMode="External" /><Relationship Type="http://schemas.openxmlformats.org/officeDocument/2006/relationships/hyperlink" Id="rId109" Target="https://doi.org/10.1038/ncomms14637" TargetMode="External" /><Relationship Type="http://schemas.openxmlformats.org/officeDocument/2006/relationships/hyperlink" Id="rId95" Target="https://doi.org/10.1111/j.1469-8986.2009.00947.x" TargetMode="External" /><Relationship Type="http://schemas.openxmlformats.org/officeDocument/2006/relationships/hyperlink" Id="rId54" Target="https://doi.org/10.1146/annurev.neuro.28.061604.135709" TargetMode="External" /><Relationship Type="http://schemas.openxmlformats.org/officeDocument/2006/relationships/hyperlink" Id="rId97" Target="https://doi.org/10.1162/neco.2008.12-06-420" TargetMode="External" /><Relationship Type="http://schemas.openxmlformats.org/officeDocument/2006/relationships/hyperlink" Id="rId68" Target="https://doi.org/10.1163/156856897X00357" TargetMode="External" /><Relationship Type="http://schemas.openxmlformats.org/officeDocument/2006/relationships/hyperlink" Id="rId85" Target="https://doi.org/10.1177/2515245918771304" TargetMode="External" /><Relationship Type="http://schemas.openxmlformats.org/officeDocument/2006/relationships/hyperlink" Id="rId115" Target="https://doi.org/10.1214/20-BA1221" TargetMode="External" /><Relationship Type="http://schemas.openxmlformats.org/officeDocument/2006/relationships/hyperlink" Id="rId119" Target="https://doi.org/10.1518/001872008X288394" TargetMode="External" /><Relationship Type="http://schemas.openxmlformats.org/officeDocument/2006/relationships/hyperlink" Id="rId64" Target="https://doi.org/10.18637/jss.v067.i01" TargetMode="External" /><Relationship Type="http://schemas.openxmlformats.org/officeDocument/2006/relationships/hyperlink" Id="rId72" Target="https://doi.org/10.18637/jss.v080.i01" TargetMode="External" /><Relationship Type="http://schemas.openxmlformats.org/officeDocument/2006/relationships/hyperlink" Id="rId56" Target="https://doi.org/10.31234/osf.io/et9a2" TargetMode="External" /><Relationship Type="http://schemas.openxmlformats.org/officeDocument/2006/relationships/hyperlink" Id="rId87" Target="https://doi.org/10.32614/CRAN.package.emmeans" TargetMode="External" /><Relationship Type="http://schemas.openxmlformats.org/officeDocument/2006/relationships/hyperlink" Id="rId123" Target="https://doi.org/10.3389/fnbeh.2014.00286" TargetMode="External" /><Relationship Type="http://schemas.openxmlformats.org/officeDocument/2006/relationships/hyperlink" Id="rId101" Target="https://doi.org/10.3758/BF03196302" TargetMode="External" /><Relationship Type="http://schemas.openxmlformats.org/officeDocument/2006/relationships/hyperlink" Id="rId76" Target="https://doi.org/10.3758/s13415-020-00843-z" TargetMode="External" /><Relationship Type="http://schemas.openxmlformats.org/officeDocument/2006/relationships/hyperlink" Id="rId111" Target="https://doi.org/10.3758/s13423-018-1432-y" TargetMode="External" /><Relationship Type="http://schemas.openxmlformats.org/officeDocument/2006/relationships/hyperlink" Id="rId62" Target="https://doi.org/10.48550/arXiv.1506.04967" TargetMode="External" /><Relationship Type="http://schemas.openxmlformats.org/officeDocument/2006/relationships/hyperlink" Id="rId93" Target="https://doi.org/10.5334/joc.18" TargetMode="External" /><Relationship Type="http://schemas.openxmlformats.org/officeDocument/2006/relationships/hyperlink" Id="rId78" Target="https://doi.org/10.7554/eLife.54014" TargetMode="External" /><Relationship Type="http://schemas.openxmlformats.org/officeDocument/2006/relationships/hyperlink" Id="rId121" Target="https://iovs.arvojournals.org/article.aspx?articleid=2161149" TargetMode="External" /><Relationship Type="http://schemas.openxmlformats.org/officeDocument/2006/relationships/hyperlink" Id="rId103" Target="https://mc-stan.org/docs/cmdstan-guide/" TargetMode="External" /><Relationship Type="http://schemas.openxmlformats.org/officeDocument/2006/relationships/hyperlink" Id="rId83" Target="https://pure.mpg.de/rest/items/item_1790332/component/file_3136265/cont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Effort Shifts the Decision Criterion, Not Evidence Quality, in Older Adults</dc:title>
  <dc:creator>Mohammad Dastgheib</dc:creator>
  <cp:keywords/>
  <dcterms:created xsi:type="dcterms:W3CDTF">2026-10-26T06:38:34Z</dcterms:created>
  <dcterms:modified xsi:type="dcterms:W3CDTF">2026-10-26T06:38:34Z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rossref">
    <vt:lpwstr/>
  </property>
  <property fmtid="{D5CDD505-2E9C-101B-9397-08002B2CF9AE}" pid="8" name="csl">
    <vt:lpwstr>apa-7th-edition.csl</vt:lpwstr>
  </property>
  <property fmtid="{D5CDD505-2E9C-101B-9397-08002B2CF9AE}" pid="9" name="dissertation">
    <vt:lpwstr>True</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params">
    <vt:lpwstr/>
  </property>
  <property fmtid="{D5CDD505-2E9C-101B-9397-08002B2CF9AE}" pid="17" name="toc-title">
    <vt:lpwstr>Table of contents</vt:lpwstr>
  </property>
</Properties>
</file>