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173.png" ContentType="image/png"/>
  <Override PartName="/word/media/rId40.png" ContentType="image/png"/>
  <Override PartName="/word/media/rId165.png" ContentType="image/png"/>
  <Override PartName="/word/media/rId177.png" ContentType="image/png"/>
  <Override PartName="/word/media/rId144.png" ContentType="image/png"/>
  <Override PartName="/word/media/rId127.png" ContentType="image/png"/>
  <Override PartName="/word/media/rId139.png" ContentType="image/png"/>
  <Override PartName="/word/media/rId181.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exertion, yet little is known about how exertion changes decision-making in older adults. Physical effort could degrade the quality of the evidence on which a decision is based, change how much evidence people require before committing to a response (response caution), or bias them toward one response. We tested these accounts in 67 older adults who judged whether two tones, or two visual patterns, were the same or different while squeezing a handgrip at 5% (low effort) or 40% (high effort) of their maximum force. Pupil size was recorded throughout. Choices and response times were analyzed with a hierarchical Bayesian drift-diffusion model, which separates evidence quality, response caution and response bias. High effort did not reduce evidence quality overall, and any additional cost on the hardest discriminations was small. Instead, high effort shifted the criterion against which evidence was evaluated toward</w:t>
      </w:r>
      <w:r>
        <w:t xml:space="preserve"> </w:t>
      </w:r>
      <w:r>
        <w:t xml:space="preserve">“same”</w:t>
      </w:r>
      <w:r>
        <w:t xml:space="preserve"> </w:t>
      </w:r>
      <w:r>
        <w:t xml:space="preserve">responses on every trial, which lowered accuracy when two similar stimuli differed. Response caution and the initial bias toward either response were essentially unchanged. High effort enlarged the pupil only weakly during the grip, reliably in the auditory task alone. Larger pupil responses during a decision accompanied greater response caution on that trial, but pupil size measured before the decision did not predict caution. Physical effort therefore mainly changed the criterion older adults used to evaluate evidence, not the quality of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such as judging a gap in traffic while gripping a steering wheel or reading a label while carrying groceries. Combining a cognitive task with a motor task costs older adults more than younger adults</w:t>
      </w:r>
      <w:r>
        <w:t xml:space="preserve"> </w:t>
      </w:r>
      <w:r>
        <w:t xml:space="preserve">(Verhaeghen et al., 2003)</w:t>
      </w:r>
      <w:r>
        <w:t xml:space="preserve">, and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Accuracy and response time (RT) show that performance suffers, but not which part of the decision process physical effort changes. This chapter addresses that question in older adults. Throughout, effort refers to physical effort.</w:t>
      </w:r>
    </w:p>
    <w:p>
      <w:pPr>
        <w:pStyle w:val="BodyText"/>
      </w:pPr>
      <w:r>
        <w:t xml:space="preserve">Chapter 1 used the same handgrip manipulation in younger adults performing auditory and visual discrimination tasks. Harder discriminations were less accurate and slower in every task, high effort slowed responses only in the visual task, and task difficulty and effort did not interact on any measure. High effort also enlarged the pupil across the trial. In younger adults, physical effort and task difficulty therefore appeared to draw on separate resources at these effort levels. Whether the same holds in older adults, who show larger dual-task costs, is the starting point of this chapter.</w:t>
      </w:r>
    </w:p>
    <w:p>
      <w:pPr>
        <w:pStyle w:val="BodyText"/>
      </w:pPr>
      <w:r>
        <w:t xml:space="preserve">The drift-diffusion model decomposes choices and RTs into latent components</w:t>
      </w:r>
      <w:r>
        <w:t xml:space="preserve"> </w:t>
      </w:r>
      <w:r>
        <w:t xml:space="preserve">(Ratcliff &amp; McKoon, 2008)</w:t>
      </w:r>
      <w:r>
        <w:t xml:space="preserve">. It treats a two-choice decision as noisy evidence that accumulates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and so indexes response caution;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 Lower accuracy can therefore arise from less informative evidence, from responding on less evidence, or from a bias toward the wrong response. In older adults, the most consistent age differences are wider boundaries and longer non-decision times, whereas drift is often similar to that of younger adults on simple perceptual tasks</w:t>
      </w:r>
      <w:r>
        <w:t xml:space="preserve"> </w:t>
      </w:r>
      <w:r>
        <w:t xml:space="preserve">(Ratcliff et al., 2001;</w:t>
      </w:r>
      <w:r>
        <w:t xml:space="preserve"> </w:t>
      </w:r>
      <w:r>
        <w:t xml:space="preserve">Theisen et al.</w:t>
      </w:r>
      <w:r>
        <w:t xml:space="preserve">, 2021)</w:t>
      </w:r>
      <w:r>
        <w:t xml:space="preserve">, and older adults set boundaries more conservatively than would maximize their reward rate</w:t>
      </w:r>
      <w:r>
        <w:t xml:space="preserve"> </w:t>
      </w:r>
      <w:r>
        <w:t xml:space="preserve">(Starns &amp; Ratcliff, 2010)</w:t>
      </w:r>
      <w:r>
        <w:t xml:space="preserve">. Response caution is therefore a plausible target of effort in this age group, alongside evidence quality.</w:t>
      </w:r>
    </w:p>
    <w:p>
      <w:pPr>
        <w:pStyle w:val="BodyText"/>
      </w:pPr>
      <w:r>
        <w:t xml:space="preserve">The first account, a capacity account, treats effort as a competitor for limited processing capacity</w:t>
      </w:r>
      <w:r>
        <w:t xml:space="preserve"> </w:t>
      </w:r>
      <w:r>
        <w:t xml:space="preserve">(Kahneman, 1973; Wickens, 2008)</w:t>
      </w:r>
      <w:r>
        <w:t xml:space="preserve">. In the present tasks, participants judged whether a probe stimulus matched a preceding standard. If holding a 40% grip uses capacity needed for that comparison, the evidence should become less informative: drift on trials with a different probe and drift on trials with an identical probe should move closer together. Because a shared capacity limit should cost most where discrimination is hardest</w:t>
      </w:r>
      <w:r>
        <w:t xml:space="preserve"> </w:t>
      </w:r>
      <w:r>
        <w:t xml:space="preserve">(Kahneman, 1973)</w:t>
      </w:r>
      <w:r>
        <w:t xml:space="preserve">, this loss of evidence quality should also be largest on the hardest trials, so that effort and task difficulty interact.</w:t>
      </w:r>
    </w:p>
    <w:p>
      <w:pPr>
        <w:pStyle w:val="BodyText"/>
      </w:pPr>
      <w:r>
        <w:t xml:space="preserve">The second account, a policy account, holds that effort changes how participants use the evidence rather than the evidence itself. Under high effort, participants could require more evidence before responding, to protect accuracy, or less, to end each effortful trial sooner; these possibilities predict wider and narrower boundaries, respectively. Effort could also bias responding. A bias set before the stimulus appears would move the starting point, whereas a bias in how evidence is evaluated would shift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criterion shift moves drift toward one response on every trial, so it can lower accuracy on difficult trials with a different probe without any loss of evidence quality. For this reason the criterion and evidence quality must be estimated separately.</w:t>
      </w:r>
    </w:p>
    <w:p>
      <w:pPr>
        <w:pStyle w:val="BodyText"/>
      </w:pPr>
      <w:r>
        <w:t xml:space="preserve">Pupil size offers a trial-by-trial physiological measure relevant to both accounts. It increases with processing load</w:t>
      </w:r>
      <w:r>
        <w:t xml:space="preserve"> </w:t>
      </w:r>
      <w:r>
        <w:t xml:space="preserve">(Beatty, 1982;</w:t>
      </w:r>
      <w:r>
        <w:t xml:space="preserve"> </w:t>
      </w:r>
      <w:r>
        <w:t xml:space="preserve">van der Wel &amp; van Steenbergen</w:t>
      </w:r>
      <w:r>
        <w:t xml:space="preserve">, 2018)</w:t>
      </w:r>
      <w:r>
        <w:t xml:space="preserve"> </w:t>
      </w:r>
      <w:r>
        <w:t xml:space="preserve">and with physical exertion</w:t>
      </w:r>
      <w:r>
        <w:t xml:space="preserve"> </w:t>
      </w:r>
      <w:r>
        <w:t xml:space="preserve">(Zénon et al., 2014)</w:t>
      </w:r>
      <w:r>
        <w:t xml:space="preserve">, although older adults have smaller pupils and a narrower range of dilation than younger adults</w:t>
      </w:r>
      <w:r>
        <w:t xml:space="preserve"> </w:t>
      </w:r>
      <w:r>
        <w:t xml:space="preserve">(Piquado et al., 2010; Winn et al., 1994)</w:t>
      </w:r>
      <w:r>
        <w:t xml:space="preserve">. In diffusion-model analyses, larger trial-wise pupil dilation has been related to higher decision thresholds in a reinforcement-learning task</w:t>
      </w:r>
      <w:r>
        <w:t xml:space="preserve"> </w:t>
      </w:r>
      <w:r>
        <w:t xml:space="preserve">(Cavanagh et al., 2014)</w:t>
      </w:r>
      <w:r>
        <w:t xml:space="preserve"> </w:t>
      </w:r>
      <w:r>
        <w:t xml:space="preserve">and to smaller choice biases across several decision tasks</w:t>
      </w:r>
      <w:r>
        <w:t xml:space="preserve"> </w:t>
      </w:r>
      <w:r>
        <w:t xml:space="preserve">(</w:t>
      </w:r>
      <w:r>
        <w:t xml:space="preserve">de Gee et al.</w:t>
      </w:r>
      <w:r>
        <w:t xml:space="preserve">, 2020)</w:t>
      </w:r>
      <w:r>
        <w:t xml:space="preserve">. Pupil responses, however, also scale with decision uncertainty and RT</w:t>
      </w:r>
      <w:r>
        <w:t xml:space="preserve"> </w:t>
      </w:r>
      <w:r>
        <w:t xml:space="preserve">(Urai et al., 2017)</w:t>
      </w:r>
      <w:r>
        <w:t xml:space="preserve">, so a pupil–boundary association could arise simply because longer decisions produce larger pupil responses. Testing whether pupil-linked processes precede the setting of the boundary requires pupil measures taken before the decision, as well as measures that end before the response.</w:t>
      </w:r>
    </w:p>
    <w:p>
      <w:pPr>
        <w:pStyle w:val="BodyText"/>
      </w:pPr>
      <w:r>
        <w:t xml:space="preserve">We tested these accounts in older adults performing auditory and visual same–different tasks while holding a handgrip at 5% or 40% of their maximum force. A hierarchical Bayesian drift-diffusion model estimated the effect of effort on each decision component. The capacity account predicts a loss of evidence quality under high effort that is largest on the hardest trials. The policy account predicts a change in boundary separation, starting point or drift criterion, with evidence quality intact. Trial-wise pupil measures were then added to the same model to test whether pupil size tracked the effort effect, which decision component tracked the task-evoked pupil response, and whether pupil measures taken before the decision predicted boundary separation.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 Chapter 2 analyzes the same cohort with one additional participant and one additional auditory session that are not in this chapter’s trial file.</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probe offset, when a change in the border color cued them to release it.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w:t>
      </w:r>
      <w:hyperlink w:anchor="supptbl-trial-counts">
        <w:r>
          <w:rPr>
            <w:rStyle w:val="Hyperlink"/>
          </w:rPr>
          <w:t xml:space="preserve">Table S1</w:t>
        </w:r>
      </w:hyperlink>
      <w:r>
        <w:t xml:space="preserve">).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each sample was placed on a time axis at 4-ms steps from 3 s before squeeze onset. This axis spans the recorded epoch, which ends with the confidence window 10.7 s after squeeze onset.</w:t>
      </w:r>
    </w:p>
    <w:p>
      <w:pPr>
        <w:pStyle w:val="BodyText"/>
      </w:pPr>
      <w:r>
        <w:t xml:space="preserve">The task-evoked pupil response (TEPR) was the mean pupil size 0.3–3.3 s after probe onset (4.65–7.65 s after squeeze onset) minus the mean pupil size in the 0.5 s before the probe (3.85–4.35 s, the interstimulus interval).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6,299 trials from 51 participants (</w:t>
      </w:r>
      <w:hyperlink w:anchor="suppfig-flow">
        <w:r>
          <w:rPr>
            <w:rStyle w:val="Hyperlink"/>
          </w:rPr>
          <w:t xml:space="preserve">Figure S1</w:t>
        </w:r>
      </w:hyperlink>
      <w:r>
        <w:t xml:space="preserve">),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w:t>
      </w:r>
      <w:r>
        <w:t xml:space="preserve">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w:t>
      </w:r>
      <w:hyperlink w:anchor="supptbl-model-comparison">
        <w:r>
          <w:rPr>
            <w:rStyle w:val="Hyperlink"/>
          </w:rPr>
          <w:t xml:space="preserve">Table S3</w:t>
        </w:r>
      </w:hyperlink>
      <w:r>
        <w:t xml:space="preserve">; formulas in</w:t>
      </w:r>
      <w:r>
        <w:t xml:space="preserve"> </w:t>
      </w:r>
      <w:hyperlink w:anchor="supptbl-formulas">
        <w:r>
          <w:rPr>
            <w:rStyle w:val="Hyperlink"/>
          </w:rPr>
          <w:t xml:space="preserve">Table S5</w:t>
        </w:r>
      </w:hyperlink>
      <w:r>
        <w:t xml:space="preserve">).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S2</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w:t>
      </w:r>
      <w:r>
        <w:t xml:space="preserve"> </w:t>
      </w:r>
      <w:hyperlink w:anchor="supptbl-convergence">
        <w:r>
          <w:rPr>
            <w:rStyle w:val="Hyperlink"/>
          </w:rPr>
          <w:t xml:space="preserve">Table S6</w:t>
        </w:r>
      </w:hyperlink>
      <w:r>
        <w:t xml:space="preserve"> </w:t>
      </w:r>
      <w:r>
        <w:t xml:space="preserve">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and was compared with M4 fit to the same trials. For the full pupil sample this baseline is P0, which also gave the effort effects in that sample; measures with their own valid-data requirement had their own baselines.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a pupil change before the decision. First, P3 was refit after removing the slowest 20% of trials in each participant × task cell (P3 without the slowest trials).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The TEPR was compared between effort levels relative to both the pre-probe and the pre-squeeze baseline.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S3</w:t>
        </w:r>
      </w:hyperlink>
      <w:r>
        <w:t xml:space="preserve">).</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.552 [.536, .568]; VDT:</w:t>
      </w:r>
      <w:r>
        <w:t xml:space="preserve"> </w:t>
      </w:r>
      <w:r>
        <w:rPr>
          <w:i/>
          <w:iCs/>
        </w:rPr>
        <w:t xml:space="preserve">z</w:t>
      </w:r>
      <w:r>
        <w:t xml:space="preserve"> </w:t>
      </w:r>
      <w:r>
        <w:t xml:space="preserve">= .538 [.522, .555]),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probe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 Allowing the effort effects on drift and boundary separation to vary with difficulty did not improve prediction (M2 vs. M1: ΔELPD = 0.7 ± 3.0). In M2, the effort effect on drift was more negative on Hard than on Easy trials (Hard − Easy: β = −0.078, 95% CrI [−0.154, −0.001], P(β &lt; 0) = .977), whereas the corresponding contrast on boundary separation included zero (β = 0.014, 95% CrI [−0.018, 0.046], P(β &gt; 0) = .808;</w:t>
      </w:r>
      <w:r>
        <w:t xml:space="preserve"> </w:t>
      </w:r>
      <w:hyperlink w:anchor="supptbl-m2-interactions">
        <w:r>
          <w:rPr>
            <w:rStyle w:val="Hyperlink"/>
          </w:rPr>
          <w:t xml:space="preserve">Table S4</w:t>
        </w:r>
      </w:hyperlink>
      <w:r>
        <w:t xml:space="preserv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449"/>
              <w:gridCol w:w="734"/>
              <w:gridCol w:w="1388"/>
              <w:gridCol w:w="1306"/>
              <w:gridCol w:w="653"/>
              <w:gridCol w:w="1388"/>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 DDM coefficients are given to three decimals because the effects are small relative to the region of practical equivalence.</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w:t>
      </w:r>
      <w:r>
        <w:t xml:space="preserve"> </w:t>
      </w:r>
      <w:r>
        <w:rPr>
          <w:i/>
          <w:iCs/>
        </w:rPr>
        <w:t xml:space="preserve">N</w:t>
      </w:r>
      <w:r>
        <w:t xml:space="preserve"> </w:t>
      </w:r>
      <w:r>
        <w:t xml:space="preserve">=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S10</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increased pupil size during the grip in the ADT (</w:t>
      </w:r>
      <w:r>
        <w:rPr>
          <w:i/>
          <w:iCs/>
        </w:rPr>
        <w:t xml:space="preserve">M</w:t>
      </w:r>
      <w:r>
        <w:rPr>
          <w:vertAlign w:val="subscript"/>
        </w:rPr>
        <w:t xml:space="preserve">diff</w:t>
      </w:r>
      <w:r>
        <w:t xml:space="preserve"> </w:t>
      </w:r>
      <w:r>
        <w:t xml:space="preserve">= 0.36, t(34) = 2.31, p = .027) and did not differ reliably in the VDT (</w:t>
      </w:r>
      <w:r>
        <w:rPr>
          <w:i/>
          <w:iCs/>
        </w:rPr>
        <w:t xml:space="preserve">M</w:t>
      </w:r>
      <w:r>
        <w:rPr>
          <w:vertAlign w:val="subscript"/>
        </w:rPr>
        <w:t xml:space="preserve">diff</w:t>
      </w:r>
      <w:r>
        <w:t xml:space="preserve"> </w:t>
      </w:r>
      <w:r>
        <w:t xml:space="preserve">= 0.20, t(40) = 1.62, p = .114). Relative to the pre-probe baseline, the TEPR was smaller under high effort in both tasks (ADT:</w:t>
      </w:r>
      <w:r>
        <w:t xml:space="preserve"> </w:t>
      </w:r>
      <w:r>
        <w:rPr>
          <w:i/>
          <w:iCs/>
        </w:rPr>
        <w:t xml:space="preserve">M</w:t>
      </w:r>
      <w:r>
        <w:rPr>
          <w:vertAlign w:val="subscript"/>
        </w:rPr>
        <w:t xml:space="preserve">diff</w:t>
      </w:r>
      <w:r>
        <w:t xml:space="preserve"> </w:t>
      </w:r>
      <w:r>
        <w:t xml:space="preserve">= −0.43, t(35) = −4.37, p &lt; .001; VDT:</w:t>
      </w:r>
      <w:r>
        <w:t xml:space="preserve"> </w:t>
      </w:r>
      <w:r>
        <w:rPr>
          <w:i/>
          <w:iCs/>
        </w:rPr>
        <w:t xml:space="preserve">M</w:t>
      </w:r>
      <w:r>
        <w:rPr>
          <w:vertAlign w:val="subscript"/>
        </w:rPr>
        <w:t xml:space="preserve">diff</w:t>
      </w:r>
      <w:r>
        <w:t xml:space="preserve"> </w:t>
      </w:r>
      <w:r>
        <w:t xml:space="preserve">= −0.17, t(40) = −2.23, p = .031). Relative to the pre-squeeze baseline, it did not differ between effort levels (ADT:</w:t>
      </w:r>
      <w:r>
        <w:t xml:space="preserve"> </w:t>
      </w:r>
      <w:r>
        <w:rPr>
          <w:i/>
          <w:iCs/>
        </w:rPr>
        <w:t xml:space="preserve">M</w:t>
      </w:r>
      <w:r>
        <w:rPr>
          <w:vertAlign w:val="subscript"/>
        </w:rPr>
        <w:t xml:space="preserve">diff</w:t>
      </w:r>
      <w:r>
        <w:t xml:space="preserve"> </w:t>
      </w:r>
      <w:r>
        <w:t xml:space="preserve">= 0.15, t(35) = 0.91, p = .369; VDT:</w:t>
      </w:r>
      <w:r>
        <w:t xml:space="preserve"> </w:t>
      </w:r>
      <w:r>
        <w:rPr>
          <w:i/>
          <w:iCs/>
        </w:rPr>
        <w:t xml:space="preserve">M</w:t>
      </w:r>
      <w:r>
        <w:rPr>
          <w:vertAlign w:val="subscript"/>
        </w:rPr>
        <w:t xml:space="preserve">diff</w:t>
      </w:r>
      <w:r>
        <w:t xml:space="preserve"> </w:t>
      </w:r>
      <w:r>
        <w:t xml:space="preserve">= 0.09, t(40) = 0.92, p = .361;</w:t>
      </w:r>
      <w:r>
        <w:t xml:space="preserve"> </w:t>
      </w:r>
      <w:hyperlink w:anchor="supptbl-pupil-descriptives">
        <w:r>
          <w:rPr>
            <w:rStyle w:val="Hyperlink"/>
          </w:rPr>
          <w:t xml:space="preserve">Table S15</w:t>
        </w:r>
      </w:hyperlink>
      <w:r>
        <w:t xml:space="preserve">;</w:t>
      </w:r>
      <w:r>
        <w:t xml:space="preserve"> </w:t>
      </w:r>
      <w:hyperlink w:anchor="suppfig-tepr">
        <w:r>
          <w:rPr>
            <w:rStyle w:val="Hyperlink"/>
          </w:rPr>
          <w:t xml:space="preserve">Figure S4</w:t>
        </w:r>
      </w:hyperlink>
      <w:r>
        <w:t xml:space="preserve">). In the pupil sample, high effort widened the boundary (β = 0.029, 95% CrI [0.006, 0.052], P(β &gt; 0) = .992; +2.9% [0.6, 5.4]), and the drift criterion shift had the same sign as in the full sample, with an interval that included zero (β = −0.074, 95% CrI [−0.159, 0.011], P(β &lt; 0) = .957).</w:t>
      </w:r>
    </w:p>
    <w:p>
      <w:pPr>
        <w:pStyle w:val="BodyText"/>
      </w:pPr>
      <w:r>
        <w:rPr>
          <w:b/>
          <w:bCs/>
        </w:rPr>
        <w:t xml:space="preserve">Pupil predictors of decision parameters.</w:t>
      </w:r>
      <w:r>
        <w:t xml:space="preserve"> </w:t>
      </w:r>
      <w:r>
        <w:t xml:space="preserve">Each within-person SD increase in TEPR was associated with a +4.3% [3.2, 5.4] wider boundary, and adding TEPR improved out-of-sample prediction (P3: ΔELPD = 28.0 ± 6.7;</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−0.009, 95% CrI [−0.036, 0.020], P(β &lt; 0) = .720, ΔELPD = −0.6 ± 0.5) or drift (P2, TEPR: β = 0.015, 95% CrI [−0.017, 0.048], P(β &gt; 0) = .819; TEPR × stimulus: β = −0.015, 95% CrI [−0.047, 0.018], P(β &lt; 0) = .819; ΔELPD = −1.8 ± 1.6;</w:t>
      </w:r>
      <w:r>
        <w:t xml:space="preserve"> </w:t>
      </w:r>
      <w:hyperlink w:anchor="supptbl-pupil-models">
        <w:r>
          <w:rPr>
            <w:rStyle w:val="Hyperlink"/>
          </w:rPr>
          <w:t xml:space="preserve">Table S14</w:t>
        </w:r>
      </w:hyperlink>
      <w:r>
        <w:t xml:space="preserve">).</w:t>
      </w:r>
    </w:p>
    <w:p>
      <w:pPr>
        <w:pStyle w:val="BodyText"/>
      </w:pPr>
      <w:r>
        <w:rPr>
          <w:b/>
          <w:bCs/>
        </w:rPr>
        <w:t xml:space="preserve">Timing of the TEPR–boundary association.</w:t>
      </w:r>
      <w:r>
        <w:t xml:space="preserve"> </w:t>
      </w:r>
      <w:r>
        <w:t xml:space="preserve">TEPR correlated with RT within participants (r = .16 [.10, .22]). After the slowest 20% of trials in each participant and task were removed, each SD increase in TEPR was associated with a +2.5% [1.1, 4.0] wider boundary, and the predictive gain was less than twice its standard error (P3 without slowest trials: ΔELPD = 5.2 ± 3.1). Pupil size in the 0.5 s before the response was associated with wider boundaries and improved prediction (P7: +3.4% [2.1, 4.7], ΔELPD = 13.0 ± 4.4). The measures taken before the decision did not predict boundary separation: previous-trial TEPR (P6: +0.1% [−1.0, 1.3], ΔELPD = −1.5 ± 0.3), pre-squeeze baseline pupil (P5: +1.0% [−0.2, 2.2], ΔELPD = 0.7 ± 1.4) and grip-period pupil (P8: −0.6% [−1.7, 0.7], ΔELPD = −0.4 ± 0.8). The pre-squeeze baseline did not predict the starting point either (P4: β = 0.008, 95% CrI [−0.020, 0.036], P(β &gt; 0) = .714, ΔELPD = −0.2 ± 0.5).</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872153"/>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1470"/>
              <w:gridCol w:w="2262"/>
              <w:gridCol w:w="1301"/>
              <w:gridCol w:w="1018"/>
              <w:gridCol w:w="735"/>
              <w:gridCol w:w="396"/>
              <w:gridCol w:w="735"/>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w:t>
                  </w:r>
                  <w:r>
                    <w:t xml:space="preserve"> </w:t>
                  </w:r>
                  <w:r>
                    <w:rPr>
                      <w:i/>
                      <w:iCs/>
                    </w:rPr>
                    <w:t xml:space="preserve">SE</w:t>
                  </w:r>
                </w:p>
              </w:tc>
              <w:tc>
                <w:tcPr/>
                <w:p>
                  <w:pPr>
                    <w:pStyle w:val="Compact"/>
                    <w:jc w:val="right"/>
                    <w:jc w:val="center"/>
                  </w:pPr>
                  <w:r>
                    <w:t xml:space="preserve">Trials</w:t>
                  </w:r>
                </w:p>
              </w:tc>
              <w:tc>
                <w:tcPr/>
                <w:p>
                  <w:pPr>
                    <w:pStyle w:val="Compact"/>
                    <w:jc w:val="right"/>
                    <w:jc w:val="center"/>
                  </w:pPr>
                  <w:r>
                    <w:t xml:space="preserve">Participants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0.042 [0.031,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c>
                <w:tcPr/>
                <w:p>
                  <w:pPr>
                    <w:pStyle w:val="Compact"/>
                    <w:jc w:val="right"/>
                    <w:jc w:val="center"/>
                  </w:pPr>
                  <w:r>
                    <w:t xml:space="preserve">51</w:t>
                  </w:r>
                </w:p>
              </w:tc>
            </w:tr>
            <w:tr>
              <w:tc>
                <w:tcPr/>
                <w:p>
                  <w:pPr>
                    <w:pStyle w:val="Compact"/>
                    <w:jc w:val="left"/>
                    <w:jc w:val="center"/>
                  </w:pPr>
                  <w:r>
                    <w:t xml:space="preserve">P3 without slowest trials</w:t>
                  </w:r>
                </w:p>
              </w:tc>
              <w:tc>
                <w:tcPr/>
                <w:p>
                  <w:pPr>
                    <w:pStyle w:val="Compact"/>
                    <w:jc w:val="right"/>
                    <w:jc w:val="center"/>
                  </w:pPr>
                  <w:r>
                    <w:t xml:space="preserve">Post-probe TEPR, slowest 20% removed</w:t>
                  </w:r>
                </w:p>
              </w:tc>
              <w:tc>
                <w:tcPr/>
                <w:p>
                  <w:pPr>
                    <w:pStyle w:val="Compact"/>
                    <w:jc w:val="right"/>
                    <w:jc w:val="center"/>
                  </w:pPr>
                  <w:r>
                    <w:t xml:space="preserve">0.025 [0.011, 0.039]</w:t>
                  </w:r>
                </w:p>
              </w:tc>
              <w:tc>
                <w:tcPr/>
                <w:p>
                  <w:pPr>
                    <w:pStyle w:val="Compact"/>
                    <w:jc w:val="right"/>
                    <w:jc w:val="center"/>
                  </w:pPr>
                  <w:r>
                    <w:t xml:space="preserve">+2.5% [1.1, 4.0]</w:t>
                  </w:r>
                </w:p>
              </w:tc>
              <w:tc>
                <w:tcPr/>
                <w:p>
                  <w:pPr>
                    <w:pStyle w:val="Compact"/>
                    <w:jc w:val="right"/>
                    <w:jc w:val="center"/>
                  </w:pPr>
                  <w:r>
                    <w:t xml:space="preserve">5.2 ± 3.1</w:t>
                  </w:r>
                </w:p>
              </w:tc>
              <w:tc>
                <w:tcPr/>
                <w:p>
                  <w:pPr>
                    <w:pStyle w:val="Compact"/>
                    <w:jc w:val="right"/>
                    <w:jc w:val="center"/>
                  </w:pPr>
                  <w:r>
                    <w:t xml:space="preserve">5,074</w:t>
                  </w:r>
                </w:p>
              </w:tc>
              <w:tc>
                <w:tcPr/>
                <w:p>
                  <w:pPr>
                    <w:pStyle w:val="Compact"/>
                    <w:jc w:val="right"/>
                    <w:jc w:val="center"/>
                  </w:pPr>
                  <w:r>
                    <w:t xml:space="preserve">51</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0.033 [0.021, 0.046]</w:t>
                  </w:r>
                </w:p>
              </w:tc>
              <w:tc>
                <w:tcPr/>
                <w:p>
                  <w:pPr>
                    <w:pStyle w:val="Compact"/>
                    <w:jc w:val="right"/>
                    <w:jc w:val="center"/>
                  </w:pPr>
                  <w:r>
                    <w:t xml:space="preserve">+3.4% [2.1, 4.7]</w:t>
                  </w:r>
                </w:p>
              </w:tc>
              <w:tc>
                <w:tcPr/>
                <w:p>
                  <w:pPr>
                    <w:pStyle w:val="Compact"/>
                    <w:jc w:val="right"/>
                    <w:jc w:val="center"/>
                  </w:pPr>
                  <w:r>
                    <w:t xml:space="preserve">13.0 ± 4.4</w:t>
                  </w:r>
                </w:p>
              </w:tc>
              <w:tc>
                <w:tcPr/>
                <w:p>
                  <w:pPr>
                    <w:pStyle w:val="Compact"/>
                    <w:jc w:val="right"/>
                    <w:jc w:val="center"/>
                  </w:pPr>
                  <w:r>
                    <w:t xml:space="preserve">5,049</w:t>
                  </w:r>
                </w:p>
              </w:tc>
              <w:tc>
                <w:tcPr/>
                <w:p>
                  <w:pPr>
                    <w:pStyle w:val="Compact"/>
                    <w:jc w:val="right"/>
                    <w:jc w:val="center"/>
                  </w:pPr>
                  <w:r>
                    <w:t xml:space="preserve">51</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0.001 [−0.010, 0.012]</w:t>
                  </w:r>
                </w:p>
              </w:tc>
              <w:tc>
                <w:tcPr/>
                <w:p>
                  <w:pPr>
                    <w:pStyle w:val="Compact"/>
                    <w:jc w:val="right"/>
                    <w:jc w:val="center"/>
                  </w:pPr>
                  <w:r>
                    <w:t xml:space="preserve">+0.1% [−1.0, 1.3]</w:t>
                  </w:r>
                </w:p>
              </w:tc>
              <w:tc>
                <w:tcPr/>
                <w:p>
                  <w:pPr>
                    <w:pStyle w:val="Compact"/>
                    <w:jc w:val="right"/>
                    <w:jc w:val="center"/>
                  </w:pPr>
                  <w:r>
                    <w:t xml:space="preserve">−1.5 ± 0.3</w:t>
                  </w:r>
                </w:p>
              </w:tc>
              <w:tc>
                <w:tcPr/>
                <w:p>
                  <w:pPr>
                    <w:pStyle w:val="Compact"/>
                    <w:jc w:val="right"/>
                    <w:jc w:val="center"/>
                  </w:pPr>
                  <w:r>
                    <w:t xml:space="preserve">5,981</w:t>
                  </w:r>
                </w:p>
              </w:tc>
              <w:tc>
                <w:tcPr/>
                <w:p>
                  <w:pPr>
                    <w:pStyle w:val="Compact"/>
                    <w:jc w:val="right"/>
                    <w:jc w:val="center"/>
                  </w:pPr>
                  <w:r>
                    <w:t xml:space="preserve">51</w:t>
                  </w:r>
                </w:p>
              </w:tc>
            </w:tr>
            <w:tr>
              <w:tc>
                <w:tcPr/>
                <w:p>
                  <w:pPr>
                    <w:pStyle w:val="Compact"/>
                    <w:jc w:val="left"/>
                    <w:jc w:val="center"/>
                  </w:pPr>
                  <w:r>
                    <w:t xml:space="preserve">P5</w:t>
                  </w:r>
                </w:p>
              </w:tc>
              <w:tc>
                <w:tcPr/>
                <w:p>
                  <w:pPr>
                    <w:pStyle w:val="Compact"/>
                    <w:jc w:val="right"/>
                    <w:jc w:val="center"/>
                  </w:pPr>
                  <w:r>
                    <w:t xml:space="preserve">Pre-squeeze baseline pupil</w:t>
                  </w:r>
                </w:p>
              </w:tc>
              <w:tc>
                <w:tcPr/>
                <w:p>
                  <w:pPr>
                    <w:pStyle w:val="Compact"/>
                    <w:jc w:val="right"/>
                    <w:jc w:val="center"/>
                  </w:pPr>
                  <w:r>
                    <w:t xml:space="preserve">0.010 [−0.002, 0.021]</w:t>
                  </w:r>
                </w:p>
              </w:tc>
              <w:tc>
                <w:tcPr/>
                <w:p>
                  <w:pPr>
                    <w:pStyle w:val="Compact"/>
                    <w:jc w:val="right"/>
                    <w:jc w:val="center"/>
                  </w:pPr>
                  <w:r>
                    <w:t xml:space="preserve">+1.0% [−0.2, 2.2]</w:t>
                  </w:r>
                </w:p>
              </w:tc>
              <w:tc>
                <w:tcPr/>
                <w:p>
                  <w:pPr>
                    <w:pStyle w:val="Compact"/>
                    <w:jc w:val="right"/>
                    <w:jc w:val="center"/>
                  </w:pPr>
                  <w:r>
                    <w:t xml:space="preserve">0.7 ± 1.4</w:t>
                  </w:r>
                </w:p>
              </w:tc>
              <w:tc>
                <w:tcPr/>
                <w:p>
                  <w:pPr>
                    <w:pStyle w:val="Compact"/>
                    <w:jc w:val="right"/>
                    <w:jc w:val="center"/>
                  </w:pPr>
                  <w:r>
                    <w:t xml:space="preserve">5,856</w:t>
                  </w:r>
                </w:p>
              </w:tc>
              <w:tc>
                <w:tcPr/>
                <w:p>
                  <w:pPr>
                    <w:pStyle w:val="Compact"/>
                    <w:jc w:val="right"/>
                    <w:jc w:val="center"/>
                  </w:pPr>
                  <w:r>
                    <w:t xml:space="preserve">51</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−0.006 [−0.017, 0.007]</w:t>
                  </w:r>
                </w:p>
              </w:tc>
              <w:tc>
                <w:tcPr/>
                <w:p>
                  <w:pPr>
                    <w:pStyle w:val="Compact"/>
                    <w:jc w:val="right"/>
                    <w:jc w:val="center"/>
                  </w:pPr>
                  <w:r>
                    <w:t xml:space="preserve">−0.6% [−1.7, 0.7]</w:t>
                  </w:r>
                </w:p>
              </w:tc>
              <w:tc>
                <w:tcPr/>
                <w:p>
                  <w:pPr>
                    <w:pStyle w:val="Compact"/>
                    <w:jc w:val="right"/>
                    <w:jc w:val="center"/>
                  </w:pPr>
                  <w:r>
                    <w:t xml:space="preserve">−0.4 ± 0.8</w:t>
                  </w:r>
                </w:p>
              </w:tc>
              <w:tc>
                <w:tcPr/>
                <w:p>
                  <w:pPr>
                    <w:pStyle w:val="Compact"/>
                    <w:jc w:val="right"/>
                    <w:jc w:val="center"/>
                  </w:pPr>
                  <w:r>
                    <w:t xml:space="preserve">5,655</w:t>
                  </w:r>
                </w:p>
              </w:tc>
              <w:tc>
                <w:tcPr/>
                <w:p>
                  <w:pPr>
                    <w:pStyle w:val="Compact"/>
                    <w:jc w:val="right"/>
                    <w:jc w:val="center"/>
                  </w:pPr>
                  <w:r>
                    <w:t xml:space="preserve">50</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across predictors, and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S9</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(the capacity account) or by changing how they use that evidence (the policy account). In the primary model,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The change in boundary separation was inside the region of practical equivalence, and the starting point was unchanged. In the pupil sample, trials with larger pupil responses during the decision had wider boundaries, whereas no pupil measure taken before the decision predicted boundary separation.</w:t>
      </w:r>
    </w:p>
    <w:bookmarkStart w:id="48" w:name="drift-criterion-and-evidence-quality"/>
    <w:p>
      <w:pPr>
        <w:pStyle w:val="Heading2"/>
      </w:pPr>
      <w:r>
        <w:t xml:space="preserve">4.1 Drift criterion and evidence quality</w:t>
      </w:r>
    </w:p>
    <w:p>
      <w:pPr>
        <w:pStyle w:val="FirstParagraph"/>
      </w:pPr>
      <w:r>
        <w:t xml:space="preserve">The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and its interval allowed a small decline but not a large one. A capacity cost concentrated on the hardest trials would also make the effort effect depend on difficulty</w:t>
      </w:r>
      <w:r>
        <w:t xml:space="preserve"> </w:t>
      </w:r>
      <w:r>
        <w:t xml:space="preserve">(Kahneman, 1973)</w:t>
      </w:r>
      <w:r>
        <w:t xml:space="preserve">. In the model that allowed this, effort lowered drift more on Hard than on Easy trials, a contrast whose interval only just excluded zero, but allowing the effort effects to vary with difficulty did not improve prediction (ΔELPD = 0.7 ± 3.0;</w:t>
      </w:r>
      <w:r>
        <w:t xml:space="preserve"> </w:t>
      </w:r>
      <w:hyperlink w:anchor="supptbl-model-comparison">
        <w:r>
          <w:rPr>
            <w:rStyle w:val="Hyperlink"/>
          </w:rPr>
          <w:t xml:space="preserve">Table S3</w:t>
        </w:r>
      </w:hyperlink>
      <w:r>
        <w:t xml:space="preserve">;</w:t>
      </w:r>
      <w:r>
        <w:t xml:space="preserve"> </w:t>
      </w:r>
      <w:hyperlink w:anchor="supptbl-m2-interactions">
        <w:r>
          <w:rPr>
            <w:rStyle w:val="Hyperlink"/>
          </w:rPr>
          <w:t xml:space="preserve">Table S4</w:t>
        </w:r>
      </w:hyperlink>
      <w:r>
        <w:t xml:space="preserve">). The data therefore leave room for a small capacity cost on the hardest discriminations, in addition to the criterion shift.</w:t>
      </w:r>
    </w:p>
    <w:p>
      <w:pPr>
        <w:pStyle w:val="BodyText"/>
      </w:pPr>
      <w:r>
        <w:t xml:space="preserve">The main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w:t>
      </w:r>
      <w:r>
        <w:t xml:space="preserve">the criterion shift lowers drift on trials with a different probe, so those trials more often end in</w:t>
      </w:r>
      <w:r>
        <w:t xml:space="preserve"> </w:t>
      </w:r>
      <w:r>
        <w:t xml:space="preserve">“same.”</w:t>
      </w:r>
      <w:r>
        <w:t xml:space="preserve"> </w:t>
      </w:r>
      <w:r>
        <w:t xml:space="preserve">On Standard trials the same shift moves drift further toward the correct response. The accuracy pattern follows from this. The Hard-trial cost is the change that a capacity account would predict, but here it arises mainly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on any measure, which suggested that the two draw on separate resources at these effort levels. Chapter 2 reached the same conclusion from psychometric functions fitted to the same cohort’s responses: high effort lowered</w:t>
      </w:r>
      <w:r>
        <w:t xml:space="preserve"> </w:t>
      </w:r>
      <w:r>
        <w:t xml:space="preserve">“different”</w:t>
      </w:r>
      <w:r>
        <w:t xml:space="preserve"> </w:t>
      </w:r>
      <w:r>
        <w:t xml:space="preserve">responses on identical and different trials alike, without making the psychometric function shallower.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Within the policy account, wider boundaries under high effort would indicate that participants protected accuracy, and narrower boundaries that they ended effortful trials sooner. Neither occurred: the estimated change was positive but practically negligible, and its interval included zero at the shortest RT cutoff. The starting point was also unchanged, so effort did not alter the prior preference for either response. The results therefore fit the policy account, but through the drift criterion rather than through response caution or the starting point.</w:t>
      </w:r>
    </w:p>
    <w:bookmarkEnd w:id="48"/>
    <w:bookmarkStart w:id="49" w:name="effort-and-pupil-size"/>
    <w:p>
      <w:pPr>
        <w:pStyle w:val="Heading2"/>
      </w:pPr>
      <w:r>
        <w:t xml:space="preserve">4.2 Effort and pupil size</w:t>
      </w:r>
    </w:p>
    <w:p>
      <w:pPr>
        <w:pStyle w:val="FirstParagraph"/>
      </w:pPr>
      <w:r>
        <w:t xml:space="preserve">High effort increased pupil size during the grip in the auditory task, as expected from the pupil’s sensitivity to physical exertion</w:t>
      </w:r>
      <w:r>
        <w:t xml:space="preserve"> </w:t>
      </w:r>
      <w:r>
        <w:t xml:space="preserve">(Zénon et al., 2014)</w:t>
      </w:r>
      <w:r>
        <w:t xml:space="preserve">; in the visual task the difference had the same sign but was not reliable. When both tasks were analyzed together with participant-specific effort effects (Chapter 2), the grip-period difference was not reliable, so the effect of effort on pupil size during the grip was weak. After the probe, the pupil rose less under high effort from its level before the probe, but pupil size after the probe, measured from before the squeeze, did not differ between effort levels. The smaller response under high effort therefore reflects the higher level from which the pupil rose, not a smaller pupil after the probe, which is why the choice of baseline matters for effort comparisons</w:t>
      </w:r>
      <w:r>
        <w:t xml:space="preserve"> </w:t>
      </w:r>
      <w:r>
        <w:t xml:space="preserve">(Mathôt, 2018)</w:t>
      </w:r>
      <w:r>
        <w:t xml:space="preserve">. The release of the grip, and the color change that cued it, also fall inside the TEPR window, and releasing a strong grip differs from releasing a light one. One interpretation of effort-related pupil changes comes from adaptive gain theory, which links pupil size to activity of the locus coeruleus–noradrenaline system</w:t>
      </w:r>
      <w:r>
        <w:t xml:space="preserve"> </w:t>
      </w:r>
      <w:r>
        <w:t xml:space="preserve">(Aston-Jones &amp; Cohen, 2005; Joshi et al., 2016)</w:t>
      </w:r>
      <w:r>
        <w:t xml:space="preserve">. Isometric handgrip engages this system</w:t>
      </w:r>
      <w:r>
        <w:t xml:space="preserve"> </w:t>
      </w:r>
      <w:r>
        <w:t xml:space="preserve">(Mather et al., 2020)</w:t>
      </w:r>
      <w:r>
        <w:t xml:space="preserve">, and the locus coeruleus is vulnerable in aging</w:t>
      </w:r>
      <w:r>
        <w:t xml:space="preserve"> </w:t>
      </w:r>
      <w:r>
        <w:t xml:space="preserve">(Mather &amp; Harley, 2016)</w:t>
      </w:r>
      <w:r>
        <w:t xml:space="preserve">. This study, however, neither manipulated nor measured locus coeruleus activity during the task, and pupil size also covaries with activity outside the locus coeruleus</w:t>
      </w:r>
      <w:r>
        <w:t xml:space="preserve"> </w:t>
      </w:r>
      <w:r>
        <w:t xml:space="preserve">(Joshi et al., 2016)</w:t>
      </w:r>
      <w:r>
        <w:t xml:space="preserve">.</w:t>
      </w:r>
    </w:p>
    <w:bookmarkEnd w:id="49"/>
    <w:bookmarkStart w:id="50" w:name="pupil-size-and-boundary-separation"/>
    <w:p>
      <w:pPr>
        <w:pStyle w:val="Heading2"/>
      </w:pPr>
      <w:r>
        <w:t xml:space="preserve">4.3 Pupil size and boundary separation</w:t>
      </w:r>
    </w:p>
    <w:p>
      <w:pPr>
        <w:pStyle w:val="FirstParagraph"/>
      </w:pPr>
      <w:r>
        <w:t xml:space="preserve">Of the pupil measures, trial-wise TEPR had the strongest association with boundary separation, which parallels work in which larger pupil dilation on high-conflict choices predicted higher decision thresholds</w:t>
      </w:r>
      <w:r>
        <w:t xml:space="preserve"> </w:t>
      </w:r>
      <w:r>
        <w:t xml:space="preserve">(Cavanagh et al., 2014)</w:t>
      </w:r>
      <w:r>
        <w:t xml:space="preserve">. Two results limit how far the association can be read as the pupil response setting the boundary. First, the TEPR window overlapped the response, TEPR correlated with RT within participants, and when the slowest trials were removed the association was about half as large and its predictive gain was no longer clearly above its standard error. A wider boundary lengthens the decision, and a longer decision lets more of the pupil response accumulate in the window. Second, none of the measures taken before the decision (the pre-squeeze baseline, the grip-period pupil and the previous trial’s TEPR) predicted boundary separation.</w:t>
      </w:r>
    </w:p>
    <w:p>
      <w:pPr>
        <w:pStyle w:val="BodyText"/>
      </w:pPr>
      <w:r>
        <w:t xml:space="preserve">Pupil size in the 0.5 s before the response did predict wider boundaries, so the association is not confined to processing after the response. Because that window was placed relative to the response, however, it sampled later points of the evoked response on longer decisions, so it cannot separate a pupil change that set the boundary from one that accompanied a longer decision. Taken together, pupil size tracked the decision as it unfolded, not a state measured before it. A window fixed to the probe and ending before the earliest response would separate the two, but in this design the 0.35 s between probe onset and the response cue is too short for the pupil response to develop</w:t>
      </w:r>
      <w:r>
        <w:t xml:space="preserve"> </w:t>
      </w:r>
      <w:r>
        <w:t xml:space="preserve">(Mathôt, 2018)</w:t>
      </w:r>
      <w:r>
        <w:t xml:space="preserve">.</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51 of the 67 participants, selected on recording quality, and they are correlational at the level of trials. In that subsample, the effort effects on the drift criterion and boundary separation had the same sign as in the full sample. The TEPR window included post-decision processing. In addition, the pre-probe baseline began shortly after the standard and so included the onset of the pupil response to it; the TEPR therefore measures the response to the probe on top of a still-rising response to the standard. The grip-period measure combined effort-related dilation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effort.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p>
      <w:pPr>
        <w:pStyle w:val="BodyText"/>
      </w:pPr>
      <w:r>
        <w:rPr>
          <w:b/>
          <w:bCs/>
        </w:rPr>
        <w:t xml:space="preserve">Response mapping.</w:t>
      </w:r>
      <w:r>
        <w:t xml:space="preserve"> </w:t>
      </w:r>
      <w:r>
        <w:t xml:space="preserve">“Different”</w:t>
      </w:r>
      <w:r>
        <w:t xml:space="preserve"> </w:t>
      </w:r>
      <w:r>
        <w:t xml:space="preserve">was always given with the right index finger and</w:t>
      </w:r>
      <w:r>
        <w:t xml:space="preserve"> </w:t>
      </w:r>
      <w:r>
        <w:t xml:space="preserve">“same”</w:t>
      </w:r>
      <w:r>
        <w:t xml:space="preserve"> </w:t>
      </w:r>
      <w:r>
        <w:t xml:space="preserve">with the right middle finger, while the left hand held the grip. A bias acting on the evidence for one response therefore cannot be separated from the finger that gave that response; counterbalancing the mapping across participants would separate them.</w:t>
      </w:r>
    </w:p>
    <w:p>
      <w:pPr>
        <w:pStyle w:val="BodyText"/>
      </w:pPr>
      <w:r>
        <w:rPr>
          <w:b/>
          <w:bCs/>
        </w:rPr>
        <w:t xml:space="preserve">Physiological measures.</w:t>
      </w:r>
      <w:r>
        <w:t xml:space="preserve"> </w:t>
      </w:r>
      <w:r>
        <w:t xml:space="preserve">Pupil size was the only physiological measure. Because locus coeruleus activity was not measured during the task, links between the pupil results and the noradrenergic system remain interpretive.</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w:t>
      </w:r>
      <w:r>
        <w:t xml:space="preserve">It did not reduce the overall quality of the evidence accumulated or change response caution in a meaningful way. Pupil responses during the decision were larger on trials with wider boundaries, but pupil size measured before the decision did not predict boundary separation. Under physical load, older adults were therefore less likely to report a difference, a cost that falls on the small differences that are hardest to detect.</w:t>
      </w:r>
    </w:p>
    <w:bookmarkEnd w:id="52"/>
    <w:bookmarkEnd w:id="53"/>
    <w:bookmarkStart w:id="126" w:name="references"/>
    <w:p>
      <w:pPr>
        <w:pStyle w:val="Heading1"/>
      </w:pPr>
      <w:r>
        <w:t xml:space="preserve">References</w:t>
      </w:r>
    </w:p>
    <w:bookmarkStart w:id="125"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0">
        <w:r>
          <w:rPr>
            <w:rStyle w:val="Hyperlink"/>
          </w:rPr>
          <w:t xml:space="preserve">https://doi.org/10.1016/j.jml.2012.11.001</w:t>
        </w:r>
      </w:hyperlink>
    </w:p>
    <w:bookmarkEnd w:id="61"/>
    <w:bookmarkStart w:id="63"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2">
        <w:r>
          <w:rPr>
            <w:rStyle w:val="Hyperlink"/>
          </w:rPr>
          <w:t xml:space="preserve">https://doi.org/10.48550/arXiv.1506.04967</w:t>
        </w:r>
      </w:hyperlink>
    </w:p>
    <w:bookmarkEnd w:id="63"/>
    <w:bookmarkStart w:id="65"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4">
        <w:r>
          <w:rPr>
            <w:rStyle w:val="Hyperlink"/>
          </w:rPr>
          <w:t xml:space="preserve">https://doi.org/10.18637/jss.v067.i01</w:t>
        </w:r>
      </w:hyperlink>
    </w:p>
    <w:bookmarkEnd w:id="65"/>
    <w:bookmarkStart w:id="67"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6">
        <w:r>
          <w:rPr>
            <w:rStyle w:val="Hyperlink"/>
          </w:rPr>
          <w:t xml:space="preserve">https://doi.org/10.1037/0033-2909.91.2.276</w:t>
        </w:r>
      </w:hyperlink>
    </w:p>
    <w:bookmarkEnd w:id="67"/>
    <w:bookmarkStart w:id="69" w:name="ref-brainard1997psychophysics"/>
    <w:p>
      <w:pPr>
        <w:pStyle w:val="Bibliography"/>
      </w:pPr>
      <w:r>
        <w:t xml:space="preserve">Brainard, D. H. (1997). The</w:t>
      </w:r>
      <w:r>
        <w:t xml:space="preserve"> </w:t>
      </w:r>
      <w:r>
        <w:t xml:space="preserve">Psychophysics Toolbox</w:t>
      </w:r>
      <w:r>
        <w:t xml:space="preserve">.</w:t>
      </w:r>
      <w:r>
        <w:t xml:space="preserve"> </w:t>
      </w:r>
      <w:r>
        <w:rPr>
          <w:i/>
          <w:iCs/>
        </w:rPr>
        <w:t xml:space="preserve">Spatial Vision</w:t>
      </w:r>
      <w:r>
        <w:t xml:space="preserve">,</w:t>
      </w:r>
      <w:r>
        <w:t xml:space="preserve"> </w:t>
      </w:r>
      <w:r>
        <w:rPr>
          <w:i/>
          <w:iCs/>
        </w:rPr>
        <w:t xml:space="preserve">10</w:t>
      </w:r>
      <w:r>
        <w:t xml:space="preserve">(4), 433–436.</w:t>
      </w:r>
      <w:r>
        <w:t xml:space="preserve"> </w:t>
      </w:r>
      <w:hyperlink r:id="rId68">
        <w:r>
          <w:rPr>
            <w:rStyle w:val="Hyperlink"/>
          </w:rPr>
          <w:t xml:space="preserve">https://doi.org/10.1163/156856897X00357</w:t>
        </w:r>
      </w:hyperlink>
    </w:p>
    <w:bookmarkEnd w:id="69"/>
    <w:bookmarkStart w:id="71"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0">
        <w:r>
          <w:rPr>
            <w:rStyle w:val="Hyperlink"/>
          </w:rPr>
          <w:t xml:space="preserve">https://doi.org/10.1037/met0000159</w:t>
        </w:r>
      </w:hyperlink>
    </w:p>
    <w:bookmarkEnd w:id="71"/>
    <w:bookmarkStart w:id="73" w:name="ref-burkner2017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2">
        <w:r>
          <w:rPr>
            <w:rStyle w:val="Hyperlink"/>
          </w:rPr>
          <w:t xml:space="preserve">https://doi.org/10.18637/jss.v080.i01</w:t>
        </w:r>
      </w:hyperlink>
    </w:p>
    <w:bookmarkEnd w:id="73"/>
    <w:bookmarkStart w:id="75"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4">
        <w:r>
          <w:rPr>
            <w:rStyle w:val="Hyperlink"/>
          </w:rPr>
          <w:t xml:space="preserve">https://doi.org/10.1037/a0035813</w:t>
        </w:r>
      </w:hyperlink>
    </w:p>
    <w:bookmarkEnd w:id="75"/>
    <w:bookmarkStart w:id="77"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6">
        <w:r>
          <w:rPr>
            <w:rStyle w:val="Hyperlink"/>
          </w:rPr>
          <w:t xml:space="preserve">https://doi.org/10.3758/s13415-020-00843-z</w:t>
        </w:r>
      </w:hyperlink>
    </w:p>
    <w:bookmarkEnd w:id="77"/>
    <w:bookmarkStart w:id="79"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8">
        <w:r>
          <w:rPr>
            <w:rStyle w:val="Hyperlink"/>
          </w:rPr>
          <w:t xml:space="preserve">https://doi.org/10.7554/eLife.54014</w:t>
        </w:r>
      </w:hyperlink>
    </w:p>
    <w:bookmarkEnd w:id="79"/>
    <w:bookmarkStart w:id="81"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0">
        <w:r>
          <w:rPr>
            <w:rStyle w:val="Hyperlink"/>
          </w:rPr>
          <w:t xml:space="preserve">https://doi.org/10.1016/j.neuron.2015.11.028</w:t>
        </w:r>
      </w:hyperlink>
    </w:p>
    <w:bookmarkEnd w:id="81"/>
    <w:bookmarkStart w:id="82" w:name="ref-kahneman1973attention"/>
    <w:p>
      <w:pPr>
        <w:pStyle w:val="Bibliography"/>
      </w:pPr>
      <w:r>
        <w:t xml:space="preserve">Kahneman, D. (1973).</w:t>
      </w:r>
      <w:r>
        <w:t xml:space="preserve"> </w:t>
      </w:r>
      <w:r>
        <w:rPr>
          <w:i/>
          <w:iCs/>
        </w:rPr>
        <w:t xml:space="preserve">Attention and effort</w:t>
      </w:r>
      <w:r>
        <w:t xml:space="preserve">. Prentice-Hall.</w:t>
      </w:r>
    </w:p>
    <w:bookmarkEnd w:id="82"/>
    <w:bookmarkStart w:id="84" w:name="ref-kleiner2007s"/>
    <w:p>
      <w:pPr>
        <w:pStyle w:val="Bibliography"/>
      </w:pPr>
      <w:r>
        <w:t xml:space="preserve">Kleiner, M., Brainard, D., &amp; Pelli, D. (2007). What’s new in</w:t>
      </w:r>
      <w:r>
        <w:t xml:space="preserve"> </w:t>
      </w:r>
      <w:r>
        <w:t xml:space="preserve">Psychtoolbox-3</w:t>
      </w:r>
      <w:r>
        <w:t xml:space="preserve">?</w:t>
      </w:r>
      <w:r>
        <w:t xml:space="preserve"> </w:t>
      </w:r>
      <w:r>
        <w:rPr>
          <w:i/>
          <w:iCs/>
        </w:rPr>
        <w:t xml:space="preserve">Perception</w:t>
      </w:r>
      <w:r>
        <w:t xml:space="preserve">,</w:t>
      </w:r>
      <w:r>
        <w:t xml:space="preserve"> </w:t>
      </w:r>
      <w:r>
        <w:rPr>
          <w:i/>
          <w:iCs/>
        </w:rPr>
        <w:t xml:space="preserve">36</w:t>
      </w:r>
      <w:r>
        <w:t xml:space="preserve">(ECVP Abstract Supplement), 14.</w:t>
      </w:r>
      <w:r>
        <w:t xml:space="preserve"> </w:t>
      </w:r>
      <w:hyperlink r:id="rId83">
        <w:r>
          <w:rPr>
            <w:rStyle w:val="Hyperlink"/>
          </w:rPr>
          <w:t xml:space="preserve">https://pure.mpg.de/rest/items/item_1790332/component/file_3136265/content</w:t>
        </w:r>
      </w:hyperlink>
    </w:p>
    <w:bookmarkEnd w:id="84"/>
    <w:bookmarkStart w:id="86"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85">
        <w:r>
          <w:rPr>
            <w:rStyle w:val="Hyperlink"/>
          </w:rPr>
          <w:t xml:space="preserve">https://doi.org/10.1177/2515245918771304</w:t>
        </w:r>
      </w:hyperlink>
    </w:p>
    <w:bookmarkEnd w:id="86"/>
    <w:bookmarkStart w:id="88" w:name="ref-lenth2024emmeans"/>
    <w:p>
      <w:pPr>
        <w:pStyle w:val="Bibliography"/>
      </w:pPr>
      <w:r>
        <w:t xml:space="preserve">Lenth, R. V., &amp; Piaskowski, J. (2026).</w:t>
      </w:r>
      <w:r>
        <w:t xml:space="preserve"> </w:t>
      </w:r>
      <w:r>
        <w:rPr>
          <w:i/>
          <w:iCs/>
        </w:rPr>
        <w:t xml:space="preserve">emmeans</w:t>
      </w:r>
      <w:r>
        <w:rPr>
          <w:i/>
          <w:iCs/>
        </w:rPr>
        <w:t xml:space="preserve">: Estimated marginal means, aka least-squares means</w:t>
      </w:r>
      <w:r>
        <w:t xml:space="preserve">.</w:t>
      </w:r>
      <w:r>
        <w:t xml:space="preserve"> </w:t>
      </w:r>
      <w:hyperlink r:id="rId87">
        <w:r>
          <w:rPr>
            <w:rStyle w:val="Hyperlink"/>
          </w:rPr>
          <w:t xml:space="preserve">https://doi.org/10.32614/CRAN.package.emmeans</w:t>
        </w:r>
      </w:hyperlink>
    </w:p>
    <w:bookmarkEnd w:id="88"/>
    <w:bookmarkStart w:id="90" w:name="ref-mather2016locus"/>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89">
        <w:r>
          <w:rPr>
            <w:rStyle w:val="Hyperlink"/>
          </w:rPr>
          <w:t xml:space="preserve">https://doi.org/10.1016/j.tics.2016.01.001</w:t>
        </w:r>
      </w:hyperlink>
    </w:p>
    <w:bookmarkEnd w:id="90"/>
    <w:bookmarkStart w:id="92"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1">
        <w:r>
          <w:rPr>
            <w:rStyle w:val="Hyperlink"/>
          </w:rPr>
          <w:t xml:space="preserve">https://doi.org/10.1016/j.neuroimage.2020.116560</w:t>
        </w:r>
      </w:hyperlink>
    </w:p>
    <w:bookmarkEnd w:id="92"/>
    <w:bookmarkStart w:id="94"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3">
        <w:r>
          <w:rPr>
            <w:rStyle w:val="Hyperlink"/>
          </w:rPr>
          <w:t xml:space="preserve">https://doi.org/10.5334/joc.18</w:t>
        </w:r>
      </w:hyperlink>
    </w:p>
    <w:bookmarkEnd w:id="94"/>
    <w:bookmarkStart w:id="96" w:name="ref-piquado2010pupillometry"/>
    <w:p>
      <w:pPr>
        <w:pStyle w:val="Bibliography"/>
      </w:pPr>
      <w:r>
        <w:t xml:space="preserve">Piquado, T., Isaacowitz, D., &amp; Wingfield, A. (2010). Pupillometry as a measure of cognitive effort in younger and older adults.</w:t>
      </w:r>
      <w:r>
        <w:t xml:space="preserve"> </w:t>
      </w:r>
      <w:r>
        <w:rPr>
          <w:i/>
          <w:iCs/>
        </w:rPr>
        <w:t xml:space="preserve">Psychophysiology</w:t>
      </w:r>
      <w:r>
        <w:t xml:space="preserve">,</w:t>
      </w:r>
      <w:r>
        <w:t xml:space="preserve"> </w:t>
      </w:r>
      <w:r>
        <w:rPr>
          <w:i/>
          <w:iCs/>
        </w:rPr>
        <w:t xml:space="preserve">47</w:t>
      </w:r>
      <w:r>
        <w:t xml:space="preserve">(3), 560–569.</w:t>
      </w:r>
      <w:r>
        <w:t xml:space="preserve"> </w:t>
      </w:r>
      <w:hyperlink r:id="rId95">
        <w:r>
          <w:rPr>
            <w:rStyle w:val="Hyperlink"/>
          </w:rPr>
          <w:t xml:space="preserve">https://doi.org/10.1111/j.1469-8986.2009.00947.x</w:t>
        </w:r>
      </w:hyperlink>
    </w:p>
    <w:bookmarkEnd w:id="96"/>
    <w:bookmarkStart w:id="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7">
        <w:r>
          <w:rPr>
            <w:rStyle w:val="Hyperlink"/>
          </w:rPr>
          <w:t xml:space="preserve">https://doi.org/10.1162/neco.2008.12-06-420</w:t>
        </w:r>
      </w:hyperlink>
    </w:p>
    <w:bookmarkEnd w:id="98"/>
    <w:bookmarkStart w:id="1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9">
        <w:r>
          <w:rPr>
            <w:rStyle w:val="Hyperlink"/>
          </w:rPr>
          <w:t xml:space="preserve">https://doi.org/10.1037/0882-7974.16.2.323</w:t>
        </w:r>
      </w:hyperlink>
    </w:p>
    <w:bookmarkEnd w:id="100"/>
    <w:bookmarkStart w:id="102"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1">
        <w:r>
          <w:rPr>
            <w:rStyle w:val="Hyperlink"/>
          </w:rPr>
          <w:t xml:space="preserve">https://doi.org/10.3758/BF03196302</w:t>
        </w:r>
      </w:hyperlink>
    </w:p>
    <w:bookmarkEnd w:id="102"/>
    <w:bookmarkStart w:id="104"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3">
        <w:r>
          <w:rPr>
            <w:rStyle w:val="Hyperlink"/>
          </w:rPr>
          <w:t xml:space="preserve">https://mc-stan.org/docs/cmdstan-guide/</w:t>
        </w:r>
      </w:hyperlink>
    </w:p>
    <w:bookmarkEnd w:id="104"/>
    <w:bookmarkStart w:id="106"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105">
        <w:r>
          <w:rPr>
            <w:rStyle w:val="Hyperlink"/>
          </w:rPr>
          <w:t xml:space="preserve">https://doi.org/10.1037/a0018022</w:t>
        </w:r>
      </w:hyperlink>
    </w:p>
    <w:bookmarkEnd w:id="106"/>
    <w:bookmarkStart w:id="108" w:name="ref-theisen2021age"/>
    <w:p>
      <w:pPr>
        <w:pStyle w:val="Bibliography"/>
      </w:pPr>
      <w:r>
        <w:t xml:space="preserve">Theisen, M., Lerche, V., von Krause, M., &amp; Voss, A.</w:t>
      </w:r>
      <w:r>
        <w:t xml:space="preserve">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7">
        <w:r>
          <w:rPr>
            <w:rStyle w:val="Hyperlink"/>
          </w:rPr>
          <w:t xml:space="preserve">https://doi.org/10.1007/s00426-020-01371-8</w:t>
        </w:r>
      </w:hyperlink>
    </w:p>
    <w:bookmarkEnd w:id="108"/>
    <w:bookmarkStart w:id="110"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9">
        <w:r>
          <w:rPr>
            <w:rStyle w:val="Hyperlink"/>
          </w:rPr>
          <w:t xml:space="preserve">https://doi.org/10.1038/ncomms14637</w:t>
        </w:r>
      </w:hyperlink>
    </w:p>
    <w:bookmarkEnd w:id="110"/>
    <w:bookmarkStart w:id="112" w:name="ref-vanderwel2018pupil"/>
    <w:p>
      <w:pPr>
        <w:pStyle w:val="Bibliography"/>
      </w:pPr>
      <w:r>
        <w:t xml:space="preserve">van der Wel, P., &amp; van Steenbergen, H.</w:t>
      </w:r>
      <w:r>
        <w:t xml:space="preserve">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111">
        <w:r>
          <w:rPr>
            <w:rStyle w:val="Hyperlink"/>
          </w:rPr>
          <w:t xml:space="preserve">https://doi.org/10.3758/s13423-018-1432-y</w:t>
        </w:r>
      </w:hyperlink>
    </w:p>
    <w:bookmarkEnd w:id="112"/>
    <w:bookmarkStart w:id="114"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13">
        <w:r>
          <w:rPr>
            <w:rStyle w:val="Hyperlink"/>
          </w:rPr>
          <w:t xml:space="preserve">https://doi.org/10.1007/s11222-016-9696-4</w:t>
        </w:r>
      </w:hyperlink>
    </w:p>
    <w:bookmarkEnd w:id="114"/>
    <w:bookmarkStart w:id="116"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5">
        <w:r>
          <w:rPr>
            <w:rStyle w:val="Hyperlink"/>
          </w:rPr>
          <w:t xml:space="preserve">https://doi.org/10.1214/20-BA1221</w:t>
        </w:r>
      </w:hyperlink>
    </w:p>
    <w:bookmarkEnd w:id="116"/>
    <w:bookmarkStart w:id="118"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7">
        <w:r>
          <w:rPr>
            <w:rStyle w:val="Hyperlink"/>
          </w:rPr>
          <w:t xml:space="preserve">https://doi.org/10.1037/0882-7974.18.3.443</w:t>
        </w:r>
      </w:hyperlink>
    </w:p>
    <w:bookmarkEnd w:id="118"/>
    <w:bookmarkStart w:id="120"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9">
        <w:r>
          <w:rPr>
            <w:rStyle w:val="Hyperlink"/>
          </w:rPr>
          <w:t xml:space="preserve">https://doi.org/10.1518/001872008X288394</w:t>
        </w:r>
      </w:hyperlink>
    </w:p>
    <w:bookmarkEnd w:id="120"/>
    <w:bookmarkStart w:id="122" w:name="ref-winn1994factors"/>
    <w:p>
      <w:pPr>
        <w:pStyle w:val="Bibliography"/>
      </w:pPr>
      <w:r>
        <w:t xml:space="preserve">Winn, B., Whitaker, D., Elliott, D. B., &amp; Phillips, N. J. (1994). Factors affecting light-adapted pupil size in normal human subjects.</w:t>
      </w:r>
      <w:r>
        <w:t xml:space="preserve"> </w:t>
      </w:r>
      <w:r>
        <w:rPr>
          <w:i/>
          <w:iCs/>
        </w:rPr>
        <w:t xml:space="preserve">Investigative Ophthalmology &amp; Visual Science</w:t>
      </w:r>
      <w:r>
        <w:t xml:space="preserve">,</w:t>
      </w:r>
      <w:r>
        <w:t xml:space="preserve"> </w:t>
      </w:r>
      <w:r>
        <w:rPr>
          <w:i/>
          <w:iCs/>
        </w:rPr>
        <w:t xml:space="preserve">35</w:t>
      </w:r>
      <w:r>
        <w:t xml:space="preserve">(3), 1132–1137.</w:t>
      </w:r>
      <w:r>
        <w:t xml:space="preserve"> </w:t>
      </w:r>
      <w:hyperlink r:id="rId121">
        <w:r>
          <w:rPr>
            <w:rStyle w:val="Hyperlink"/>
          </w:rPr>
          <w:t xml:space="preserve">https://iovs.arvojournals.org/article.aspx?articleid=2161149</w:t>
        </w:r>
      </w:hyperlink>
    </w:p>
    <w:bookmarkEnd w:id="122"/>
    <w:bookmarkStart w:id="124" w:name="ref-zenon2014pupil"/>
    <w:p>
      <w:pPr>
        <w:pStyle w:val="Bibliography"/>
      </w:pPr>
      <w:r>
        <w:t xml:space="preserve">Zénon, A., Sidibé, M., &amp; Olivier, E. (2014). Pupil size variations correlate with physical effort perception.</w:t>
      </w:r>
      <w:r>
        <w:t xml:space="preserve"> </w:t>
      </w:r>
      <w:r>
        <w:rPr>
          <w:i/>
          <w:iCs/>
        </w:rPr>
        <w:t xml:space="preserve">Frontiers in Behavioral Neuroscience</w:t>
      </w:r>
      <w:r>
        <w:t xml:space="preserve">,</w:t>
      </w:r>
      <w:r>
        <w:t xml:space="preserve"> </w:t>
      </w:r>
      <w:r>
        <w:rPr>
          <w:i/>
          <w:iCs/>
        </w:rPr>
        <w:t xml:space="preserve">8</w:t>
      </w:r>
      <w:r>
        <w:t xml:space="preserve">, 286.</w:t>
      </w:r>
      <w:r>
        <w:t xml:space="preserve"> </w:t>
      </w:r>
      <w:hyperlink r:id="rId123">
        <w:r>
          <w:rPr>
            <w:rStyle w:val="Hyperlink"/>
          </w:rPr>
          <w:t xml:space="preserve">https://doi.org/10.3389/fnbeh.2014.00286</w:t>
        </w:r>
      </w:hyperlink>
    </w:p>
    <w:bookmarkEnd w:id="124"/>
    <w:bookmarkEnd w:id="125"/>
    <w:bookmarkEnd w:id="126"/>
    <w:bookmarkStart w:id="187" w:name="supplementary-materials"/>
    <w:p>
      <w:pPr>
        <w:pStyle w:val="Heading1"/>
      </w:pPr>
      <w:r>
        <w:t xml:space="preserve">Supplementary Materials</w:t>
      </w:r>
    </w:p>
    <w:bookmarkStart w:id="148" w:name="model-estimation-and-fit"/>
    <w:p>
      <w:pPr>
        <w:pStyle w:val="Heading2"/>
      </w:pPr>
      <w:r>
        <w:t xml:space="preserve">Model estimation and fit</w:t>
      </w:r>
    </w:p>
    <w:p>
      <w:pPr>
        <w:pStyle w:val="FirstParagraph"/>
      </w:pPr>
      <w:hyperlink w:anchor="suppfig-flow">
        <w:r>
          <w:rPr>
            <w:rStyle w:val="Hyperlink"/>
          </w:rPr>
          <w:t xml:space="preserve">Figure S1</w:t>
        </w:r>
      </w:hyperlink>
      <w:r>
        <w:t xml:space="preserve"> </w:t>
      </w:r>
      <w:r>
        <w:t xml:space="preserve">shows how the behavioral and pupil samples were formed, and</w:t>
      </w:r>
      <w:r>
        <w:t xml:space="preserve"> </w:t>
      </w:r>
      <w:hyperlink w:anchor="supptbl-trial-counts">
        <w:r>
          <w:rPr>
            <w:rStyle w:val="Hyperlink"/>
          </w:rPr>
          <w:t xml:space="preserve">Table S1</w:t>
        </w:r>
      </w:hyperlink>
      <w:r>
        <w:t xml:space="preserve"> </w:t>
      </w:r>
      <w:r>
        <w:t xml:space="preserve">gives trial counts by condition.</w:t>
      </w:r>
    </w:p>
    <w:tbl>
      <w:tblPr>
        <w:tblStyle w:val="Table"/>
        <w:tblW w:type="pct" w:w="5000"/>
        <w:tblLayout w:type="fixed"/>
        <w:tblLook w:firstRow="0" w:lastRow="0" w:firstColumn="0" w:lastColumn="0" w:noHBand="0" w:noVBand="0" w:val="0000"/>
      </w:tblPr>
      <w:tblGrid>
        <w:gridCol w:w="7920"/>
      </w:tblGrid>
      <w:tr>
        <w:tc>
          <w:tcPr/>
          <w:bookmarkStart w:id="130" w:name="suppfig-flow"/>
          <w:p>
            <w:pPr>
              <w:jc w:val="center"/>
            </w:pPr>
            <w:r>
              <w:drawing>
                <wp:inline>
                  <wp:extent cx="5334000" cy="6574465"/>
                  <wp:effectExtent b="0" l="0" r="0" t="0"/>
                  <wp:docPr descr="" title="" id="128" name="Picture"/>
                  <a:graphic>
                    <a:graphicData uri="http://schemas.openxmlformats.org/drawingml/2006/picture">
                      <pic:pic>
                        <pic:nvPicPr>
                          <pic:cNvPr descr="../output/ddm_refits/runs/final_20261016/figures/final/S_participant_flow.png" id="129" name="Picture"/>
                          <pic:cNvPicPr>
                            <a:picLocks noChangeArrowheads="1" noChangeAspect="1"/>
                          </pic:cNvPicPr>
                        </pic:nvPicPr>
                        <pic:blipFill>
                          <a:blip r:embed="rId127"/>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supptbl-trial-counts"/>
          <w:p>
            <w:pPr>
              <w:jc w:val="center"/>
            </w:pPr>
            <w:pPr>
              <w:jc w:val="left"/>
              <w:spacing w:before="200"/>
              <w:pStyle w:val="ImageCaption"/>
            </w:pPr>
            <w:r>
              <w:t xml:space="preserve">Table S1: Trials in the primary analysis by task, stimulus type and effort</w:t>
            </w:r>
          </w:p>
          <w:tbl>
            <w:tblPr>
              <w:tblStyle w:val="Table"/>
              <w:tblW w:type="pct" w:w="5000"/>
              <w:tblLayout w:type="fixed"/>
              <w:tblLook w:firstRow="1" w:lastRow="0" w:firstColumn="0" w:lastColumn="0" w:noHBand="0" w:noVBand="0" w:val="0020"/>
            </w:tblPr>
            <w:tblGrid>
              <w:gridCol w:w="600"/>
              <w:gridCol w:w="1320"/>
              <w:gridCol w:w="840"/>
              <w:gridCol w:w="840"/>
              <w:gridCol w:w="1560"/>
              <w:gridCol w:w="276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Trials per participant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31"/>
          <w:p/>
        </w:tc>
      </w:tr>
    </w:tbl>
    <w:p>
      <w:pPr>
        <w:pStyle w:val="BodyText"/>
      </w:pPr>
      <w:r>
        <w:t xml:space="preserve">Prior distributions are listed in</w:t>
      </w:r>
      <w:r>
        <w:t xml:space="preserve"> </w:t>
      </w:r>
      <w:hyperlink w:anchor="supptbl-priors">
        <w:r>
          <w:rPr>
            <w:rStyle w:val="Hyperlink"/>
          </w:rPr>
          <w:t xml:space="preserve">Table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supptbl-priors"/>
          <w:p>
            <w:pPr>
              <w:jc w:val="center"/>
            </w:pPr>
            <w:pPr>
              <w:jc w:val="left"/>
              <w:spacing w:before="200"/>
              <w:pStyle w:val="ImageCaption"/>
            </w:pPr>
            <w:r>
              <w:t xml:space="preserve">Table S2: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32"/>
        </w:tc>
      </w:tr>
    </w:tbl>
    <w:p>
      <w:pPr>
        <w:pStyle w:val="BodyText"/>
      </w:pPr>
      <w:hyperlink w:anchor="supptbl-model-comparison">
        <w:r>
          <w:rPr>
            <w:rStyle w:val="Hyperlink"/>
          </w:rPr>
          <w:t xml:space="preserve">Table S3</w:t>
        </w:r>
      </w:hyperlink>
      <w:r>
        <w:t xml:space="preserve"> </w:t>
      </w:r>
      <w:r>
        <w:t xml:space="preserve">compares the nested behavioral models,</w:t>
      </w:r>
      <w:r>
        <w:t xml:space="preserve"> </w:t>
      </w:r>
      <w:hyperlink w:anchor="supptbl-m2-interactions">
        <w:r>
          <w:rPr>
            <w:rStyle w:val="Hyperlink"/>
          </w:rPr>
          <w:t xml:space="preserve">Table S4</w:t>
        </w:r>
      </w:hyperlink>
      <w:r>
        <w:t xml:space="preserve"> </w:t>
      </w:r>
      <w:r>
        <w:t xml:space="preserve">gives the difficulty × effort terms of M2,</w:t>
      </w:r>
      <w:r>
        <w:t xml:space="preserve"> </w:t>
      </w:r>
      <w:hyperlink w:anchor="supptbl-formulas">
        <w:r>
          <w:rPr>
            <w:rStyle w:val="Hyperlink"/>
          </w:rPr>
          <w:t xml:space="preserve">Table S5</w:t>
        </w:r>
      </w:hyperlink>
      <w:r>
        <w:t xml:space="preserve"> </w:t>
      </w:r>
      <w:r>
        <w:t xml:space="preserve">lists every model formula, and</w:t>
      </w:r>
      <w:r>
        <w:t xml:space="preserve"> </w:t>
      </w:r>
      <w:hyperlink w:anchor="supptbl-convergence">
        <w:r>
          <w:rPr>
            <w:rStyle w:val="Hyperlink"/>
          </w:rPr>
          <w:t xml:space="preserve">Table S6</w:t>
        </w:r>
      </w:hyperlink>
      <w:r>
        <w:t xml:space="preserve"> </w:t>
      </w:r>
      <w:r>
        <w:t xml:space="preserve">lists convergence diagnostics for every model reported in the chapter.</w:t>
      </w:r>
      <w:r>
        <w:t xml:space="preserve"> </w:t>
      </w:r>
      <w:hyperlink w:anchor="supptbl-fixef-m4">
        <w:r>
          <w:rPr>
            <w:rStyle w:val="Hyperlink"/>
          </w:rPr>
          <w:t xml:space="preserve">Table S7</w:t>
        </w:r>
      </w:hyperlink>
      <w:r>
        <w:t xml:space="preserve"> </w:t>
      </w:r>
      <w:r>
        <w:t xml:space="preserve">and</w:t>
      </w:r>
      <w:r>
        <w:t xml:space="preserve"> </w:t>
      </w:r>
      <w:hyperlink w:anchor="supptbl-condition-cells">
        <w:r>
          <w:rPr>
            <w:rStyle w:val="Hyperlink"/>
          </w:rPr>
          <w:t xml:space="preserve">Table S8</w:t>
        </w:r>
      </w:hyperlink>
      <w:r>
        <w:t xml:space="preserve"> </w:t>
      </w:r>
      <w:r>
        <w:t xml:space="preserve">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33" w:name="supptbl-model-comparison"/>
          <w:p>
            <w:pPr>
              <w:jc w:val="center"/>
            </w:pPr>
            <w:pPr>
              <w:jc w:val="left"/>
              <w:spacing w:before="200"/>
              <w:pStyle w:val="ImageCaption"/>
            </w:pPr>
            <w:r>
              <w:t xml:space="preserve">Table S3: Model comparison (PSIS-LOO). ΔELPD is relative to the primary model (M4); negative values indicate lower expected predictive accuracy. Model formulas are given in</w:t>
            </w:r>
            <w:r>
              <w:t xml:space="preserve"> </w:t>
            </w:r>
            <w:hyperlink w:anchor="supptbl-formulas">
              <w:r>
                <w:rPr>
                  <w:rStyle w:val="Hyperlink"/>
                </w:rPr>
                <w:t xml:space="preserve">Table S5</w:t>
              </w:r>
            </w:hyperlink>
            <w:r>
              <w:t xml:space="preserve">.</w:t>
            </w:r>
          </w:p>
          <w:tbl>
            <w:tblPr>
              <w:tblStyle w:val="Table"/>
              <w:tblW w:type="pct" w:w="5000"/>
              <w:tblLayout w:type="fixed"/>
              <w:tblLook w:firstRow="1" w:lastRow="0" w:firstColumn="0" w:lastColumn="0" w:noHBand="0" w:noVBand="0" w:val="0020"/>
            </w:tblPr>
            <w:tblGrid>
              <w:gridCol w:w="586"/>
              <w:gridCol w:w="977"/>
              <w:gridCol w:w="586"/>
              <w:gridCol w:w="1271"/>
              <w:gridCol w:w="977"/>
              <w:gridCol w:w="977"/>
              <w:gridCol w:w="782"/>
              <w:gridCol w:w="1271"/>
              <w:gridCol w:w="488"/>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rPr>
                      <w:i/>
                      <w:iCs/>
                    </w:rPr>
                    <w:t xml:space="preserve">SE</w:t>
                  </w:r>
                </w:p>
              </w:tc>
              <w:tc>
                <w:tcPr/>
                <w:p>
                  <w:pPr>
                    <w:pStyle w:val="Compact"/>
                    <w:jc w:val="right"/>
                    <w:jc w:val="center"/>
                  </w:pPr>
                  <w:r>
                    <w:t xml:space="preserve">ΔELPD vs. M4</w:t>
                  </w:r>
                </w:p>
              </w:tc>
              <w:tc>
                <w:tcPr/>
                <w:p>
                  <w:pPr>
                    <w:pStyle w:val="Compact"/>
                    <w:jc w:val="right"/>
                    <w:jc w:val="center"/>
                  </w:pPr>
                  <w:r>
                    <w:rPr>
                      <w:i/>
                      <w:iCs/>
                    </w:rPr>
                    <w:t xml:space="preserve">SE</w:t>
                  </w:r>
                  <w:r>
                    <w:t xml:space="preserve"> </w:t>
                  </w:r>
                  <w:r>
                    <w:t xml:space="preserve">of Δ</w:t>
                  </w:r>
                </w:p>
              </w:tc>
              <w:tc>
                <w:tcPr/>
                <w:p>
                  <w:pPr>
                    <w:pStyle w:val="Compact"/>
                    <w:jc w:val="right"/>
                    <w:jc w:val="center"/>
                  </w:pPr>
                  <w:r>
                    <w:rPr>
                      <w:i/>
                      <w:iCs/>
                    </w:rPr>
                    <w:t xml:space="preserve">k</w:t>
                  </w:r>
                  <w:r>
                    <w:t xml:space="preserve"> </w:t>
                  </w:r>
                  <w:r>
                    <w:t xml:space="preserve">&gt; 0.7</w:t>
                  </w:r>
                </w:p>
              </w:tc>
              <w:tc>
                <w:tcPr/>
                <w:p>
                  <w:pPr>
                    <w:pStyle w:val="Compact"/>
                    <w:jc w:val="right"/>
                    <w:jc w:val="center"/>
                  </w:pPr>
                  <w:r>
                    <w:t xml:space="preserve">Max</w:t>
                  </w:r>
                  <w:r>
                    <w:t xml:space="preserve"> </w:t>
                  </w:r>
                  <w:r>
                    <w:rPr>
                      <w:i/>
                      <w:iCs/>
                    </w:rPr>
                    <w:t xml:space="preserve">R̂</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m2-interactions"/>
          <w:p>
            <w:pPr>
              <w:jc w:val="center"/>
            </w:pPr>
            <w:pPr>
              <w:jc w:val="left"/>
              <w:spacing w:before="200"/>
              <w:pStyle w:val="ImageCaption"/>
            </w:pPr>
            <w:r>
              <w:t xml:space="preserve">Table S4: Difficulty × effort terms in M2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Term</w:t>
                  </w:r>
                </w:p>
              </w:tc>
              <w:tc>
                <w:tcPr/>
                <w:p>
                  <w:pPr>
                    <w:pStyle w:val="Compact"/>
                    <w:jc w:val="right"/>
                    <w:jc w:val="center"/>
                  </w:pPr>
                  <w:r>
                    <w:t xml:space="preserve">Estimate [95% CrI]</w:t>
                  </w:r>
                </w:p>
              </w:tc>
              <w:tc>
                <w:tcPr/>
                <w:p>
                  <w:pPr>
                    <w:pStyle w:val="Compact"/>
                    <w:jc w:val="right"/>
                    <w:jc w:val="center"/>
                  </w:pPr>
                  <w:r>
                    <w:t xml:space="preserve">P(&lt; 0)</w:t>
                  </w:r>
                </w:p>
              </w:tc>
            </w:tr>
            <w:tr>
              <w:tc>
                <w:tcPr/>
                <w:p>
                  <w:pPr>
                    <w:pStyle w:val="Compact"/>
                    <w:jc w:val="left"/>
                    <w:jc w:val="center"/>
                  </w:pPr>
                  <w:r>
                    <w:t xml:space="preserve">Drift, Hard × high</w:t>
                  </w:r>
                </w:p>
              </w:tc>
              <w:tc>
                <w:tcPr/>
                <w:p>
                  <w:pPr>
                    <w:pStyle w:val="Compact"/>
                    <w:jc w:val="right"/>
                    <w:jc w:val="center"/>
                  </w:pPr>
                  <w:r>
                    <w:t xml:space="preserve">−0.020 [−0.114, 0.072]</w:t>
                  </w:r>
                </w:p>
              </w:tc>
              <w:tc>
                <w:tcPr/>
                <w:p>
                  <w:pPr>
                    <w:pStyle w:val="Compact"/>
                    <w:jc w:val="right"/>
                    <w:jc w:val="center"/>
                  </w:pPr>
                  <w:r>
                    <w:t xml:space="preserve">.664</w:t>
                  </w:r>
                </w:p>
              </w:tc>
            </w:tr>
            <w:tr>
              <w:tc>
                <w:tcPr/>
                <w:p>
                  <w:pPr>
                    <w:pStyle w:val="Compact"/>
                    <w:jc w:val="left"/>
                    <w:jc w:val="center"/>
                  </w:pPr>
                  <w:r>
                    <w:t xml:space="preserve">Drift, Easy × high</w:t>
                  </w:r>
                </w:p>
              </w:tc>
              <w:tc>
                <w:tcPr/>
                <w:p>
                  <w:pPr>
                    <w:pStyle w:val="Compact"/>
                    <w:jc w:val="right"/>
                    <w:jc w:val="center"/>
                  </w:pPr>
                  <w:r>
                    <w:t xml:space="preserve">0.057 [−0.040, 0.157]</w:t>
                  </w:r>
                </w:p>
              </w:tc>
              <w:tc>
                <w:tcPr/>
                <w:p>
                  <w:pPr>
                    <w:pStyle w:val="Compact"/>
                    <w:jc w:val="right"/>
                    <w:jc w:val="center"/>
                  </w:pPr>
                  <w:r>
                    <w:t xml:space="preserve">.124</w:t>
                  </w:r>
                </w:p>
              </w:tc>
            </w:tr>
            <w:tr>
              <w:tc>
                <w:tcPr/>
                <w:p>
                  <w:pPr>
                    <w:pStyle w:val="Compact"/>
                    <w:jc w:val="left"/>
                    <w:jc w:val="center"/>
                  </w:pPr>
                  <w:r>
                    <w:t xml:space="preserve">Drift, Hard − Easy</w:t>
                  </w:r>
                </w:p>
              </w:tc>
              <w:tc>
                <w:tcPr/>
                <w:p>
                  <w:pPr>
                    <w:pStyle w:val="Compact"/>
                    <w:jc w:val="right"/>
                    <w:jc w:val="center"/>
                  </w:pPr>
                  <w:r>
                    <w:t xml:space="preserve">−0.078 [−0.154, −0.001]</w:t>
                  </w:r>
                </w:p>
              </w:tc>
              <w:tc>
                <w:tcPr/>
                <w:p>
                  <w:pPr>
                    <w:pStyle w:val="Compact"/>
                    <w:jc w:val="right"/>
                    <w:jc w:val="center"/>
                  </w:pPr>
                  <w:r>
                    <w:t xml:space="preserve">.977</w:t>
                  </w:r>
                </w:p>
              </w:tc>
            </w:tr>
            <w:tr>
              <w:tc>
                <w:tcPr/>
                <w:p>
                  <w:pPr>
                    <w:pStyle w:val="Compact"/>
                    <w:jc w:val="left"/>
                    <w:jc w:val="center"/>
                  </w:pPr>
                  <w:r>
                    <w:t xml:space="preserve">Boundary, Hard × high</w:t>
                  </w:r>
                </w:p>
              </w:tc>
              <w:tc>
                <w:tcPr/>
                <w:p>
                  <w:pPr>
                    <w:pStyle w:val="Compact"/>
                    <w:jc w:val="right"/>
                    <w:jc w:val="center"/>
                  </w:pPr>
                  <w:r>
                    <w:t xml:space="preserve">−0.028 [−0.067, 0.010]</w:t>
                  </w:r>
                </w:p>
              </w:tc>
              <w:tc>
                <w:tcPr/>
                <w:p>
                  <w:pPr>
                    <w:pStyle w:val="Compact"/>
                    <w:jc w:val="right"/>
                    <w:jc w:val="center"/>
                  </w:pPr>
                  <w:r>
                    <w:t xml:space="preserve">.925</w:t>
                  </w:r>
                </w:p>
              </w:tc>
            </w:tr>
            <w:tr>
              <w:tc>
                <w:tcPr/>
                <w:p>
                  <w:pPr>
                    <w:pStyle w:val="Compact"/>
                    <w:jc w:val="left"/>
                    <w:jc w:val="center"/>
                  </w:pPr>
                  <w:r>
                    <w:t xml:space="preserve">Boundary, Easy × high</w:t>
                  </w:r>
                </w:p>
              </w:tc>
              <w:tc>
                <w:tcPr/>
                <w:p>
                  <w:pPr>
                    <w:pStyle w:val="Compact"/>
                    <w:jc w:val="right"/>
                    <w:jc w:val="center"/>
                  </w:pPr>
                  <w:r>
                    <w:t xml:space="preserve">−0.042 [−0.084, −0.001]</w:t>
                  </w:r>
                </w:p>
              </w:tc>
              <w:tc>
                <w:tcPr/>
                <w:p>
                  <w:pPr>
                    <w:pStyle w:val="Compact"/>
                    <w:jc w:val="right"/>
                    <w:jc w:val="center"/>
                  </w:pPr>
                  <w:r>
                    <w:t xml:space="preserve">.976</w:t>
                  </w:r>
                </w:p>
              </w:tc>
            </w:tr>
            <w:tr>
              <w:tc>
                <w:tcPr/>
                <w:p>
                  <w:pPr>
                    <w:pStyle w:val="Compact"/>
                    <w:jc w:val="left"/>
                    <w:jc w:val="center"/>
                  </w:pPr>
                  <w:r>
                    <w:t xml:space="preserve">Boundary, Hard − Easy</w:t>
                  </w:r>
                </w:p>
              </w:tc>
              <w:tc>
                <w:tcPr/>
                <w:p>
                  <w:pPr>
                    <w:pStyle w:val="Compact"/>
                    <w:jc w:val="right"/>
                    <w:jc w:val="center"/>
                  </w:pPr>
                  <w:r>
                    <w:t xml:space="preserve">0.014 [−0.018, 0.046]</w:t>
                  </w:r>
                </w:p>
              </w:tc>
              <w:tc>
                <w:tcPr/>
                <w:p>
                  <w:pPr>
                    <w:pStyle w:val="Compact"/>
                    <w:jc w:val="right"/>
                    <w:jc w:val="center"/>
                  </w:pPr>
                  <w:r>
                    <w:t xml:space="preserve">.192</w:t>
                  </w:r>
                </w:p>
              </w:tc>
            </w:tr>
          </w:tbl>
          <w:p>
            <w:pPr>
              <w:jc w:val="center"/>
            </w:pPr>
            <w:r>
              <w:rPr>
                <w:i/>
                <w:iCs/>
              </w:rPr>
              <w:t xml:space="preserve">Note.</w:t>
            </w:r>
            <w:r>
              <w:t xml:space="preserve"> </w:t>
            </w:r>
            <w:r>
              <w:t xml:space="preserve">Terms are deviations of the high-effort effect from its value on Standard trials. Hard − Easy is the difference between the two deviations. Estimates are on the link scale.</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supptbl-formulas"/>
          <w:p>
            <w:pPr>
              <w:jc w:val="center"/>
            </w:pPr>
            <w:pPr>
              <w:jc w:val="left"/>
              <w:spacing w:before="200"/>
              <w:pStyle w:val="ImageCaption"/>
            </w:pPr>
            <w:r>
              <w:t xml:space="preserve">Table S5: brms formulas for each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w:t>
                  </w:r>
                </w:p>
              </w:tc>
              <w:tc>
                <w:tcPr/>
                <w:p>
                  <w:pPr>
                    <w:pStyle w:val="Compact"/>
                    <w:jc w:val="left"/>
                    <w:jc w:val="center"/>
                  </w:pPr>
                  <w:r>
                    <w:t xml:space="preserve">Formula</w:t>
                  </w:r>
                </w:p>
              </w:tc>
            </w:tr>
            <w:tr>
              <w:tc>
                <w:tcPr/>
                <w:p>
                  <w:pPr>
                    <w:pStyle w:val="Compact"/>
                    <w:jc w:val="left"/>
                    <w:jc w:val="center"/>
                  </w:pPr>
                  <w:r>
                    <w:t xml:space="preserve">M0</w:t>
                  </w:r>
                </w:p>
              </w:tc>
              <w:tc>
                <w:tcPr/>
                <w:p>
                  <w:pPr>
                    <w:pStyle w:val="Compact"/>
                    <w:jc w:val="left"/>
                    <w:jc w:val="center"/>
                  </w:pPr>
                  <w:r>
                    <w:rPr>
                      <w:rStyle w:val="VerbatimChar"/>
                    </w:rPr>
                    <w:t xml:space="preserve">rt | dec(choice_binary) ~ difficulty_3 + (1 | subject_id); bs ~ difficulty_3 + (1 | subject_id); ndt ~ 1; bias ~ task + effort_condition + (1 | subject_id)</w:t>
                  </w:r>
                </w:p>
              </w:tc>
            </w:tr>
            <w:tr>
              <w:tc>
                <w:tcPr/>
                <w:p>
                  <w:pPr>
                    <w:pStyle w:val="Compact"/>
                    <w:jc w:val="left"/>
                    <w:jc w:val="center"/>
                  </w:pPr>
                  <w:r>
                    <w:t xml:space="preserve">M1</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M2</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M3</w:t>
                  </w:r>
                </w:p>
              </w:tc>
              <w:tc>
                <w:tcPr/>
                <w:p>
                  <w:pPr>
                    <w:pStyle w:val="Compact"/>
                    <w:jc w:val="left"/>
                    <w:jc w:val="center"/>
                  </w:pPr>
                  <w:r>
                    <w:rPr>
                      <w:rStyle w:val="VerbatimChar"/>
                    </w:rPr>
                    <w:t xml:space="preserve">rt | dec(choice_binary) ~ difficulty_3 + effort_condition + effort_x_stim + (1 | subject_id); bs ~ difficulty_3 + effort_condition + (1 | subject_id); ndt ~ 1; bias ~ task + effort_condition + (1 | subject_id)</w:t>
                  </w:r>
                </w:p>
              </w:tc>
            </w:tr>
            <w:tr>
              <w:tc>
                <w:tcPr/>
                <w:p>
                  <w:pPr>
                    <w:pStyle w:val="Compact"/>
                    <w:jc w:val="left"/>
                    <w:jc w:val="center"/>
                  </w:pPr>
                  <w:r>
                    <w:t xml:space="preserve">M4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M4b</w:t>
                  </w:r>
                </w:p>
              </w:tc>
              <w:tc>
                <w:tcPr/>
                <w:p>
                  <w:pPr>
                    <w:pStyle w:val="Compact"/>
                    <w:jc w:val="left"/>
                    <w:jc w:val="center"/>
                  </w:pPr>
                  <w:r>
                    <w:rPr>
                      <w:rStyle w:val="VerbatimChar"/>
                    </w:rPr>
                    <w:t xml:space="preserve">rt | dec(choice_binary) ~ difficulty_3 * task + effort_condition + effort_x_stim + effort_condition:task + effort_x_stim:task + (1 | subject_id); bs ~ difficulty_3 + task + effort_condition + (1 | subject_id); ndt ~ 1; bias ~ task + effort_condition + (1 | subject_id)</w:t>
                  </w:r>
                </w:p>
              </w:tc>
            </w:tr>
            <w:tr>
              <w:tc>
                <w:tcPr/>
                <w:p>
                  <w:pPr>
                    <w:pStyle w:val="Compact"/>
                    <w:jc w:val="left"/>
                    <w:jc w:val="center"/>
                  </w:pPr>
                  <w:r>
                    <w:t xml:space="preserve">M4r</w:t>
                  </w:r>
                </w:p>
              </w:tc>
              <w:tc>
                <w:tcPr/>
                <w:p>
                  <w:pPr>
                    <w:pStyle w:val="Compact"/>
                    <w:jc w:val="left"/>
                    <w:jc w:val="center"/>
                  </w:pPr>
                  <w:r>
                    <w:rPr>
                      <w:rStyle w:val="VerbatimChar"/>
                    </w:rPr>
                    <w:t xml:space="preserve">rt | dec(choice_binary) ~ difficulty_3 * task + effort_condition + effort_x_stim + (1 + effort_condition | subject_id); bs ~ difficulty_3 + task + effort_condition + (1 + effort_condition | subject_id); ndt ~ 1; bias ~ task + effort_condition + (1 | subject_id)</w:t>
                  </w:r>
                </w:p>
              </w:tc>
            </w:tr>
            <w:tr>
              <w:tc>
                <w:tcPr/>
                <w:p>
                  <w:pPr>
                    <w:pStyle w:val="Compact"/>
                    <w:jc w:val="left"/>
                    <w:jc w:val="center"/>
                  </w:pPr>
                  <w:r>
                    <w:t xml:space="preserve">P0</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P1</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tepr_c + (1 | subject_id)</w:t>
                  </w:r>
                </w:p>
              </w:tc>
            </w:tr>
            <w:tr>
              <w:tc>
                <w:tcPr/>
                <w:p>
                  <w:pPr>
                    <w:pStyle w:val="Compact"/>
                    <w:jc w:val="left"/>
                    <w:jc w:val="center"/>
                  </w:pPr>
                  <w:r>
                    <w:t xml:space="preserve">P2</w:t>
                  </w:r>
                </w:p>
              </w:tc>
              <w:tc>
                <w:tcPr/>
                <w:p>
                  <w:pPr>
                    <w:pStyle w:val="Compact"/>
                    <w:jc w:val="left"/>
                    <w:jc w:val="center"/>
                  </w:pPr>
                  <w:r>
                    <w:rPr>
                      <w:rStyle w:val="VerbatimChar"/>
                    </w:rPr>
                    <w:t xml:space="preserve">rt | dec(choice_binary) ~ difficulty_3 * task + effort_condition + effort_x_stim + tepr_c + tepr_c:stim_sign + (1 | subject_id); bs ~ difficulty_3 + task + effort_condition + (1 | subject_id); ndt ~ 1; bias ~ task + effort_condition + (1 | subject_id)</w:t>
                  </w:r>
                </w:p>
              </w:tc>
            </w:tr>
            <w:tr>
              <w:tc>
                <w:tcPr/>
                <w:p>
                  <w:pPr>
                    <w:pStyle w:val="Compact"/>
                    <w:jc w:val="left"/>
                    <w:jc w:val="center"/>
                  </w:pPr>
                  <w:r>
                    <w:t xml:space="preserve">P3</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P3 without slowest trials</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base_c + (1 | subject_id)</w:t>
                  </w:r>
                </w:p>
              </w:tc>
            </w:tr>
            <w:tr>
              <w:tc>
                <w:tcPr/>
                <w:p>
                  <w:pPr>
                    <w:pStyle w:val="Compact"/>
                    <w:jc w:val="left"/>
                    <w:jc w:val="center"/>
                  </w:pPr>
                  <w:r>
                    <w:t xml:space="preserve">P5</w:t>
                  </w:r>
                </w:p>
              </w:tc>
              <w:tc>
                <w:tcPr/>
                <w:p>
                  <w:pPr>
                    <w:pStyle w:val="Compact"/>
                    <w:jc w:val="left"/>
                    <w:jc w:val="center"/>
                  </w:pPr>
                  <w:r>
                    <w:rPr>
                      <w:rStyle w:val="VerbatimChar"/>
                    </w:rPr>
                    <w:t xml:space="preserve">rt | dec(choice_binary) ~ difficulty_3 * task + effort_condition + effort_x_stim + (1 | subject_id); bs ~ difficulty_3 + task + effort_condition + base_c + (1 | subject_id); ndt ~ 1; bias ~ task + effort_condition + (1 | subject_id)</w:t>
                  </w:r>
                </w:p>
              </w:tc>
            </w:tr>
            <w:tr>
              <w:tc>
                <w:tcPr/>
                <w:p>
                  <w:pPr>
                    <w:pStyle w:val="Compact"/>
                    <w:jc w:val="left"/>
                    <w:jc w:val="center"/>
                  </w:pPr>
                  <w:r>
                    <w:t xml:space="preserve">P6</w:t>
                  </w:r>
                </w:p>
              </w:tc>
              <w:tc>
                <w:tcPr/>
                <w:p>
                  <w:pPr>
                    <w:pStyle w:val="Compact"/>
                    <w:jc w:val="left"/>
                    <w:jc w:val="center"/>
                  </w:pPr>
                  <w:r>
                    <w:rPr>
                      <w:rStyle w:val="VerbatimChar"/>
                    </w:rPr>
                    <w:t xml:space="preserve">rt | dec(choice_binary) ~ difficulty_3 * task + effort_condition + effort_x_stim + (1 | subject_id); bs ~ difficulty_3 + task + effort_condition + lag_tepr_c + (1 | subject_id); ndt ~ 1; bias ~ task + effort_condition + (1 | subject_id)</w:t>
                  </w:r>
                </w:p>
              </w:tc>
            </w:tr>
            <w:tr>
              <w:tc>
                <w:tcPr/>
                <w:p>
                  <w:pPr>
                    <w:pStyle w:val="Compact"/>
                    <w:jc w:val="left"/>
                    <w:jc w:val="center"/>
                  </w:pPr>
                  <w:r>
                    <w:t xml:space="preserve">P7</w:t>
                  </w:r>
                </w:p>
              </w:tc>
              <w:tc>
                <w:tcPr/>
                <w:p>
                  <w:pPr>
                    <w:pStyle w:val="Compact"/>
                    <w:jc w:val="left"/>
                    <w:jc w:val="center"/>
                  </w:pPr>
                  <w:r>
                    <w:rPr>
                      <w:rStyle w:val="VerbatimChar"/>
                    </w:rPr>
                    <w:t xml:space="preserve">rt | dec(choice_binary) ~ difficulty_3 * task + effort_condition + effort_x_stim + (1 | subject_id); bs ~ difficulty_3 + task + effort_condition + prechoice_c + (1 | subject_id); ndt ~ 1; bias ~ task + effort_condition + (1 | subject_id)</w:t>
                  </w:r>
                </w:p>
              </w:tc>
            </w:tr>
            <w:tr>
              <w:tc>
                <w:tcPr/>
                <w:p>
                  <w:pPr>
                    <w:pStyle w:val="Compact"/>
                    <w:jc w:val="left"/>
                    <w:jc w:val="center"/>
                  </w:pPr>
                  <w:r>
                    <w:t xml:space="preserve">P8</w:t>
                  </w:r>
                </w:p>
              </w:tc>
              <w:tc>
                <w:tcPr/>
                <w:p>
                  <w:pPr>
                    <w:pStyle w:val="Compact"/>
                    <w:jc w:val="left"/>
                    <w:jc w:val="center"/>
                  </w:pPr>
                  <w:r>
                    <w:rPr>
                      <w:rStyle w:val="VerbatimChar"/>
                    </w:rPr>
                    <w:t xml:space="preserve">rt | dec(choice_binary) ~ difficulty_3 * task + effort_condition + effort_x_stim + (1 | subject_id); bs ~ difficulty_3 + task + effort_condition + grip_c + (1 | subject_id); ndt ~ 1; bias ~ task + effort_condition + (1 | subject_id)</w:t>
                  </w:r>
                </w:p>
              </w:tc>
            </w:tr>
            <w:tr>
              <w:tc>
                <w:tcPr/>
                <w:p>
                  <w:pPr>
                    <w:pStyle w:val="Compact"/>
                    <w:jc w:val="left"/>
                    <w:jc w:val="center"/>
                  </w:pPr>
                  <w:r>
                    <w:t xml:space="preserve">Baseline for P4–P5</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P6</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P7</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P8</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P3 without slowest trials</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bl>
          <w:bookmarkEnd w:id="1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supptbl-convergence"/>
          <w:p>
            <w:pPr>
              <w:jc w:val="center"/>
            </w:pPr>
            <w:pPr>
              <w:jc w:val="left"/>
              <w:spacing w:before="200"/>
              <w:pStyle w:val="ImageCaption"/>
            </w:pPr>
            <w:r>
              <w:t xml:space="preserve">Table S6: Convergence diagnostics for all reported models</w:t>
            </w:r>
          </w:p>
          <w:tbl>
            <w:tblPr>
              <w:tblStyle w:val="Table"/>
              <w:tblW w:type="pct" w:w="5000"/>
              <w:tblLayout w:type="fixed"/>
              <w:tblLook w:firstRow="1" w:lastRow="0" w:firstColumn="0" w:lastColumn="0" w:noHBand="0" w:noVBand="0" w:val="0020"/>
            </w:tblPr>
            <w:tblGrid>
              <w:gridCol w:w="2451"/>
              <w:gridCol w:w="2137"/>
              <w:gridCol w:w="628"/>
              <w:gridCol w:w="817"/>
              <w:gridCol w:w="817"/>
              <w:gridCol w:w="754"/>
              <w:gridCol w:w="314"/>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1,921</w:t>
                  </w:r>
                </w:p>
              </w:tc>
              <w:tc>
                <w:tcPr/>
                <w:p>
                  <w:pPr>
                    <w:pStyle w:val="Compact"/>
                    <w:jc w:val="right"/>
                    <w:jc w:val="center"/>
                  </w:pPr>
                  <w:r>
                    <w:t xml:space="preserve">3,873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P4–P5</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1,242</w:t>
                  </w:r>
                </w:p>
              </w:tc>
              <w:tc>
                <w:tcPr/>
                <w:p>
                  <w:pPr>
                    <w:pStyle w:val="Compact"/>
                    <w:jc w:val="right"/>
                    <w:jc w:val="center"/>
                  </w:pPr>
                  <w:r>
                    <w:t xml:space="preserve">2,480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P3 without slowest trials</w:t>
                  </w:r>
                </w:p>
              </w:tc>
              <w:tc>
                <w:tcPr/>
                <w:p>
                  <w:pPr>
                    <w:pStyle w:val="Compact"/>
                    <w:jc w:val="right"/>
                    <w:jc w:val="center"/>
                  </w:pPr>
                  <w:r>
                    <w:t xml:space="preserve">pupil-ordering baseline</w:t>
                  </w:r>
                </w:p>
              </w:tc>
              <w:tc>
                <w:tcPr/>
                <w:p>
                  <w:pPr>
                    <w:pStyle w:val="Compact"/>
                    <w:jc w:val="right"/>
                    <w:jc w:val="center"/>
                  </w:pPr>
                  <w:r>
                    <w:t xml:space="preserve">1.004</w:t>
                  </w:r>
                </w:p>
              </w:tc>
              <w:tc>
                <w:tcPr/>
                <w:p>
                  <w:pPr>
                    <w:pStyle w:val="Compact"/>
                    <w:jc w:val="right"/>
                    <w:jc w:val="center"/>
                  </w:pPr>
                  <w:r>
                    <w:t xml:space="preserve">1,579</w:t>
                  </w:r>
                </w:p>
              </w:tc>
              <w:tc>
                <w:tcPr/>
                <w:p>
                  <w:pPr>
                    <w:pStyle w:val="Compact"/>
                    <w:jc w:val="right"/>
                    <w:jc w:val="center"/>
                  </w:pPr>
                  <w:r>
                    <w:t xml:space="preserve">3,059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P6</w:t>
                  </w:r>
                </w:p>
              </w:tc>
              <w:tc>
                <w:tcPr/>
                <w:p>
                  <w:pPr>
                    <w:pStyle w:val="Compact"/>
                    <w:jc w:val="right"/>
                    <w:jc w:val="center"/>
                  </w:pPr>
                  <w:r>
                    <w:t xml:space="preserve">pupil-ordering baseline</w:t>
                  </w:r>
                </w:p>
              </w:tc>
              <w:tc>
                <w:tcPr/>
                <w:p>
                  <w:pPr>
                    <w:pStyle w:val="Compact"/>
                    <w:jc w:val="right"/>
                    <w:jc w:val="center"/>
                  </w:pPr>
                  <w:r>
                    <w:t xml:space="preserve">1.008</w:t>
                  </w:r>
                </w:p>
              </w:tc>
              <w:tc>
                <w:tcPr/>
                <w:p>
                  <w:pPr>
                    <w:pStyle w:val="Compact"/>
                    <w:jc w:val="right"/>
                    <w:jc w:val="center"/>
                  </w:pPr>
                  <w:r>
                    <w:t xml:space="preserve">1,211</w:t>
                  </w:r>
                </w:p>
              </w:tc>
              <w:tc>
                <w:tcPr/>
                <w:p>
                  <w:pPr>
                    <w:pStyle w:val="Compact"/>
                    <w:jc w:val="right"/>
                    <w:jc w:val="center"/>
                  </w:pPr>
                  <w:r>
                    <w:t xml:space="preserve">2,227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P7</w:t>
                  </w:r>
                </w:p>
              </w:tc>
              <w:tc>
                <w:tcPr/>
                <w:p>
                  <w:pPr>
                    <w:pStyle w:val="Compact"/>
                    <w:jc w:val="right"/>
                    <w:jc w:val="center"/>
                  </w:pPr>
                  <w:r>
                    <w:t xml:space="preserve">pupil-ordering baseline</w:t>
                  </w:r>
                </w:p>
              </w:tc>
              <w:tc>
                <w:tcPr/>
                <w:p>
                  <w:pPr>
                    <w:pStyle w:val="Compact"/>
                    <w:jc w:val="right"/>
                    <w:jc w:val="center"/>
                  </w:pPr>
                  <w:r>
                    <w:t xml:space="preserve">1.007</w:t>
                  </w:r>
                </w:p>
              </w:tc>
              <w:tc>
                <w:tcPr/>
                <w:p>
                  <w:pPr>
                    <w:pStyle w:val="Compact"/>
                    <w:jc w:val="right"/>
                    <w:jc w:val="center"/>
                  </w:pPr>
                  <w:r>
                    <w:t xml:space="preserve">954</w:t>
                  </w:r>
                </w:p>
              </w:tc>
              <w:tc>
                <w:tcPr/>
                <w:p>
                  <w:pPr>
                    <w:pStyle w:val="Compact"/>
                    <w:jc w:val="right"/>
                    <w:jc w:val="center"/>
                  </w:pPr>
                  <w:r>
                    <w:t xml:space="preserve">2,367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P8</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2,064</w:t>
                  </w:r>
                </w:p>
              </w:tc>
              <w:tc>
                <w:tcPr/>
                <w:p>
                  <w:pPr>
                    <w:pStyle w:val="Compact"/>
                    <w:jc w:val="right"/>
                    <w:jc w:val="center"/>
                  </w:pPr>
                  <w:r>
                    <w:t xml:space="preserve">4,686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1,307</w:t>
                  </w:r>
                </w:p>
              </w:tc>
              <w:tc>
                <w:tcPr/>
                <w:p>
                  <w:pPr>
                    <w:pStyle w:val="Compact"/>
                    <w:jc w:val="right"/>
                    <w:jc w:val="center"/>
                  </w:pPr>
                  <w:r>
                    <w:t xml:space="preserve">2,207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914</w:t>
                  </w:r>
                </w:p>
              </w:tc>
              <w:tc>
                <w:tcPr/>
                <w:p>
                  <w:pPr>
                    <w:pStyle w:val="Compact"/>
                    <w:jc w:val="right"/>
                    <w:jc w:val="center"/>
                  </w:pPr>
                  <w:r>
                    <w:t xml:space="preserve">2,101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1.005</w:t>
                  </w:r>
                </w:p>
              </w:tc>
              <w:tc>
                <w:tcPr/>
                <w:p>
                  <w:pPr>
                    <w:pStyle w:val="Compact"/>
                    <w:jc w:val="right"/>
                    <w:jc w:val="center"/>
                  </w:pPr>
                  <w:r>
                    <w:t xml:space="preserve">1,101</w:t>
                  </w:r>
                </w:p>
              </w:tc>
              <w:tc>
                <w:tcPr/>
                <w:p>
                  <w:pPr>
                    <w:pStyle w:val="Compact"/>
                    <w:jc w:val="right"/>
                    <w:jc w:val="center"/>
                  </w:pPr>
                  <w:r>
                    <w:t xml:space="preserve">2,126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 without slowest trials</w:t>
                  </w:r>
                </w:p>
              </w:tc>
              <w:tc>
                <w:tcPr/>
                <w:p>
                  <w:pPr>
                    <w:pStyle w:val="Compact"/>
                    <w:jc w:val="right"/>
                    <w:jc w:val="center"/>
                  </w:pPr>
                  <w:r>
                    <w:t xml:space="preserve">pupil-ordering</w:t>
                  </w:r>
                </w:p>
              </w:tc>
              <w:tc>
                <w:tcPr/>
                <w:p>
                  <w:pPr>
                    <w:pStyle w:val="Compact"/>
                    <w:jc w:val="right"/>
                    <w:jc w:val="center"/>
                  </w:pPr>
                  <w:r>
                    <w:t xml:space="preserve">1.005</w:t>
                  </w:r>
                </w:p>
              </w:tc>
              <w:tc>
                <w:tcPr/>
                <w:p>
                  <w:pPr>
                    <w:pStyle w:val="Compact"/>
                    <w:jc w:val="right"/>
                    <w:jc w:val="center"/>
                  </w:pPr>
                  <w:r>
                    <w:t xml:space="preserve">1,585</w:t>
                  </w:r>
                </w:p>
              </w:tc>
              <w:tc>
                <w:tcPr/>
                <w:p>
                  <w:pPr>
                    <w:pStyle w:val="Compact"/>
                    <w:jc w:val="right"/>
                    <w:jc w:val="center"/>
                  </w:pPr>
                  <w:r>
                    <w:t xml:space="preserve">2,740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1.006</w:t>
                  </w:r>
                </w:p>
              </w:tc>
              <w:tc>
                <w:tcPr/>
                <w:p>
                  <w:pPr>
                    <w:pStyle w:val="Compact"/>
                    <w:jc w:val="right"/>
                    <w:jc w:val="center"/>
                  </w:pPr>
                  <w:r>
                    <w:t xml:space="preserve">1,161</w:t>
                  </w:r>
                </w:p>
              </w:tc>
              <w:tc>
                <w:tcPr/>
                <w:p>
                  <w:pPr>
                    <w:pStyle w:val="Compact"/>
                    <w:jc w:val="right"/>
                    <w:jc w:val="center"/>
                  </w:pPr>
                  <w:r>
                    <w:t xml:space="preserve">2,446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1,207</w:t>
                  </w:r>
                </w:p>
              </w:tc>
              <w:tc>
                <w:tcPr/>
                <w:p>
                  <w:pPr>
                    <w:pStyle w:val="Compact"/>
                    <w:jc w:val="right"/>
                    <w:jc w:val="center"/>
                  </w:pPr>
                  <w:r>
                    <w:t xml:space="preserve">2,209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1,116</w:t>
                  </w:r>
                </w:p>
              </w:tc>
              <w:tc>
                <w:tcPr/>
                <w:p>
                  <w:pPr>
                    <w:pStyle w:val="Compact"/>
                    <w:jc w:val="right"/>
                    <w:jc w:val="center"/>
                  </w:pPr>
                  <w:r>
                    <w:t xml:space="preserve">2,146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1,176</w:t>
                  </w:r>
                </w:p>
              </w:tc>
              <w:tc>
                <w:tcPr/>
                <w:p>
                  <w:pPr>
                    <w:pStyle w:val="Compact"/>
                    <w:jc w:val="right"/>
                    <w:jc w:val="center"/>
                  </w:pPr>
                  <w:r>
                    <w:t xml:space="preserve">2,313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1,008</w:t>
                  </w:r>
                </w:p>
              </w:tc>
              <w:tc>
                <w:tcPr/>
                <w:p>
                  <w:pPr>
                    <w:pStyle w:val="Compact"/>
                    <w:jc w:val="right"/>
                    <w:jc w:val="center"/>
                  </w:pPr>
                  <w:r>
                    <w:t xml:space="preserve">2,353</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supptbl-fixef-m4"/>
          <w:p>
            <w:pPr>
              <w:jc w:val="center"/>
            </w:pPr>
            <w:pPr>
              <w:jc w:val="left"/>
              <w:spacing w:before="200"/>
              <w:pStyle w:val="ImageCaption"/>
            </w:pPr>
            <w:r>
              <w:t xml:space="preserve">Table S7: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supptbl-condition-cells"/>
          <w:p>
            <w:pPr>
              <w:jc w:val="center"/>
            </w:pPr>
            <w:pPr>
              <w:jc w:val="left"/>
              <w:spacing w:before="200"/>
              <w:pStyle w:val="ImageCaption"/>
            </w:pPr>
            <w:r>
              <w:t xml:space="preserve">Table S8: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38"/>
        </w:tc>
      </w:tr>
    </w:tbl>
    <w:p>
      <w:pPr>
        <w:pStyle w:val="BodyText"/>
      </w:pPr>
      <w:r>
        <w:t xml:space="preserve">M4 reproduced choice proportions closely (</w:t>
      </w:r>
      <w:hyperlink w:anchor="supptbl-ppc-choice">
        <w:r>
          <w:rPr>
            <w:rStyle w:val="Hyperlink"/>
          </w:rPr>
          <w:t xml:space="preserve">Table S9</w:t>
        </w:r>
      </w:hyperlink>
      <w:r>
        <w:t xml:space="preserve">;</w:t>
      </w:r>
      <w:r>
        <w:t xml:space="preserve"> </w:t>
      </w:r>
      <w:hyperlink w:anchor="suppfig-ppc">
        <w:r>
          <w:rPr>
            <w:rStyle w:val="Hyperlink"/>
          </w:rPr>
          <w:t xml:space="preserve">Figure S2</w:t>
        </w:r>
      </w:hyperlink>
      <w:r>
        <w:t xml:space="preserve">, panel A). RT quantiles fit less well: observed RTs for minority responses were slower than predicted (</w:t>
      </w:r>
      <w:hyperlink w:anchor="suppfig-ppc">
        <w:r>
          <w:rPr>
            <w:rStyle w:val="Hyperlink"/>
          </w:rPr>
          <w:t xml:space="preserve">Figure S2</w:t>
        </w:r>
      </w:hyperlink>
      <w:r>
        <w:t xml:space="preserve">, panel 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42" w:name="suppfig-ppc"/>
          <w:p>
            <w:pPr>
              <w:jc w:val="center"/>
            </w:pPr>
            <w:r>
              <w:drawing>
                <wp:inline>
                  <wp:extent cx="5334000" cy="4461163"/>
                  <wp:effectExtent b="0" l="0" r="0" t="0"/>
                  <wp:docPr descr="" title="" id="140" name="Picture"/>
                  <a:graphic>
                    <a:graphicData uri="http://schemas.openxmlformats.org/drawingml/2006/picture">
                      <pic:pic>
                        <pic:nvPicPr>
                          <pic:cNvPr descr="../output/ddm_refits/runs/final_20261016/figures/final/S_ppc_M4.png" id="141" name="Picture"/>
                          <pic:cNvPicPr>
                            <a:picLocks noChangeArrowheads="1" noChangeAspect="1"/>
                          </pic:cNvPicPr>
                        </pic:nvPicPr>
                        <pic:blipFill>
                          <a:blip r:embed="rId139"/>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supptbl-ppc-choice"/>
          <w:p>
            <w:pPr>
              <w:jc w:val="center"/>
            </w:pPr>
            <w:pPr>
              <w:jc w:val="left"/>
              <w:spacing w:before="200"/>
              <w:pStyle w:val="ImageCaption"/>
            </w:pPr>
            <w:r>
              <w:t xml:space="preserve">Table S9: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.303</w:t>
                  </w:r>
                </w:p>
              </w:tc>
              <w:tc>
                <w:tcPr/>
                <w:p>
                  <w:pPr>
                    <w:pStyle w:val="Compact"/>
                    <w:jc w:val="right"/>
                    <w:jc w:val="center"/>
                  </w:pPr>
                  <w:r>
                    <w:t xml:space="preserve">.291</w:t>
                  </w:r>
                </w:p>
              </w:tc>
              <w:tc>
                <w:tcPr/>
                <w:p>
                  <w:pPr>
                    <w:pStyle w:val="Compact"/>
                    <w:jc w:val="right"/>
                    <w:jc w:val="center"/>
                  </w:pPr>
                  <w:r>
                    <w:t xml:space="preserve">[.269, .317]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.812</w:t>
                  </w:r>
                </w:p>
              </w:tc>
              <w:tc>
                <w:tcPr/>
                <w:p>
                  <w:pPr>
                    <w:pStyle w:val="Compact"/>
                    <w:jc w:val="right"/>
                    <w:jc w:val="center"/>
                  </w:pPr>
                  <w:r>
                    <w:t xml:space="preserve">.827</w:t>
                  </w:r>
                </w:p>
              </w:tc>
              <w:tc>
                <w:tcPr/>
                <w:p>
                  <w:pPr>
                    <w:pStyle w:val="Compact"/>
                    <w:jc w:val="right"/>
                    <w:jc w:val="center"/>
                  </w:pPr>
                  <w:r>
                    <w:t xml:space="preserve">[.808, .851]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.121</w:t>
                  </w:r>
                </w:p>
              </w:tc>
              <w:tc>
                <w:tcPr/>
                <w:p>
                  <w:pPr>
                    <w:pStyle w:val="Compact"/>
                    <w:jc w:val="right"/>
                    <w:jc w:val="center"/>
                  </w:pPr>
                  <w:r>
                    <w:t xml:space="preserve">.113</w:t>
                  </w:r>
                </w:p>
              </w:tc>
              <w:tc>
                <w:tcPr/>
                <w:p>
                  <w:pPr>
                    <w:pStyle w:val="Compact"/>
                    <w:jc w:val="right"/>
                    <w:jc w:val="center"/>
                  </w:pPr>
                  <w:r>
                    <w:t xml:space="preserve">[.088, .138]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.831</w:t>
                  </w:r>
                </w:p>
              </w:tc>
              <w:tc>
                <w:tcPr/>
                <w:p>
                  <w:pPr>
                    <w:pStyle w:val="Compact"/>
                    <w:jc w:val="right"/>
                    <w:jc w:val="center"/>
                  </w:pPr>
                  <w:r>
                    <w:t xml:space="preserve">.844</w:t>
                  </w:r>
                </w:p>
              </w:tc>
              <w:tc>
                <w:tcPr/>
                <w:p>
                  <w:pPr>
                    <w:pStyle w:val="Compact"/>
                    <w:jc w:val="right"/>
                    <w:jc w:val="center"/>
                  </w:pPr>
                  <w:r>
                    <w:t xml:space="preserve">[.825, .864]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[.235, .288]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.153</w:t>
                  </w:r>
                </w:p>
              </w:tc>
              <w:tc>
                <w:tcPr/>
                <w:p>
                  <w:pPr>
                    <w:pStyle w:val="Compact"/>
                    <w:jc w:val="right"/>
                    <w:jc w:val="center"/>
                  </w:pPr>
                  <w:r>
                    <w:t xml:space="preserve">.128</w:t>
                  </w:r>
                </w:p>
              </w:tc>
              <w:tc>
                <w:tcPr/>
                <w:p>
                  <w:pPr>
                    <w:pStyle w:val="Compact"/>
                    <w:jc w:val="right"/>
                    <w:jc w:val="center"/>
                  </w:pPr>
                  <w:r>
                    <w:t xml:space="preserve">[.101, .154]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.289</w:t>
                  </w:r>
                </w:p>
              </w:tc>
              <w:tc>
                <w:tcPr/>
                <w:p>
                  <w:pPr>
                    <w:pStyle w:val="Compact"/>
                    <w:jc w:val="right"/>
                    <w:jc w:val="center"/>
                  </w:pPr>
                  <w:r>
                    <w:t xml:space="preserve">.275</w:t>
                  </w:r>
                </w:p>
              </w:tc>
              <w:tc>
                <w:tcPr/>
                <w:p>
                  <w:pPr>
                    <w:pStyle w:val="Compact"/>
                    <w:jc w:val="right"/>
                    <w:jc w:val="center"/>
                  </w:pPr>
                  <w:r>
                    <w:t xml:space="preserve">[.249, .302]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.337</w:t>
                  </w:r>
                </w:p>
              </w:tc>
              <w:tc>
                <w:tcPr/>
                <w:p>
                  <w:pPr>
                    <w:pStyle w:val="Compact"/>
                    <w:jc w:val="right"/>
                    <w:jc w:val="center"/>
                  </w:pPr>
                  <w:r>
                    <w:t xml:space="preserve">.308</w:t>
                  </w:r>
                </w:p>
              </w:tc>
              <w:tc>
                <w:tcPr/>
                <w:p>
                  <w:pPr>
                    <w:pStyle w:val="Compact"/>
                    <w:jc w:val="right"/>
                    <w:jc w:val="center"/>
                  </w:pPr>
                  <w:r>
                    <w:t xml:space="preserve">[.281, .332]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.909</w:t>
                  </w:r>
                </w:p>
              </w:tc>
              <w:tc>
                <w:tcPr/>
                <w:p>
                  <w:pPr>
                    <w:pStyle w:val="Compact"/>
                    <w:jc w:val="right"/>
                    <w:jc w:val="center"/>
                  </w:pPr>
                  <w:r>
                    <w:t xml:space="preserve">.920</w:t>
                  </w:r>
                </w:p>
              </w:tc>
              <w:tc>
                <w:tcPr/>
                <w:p>
                  <w:pPr>
                    <w:pStyle w:val="Compact"/>
                    <w:jc w:val="right"/>
                    <w:jc w:val="center"/>
                  </w:pPr>
                  <w:r>
                    <w:t xml:space="preserve">[.907, .935]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.075</w:t>
                  </w:r>
                </w:p>
              </w:tc>
              <w:tc>
                <w:tcPr/>
                <w:p>
                  <w:pPr>
                    <w:pStyle w:val="Compact"/>
                    <w:jc w:val="right"/>
                    <w:jc w:val="center"/>
                  </w:pPr>
                  <w:r>
                    <w:t xml:space="preserve">.067</w:t>
                  </w:r>
                </w:p>
              </w:tc>
              <w:tc>
                <w:tcPr/>
                <w:p>
                  <w:pPr>
                    <w:pStyle w:val="Compact"/>
                    <w:jc w:val="right"/>
                    <w:jc w:val="center"/>
                  </w:pPr>
                  <w:r>
                    <w:t xml:space="preserve">[.047, .084]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.912</w:t>
                  </w:r>
                </w:p>
              </w:tc>
              <w:tc>
                <w:tcPr/>
                <w:p>
                  <w:pPr>
                    <w:pStyle w:val="Compact"/>
                    <w:jc w:val="right"/>
                    <w:jc w:val="center"/>
                  </w:pPr>
                  <w:r>
                    <w:t xml:space="preserve">.927</w:t>
                  </w:r>
                </w:p>
              </w:tc>
              <w:tc>
                <w:tcPr/>
                <w:p>
                  <w:pPr>
                    <w:pStyle w:val="Compact"/>
                    <w:jc w:val="right"/>
                    <w:jc w:val="center"/>
                  </w:pPr>
                  <w:r>
                    <w:t xml:space="preserve">[.914, .941]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.078</w:t>
                  </w:r>
                </w:p>
              </w:tc>
              <w:tc>
                <w:tcPr/>
                <w:p>
                  <w:pPr>
                    <w:pStyle w:val="Compact"/>
                    <w:jc w:val="right"/>
                    <w:jc w:val="center"/>
                  </w:pPr>
                  <w:r>
                    <w:t xml:space="preserve">.076</w:t>
                  </w:r>
                </w:p>
              </w:tc>
              <w:tc>
                <w:tcPr/>
                <w:p>
                  <w:pPr>
                    <w:pStyle w:val="Compact"/>
                    <w:jc w:val="right"/>
                    <w:jc w:val="center"/>
                  </w:pPr>
                  <w:r>
                    <w:t xml:space="preserve">[.056, .099]</w:t>
                  </w:r>
                </w:p>
              </w:tc>
              <w:tc>
                <w:tcPr/>
                <w:p>
                  <w:pPr>
                    <w:pStyle w:val="Compact"/>
                    <w:jc w:val="right"/>
                    <w:jc w:val="center"/>
                  </w:pPr>
                  <w:r>
                    <w:t xml:space="preserve">Yes</w:t>
                  </w:r>
                </w:p>
              </w:tc>
            </w:tr>
          </w:tbl>
          <w:bookmarkEnd w:id="143"/>
          <w:p/>
        </w:tc>
      </w:tr>
    </w:tbl>
    <w:p>
      <w:pPr>
        <w:pStyle w:val="BodyText"/>
      </w:pPr>
      <w:r>
        <w:t xml:space="preserve">The non-decision-time posterior lay well below its upper bound (</w:t>
      </w:r>
      <w:hyperlink w:anchor="suppfig-ndt">
        <w:r>
          <w:rPr>
            <w:rStyle w:val="Hyperlink"/>
          </w:rPr>
          <w:t xml:space="preserve">Figure S3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7" w:name="suppfig-ndt"/>
          <w:p>
            <w:pPr>
              <w:jc w:val="center"/>
            </w:pPr>
            <w:r>
              <w:drawing>
                <wp:inline>
                  <wp:extent cx="5334000" cy="5506064"/>
                  <wp:effectExtent b="0" l="0" r="0" t="0"/>
                  <wp:docPr descr="" title="" id="145" name="Picture"/>
                  <a:graphic>
                    <a:graphicData uri="http://schemas.openxmlformats.org/drawingml/2006/picture">
                      <pic:pic>
                        <pic:nvPicPr>
                          <pic:cNvPr descr="../output/ddm_refits/runs/final_20261016/figures/final/S_ndt_prior_posterior.png" id="146" name="Picture"/>
                          <pic:cNvPicPr>
                            <a:picLocks noChangeArrowheads="1" noChangeAspect="1"/>
                          </pic:cNvPicPr>
                        </pic:nvPicPr>
                        <pic:blipFill>
                          <a:blip r:embed="rId144"/>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Prior (bottom) and posterior (top) distributions of non-decision time in M4. The dashed line marks the upper bound set from the shortest RT.</w:t>
            </w:r>
          </w:p>
          <w:bookmarkEnd w:id="147"/>
        </w:tc>
      </w:tr>
    </w:tbl>
    <w:bookmarkEnd w:id="148"/>
    <w:bookmarkStart w:id="153" w:name="robustness"/>
    <w:p>
      <w:pPr>
        <w:pStyle w:val="Heading2"/>
      </w:pPr>
      <w:r>
        <w:t xml:space="preserve">Robustness</w:t>
      </w:r>
    </w:p>
    <w:p>
      <w:pPr>
        <w:pStyle w:val="FirstParagraph"/>
      </w:pPr>
      <w:hyperlink w:anchor="supptbl-robustness">
        <w:r>
          <w:rPr>
            <w:rStyle w:val="Hyperlink"/>
          </w:rPr>
          <w:t xml:space="preserve">Table S10</w:t>
        </w:r>
      </w:hyperlink>
      <w:r>
        <w:t xml:space="preserve"> </w:t>
      </w:r>
      <w:r>
        <w:t xml:space="preserve">reports the effort effects in each model variant,</w:t>
      </w:r>
      <w:r>
        <w:t xml:space="preserve"> </w:t>
      </w:r>
      <w:hyperlink w:anchor="supptbl-random-slopes">
        <w:r>
          <w:rPr>
            <w:rStyle w:val="Hyperlink"/>
          </w:rPr>
          <w:t xml:space="preserve">Table S11</w:t>
        </w:r>
      </w:hyperlink>
      <w:r>
        <w:t xml:space="preserve"> </w:t>
      </w:r>
      <w:r>
        <w:t xml:space="preserve">the between-participant variability of the effort effects and</w:t>
      </w:r>
      <w:r>
        <w:t xml:space="preserve"> </w:t>
      </w:r>
      <w:hyperlink w:anchor="supptbl-m4b">
        <w:r>
          <w:rPr>
            <w:rStyle w:val="Hyperlink"/>
          </w:rPr>
          <w:t xml:space="preserve">Table S12</w:t>
        </w:r>
      </w:hyperlink>
      <w:r>
        <w:t xml:space="preserve"> </w:t>
      </w:r>
      <w:r>
        <w:t xml:space="preserve">the task-specific effort effects.</w:t>
      </w:r>
      <w:r>
        <w:t xml:space="preserve"> </w:t>
      </w:r>
      <w:hyperlink w:anchor="supptbl-acc-contrasts">
        <w:r>
          <w:rPr>
            <w:rStyle w:val="Hyperlink"/>
          </w:rPr>
          <w:t xml:space="preserve">Table S13</w:t>
        </w:r>
      </w:hyperlink>
      <w:r>
        <w:t xml:space="preserve"> </w:t>
      </w:r>
      <w:r>
        <w:t xml:space="preserve">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49" w:name="supptbl-robustness"/>
          <w:p>
            <w:pPr>
              <w:jc w:val="center"/>
            </w:pPr>
            <w:pPr>
              <w:jc w:val="left"/>
              <w:spacing w:before="200"/>
              <w:pStyle w:val="ImageCaption"/>
            </w:pPr>
            <w:r>
              <w:t xml:space="preserve">Table S10: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736"/>
              <w:gridCol w:w="2084"/>
              <w:gridCol w:w="625"/>
              <w:gridCol w:w="1181"/>
              <w:gridCol w:w="555"/>
              <w:gridCol w:w="486"/>
              <w:gridCol w:w="903"/>
              <w:gridCol w:w="347"/>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Hard and Easy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Standard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Standard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Hard and Easy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Standard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supptbl-random-slopes"/>
          <w:p>
            <w:pPr>
              <w:jc w:val="center"/>
            </w:pPr>
            <w:pPr>
              <w:jc w:val="left"/>
              <w:spacing w:before="200"/>
              <w:pStyle w:val="ImageCaption"/>
            </w:pPr>
            <w:r>
              <w:t xml:space="preserve">Table S11: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supptbl-m4b"/>
          <w:p>
            <w:pPr>
              <w:jc w:val="center"/>
            </w:pPr>
            <w:pPr>
              <w:jc w:val="left"/>
              <w:spacing w:before="200"/>
              <w:pStyle w:val="ImageCaption"/>
            </w:pPr>
            <w:r>
              <w:t xml:space="preserve">Table S12: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supptbl-acc-contrasts"/>
          <w:p>
            <w:pPr>
              <w:jc w:val="center"/>
            </w:pPr>
            <w:pPr>
              <w:jc w:val="left"/>
              <w:spacing w:before="200"/>
              <w:pStyle w:val="ImageCaption"/>
            </w:pPr>
            <w:r>
              <w:t xml:space="preserve">Table S13: Observed accuracy, high minus low effort, at each stimulus type. Estimates are from a binomial GLMM with a random intercept for participant (Section 2.9); percentage points are averaged over task.</w:t>
            </w:r>
          </w:p>
          <w:tbl>
            <w:tblPr>
              <w:tblStyle w:val="Table"/>
              <w:tblW w:type="pct" w:w="5000"/>
              <w:tblLayout w:type="fixed"/>
              <w:tblLook w:firstRow="1" w:lastRow="0" w:firstColumn="0" w:lastColumn="0" w:noHBand="0" w:noVBand="0" w:val="0020"/>
            </w:tblPr>
            <w:tblGrid>
              <w:gridCol w:w="1102"/>
              <w:gridCol w:w="1604"/>
              <w:gridCol w:w="1503"/>
              <w:gridCol w:w="1102"/>
              <w:gridCol w:w="1303"/>
              <w:gridCol w:w="601"/>
              <w:gridCol w:w="701"/>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rPr>
                      <w:i/>
                      <w:iCs/>
                    </w:rPr>
                    <w:t xml:space="preserve">z</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52"/>
        </w:tc>
      </w:tr>
    </w:tbl>
    <w:bookmarkEnd w:id="153"/>
    <w:bookmarkStart w:id="160" w:name="pupil-data"/>
    <w:p>
      <w:pPr>
        <w:pStyle w:val="Heading2"/>
      </w:pPr>
      <w:r>
        <w:t xml:space="preserve">Pupil data</w:t>
      </w:r>
    </w:p>
    <w:p>
      <w:pPr>
        <w:pStyle w:val="FirstParagraph"/>
      </w:pPr>
      <w:r>
        <w:t xml:space="preserve">The pupil sample was 6,299 trials from 51 participants.</w:t>
      </w:r>
      <w:r>
        <w:t xml:space="preserve"> </w:t>
      </w:r>
      <w:hyperlink w:anchor="supptbl-pupil-models">
        <w:r>
          <w:rPr>
            <w:rStyle w:val="Hyperlink"/>
          </w:rPr>
          <w:t xml:space="preserve">Table S14</w:t>
        </w:r>
      </w:hyperlink>
      <w:r>
        <w:t xml:space="preserve"> </w:t>
      </w:r>
      <w:r>
        <w:t xml:space="preserve">gives the estimates of every pupil-linked model,</w:t>
      </w:r>
      <w:r>
        <w:t xml:space="preserve"> </w:t>
      </w:r>
      <w:hyperlink w:anchor="supptbl-pupil-descriptives">
        <w:r>
          <w:rPr>
            <w:rStyle w:val="Hyperlink"/>
          </w:rPr>
          <w:t xml:space="preserve">Table S15</w:t>
        </w:r>
      </w:hyperlink>
      <w:r>
        <w:t xml:space="preserve"> </w:t>
      </w:r>
      <w:r>
        <w:t xml:space="preserve">the pupil measures by task and effort and</w:t>
      </w:r>
      <w:r>
        <w:t xml:space="preserve"> </w:t>
      </w:r>
      <w:hyperlink w:anchor="suppfig-tepr">
        <w:r>
          <w:rPr>
            <w:rStyle w:val="Hyperlink"/>
          </w:rPr>
          <w:t xml:space="preserve">Figure S4</w:t>
        </w:r>
      </w:hyperlink>
      <w:r>
        <w:t xml:space="preserve"> </w:t>
      </w:r>
      <w:r>
        <w:t xml:space="preserve">the pupil time course.</w:t>
      </w:r>
    </w:p>
    <w:tbl>
      <w:tblPr>
        <w:tblStyle w:val="Table"/>
        <w:tblW w:type="pct" w:w="5000"/>
        <w:tblLayout w:type="fixed"/>
        <w:tblLook w:firstRow="0" w:lastRow="0" w:firstColumn="0" w:lastColumn="0" w:noHBand="0" w:noVBand="0" w:val="0000"/>
      </w:tblPr>
      <w:tblGrid>
        <w:gridCol w:w="7920"/>
      </w:tblGrid>
      <w:tr>
        <w:tc>
          <w:tcPr/>
          <w:bookmarkStart w:id="154" w:name="supptbl-pupil-models"/>
          <w:p>
            <w:pPr>
              <w:jc w:val="center"/>
            </w:pPr>
            <w:pPr>
              <w:jc w:val="left"/>
              <w:spacing w:before="200"/>
              <w:pStyle w:val="ImageCaption"/>
            </w:pPr>
            <w:r>
              <w:t xml:space="preserve">Table S14: Pupil-linked model estimates and effort effects in the pupil sample (P0)</w:t>
            </w:r>
          </w:p>
          <w:tbl>
            <w:tblPr>
              <w:tblStyle w:val="Table"/>
              <w:tblW w:type="pct" w:w="5000"/>
              <w:tblLayout w:type="fixed"/>
              <w:tblLook w:firstRow="1" w:lastRow="0" w:firstColumn="0" w:lastColumn="0" w:noHBand="0" w:noVBand="0" w:val="0020"/>
            </w:tblPr>
            <w:tblGrid>
              <w:gridCol w:w="2255"/>
              <w:gridCol w:w="314"/>
              <w:gridCol w:w="2202"/>
              <w:gridCol w:w="472"/>
              <w:gridCol w:w="839"/>
              <w:gridCol w:w="891"/>
              <w:gridCol w:w="576"/>
              <w:gridCol w:w="367"/>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−0.009</w:t>
                  </w:r>
                </w:p>
              </w:tc>
              <w:tc>
                <w:tcPr/>
                <w:p>
                  <w:pPr>
                    <w:pStyle w:val="Compact"/>
                    <w:jc w:val="right"/>
                    <w:jc w:val="center"/>
                  </w:pPr>
                  <w:r>
                    <w:t xml:space="preserve">[−0.036, 0.020]</w:t>
                  </w:r>
                </w:p>
              </w:tc>
              <w:tc>
                <w:tcPr/>
                <w:p>
                  <w:pPr>
                    <w:pStyle w:val="Compact"/>
                  </w:pPr>
                </w:p>
              </w:tc>
              <w:tc>
                <w:tcPr/>
                <w:p>
                  <w:pPr>
                    <w:pStyle w:val="Compact"/>
                    <w:jc w:val="right"/>
                    <w:jc w:val="center"/>
                  </w:pPr>
                  <w:r>
                    <w:t xml:space="preserve">−0.6 ± 0.5</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0.015</w:t>
                  </w:r>
                </w:p>
              </w:tc>
              <w:tc>
                <w:tcPr/>
                <w:p>
                  <w:pPr>
                    <w:pStyle w:val="Compact"/>
                    <w:jc w:val="right"/>
                    <w:jc w:val="center"/>
                  </w:pPr>
                  <w:r>
                    <w:t xml:space="preserve">[−0.017, 0.048]</w:t>
                  </w:r>
                </w:p>
              </w:tc>
              <w:tc>
                <w:tcPr/>
                <w:p>
                  <w:pPr>
                    <w:pStyle w:val="Compact"/>
                  </w:pPr>
                </w:p>
              </w:tc>
              <w:tc>
                <w:tcPr/>
                <w:p>
                  <w:pPr>
                    <w:pStyle w:val="Compact"/>
                    <w:jc w:val="right"/>
                    <w:jc w:val="center"/>
                  </w:pPr>
                  <w:r>
                    <w:t xml:space="preserve">−1.8 ± 1.6</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−0.015</w:t>
                  </w:r>
                </w:p>
              </w:tc>
              <w:tc>
                <w:tcPr/>
                <w:p>
                  <w:pPr>
                    <w:pStyle w:val="Compact"/>
                    <w:jc w:val="right"/>
                    <w:jc w:val="center"/>
                  </w:pPr>
                  <w:r>
                    <w:t xml:space="preserve">[−0.047, 0.018]</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0.042</w:t>
                  </w:r>
                </w:p>
              </w:tc>
              <w:tc>
                <w:tcPr/>
                <w:p>
                  <w:pPr>
                    <w:pStyle w:val="Compact"/>
                    <w:jc w:val="right"/>
                    <w:jc w:val="center"/>
                  </w:pPr>
                  <w:r>
                    <w:t xml:space="preserve">[0.031,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0.008</w:t>
                  </w:r>
                </w:p>
              </w:tc>
              <w:tc>
                <w:tcPr/>
                <w:p>
                  <w:pPr>
                    <w:pStyle w:val="Compact"/>
                    <w:jc w:val="right"/>
                    <w:jc w:val="center"/>
                  </w:pPr>
                  <w:r>
                    <w:t xml:space="preserve">[−0.020, 0.036]</w:t>
                  </w:r>
                </w:p>
              </w:tc>
              <w:tc>
                <w:tcPr/>
                <w:p>
                  <w:pPr>
                    <w:pStyle w:val="Compact"/>
                  </w:pPr>
                </w:p>
              </w:tc>
              <w:tc>
                <w:tcPr/>
                <w:p>
                  <w:pPr>
                    <w:pStyle w:val="Compact"/>
                    <w:jc w:val="right"/>
                    <w:jc w:val="center"/>
                  </w:pPr>
                  <w:r>
                    <w:t xml:space="preserve">−0.2 ± 0.5</w:t>
                  </w:r>
                </w:p>
              </w:tc>
              <w:tc>
                <w:tcPr/>
                <w:p>
                  <w:pPr>
                    <w:pStyle w:val="Compact"/>
                    <w:jc w:val="right"/>
                    <w:jc w:val="center"/>
                  </w:pPr>
                  <w:r>
                    <w:t xml:space="preserve">5,856</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−0.074</w:t>
                  </w:r>
                </w:p>
              </w:tc>
              <w:tc>
                <w:tcPr/>
                <w:p>
                  <w:pPr>
                    <w:pStyle w:val="Compact"/>
                    <w:jc w:val="right"/>
                    <w:jc w:val="center"/>
                  </w:pPr>
                  <w:r>
                    <w:t xml:space="preserve">[−0.159, 0.011]</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0.032</w:t>
                  </w:r>
                </w:p>
              </w:tc>
              <w:tc>
                <w:tcPr/>
                <w:p>
                  <w:pPr>
                    <w:pStyle w:val="Compact"/>
                    <w:jc w:val="right"/>
                    <w:jc w:val="center"/>
                  </w:pPr>
                  <w:r>
                    <w:t xml:space="preserve">[−0.036, 0.100]</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0.029</w:t>
                  </w:r>
                </w:p>
              </w:tc>
              <w:tc>
                <w:tcPr/>
                <w:p>
                  <w:pPr>
                    <w:pStyle w:val="Compact"/>
                    <w:jc w:val="right"/>
                    <w:jc w:val="center"/>
                  </w:pPr>
                  <w:r>
                    <w:t xml:space="preserve">[0.006, 0.052]</w:t>
                  </w:r>
                </w:p>
              </w:tc>
              <w:tc>
                <w:tcPr/>
                <w:p>
                  <w:pPr>
                    <w:pStyle w:val="Compact"/>
                    <w:jc w:val="right"/>
                    <w:jc w:val="center"/>
                  </w:pPr>
                  <w:r>
                    <w:t xml:space="preserve">+2.9% [0.6, 5.4]</w:t>
                  </w: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−0.008</w:t>
                  </w:r>
                </w:p>
              </w:tc>
              <w:tc>
                <w:tcPr/>
                <w:p>
                  <w:pPr>
                    <w:pStyle w:val="Compact"/>
                    <w:jc w:val="right"/>
                    <w:jc w:val="center"/>
                  </w:pPr>
                  <w:r>
                    <w:t xml:space="preserve">[−0.082, 0.065]</w:t>
                  </w:r>
                </w:p>
              </w:tc>
              <w:tc>
                <w:tcPr/>
                <w:p>
                  <w:pPr>
                    <w:pStyle w:val="Compact"/>
                  </w:pPr>
                </w:p>
              </w:tc>
              <w:tc>
                <w:tcPr/>
                <w:p>
                  <w:pPr>
                    <w:pStyle w:val="Compact"/>
                  </w:pPr>
                </w:p>
              </w:tc>
              <w:tc>
                <w:tcPr/>
                <w:p>
                  <w:pPr>
                    <w:pStyle w:val="Compact"/>
                    <w:jc w:val="right"/>
                    <w:jc w:val="center"/>
                  </w:pPr>
                  <w:r>
                    <w:t xml:space="preserve">6,299</w:t>
                  </w:r>
                </w:p>
              </w:tc>
            </w:tr>
          </w:tbl>
          <w:p>
            <w:pPr>
              <w:jc w:val="center"/>
            </w:pPr>
            <w:r>
              <w:rPr>
                <w:i/>
                <w:iCs/>
              </w:rPr>
              <w:t xml:space="preserve">Note.</w:t>
            </w:r>
            <w:r>
              <w:t xml:space="preserve"> </w:t>
            </w:r>
            <w:r>
              <w:t xml:space="preserve">P1, P2, and P3 are compared with P0. P4 and P5 are compared with the baseline for P4–P5. P3 without the slowest trials is compared with its own baseline. P6 is compared with the baseline for P6, P7 with the baseline for P7, and P8 with the baseline for P8. P5, P3 without the slowest trials, P6, P7, and P8 are in the ordering table rather than this slope table.</w:t>
            </w:r>
          </w:p>
          <w:bookmarkEnd w:id="1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supptbl-pupil-descriptives"/>
          <w:p>
            <w:pPr>
              <w:jc w:val="center"/>
            </w:pPr>
            <w:pPr>
              <w:jc w:val="left"/>
              <w:spacing w:before="200"/>
              <w:pStyle w:val="ImageCaption"/>
            </w:pPr>
            <w:r>
              <w:t xml:space="preserve">Table S15: Pupil measures by task and effort. The TEPR is shown relative to the pre-probe and to the pre-squeeze baseline; grip-period pupil size is relative to the pre-squeeze baseline</w:t>
            </w:r>
          </w:p>
          <w:tbl>
            <w:tblPr>
              <w:tblStyle w:val="Table"/>
              <w:tblW w:type="pct" w:w="5000"/>
              <w:tblLayout w:type="fixed"/>
              <w:tblLook w:firstRow="1" w:lastRow="0" w:firstColumn="0" w:lastColumn="0" w:noHBand="0" w:noVBand="0" w:val="0020"/>
            </w:tblPr>
            <w:tblGrid>
              <w:gridCol w:w="2489"/>
              <w:gridCol w:w="377"/>
              <w:gridCol w:w="301"/>
              <w:gridCol w:w="1206"/>
              <w:gridCol w:w="1131"/>
              <w:gridCol w:w="829"/>
              <w:gridCol w:w="1056"/>
              <w:gridCol w:w="528"/>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rPr>
                      <w:i/>
                      <w:iCs/>
                    </w:rPr>
                    <w:t xml:space="preserve">n</w:t>
                  </w:r>
                </w:p>
              </w:tc>
              <w:tc>
                <w:tcPr/>
                <w:p>
                  <w:pPr>
                    <w:pStyle w:val="Compact"/>
                    <w:jc w:val="right"/>
                    <w:jc w:val="center"/>
                  </w:pPr>
                  <w:r>
                    <w:t xml:space="preserve">High</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Low</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High − Low</w:t>
                  </w:r>
                </w:p>
              </w:tc>
              <w:tc>
                <w:tcPr/>
                <w:p>
                  <w:pPr>
                    <w:pStyle w:val="Compact"/>
                    <w:jc w:val="right"/>
                    <w:jc w:val="center"/>
                  </w:pPr>
                  <w:r>
                    <w:rPr>
                      <w:i/>
                      <w:iCs/>
                    </w:rPr>
                    <w:t xml:space="preserve">t</w:t>
                  </w:r>
                  <w:r>
                    <w:t xml:space="preserve"> </w:t>
                  </w:r>
                  <w:r>
                    <w:t xml:space="preserve">(df)</w:t>
                  </w:r>
                </w:p>
              </w:tc>
              <w:tc>
                <w:tcPr/>
                <w:p>
                  <w:pPr>
                    <w:pStyle w:val="Compact"/>
                    <w:jc w:val="right"/>
                    <w:jc w:val="center"/>
                  </w:pPr>
                  <w:r>
                    <w:rPr>
                      <w:i/>
                      <w:iCs/>
                    </w:rP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0.881 (0.953)</w:t>
                  </w:r>
                </w:p>
              </w:tc>
              <w:tc>
                <w:tcPr/>
                <w:p>
                  <w:pPr>
                    <w:pStyle w:val="Compact"/>
                    <w:jc w:val="right"/>
                    <w:jc w:val="center"/>
                  </w:pPr>
                  <w:r>
                    <w:t xml:space="preserve">1.312 (1.026)</w:t>
                  </w:r>
                </w:p>
              </w:tc>
              <w:tc>
                <w:tcPr/>
                <w:p>
                  <w:pPr>
                    <w:pStyle w:val="Compact"/>
                    <w:jc w:val="right"/>
                    <w:jc w:val="center"/>
                  </w:pPr>
                  <w:r>
                    <w:t xml:space="preserve">−0.430</w:t>
                  </w:r>
                </w:p>
              </w:tc>
              <w:tc>
                <w:tcPr/>
                <w:p>
                  <w:pPr>
                    <w:pStyle w:val="Compact"/>
                    <w:jc w:val="right"/>
                    <w:jc w:val="center"/>
                  </w:pPr>
                  <w:r>
                    <w:t xml:space="preserve">t(35) = −4.37</w:t>
                  </w:r>
                </w:p>
              </w:tc>
              <w:tc>
                <w:tcPr/>
                <w:p>
                  <w:pPr>
                    <w:pStyle w:val="Compact"/>
                    <w:jc w:val="right"/>
                    <w:jc w:val="center"/>
                  </w:pPr>
                  <w:r>
                    <w:t xml:space="preserve">&lt; .001</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0.754 (0.718)</w:t>
                  </w:r>
                </w:p>
              </w:tc>
              <w:tc>
                <w:tcPr/>
                <w:p>
                  <w:pPr>
                    <w:pStyle w:val="Compact"/>
                    <w:jc w:val="right"/>
                    <w:jc w:val="center"/>
                  </w:pPr>
                  <w:r>
                    <w:t xml:space="preserve">0.929 (0.869)</w:t>
                  </w:r>
                </w:p>
              </w:tc>
              <w:tc>
                <w:tcPr/>
                <w:p>
                  <w:pPr>
                    <w:pStyle w:val="Compact"/>
                    <w:jc w:val="right"/>
                    <w:jc w:val="center"/>
                  </w:pPr>
                  <w:r>
                    <w:t xml:space="preserve">−0.174</w:t>
                  </w:r>
                </w:p>
              </w:tc>
              <w:tc>
                <w:tcPr/>
                <w:p>
                  <w:pPr>
                    <w:pStyle w:val="Compact"/>
                    <w:jc w:val="right"/>
                    <w:jc w:val="center"/>
                  </w:pPr>
                  <w:r>
                    <w:t xml:space="preserve">t(40) = −2.23</w:t>
                  </w:r>
                </w:p>
              </w:tc>
              <w:tc>
                <w:tcPr/>
                <w:p>
                  <w:pPr>
                    <w:pStyle w:val="Compact"/>
                    <w:jc w:val="right"/>
                    <w:jc w:val="center"/>
                  </w:pPr>
                  <w:r>
                    <w:t xml:space="preserve">.031</w:t>
                  </w:r>
                </w:p>
              </w:tc>
            </w:tr>
            <w:tr>
              <w:tc>
                <w:tcPr/>
                <w:p>
                  <w:pPr>
                    <w:pStyle w:val="Compact"/>
                    <w:jc w:val="left"/>
                    <w:jc w:val="center"/>
                  </w:pPr>
                  <w:r>
                    <w:t xml:space="preserve">Mean TEPR (pre-squeeze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0.582 (1.336)</w:t>
                  </w:r>
                </w:p>
              </w:tc>
              <w:tc>
                <w:tcPr/>
                <w:p>
                  <w:pPr>
                    <w:pStyle w:val="Compact"/>
                    <w:jc w:val="right"/>
                    <w:jc w:val="center"/>
                  </w:pPr>
                  <w:r>
                    <w:t xml:space="preserve">0.430 (1.440)</w:t>
                  </w:r>
                </w:p>
              </w:tc>
              <w:tc>
                <w:tcPr/>
                <w:p>
                  <w:pPr>
                    <w:pStyle w:val="Compact"/>
                    <w:jc w:val="right"/>
                    <w:jc w:val="center"/>
                  </w:pPr>
                  <w:r>
                    <w:t xml:space="preserve">0.152</w:t>
                  </w:r>
                </w:p>
              </w:tc>
              <w:tc>
                <w:tcPr/>
                <w:p>
                  <w:pPr>
                    <w:pStyle w:val="Compact"/>
                    <w:jc w:val="right"/>
                    <w:jc w:val="center"/>
                  </w:pPr>
                  <w:r>
                    <w:t xml:space="preserve">t(35) = 0.91</w:t>
                  </w:r>
                </w:p>
              </w:tc>
              <w:tc>
                <w:tcPr/>
                <w:p>
                  <w:pPr>
                    <w:pStyle w:val="Compact"/>
                    <w:jc w:val="right"/>
                    <w:jc w:val="center"/>
                  </w:pPr>
                  <w:r>
                    <w:t xml:space="preserve">.369</w:t>
                  </w:r>
                </w:p>
              </w:tc>
            </w:tr>
            <w:tr>
              <w:tc>
                <w:tcPr/>
                <w:p>
                  <w:pPr>
                    <w:pStyle w:val="Compact"/>
                    <w:jc w:val="left"/>
                    <w:jc w:val="center"/>
                  </w:pPr>
                  <w:r>
                    <w:t xml:space="preserve">Mean TEPR (pre-squeeze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0.362 (1.054)</w:t>
                  </w:r>
                </w:p>
              </w:tc>
              <w:tc>
                <w:tcPr/>
                <w:p>
                  <w:pPr>
                    <w:pStyle w:val="Compact"/>
                    <w:jc w:val="right"/>
                    <w:jc w:val="center"/>
                  </w:pPr>
                  <w:r>
                    <w:t xml:space="preserve">0.267 (0.998)</w:t>
                  </w:r>
                </w:p>
              </w:tc>
              <w:tc>
                <w:tcPr/>
                <w:p>
                  <w:pPr>
                    <w:pStyle w:val="Compact"/>
                    <w:jc w:val="right"/>
                    <w:jc w:val="center"/>
                  </w:pPr>
                  <w:r>
                    <w:t xml:space="preserve">0.095</w:t>
                  </w:r>
                </w:p>
              </w:tc>
              <w:tc>
                <w:tcPr/>
                <w:p>
                  <w:pPr>
                    <w:pStyle w:val="Compact"/>
                    <w:jc w:val="right"/>
                    <w:jc w:val="center"/>
                  </w:pPr>
                  <w:r>
                    <w:t xml:space="preserve">t(40) = 0.92</w:t>
                  </w:r>
                </w:p>
              </w:tc>
              <w:tc>
                <w:tcPr/>
                <w:p>
                  <w:pPr>
                    <w:pStyle w:val="Compact"/>
                    <w:jc w:val="right"/>
                    <w:jc w:val="center"/>
                  </w:pPr>
                  <w:r>
                    <w:t xml:space="preserve">.361</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35</w:t>
                  </w:r>
                </w:p>
              </w:tc>
              <w:tc>
                <w:tcPr/>
                <w:p>
                  <w:pPr>
                    <w:pStyle w:val="Compact"/>
                    <w:jc w:val="right"/>
                    <w:jc w:val="center"/>
                  </w:pPr>
                  <w:r>
                    <w:t xml:space="preserve">−0.164 (1.061)</w:t>
                  </w:r>
                </w:p>
              </w:tc>
              <w:tc>
                <w:tcPr/>
                <w:p>
                  <w:pPr>
                    <w:pStyle w:val="Compact"/>
                    <w:jc w:val="right"/>
                    <w:jc w:val="center"/>
                  </w:pPr>
                  <w:r>
                    <w:t xml:space="preserve">−0.524 (0.950)</w:t>
                  </w:r>
                </w:p>
              </w:tc>
              <w:tc>
                <w:tcPr/>
                <w:p>
                  <w:pPr>
                    <w:pStyle w:val="Compact"/>
                    <w:jc w:val="right"/>
                    <w:jc w:val="center"/>
                  </w:pPr>
                  <w:r>
                    <w:t xml:space="preserve">0.360</w:t>
                  </w:r>
                </w:p>
              </w:tc>
              <w:tc>
                <w:tcPr/>
                <w:p>
                  <w:pPr>
                    <w:pStyle w:val="Compact"/>
                    <w:jc w:val="right"/>
                    <w:jc w:val="center"/>
                  </w:pPr>
                  <w:r>
                    <w:t xml:space="preserve">t(34) = 2.31</w:t>
                  </w:r>
                </w:p>
              </w:tc>
              <w:tc>
                <w:tcPr/>
                <w:p>
                  <w:pPr>
                    <w:pStyle w:val="Compact"/>
                    <w:jc w:val="right"/>
                    <w:jc w:val="center"/>
                  </w:pPr>
                  <w:r>
                    <w:t xml:space="preserve">.027</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−0.210 (0.885)</w:t>
                  </w:r>
                </w:p>
              </w:tc>
              <w:tc>
                <w:tcPr/>
                <w:p>
                  <w:pPr>
                    <w:pStyle w:val="Compact"/>
                    <w:jc w:val="right"/>
                    <w:jc w:val="center"/>
                  </w:pPr>
                  <w:r>
                    <w:t xml:space="preserve">−0.406 (0.942)</w:t>
                  </w:r>
                </w:p>
              </w:tc>
              <w:tc>
                <w:tcPr/>
                <w:p>
                  <w:pPr>
                    <w:pStyle w:val="Compact"/>
                    <w:jc w:val="right"/>
                    <w:jc w:val="center"/>
                  </w:pPr>
                  <w:r>
                    <w:t xml:space="preserve">0.196</w:t>
                  </w:r>
                </w:p>
              </w:tc>
              <w:tc>
                <w:tcPr/>
                <w:p>
                  <w:pPr>
                    <w:pStyle w:val="Compact"/>
                    <w:jc w:val="right"/>
                    <w:jc w:val="center"/>
                  </w:pPr>
                  <w:r>
                    <w:t xml:space="preserve">t(40) = 1.62</w:t>
                  </w:r>
                </w:p>
              </w:tc>
              <w:tc>
                <w:tcPr/>
                <w:p>
                  <w:pPr>
                    <w:pStyle w:val="Compact"/>
                    <w:jc w:val="right"/>
                    <w:jc w:val="center"/>
                  </w:pPr>
                  <w:r>
                    <w:t xml:space="preserve">.114</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51 participants.</w:t>
            </w:r>
          </w:p>
          <w:bookmarkEnd w:id="1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suppfig-tepr"/>
          <w:p>
            <w:pPr>
              <w:jc w:val="center"/>
            </w:pPr>
            <w:r>
              <w:drawing>
                <wp:inline>
                  <wp:extent cx="5334000" cy="4878658"/>
                  <wp:effectExtent b="0" l="0" r="0" t="0"/>
                  <wp:docPr descr="" title="" id="157" name="Picture"/>
                  <a:graphic>
                    <a:graphicData uri="http://schemas.openxmlformats.org/drawingml/2006/picture">
                      <pic:pic>
                        <pic:nvPicPr>
                          <pic:cNvPr descr="../output/ddm_refits/runs/final_20261016/figures/final/S_tepr_timecourse.png" id="158" name="Picture"/>
                          <pic:cNvPicPr>
                            <a:picLocks noChangeArrowheads="1" noChangeAspect="1"/>
                          </pic:cNvPicPr>
                        </pic:nvPicPr>
                        <pic:blipFill>
                          <a:blip r:embed="rId156"/>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Mean baseline-corrected pupil by task and effort. The grey band is the grip period and the blue band is the TEPR window. The solid line is probe onset and the dashed line is the response cue. Dotted lines: gauge offset (3.00 s) and standard onset (3.75 s). The brief dip at 6.02 s in the VDT comes from one sample in 58 trials from two participants whose recordings were segmented from eye-tracker event codes; it changes those trials’ TEPR by less than 5% of a within-person SD.</w:t>
            </w:r>
          </w:p>
          <w:bookmarkEnd w:id="159"/>
        </w:tc>
      </w:tr>
    </w:tbl>
    <w:bookmarkEnd w:id="160"/>
    <w:bookmarkStart w:id="169" w:name="X7cce5f35b5247992e0c040be4a8cd311080a3ce"/>
    <w:p>
      <w:pPr>
        <w:pStyle w:val="Heading2"/>
      </w:pPr>
      <w:r>
        <w:t xml:space="preserve">Behavioral mixed-effects models (dissertation only)</w:t>
      </w:r>
    </w:p>
    <w:p>
      <w:pPr>
        <w:pStyle w:val="FirstParagraph"/>
      </w:pPr>
      <w:r>
        <w:t xml:space="preserve">These models analyze observed accuracy and median RT directly. The accuracy contrasts reported in Section 3.1 come from the first of them.</w:t>
      </w:r>
    </w:p>
    <w:p>
      <w:pPr>
        <w:pStyle w:val="BodyText"/>
      </w:pPr>
      <w:r>
        <w:t xml:space="preserve">Random slopes for effort were singular on both the accuracy and the median-RT models, so each model uses a random intercept only, (1 | subject_id), following</w:t>
      </w:r>
      <w:r>
        <w:t xml:space="preserve"> </w:t>
      </w:r>
      <w:r>
        <w:t xml:space="preserve">Barr et al. (2013)</w:t>
      </w:r>
      <w:r>
        <w:t xml:space="preserve">,</w:t>
      </w:r>
      <w:r>
        <w:t xml:space="preserve"> </w:t>
      </w:r>
      <w:r>
        <w:t xml:space="preserve">Bates, Kliegl, et al. (2015)</w:t>
      </w:r>
      <w:r>
        <w:t xml:space="preserve">, and</w:t>
      </w:r>
      <w:r>
        <w:t xml:space="preserve"> </w:t>
      </w:r>
      <w:r>
        <w:t xml:space="preserve">Brauer &amp; Curtin (2018)</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supptbl-reduction"/>
          <w:p>
            <w:pPr>
              <w:jc w:val="center"/>
            </w:pPr>
            <w:pPr>
              <w:jc w:val="left"/>
              <w:spacing w:before="200"/>
              <w:pStyle w:val="ImageCaption"/>
            </w:pPr>
            <w:r>
              <w:t xml:space="preserve">Table S16: Random-effects reduction for the accuracy and RT models</w:t>
            </w:r>
          </w:p>
          <w:tbl>
            <w:tblPr>
              <w:tblStyle w:val="Table"/>
              <w:tblW w:type="pct" w:w="5000"/>
              <w:tblLayout w:type="fixed"/>
              <w:tblLook w:firstRow="1" w:lastRow="0" w:firstColumn="0" w:lastColumn="0" w:noHBand="0" w:noVBand="0" w:val="0020"/>
            </w:tblPr>
            <w:tblGrid>
              <w:gridCol w:w="649"/>
              <w:gridCol w:w="973"/>
              <w:gridCol w:w="3700"/>
              <w:gridCol w:w="584"/>
              <w:gridCol w:w="714"/>
              <w:gridCol w:w="973"/>
              <w:gridCol w:w="324"/>
            </w:tblGrid>
            <w:tr>
              <w:trPr>
                <w:tblHeader w:val="on"/>
              </w:trPr>
              <w:tc>
                <w:tcPr/>
                <w:p>
                  <w:pPr>
                    <w:pStyle w:val="Compact"/>
                    <w:jc w:val="left"/>
                    <w:jc w:val="center"/>
                  </w:pPr>
                  <w:r>
                    <w:t xml:space="preserve">Outcome</w:t>
                  </w:r>
                </w:p>
              </w:tc>
              <w:tc>
                <w:tcPr/>
                <w:p>
                  <w:pPr>
                    <w:pStyle w:val="Compact"/>
                    <w:jc w:val="right"/>
                    <w:jc w:val="center"/>
                  </w:pPr>
                  <w:r>
                    <w:t xml:space="preserve">Step</w:t>
                  </w:r>
                </w:p>
              </w:tc>
              <w:tc>
                <w:tcPr/>
                <w:p>
                  <w:pPr>
                    <w:pStyle w:val="Compact"/>
                    <w:jc w:val="right"/>
                    <w:jc w:val="center"/>
                  </w:pPr>
                  <w:r>
                    <w:t xml:space="preserve">Random effects</w:t>
                  </w:r>
                </w:p>
              </w:tc>
              <w:tc>
                <w:tcPr/>
                <w:p>
                  <w:pPr>
                    <w:pStyle w:val="Compact"/>
                    <w:jc w:val="right"/>
                    <w:jc w:val="center"/>
                  </w:pPr>
                  <w:r>
                    <w:t xml:space="preserve">Singular</w:t>
                  </w:r>
                </w:p>
              </w:tc>
              <w:tc>
                <w:tcPr/>
                <w:p>
                  <w:pPr>
                    <w:pStyle w:val="Compact"/>
                    <w:jc w:val="right"/>
                    <w:jc w:val="center"/>
                  </w:pPr>
                  <w:r>
                    <w:t xml:space="preserve">Slope</w:t>
                  </w:r>
                  <w:r>
                    <w:t xml:space="preserve"> </w:t>
                  </w:r>
                  <w:r>
                    <w:rPr>
                      <w:i/>
                      <w:iCs/>
                    </w:rPr>
                    <w:t xml:space="preserve">SD</w:t>
                  </w:r>
                </w:p>
              </w:tc>
              <w:tc>
                <w:tcPr/>
                <w:p>
                  <w:pPr>
                    <w:pStyle w:val="Compact"/>
                    <w:jc w:val="right"/>
                    <w:jc w:val="center"/>
                  </w:pPr>
                  <w:r>
                    <w:t xml:space="preserve">Intercept</w:t>
                  </w:r>
                  <w:r>
                    <w:t xml:space="preserve"> </w:t>
                  </w:r>
                  <w:r>
                    <w:rPr>
                      <w:i/>
                      <w:iCs/>
                    </w:rPr>
                    <w:t xml:space="preserve">SD</w:t>
                  </w:r>
                </w:p>
              </w:tc>
              <w:tc>
                <w:tcPr/>
                <w:p>
                  <w:pPr>
                    <w:pStyle w:val="Compact"/>
                    <w:jc w:val="right"/>
                    <w:jc w:val="center"/>
                  </w:pPr>
                  <w:r>
                    <w:t xml:space="preserve">Used</w:t>
                  </w:r>
                </w:p>
              </w:tc>
            </w:tr>
            <w:tr>
              <w:tc>
                <w:tcPr/>
                <w:p>
                  <w:pPr>
                    <w:pStyle w:val="Compact"/>
                    <w:jc w:val="left"/>
                    <w:jc w:val="center"/>
                  </w:pPr>
                  <w:r>
                    <w:t xml:space="preserve">Accuracy</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0.717</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0.701</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0.701</w:t>
                  </w:r>
                </w:p>
              </w:tc>
              <w:tc>
                <w:tcPr/>
                <w:p>
                  <w:pPr>
                    <w:pStyle w:val="Compact"/>
                    <w:jc w:val="right"/>
                    <w:jc w:val="center"/>
                  </w:pPr>
                  <w:r>
                    <w:t xml:space="preserve">Yes</w:t>
                  </w:r>
                </w:p>
              </w:tc>
            </w:tr>
            <w:tr>
              <w:tc>
                <w:tcPr/>
                <w:p>
                  <w:pPr>
                    <w:pStyle w:val="Compact"/>
                    <w:jc w:val="left"/>
                    <w:jc w:val="center"/>
                  </w:pPr>
                  <w:r>
                    <w:t xml:space="preserve">Median RT</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0.011</w:t>
                  </w:r>
                </w:p>
              </w:tc>
              <w:tc>
                <w:tcPr/>
                <w:p>
                  <w:pPr>
                    <w:pStyle w:val="Compact"/>
                    <w:jc w:val="right"/>
                    <w:jc w:val="center"/>
                  </w:pPr>
                  <w:r>
                    <w:t xml:space="preserve">0.251</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0.256</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0.256</w:t>
                  </w:r>
                </w:p>
              </w:tc>
              <w:tc>
                <w:tcPr/>
                <w:p>
                  <w:pPr>
                    <w:pStyle w:val="Compact"/>
                    <w:jc w:val="right"/>
                    <w:jc w:val="center"/>
                  </w:pPr>
                  <w:r>
                    <w:t xml:space="preserve">Yes</w:t>
                  </w:r>
                </w:p>
              </w:tc>
            </w:tr>
          </w:tbl>
          <w:p>
            <w:pPr>
              <w:jc w:val="center"/>
            </w:pPr>
            <w:r>
              <w:rPr>
                <w:i/>
                <w:iCs/>
              </w:rPr>
              <w:t xml:space="preserve">Note.</w:t>
            </w:r>
            <w:r>
              <w:t xml:space="preserve"> </w:t>
            </w:r>
            <w:r>
              <w:t xml:space="preserve">Singular random slopes were dropped in the order in Barr et al. (2013), Bates et al. (2015), and Brauer and Curtin (2018). The intercept-only model is the one used.</w:t>
            </w:r>
          </w:p>
          <w:bookmarkEnd w:id="1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supptbl-acc-glmm"/>
          <w:p>
            <w:pPr>
              <w:jc w:val="center"/>
            </w:pPr>
            <w:pPr>
              <w:jc w:val="left"/>
              <w:spacing w:before="200"/>
              <w:pStyle w:val="ImageCaption"/>
            </w:pPr>
            <w:r>
              <w:t xml:space="preserve">Table S17: Binomial mixed model of accuracy (logit scale)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rPr>
                      <w:i/>
                      <w:iCs/>
                    </w:rPr>
                    <w:t xml:space="preserve">z</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1.991</w:t>
                  </w:r>
                </w:p>
              </w:tc>
              <w:tc>
                <w:tcPr/>
                <w:p>
                  <w:pPr>
                    <w:pStyle w:val="Compact"/>
                    <w:jc w:val="right"/>
                    <w:jc w:val="center"/>
                  </w:pPr>
                  <w:r>
                    <w:t xml:space="preserve">0.117</w:t>
                  </w:r>
                </w:p>
              </w:tc>
              <w:tc>
                <w:tcPr/>
                <w:p>
                  <w:pPr>
                    <w:pStyle w:val="Compact"/>
                    <w:jc w:val="right"/>
                    <w:jc w:val="center"/>
                  </w:pPr>
                  <w:r>
                    <w:t xml:space="preserve">17.04</w:t>
                  </w:r>
                </w:p>
              </w:tc>
              <w:tc>
                <w:tcPr/>
                <w:p>
                  <w:pPr>
                    <w:pStyle w:val="Compact"/>
                    <w:jc w:val="right"/>
                    <w:jc w:val="center"/>
                  </w:pPr>
                  <w:r>
                    <w:t xml:space="preserve">&lt; .001</w:t>
                  </w:r>
                </w:p>
              </w:tc>
              <w:tc>
                <w:tcPr/>
                <w:p>
                  <w:pPr>
                    <w:pStyle w:val="Compact"/>
                    <w:jc w:val="right"/>
                    <w:jc w:val="center"/>
                  </w:pPr>
                  <w:r>
                    <w:t xml:space="preserve">[1.762, 2.220]</w:t>
                  </w:r>
                </w:p>
              </w:tc>
            </w:tr>
            <w:tr>
              <w:tc>
                <w:tcPr/>
                <w:p>
                  <w:pPr>
                    <w:pStyle w:val="Compact"/>
                    <w:jc w:val="left"/>
                    <w:jc w:val="center"/>
                  </w:pPr>
                  <w:r>
                    <w:t xml:space="preserve">Hard</w:t>
                  </w:r>
                </w:p>
              </w:tc>
              <w:tc>
                <w:tcPr/>
                <w:p>
                  <w:pPr>
                    <w:pStyle w:val="Compact"/>
                    <w:jc w:val="right"/>
                    <w:jc w:val="center"/>
                  </w:pPr>
                  <w:r>
                    <w:t xml:space="preserve">−3.064</w:t>
                  </w:r>
                </w:p>
              </w:tc>
              <w:tc>
                <w:tcPr/>
                <w:p>
                  <w:pPr>
                    <w:pStyle w:val="Compact"/>
                    <w:jc w:val="right"/>
                    <w:jc w:val="center"/>
                  </w:pPr>
                  <w:r>
                    <w:t xml:space="preserve">0.087</w:t>
                  </w:r>
                </w:p>
              </w:tc>
              <w:tc>
                <w:tcPr/>
                <w:p>
                  <w:pPr>
                    <w:pStyle w:val="Compact"/>
                    <w:jc w:val="right"/>
                    <w:jc w:val="center"/>
                  </w:pPr>
                  <w:r>
                    <w:t xml:space="preserve">−35.26</w:t>
                  </w:r>
                </w:p>
              </w:tc>
              <w:tc>
                <w:tcPr/>
                <w:p>
                  <w:pPr>
                    <w:pStyle w:val="Compact"/>
                    <w:jc w:val="right"/>
                    <w:jc w:val="center"/>
                  </w:pPr>
                  <w:r>
                    <w:t xml:space="preserve">&lt; .001</w:t>
                  </w:r>
                </w:p>
              </w:tc>
              <w:tc>
                <w:tcPr/>
                <w:p>
                  <w:pPr>
                    <w:pStyle w:val="Compact"/>
                    <w:jc w:val="right"/>
                    <w:jc w:val="center"/>
                  </w:pPr>
                  <w:r>
                    <w:t xml:space="preserve">[−3.234, −2.894]</w:t>
                  </w:r>
                </w:p>
              </w:tc>
            </w:tr>
            <w:tr>
              <w:tc>
                <w:tcPr/>
                <w:p>
                  <w:pPr>
                    <w:pStyle w:val="Compact"/>
                    <w:jc w:val="left"/>
                    <w:jc w:val="center"/>
                  </w:pPr>
                  <w:r>
                    <w:t xml:space="preserve">Easy</w:t>
                  </w:r>
                </w:p>
              </w:tc>
              <w:tc>
                <w:tcPr/>
                <w:p>
                  <w:pPr>
                    <w:pStyle w:val="Compact"/>
                    <w:jc w:val="right"/>
                    <w:jc w:val="center"/>
                  </w:pPr>
                  <w:r>
                    <w:t xml:space="preserve">−0.134</w:t>
                  </w:r>
                </w:p>
              </w:tc>
              <w:tc>
                <w:tcPr/>
                <w:p>
                  <w:pPr>
                    <w:pStyle w:val="Compact"/>
                    <w:jc w:val="right"/>
                    <w:jc w:val="center"/>
                  </w:pPr>
                  <w:r>
                    <w:t xml:space="preserve">0.093</w:t>
                  </w:r>
                </w:p>
              </w:tc>
              <w:tc>
                <w:tcPr/>
                <w:p>
                  <w:pPr>
                    <w:pStyle w:val="Compact"/>
                    <w:jc w:val="right"/>
                    <w:jc w:val="center"/>
                  </w:pPr>
                  <w:r>
                    <w:t xml:space="preserve">−1.44</w:t>
                  </w:r>
                </w:p>
              </w:tc>
              <w:tc>
                <w:tcPr/>
                <w:p>
                  <w:pPr>
                    <w:pStyle w:val="Compact"/>
                    <w:jc w:val="right"/>
                    <w:jc w:val="center"/>
                  </w:pPr>
                  <w:r>
                    <w:t xml:space="preserve">.150</w:t>
                  </w:r>
                </w:p>
              </w:tc>
              <w:tc>
                <w:tcPr/>
                <w:p>
                  <w:pPr>
                    <w:pStyle w:val="Compact"/>
                    <w:jc w:val="right"/>
                    <w:jc w:val="center"/>
                  </w:pPr>
                  <w:r>
                    <w:t xml:space="preserve">[−0.316, 0.048]</w:t>
                  </w:r>
                </w:p>
              </w:tc>
            </w:tr>
            <w:tr>
              <w:tc>
                <w:tcPr/>
                <w:p>
                  <w:pPr>
                    <w:pStyle w:val="Compact"/>
                    <w:jc w:val="left"/>
                    <w:jc w:val="center"/>
                  </w:pPr>
                  <w:r>
                    <w:t xml:space="preserve">High effort</w:t>
                  </w:r>
                </w:p>
              </w:tc>
              <w:tc>
                <w:tcPr/>
                <w:p>
                  <w:pPr>
                    <w:pStyle w:val="Compact"/>
                    <w:jc w:val="right"/>
                    <w:jc w:val="center"/>
                  </w:pPr>
                  <w:r>
                    <w:t xml:space="preserve">0.204</w:t>
                  </w:r>
                </w:p>
              </w:tc>
              <w:tc>
                <w:tcPr/>
                <w:p>
                  <w:pPr>
                    <w:pStyle w:val="Compact"/>
                    <w:jc w:val="right"/>
                    <w:jc w:val="center"/>
                  </w:pPr>
                  <w:r>
                    <w:t xml:space="preserve">0.112</w:t>
                  </w:r>
                </w:p>
              </w:tc>
              <w:tc>
                <w:tcPr/>
                <w:p>
                  <w:pPr>
                    <w:pStyle w:val="Compact"/>
                    <w:jc w:val="right"/>
                    <w:jc w:val="center"/>
                  </w:pPr>
                  <w:r>
                    <w:t xml:space="preserve">1.83</w:t>
                  </w:r>
                </w:p>
              </w:tc>
              <w:tc>
                <w:tcPr/>
                <w:p>
                  <w:pPr>
                    <w:pStyle w:val="Compact"/>
                    <w:jc w:val="right"/>
                    <w:jc w:val="center"/>
                  </w:pPr>
                  <w:r>
                    <w:t xml:space="preserve">.068</w:t>
                  </w:r>
                </w:p>
              </w:tc>
              <w:tc>
                <w:tcPr/>
                <w:p>
                  <w:pPr>
                    <w:pStyle w:val="Compact"/>
                    <w:jc w:val="right"/>
                    <w:jc w:val="center"/>
                  </w:pPr>
                  <w:r>
                    <w:t xml:space="preserve">[−0.015, 0.423]</w:t>
                  </w:r>
                </w:p>
              </w:tc>
            </w:tr>
            <w:tr>
              <w:tc>
                <w:tcPr/>
                <w:p>
                  <w:pPr>
                    <w:pStyle w:val="Compact"/>
                    <w:jc w:val="left"/>
                    <w:jc w:val="center"/>
                  </w:pPr>
                  <w:r>
                    <w:t xml:space="preserve">Visual task</w:t>
                  </w:r>
                </w:p>
              </w:tc>
              <w:tc>
                <w:tcPr/>
                <w:p>
                  <w:pPr>
                    <w:pStyle w:val="Compact"/>
                    <w:jc w:val="right"/>
                    <w:jc w:val="center"/>
                  </w:pPr>
                  <w:r>
                    <w:t xml:space="preserve">0.417</w:t>
                  </w:r>
                </w:p>
              </w:tc>
              <w:tc>
                <w:tcPr/>
                <w:p>
                  <w:pPr>
                    <w:pStyle w:val="Compact"/>
                    <w:jc w:val="right"/>
                    <w:jc w:val="center"/>
                  </w:pPr>
                  <w:r>
                    <w:t xml:space="preserve">0.041</w:t>
                  </w:r>
                </w:p>
              </w:tc>
              <w:tc>
                <w:tcPr/>
                <w:p>
                  <w:pPr>
                    <w:pStyle w:val="Compact"/>
                    <w:jc w:val="right"/>
                    <w:jc w:val="center"/>
                  </w:pPr>
                  <w:r>
                    <w:t xml:space="preserve">10.08</w:t>
                  </w:r>
                </w:p>
              </w:tc>
              <w:tc>
                <w:tcPr/>
                <w:p>
                  <w:pPr>
                    <w:pStyle w:val="Compact"/>
                    <w:jc w:val="right"/>
                    <w:jc w:val="center"/>
                  </w:pPr>
                  <w:r>
                    <w:t xml:space="preserve">&lt; .001</w:t>
                  </w:r>
                </w:p>
              </w:tc>
              <w:tc>
                <w:tcPr/>
                <w:p>
                  <w:pPr>
                    <w:pStyle w:val="Compact"/>
                    <w:jc w:val="right"/>
                    <w:jc w:val="center"/>
                  </w:pPr>
                  <w:r>
                    <w:t xml:space="preserve">[0.336, 0.499]</w:t>
                  </w:r>
                </w:p>
              </w:tc>
            </w:tr>
            <w:tr>
              <w:tc>
                <w:tcPr/>
                <w:p>
                  <w:pPr>
                    <w:pStyle w:val="Compact"/>
                    <w:jc w:val="left"/>
                    <w:jc w:val="center"/>
                  </w:pPr>
                  <w:r>
                    <w:t xml:space="preserve">Hard × high effort</w:t>
                  </w:r>
                </w:p>
              </w:tc>
              <w:tc>
                <w:tcPr/>
                <w:p>
                  <w:pPr>
                    <w:pStyle w:val="Compact"/>
                    <w:jc w:val="right"/>
                    <w:jc w:val="center"/>
                  </w:pPr>
                  <w:r>
                    <w:t xml:space="preserve">−0.431</w:t>
                  </w:r>
                </w:p>
              </w:tc>
              <w:tc>
                <w:tcPr/>
                <w:p>
                  <w:pPr>
                    <w:pStyle w:val="Compact"/>
                    <w:jc w:val="right"/>
                    <w:jc w:val="center"/>
                  </w:pPr>
                  <w:r>
                    <w:t xml:space="preserve">0.124</w:t>
                  </w:r>
                </w:p>
              </w:tc>
              <w:tc>
                <w:tcPr/>
                <w:p>
                  <w:pPr>
                    <w:pStyle w:val="Compact"/>
                    <w:jc w:val="right"/>
                    <w:jc w:val="center"/>
                  </w:pPr>
                  <w:r>
                    <w:t xml:space="preserve">−3.47</w:t>
                  </w:r>
                </w:p>
              </w:tc>
              <w:tc>
                <w:tcPr/>
                <w:p>
                  <w:pPr>
                    <w:pStyle w:val="Compact"/>
                    <w:jc w:val="right"/>
                    <w:jc w:val="center"/>
                  </w:pPr>
                  <w:r>
                    <w:t xml:space="preserve">&lt; .001</w:t>
                  </w:r>
                </w:p>
              </w:tc>
              <w:tc>
                <w:tcPr/>
                <w:p>
                  <w:pPr>
                    <w:pStyle w:val="Compact"/>
                    <w:jc w:val="right"/>
                    <w:jc w:val="center"/>
                  </w:pPr>
                  <w:r>
                    <w:t xml:space="preserve">[−0.674, −0.188]</w:t>
                  </w:r>
                </w:p>
              </w:tc>
            </w:tr>
            <w:tr>
              <w:tc>
                <w:tcPr/>
                <w:p>
                  <w:pPr>
                    <w:pStyle w:val="Compact"/>
                    <w:jc w:val="left"/>
                    <w:jc w:val="center"/>
                  </w:pPr>
                  <w:r>
                    <w:t xml:space="preserve">Easy × high effort</w:t>
                  </w:r>
                </w:p>
              </w:tc>
              <w:tc>
                <w:tcPr/>
                <w:p>
                  <w:pPr>
                    <w:pStyle w:val="Compact"/>
                    <w:jc w:val="right"/>
                    <w:jc w:val="center"/>
                  </w:pPr>
                  <w:r>
                    <w:t xml:space="preserve">−0.291</w:t>
                  </w:r>
                </w:p>
              </w:tc>
              <w:tc>
                <w:tcPr/>
                <w:p>
                  <w:pPr>
                    <w:pStyle w:val="Compact"/>
                    <w:jc w:val="right"/>
                    <w:jc w:val="center"/>
                  </w:pPr>
                  <w:r>
                    <w:t xml:space="preserve">0.133</w:t>
                  </w:r>
                </w:p>
              </w:tc>
              <w:tc>
                <w:tcPr/>
                <w:p>
                  <w:pPr>
                    <w:pStyle w:val="Compact"/>
                    <w:jc w:val="right"/>
                    <w:jc w:val="center"/>
                  </w:pPr>
                  <w:r>
                    <w:t xml:space="preserve">−2.19</w:t>
                  </w:r>
                </w:p>
              </w:tc>
              <w:tc>
                <w:tcPr/>
                <w:p>
                  <w:pPr>
                    <w:pStyle w:val="Compact"/>
                    <w:jc w:val="right"/>
                    <w:jc w:val="center"/>
                  </w:pPr>
                  <w:r>
                    <w:t xml:space="preserve">.028</w:t>
                  </w:r>
                </w:p>
              </w:tc>
              <w:tc>
                <w:tcPr/>
                <w:p>
                  <w:pPr>
                    <w:pStyle w:val="Compact"/>
                    <w:jc w:val="right"/>
                    <w:jc w:val="center"/>
                  </w:pPr>
                  <w:r>
                    <w:t xml:space="preserve">[−0.552, −0.031]</w:t>
                  </w:r>
                </w:p>
              </w:tc>
            </w:tr>
          </w:tbl>
          <w:p>
            <w:pPr>
              <w:jc w:val="center"/>
            </w:pPr>
            <w:r>
              <w:rPr>
                <w:i/>
                <w:iCs/>
              </w:rPr>
              <w:t xml:space="preserve">Note.</w:t>
            </w:r>
            <w:r>
              <w:t xml:space="preserve"> </w:t>
            </w:r>
            <w:r>
              <w:t xml:space="preserve">Binomial GLMM. Coefficients are on the logit scale. The statistic is a Wald z; lme4 does not report denominator df. The High-effort coefficient is the Standard contrast on the logit scale. Cell contrasts are in the observed-accuracy table. Random slopes for effort were singular, so the model keeps a random intercept only (Barr et al., 2013; Bates et al., 2015; Brauer &amp; Curtin, 2018). Reference levels: Standard difficulty, low effort, auditory task (ADT).</w:t>
            </w:r>
          </w:p>
          <w:bookmarkEnd w:id="1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supptbl-rt-lmm"/>
          <w:p>
            <w:pPr>
              <w:jc w:val="center"/>
            </w:pPr>
            <w:pPr>
              <w:jc w:val="left"/>
              <w:spacing w:before="200"/>
              <w:pStyle w:val="ImageCaption"/>
            </w:pPr>
            <w:r>
              <w:t xml:space="preserve">Table S18: Linear mixed model of median RT (seconds)</w:t>
            </w:r>
          </w:p>
          <w:tbl>
            <w:tblPr>
              <w:tblStyle w:val="Table"/>
              <w:tblW w:type="pct" w:w="5000"/>
              <w:tblLayout w:type="fixed"/>
              <w:tblLook w:firstRow="1" w:lastRow="0" w:firstColumn="0" w:lastColumn="0" w:noHBand="0" w:noVBand="0" w:val="0020"/>
            </w:tblPr>
            <w:tblGrid>
              <w:gridCol w:w="2149"/>
              <w:gridCol w:w="1018"/>
              <w:gridCol w:w="678"/>
              <w:gridCol w:w="678"/>
              <w:gridCol w:w="678"/>
              <w:gridCol w:w="792"/>
              <w:gridCol w:w="1923"/>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t xml:space="preserve">df</w:t>
                  </w:r>
                </w:p>
              </w:tc>
              <w:tc>
                <w:tcPr/>
                <w:p>
                  <w:pPr>
                    <w:pStyle w:val="Compact"/>
                    <w:jc w:val="right"/>
                    <w:jc w:val="center"/>
                  </w:pPr>
                  <w:r>
                    <w:rPr>
                      <w:i/>
                      <w:iCs/>
                    </w:rPr>
                    <w:t xml:space="preserve">t</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1.379</w:t>
                  </w:r>
                </w:p>
              </w:tc>
              <w:tc>
                <w:tcPr/>
                <w:p>
                  <w:pPr>
                    <w:pStyle w:val="Compact"/>
                    <w:jc w:val="right"/>
                    <w:jc w:val="center"/>
                  </w:pPr>
                  <w:r>
                    <w:t xml:space="preserve">0.038</w:t>
                  </w:r>
                </w:p>
              </w:tc>
              <w:tc>
                <w:tcPr/>
                <w:p>
                  <w:pPr>
                    <w:pStyle w:val="Compact"/>
                    <w:jc w:val="right"/>
                    <w:jc w:val="center"/>
                  </w:pPr>
                  <w:r>
                    <w:t xml:space="preserve">118.7</w:t>
                  </w:r>
                </w:p>
              </w:tc>
              <w:tc>
                <w:tcPr/>
                <w:p>
                  <w:pPr>
                    <w:pStyle w:val="Compact"/>
                    <w:jc w:val="right"/>
                    <w:jc w:val="center"/>
                  </w:pPr>
                  <w:r>
                    <w:t xml:space="preserve">36.73</w:t>
                  </w:r>
                </w:p>
              </w:tc>
              <w:tc>
                <w:tcPr/>
                <w:p>
                  <w:pPr>
                    <w:pStyle w:val="Compact"/>
                    <w:jc w:val="right"/>
                    <w:jc w:val="center"/>
                  </w:pPr>
                  <w:r>
                    <w:t xml:space="preserve">&lt; .001</w:t>
                  </w:r>
                </w:p>
              </w:tc>
              <w:tc>
                <w:tcPr/>
                <w:p>
                  <w:pPr>
                    <w:pStyle w:val="Compact"/>
                    <w:jc w:val="right"/>
                    <w:jc w:val="center"/>
                  </w:pPr>
                  <w:r>
                    <w:t xml:space="preserve">[1.304, 1.453]</w:t>
                  </w:r>
                </w:p>
              </w:tc>
            </w:tr>
            <w:tr>
              <w:tc>
                <w:tcPr/>
                <w:p>
                  <w:pPr>
                    <w:pStyle w:val="Compact"/>
                    <w:jc w:val="left"/>
                    <w:jc w:val="center"/>
                  </w:pPr>
                  <w:r>
                    <w:t xml:space="preserve">Hard</w:t>
                  </w:r>
                </w:p>
              </w:tc>
              <w:tc>
                <w:tcPr/>
                <w:p>
                  <w:pPr>
                    <w:pStyle w:val="Compact"/>
                    <w:jc w:val="right"/>
                    <w:jc w:val="center"/>
                  </w:pPr>
                  <w:r>
                    <w:t xml:space="preserve">0.054</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1.99</w:t>
                  </w:r>
                </w:p>
              </w:tc>
              <w:tc>
                <w:tcPr/>
                <w:p>
                  <w:pPr>
                    <w:pStyle w:val="Compact"/>
                    <w:jc w:val="right"/>
                    <w:jc w:val="center"/>
                  </w:pPr>
                  <w:r>
                    <w:t xml:space="preserve">.047</w:t>
                  </w:r>
                </w:p>
              </w:tc>
              <w:tc>
                <w:tcPr/>
                <w:p>
                  <w:pPr>
                    <w:pStyle w:val="Compact"/>
                    <w:jc w:val="right"/>
                    <w:jc w:val="center"/>
                  </w:pPr>
                  <w:r>
                    <w:t xml:space="preserve">[0.001, 0.107]</w:t>
                  </w:r>
                </w:p>
              </w:tc>
            </w:tr>
            <w:tr>
              <w:tc>
                <w:tcPr/>
                <w:p>
                  <w:pPr>
                    <w:pStyle w:val="Compact"/>
                    <w:jc w:val="left"/>
                    <w:jc w:val="center"/>
                  </w:pPr>
                  <w:r>
                    <w:t xml:space="preserve">Easy</w:t>
                  </w:r>
                </w:p>
              </w:tc>
              <w:tc>
                <w:tcPr/>
                <w:p>
                  <w:pPr>
                    <w:pStyle w:val="Compact"/>
                    <w:jc w:val="right"/>
                    <w:jc w:val="center"/>
                  </w:pPr>
                  <w:r>
                    <w:t xml:space="preserve">−0.186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−6.90</w:t>
                  </w:r>
                </w:p>
              </w:tc>
              <w:tc>
                <w:tcPr/>
                <w:p>
                  <w:pPr>
                    <w:pStyle w:val="Compact"/>
                    <w:jc w:val="right"/>
                    <w:jc w:val="center"/>
                  </w:pPr>
                  <w:r>
                    <w:t xml:space="preserve">&lt; .001</w:t>
                  </w:r>
                </w:p>
              </w:tc>
              <w:tc>
                <w:tcPr/>
                <w:p>
                  <w:pPr>
                    <w:pStyle w:val="Compact"/>
                    <w:jc w:val="right"/>
                    <w:jc w:val="center"/>
                  </w:pPr>
                  <w:r>
                    <w:t xml:space="preserve">[−0.239, −0.133]</w:t>
                  </w:r>
                </w:p>
              </w:tc>
            </w:tr>
            <w:tr>
              <w:tc>
                <w:tcPr/>
                <w:p>
                  <w:pPr>
                    <w:pStyle w:val="Compact"/>
                    <w:jc w:val="left"/>
                    <w:jc w:val="center"/>
                  </w:pPr>
                  <w:r>
                    <w:t xml:space="preserve">High effort</w:t>
                  </w:r>
                </w:p>
              </w:tc>
              <w:tc>
                <w:tcPr/>
                <w:p>
                  <w:pPr>
                    <w:pStyle w:val="Compact"/>
                    <w:jc w:val="right"/>
                    <w:jc w:val="center"/>
                  </w:pPr>
                  <w:r>
                    <w:t xml:space="preserve">0.036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1.35</w:t>
                  </w:r>
                </w:p>
              </w:tc>
              <w:tc>
                <w:tcPr/>
                <w:p>
                  <w:pPr>
                    <w:pStyle w:val="Compact"/>
                    <w:jc w:val="right"/>
                    <w:jc w:val="center"/>
                  </w:pPr>
                  <w:r>
                    <w:t xml:space="preserve">.179</w:t>
                  </w:r>
                </w:p>
              </w:tc>
              <w:tc>
                <w:tcPr/>
                <w:p>
                  <w:pPr>
                    <w:pStyle w:val="Compact"/>
                    <w:jc w:val="right"/>
                    <w:jc w:val="center"/>
                  </w:pPr>
                  <w:r>
                    <w:t xml:space="preserve">[−0.017, 0.089]</w:t>
                  </w:r>
                </w:p>
              </w:tc>
            </w:tr>
            <w:tr>
              <w:tc>
                <w:tcPr/>
                <w:p>
                  <w:pPr>
                    <w:pStyle w:val="Compact"/>
                    <w:jc w:val="left"/>
                    <w:jc w:val="center"/>
                  </w:pPr>
                  <w:r>
                    <w:t xml:space="preserve">Visual task</w:t>
                  </w:r>
                </w:p>
              </w:tc>
              <w:tc>
                <w:tcPr/>
                <w:p>
                  <w:pPr>
                    <w:pStyle w:val="Compact"/>
                    <w:jc w:val="right"/>
                    <w:jc w:val="center"/>
                  </w:pPr>
                  <w:r>
                    <w:t xml:space="preserve">−0.100</w:t>
                  </w:r>
                </w:p>
              </w:tc>
              <w:tc>
                <w:tcPr/>
                <w:p>
                  <w:pPr>
                    <w:pStyle w:val="Compact"/>
                    <w:jc w:val="right"/>
                    <w:jc w:val="center"/>
                  </w:pPr>
                  <w:r>
                    <w:t xml:space="preserve">0.016</w:t>
                  </w:r>
                </w:p>
              </w:tc>
              <w:tc>
                <w:tcPr/>
                <w:p>
                  <w:pPr>
                    <w:pStyle w:val="Compact"/>
                    <w:jc w:val="right"/>
                    <w:jc w:val="center"/>
                  </w:pPr>
                  <w:r>
                    <w:t xml:space="preserve">706.3</w:t>
                  </w:r>
                </w:p>
              </w:tc>
              <w:tc>
                <w:tcPr/>
                <w:p>
                  <w:pPr>
                    <w:pStyle w:val="Compact"/>
                    <w:jc w:val="right"/>
                    <w:jc w:val="center"/>
                  </w:pPr>
                  <w:r>
                    <w:t xml:space="preserve">−6.33</w:t>
                  </w:r>
                </w:p>
              </w:tc>
              <w:tc>
                <w:tcPr/>
                <w:p>
                  <w:pPr>
                    <w:pStyle w:val="Compact"/>
                    <w:jc w:val="right"/>
                    <w:jc w:val="center"/>
                  </w:pPr>
                  <w:r>
                    <w:t xml:space="preserve">&lt; .001</w:t>
                  </w:r>
                </w:p>
              </w:tc>
              <w:tc>
                <w:tcPr/>
                <w:p>
                  <w:pPr>
                    <w:pStyle w:val="Compact"/>
                    <w:jc w:val="right"/>
                    <w:jc w:val="center"/>
                  </w:pPr>
                  <w:r>
                    <w:t xml:space="preserve">[−0.131, −0.069]</w:t>
                  </w:r>
                </w:p>
              </w:tc>
            </w:tr>
            <w:tr>
              <w:tc>
                <w:tcPr/>
                <w:p>
                  <w:pPr>
                    <w:pStyle w:val="Compact"/>
                    <w:jc w:val="left"/>
                    <w:jc w:val="center"/>
                  </w:pPr>
                  <w:r>
                    <w:t xml:space="preserve">Hard × high effort</w:t>
                  </w:r>
                </w:p>
              </w:tc>
              <w:tc>
                <w:tcPr/>
                <w:p>
                  <w:pPr>
                    <w:pStyle w:val="Compact"/>
                    <w:jc w:val="right"/>
                    <w:jc w:val="center"/>
                  </w:pPr>
                  <w:r>
                    <w:t xml:space="preserve">−0.029</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−0.77</w:t>
                  </w:r>
                </w:p>
              </w:tc>
              <w:tc>
                <w:tcPr/>
                <w:p>
                  <w:pPr>
                    <w:pStyle w:val="Compact"/>
                    <w:jc w:val="right"/>
                    <w:jc w:val="center"/>
                  </w:pPr>
                  <w:r>
                    <w:t xml:space="preserve">.443</w:t>
                  </w:r>
                </w:p>
              </w:tc>
              <w:tc>
                <w:tcPr/>
                <w:p>
                  <w:pPr>
                    <w:pStyle w:val="Compact"/>
                    <w:jc w:val="right"/>
                    <w:jc w:val="center"/>
                  </w:pPr>
                  <w:r>
                    <w:t xml:space="preserve">[−0.104, 0.046]</w:t>
                  </w:r>
                </w:p>
              </w:tc>
            </w:tr>
            <w:tr>
              <w:tc>
                <w:tcPr/>
                <w:p>
                  <w:pPr>
                    <w:pStyle w:val="Compact"/>
                    <w:jc w:val="left"/>
                    <w:jc w:val="center"/>
                  </w:pPr>
                  <w:r>
                    <w:t xml:space="preserve">Easy × high effort</w:t>
                  </w:r>
                </w:p>
              </w:tc>
              <w:tc>
                <w:tcPr/>
                <w:p>
                  <w:pPr>
                    <w:pStyle w:val="Compact"/>
                    <w:jc w:val="right"/>
                    <w:jc w:val="center"/>
                  </w:pPr>
                  <w:r>
                    <w:t xml:space="preserve">−0.025</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−0.66</w:t>
                  </w:r>
                </w:p>
              </w:tc>
              <w:tc>
                <w:tcPr/>
                <w:p>
                  <w:pPr>
                    <w:pStyle w:val="Compact"/>
                    <w:jc w:val="right"/>
                    <w:jc w:val="center"/>
                  </w:pPr>
                  <w:r>
                    <w:t xml:space="preserve">.509</w:t>
                  </w:r>
                </w:p>
              </w:tc>
              <w:tc>
                <w:tcPr/>
                <w:p>
                  <w:pPr>
                    <w:pStyle w:val="Compact"/>
                    <w:jc w:val="right"/>
                    <w:jc w:val="center"/>
                  </w:pPr>
                  <w:r>
                    <w:t xml:space="preserve">[−0.100, 0.050]</w:t>
                  </w:r>
                </w:p>
              </w:tc>
            </w:tr>
          </w:tbl>
          <w:p>
            <w:pPr>
              <w:jc w:val="center"/>
            </w:pPr>
            <w:r>
              <w:rPr>
                <w:i/>
                <w:iCs/>
              </w:rPr>
              <w:t xml:space="preserve">Note.</w:t>
            </w:r>
            <w:r>
              <w:t xml:space="preserve"> </w:t>
            </w:r>
            <w:r>
              <w:t xml:space="preserve">The outcome is the median RT in each participant × task × difficulty × effort cell, in seconds, not log RT. df and p use the Satterthwaite approximation. Cell contrasts, in milliseconds, are in the median-RT contrast table. Random slopes for effort were singular, so the model keeps a random intercept only (Barr et al., 2013; Bates et al., 2015; Brauer &amp; Curtin, 2018). Reference levels: Standard difficulty, low effort, auditory task (ADT).</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tbl-rt-contrasts"/>
          <w:p>
            <w:pPr>
              <w:jc w:val="center"/>
            </w:pPr>
            <w:pPr>
              <w:jc w:val="left"/>
              <w:spacing w:before="200"/>
              <w:pStyle w:val="ImageCaption"/>
            </w:pPr>
            <w:r>
              <w:t xml:space="preserve">Table S19: Median RT, high minus low effort, at each stimulus type (ms)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Difficulty</w:t>
                  </w:r>
                </w:p>
              </w:tc>
              <w:tc>
                <w:tcPr/>
                <w:p>
                  <w:pPr>
                    <w:pStyle w:val="Compact"/>
                    <w:jc w:val="right"/>
                    <w:jc w:val="center"/>
                  </w:pPr>
                  <w:r>
                    <w:t xml:space="preserve">High − low (ms)</w:t>
                  </w:r>
                </w:p>
              </w:tc>
              <w:tc>
                <w:tcPr/>
                <w:p>
                  <w:pPr>
                    <w:pStyle w:val="Compact"/>
                    <w:jc w:val="right"/>
                    <w:jc w:val="center"/>
                  </w:pPr>
                  <w:r>
                    <w:t xml:space="preserve">95% CI (ms)</w:t>
                  </w:r>
                </w:p>
              </w:tc>
              <w:tc>
                <w:tcPr/>
                <w:p>
                  <w:pPr>
                    <w:pStyle w:val="Compact"/>
                    <w:jc w:val="right"/>
                    <w:jc w:val="center"/>
                  </w:pPr>
                  <w:r>
                    <w:rPr>
                      <w:i/>
                      <w:iCs/>
                    </w:rPr>
                    <w:t xml:space="preserve">t</w:t>
                  </w:r>
                </w:p>
              </w:tc>
              <w:tc>
                <w:tcPr/>
                <w:p>
                  <w:pPr>
                    <w:pStyle w:val="Compact"/>
                    <w:jc w:val="right"/>
                    <w:jc w:val="center"/>
                  </w:pPr>
                  <w:r>
                    <w:t xml:space="preserve">df</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36.3</w:t>
                  </w:r>
                </w:p>
              </w:tc>
              <w:tc>
                <w:tcPr/>
                <w:p>
                  <w:pPr>
                    <w:pStyle w:val="Compact"/>
                    <w:jc w:val="right"/>
                    <w:jc w:val="center"/>
                  </w:pPr>
                  <w:r>
                    <w:t xml:space="preserve">[−16.6, 89.2]</w:t>
                  </w:r>
                </w:p>
              </w:tc>
              <w:tc>
                <w:tcPr/>
                <w:p>
                  <w:pPr>
                    <w:pStyle w:val="Compact"/>
                    <w:jc w:val="right"/>
                    <w:jc w:val="center"/>
                  </w:pPr>
                  <w:r>
                    <w:t xml:space="preserve">1.35</w:t>
                  </w:r>
                </w:p>
              </w:tc>
              <w:tc>
                <w:tcPr/>
                <w:p>
                  <w:pPr>
                    <w:pStyle w:val="Compact"/>
                    <w:jc w:val="right"/>
                    <w:jc w:val="center"/>
                  </w:pPr>
                  <w:r>
                    <w:t xml:space="preserve">700.7</w:t>
                  </w:r>
                </w:p>
              </w:tc>
              <w:tc>
                <w:tcPr/>
                <w:p>
                  <w:pPr>
                    <w:pStyle w:val="Compact"/>
                    <w:jc w:val="right"/>
                    <w:jc w:val="center"/>
                  </w:pPr>
                  <w:r>
                    <w:t xml:space="preserve">.179</w:t>
                  </w:r>
                </w:p>
              </w:tc>
            </w:tr>
            <w:tr>
              <w:tc>
                <w:tcPr/>
                <w:p>
                  <w:pPr>
                    <w:pStyle w:val="Compact"/>
                    <w:jc w:val="left"/>
                    <w:jc w:val="center"/>
                  </w:pPr>
                  <w:r>
                    <w:t xml:space="preserve">Hard</w:t>
                  </w:r>
                </w:p>
              </w:tc>
              <w:tc>
                <w:tcPr/>
                <w:p>
                  <w:pPr>
                    <w:pStyle w:val="Compact"/>
                    <w:jc w:val="right"/>
                    <w:jc w:val="center"/>
                  </w:pPr>
                  <w:r>
                    <w:t xml:space="preserve">7.0</w:t>
                  </w:r>
                </w:p>
              </w:tc>
              <w:tc>
                <w:tcPr/>
                <w:p>
                  <w:pPr>
                    <w:pStyle w:val="Compact"/>
                    <w:jc w:val="right"/>
                    <w:jc w:val="center"/>
                  </w:pPr>
                  <w:r>
                    <w:t xml:space="preserve">[−45.9, 59.9]</w:t>
                  </w:r>
                </w:p>
              </w:tc>
              <w:tc>
                <w:tcPr/>
                <w:p>
                  <w:pPr>
                    <w:pStyle w:val="Compact"/>
                    <w:jc w:val="right"/>
                    <w:jc w:val="center"/>
                  </w:pPr>
                  <w:r>
                    <w:t xml:space="preserve">0.26</w:t>
                  </w:r>
                </w:p>
              </w:tc>
              <w:tc>
                <w:tcPr/>
                <w:p>
                  <w:pPr>
                    <w:pStyle w:val="Compact"/>
                    <w:jc w:val="right"/>
                    <w:jc w:val="center"/>
                  </w:pPr>
                  <w:r>
                    <w:t xml:space="preserve">700.7</w:t>
                  </w:r>
                </w:p>
              </w:tc>
              <w:tc>
                <w:tcPr/>
                <w:p>
                  <w:pPr>
                    <w:pStyle w:val="Compact"/>
                    <w:jc w:val="right"/>
                    <w:jc w:val="center"/>
                  </w:pPr>
                  <w:r>
                    <w:t xml:space="preserve">.795</w:t>
                  </w:r>
                </w:p>
              </w:tc>
            </w:tr>
            <w:tr>
              <w:tc>
                <w:tcPr/>
                <w:p>
                  <w:pPr>
                    <w:pStyle w:val="Compact"/>
                    <w:jc w:val="left"/>
                    <w:jc w:val="center"/>
                  </w:pPr>
                  <w:r>
                    <w:t xml:space="preserve">Easy</w:t>
                  </w:r>
                </w:p>
              </w:tc>
              <w:tc>
                <w:tcPr/>
                <w:p>
                  <w:pPr>
                    <w:pStyle w:val="Compact"/>
                    <w:jc w:val="right"/>
                    <w:jc w:val="center"/>
                  </w:pPr>
                  <w:r>
                    <w:t xml:space="preserve">11.1</w:t>
                  </w:r>
                </w:p>
              </w:tc>
              <w:tc>
                <w:tcPr/>
                <w:p>
                  <w:pPr>
                    <w:pStyle w:val="Compact"/>
                    <w:jc w:val="right"/>
                    <w:jc w:val="center"/>
                  </w:pPr>
                  <w:r>
                    <w:t xml:space="preserve">[−41.8, 64.0]</w:t>
                  </w:r>
                </w:p>
              </w:tc>
              <w:tc>
                <w:tcPr/>
                <w:p>
                  <w:pPr>
                    <w:pStyle w:val="Compact"/>
                    <w:jc w:val="right"/>
                    <w:jc w:val="center"/>
                  </w:pPr>
                  <w:r>
                    <w:t xml:space="preserve">0.41</w:t>
                  </w:r>
                </w:p>
              </w:tc>
              <w:tc>
                <w:tcPr/>
                <w:p>
                  <w:pPr>
                    <w:pStyle w:val="Compact"/>
                    <w:jc w:val="right"/>
                    <w:jc w:val="center"/>
                  </w:pPr>
                  <w:r>
                    <w:t xml:space="preserve">700.7</w:t>
                  </w:r>
                </w:p>
              </w:tc>
              <w:tc>
                <w:tcPr/>
                <w:p>
                  <w:pPr>
                    <w:pStyle w:val="Compact"/>
                    <w:jc w:val="right"/>
                    <w:jc w:val="center"/>
                  </w:pPr>
                  <w:r>
                    <w:t xml:space="preserve">.681</w:t>
                  </w:r>
                </w:p>
              </w:tc>
            </w:tr>
          </w:tbl>
          <w:p>
            <w:pPr>
              <w:jc w:val="center"/>
            </w:pPr>
            <w:r>
              <w:rPr>
                <w:i/>
                <w:iCs/>
              </w:rPr>
              <w:t xml:space="preserve">Note.</w:t>
            </w:r>
            <w:r>
              <w:t xml:space="preserve"> </w:t>
            </w:r>
            <w:r>
              <w:t xml:space="preserve">High minus low, in milliseconds, averaged over task with equal weights. df and p use the Satterthwaite approximation.</w:t>
            </w:r>
          </w:p>
          <w:bookmarkEnd w:id="1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fig-accuracy"/>
          <w:p>
            <w:pPr>
              <w:jc w:val="center"/>
            </w:pPr>
            <w:r>
              <w:drawing>
                <wp:inline>
                  <wp:extent cx="5334000" cy="3067049"/>
                  <wp:effectExtent b="0" l="0" r="0" t="0"/>
                  <wp:docPr descr="" title="" id="166" name="Picture"/>
                  <a:graphic>
                    <a:graphicData uri="http://schemas.openxmlformats.org/drawingml/2006/picture">
                      <pic:pic>
                        <pic:nvPicPr>
                          <pic:cNvPr descr="../output/ddm_refits/runs/final_20261016/figures/final/S_accuracy_by_condition.png" id="167" name="Picture"/>
                          <pic:cNvPicPr>
                            <a:picLocks noChangeArrowheads="1" noChangeAspect="1"/>
                          </pic:cNvPicPr>
                        </pic:nvPicPr>
                        <pic:blipFill>
                          <a:blip r:embed="rId165"/>
                          <a:stretch>
                            <a:fillRect/>
                          </a:stretch>
                        </pic:blipFill>
                        <pic:spPr bwMode="auto">
                          <a:xfrm>
                            <a:off x="0" y="0"/>
                            <a:ext cx="5334000" cy="3067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Observed accuracy by task, stimulus type and effort. Thin lines are individual participants and thick lines are means.</w:t>
            </w:r>
          </w:p>
          <w:bookmarkEnd w:id="168"/>
        </w:tc>
      </w:tr>
    </w:tbl>
    <w:bookmarkEnd w:id="169"/>
    <w:bookmarkStart w:id="172" w:name="X01ac6bc37aa4fb6c48d213e0533d6e133ae986c"/>
    <w:p>
      <w:pPr>
        <w:pStyle w:val="Heading2"/>
      </w:pPr>
      <w:r>
        <w:t xml:space="preserve">Extended baseline and neuropsychological profile (dissertation only)</w:t>
      </w:r>
    </w:p>
    <w:p>
      <w:pPr>
        <w:pStyle w:val="FirstParagraph"/>
      </w:pPr>
      <w:hyperlink w:anchor="supptbl-baseline">
        <w:r>
          <w:rPr>
            <w:rStyle w:val="Hyperlink"/>
          </w:rPr>
          <w:t xml:space="preserve">Table S20</w:t>
        </w:r>
      </w:hyperlink>
      <w:r>
        <w:t xml:space="preserve"> </w:t>
      </w:r>
      <w:r>
        <w:t xml:space="preserve">describes the sample on the neuropsychological battery.</w:t>
      </w:r>
      <w:r>
        <w:t xml:space="preserve"> </w:t>
      </w:r>
      <w:hyperlink w:anchor="supptbl-neuropsych">
        <w:r>
          <w:rPr>
            <w:rStyle w:val="Hyperlink"/>
          </w:rPr>
          <w:t xml:space="preserve">Table S21</w:t>
        </w:r>
      </w:hyperlink>
      <w:r>
        <w:t xml:space="preserve"> </w:t>
      </w:r>
      <w:r>
        <w:t xml:space="preserve">reports exploratory correlations between these measures and task outcomes; none is interpreted.</w:t>
      </w:r>
    </w:p>
    <w:tbl>
      <w:tblPr>
        <w:tblStyle w:val="Table"/>
        <w:tblW w:type="pct" w:w="5000"/>
        <w:tblLayout w:type="fixed"/>
        <w:tblLook w:firstRow="0" w:lastRow="0" w:firstColumn="0" w:lastColumn="0" w:noHBand="0" w:noVBand="0" w:val="0000"/>
      </w:tblPr>
      <w:tblGrid>
        <w:gridCol w:w="7920"/>
      </w:tblGrid>
      <w:tr>
        <w:tc>
          <w:tcPr/>
          <w:bookmarkStart w:id="170" w:name="supptbl-baseline"/>
          <w:p>
            <w:pPr>
              <w:jc w:val="center"/>
            </w:pPr>
            <w:pPr>
              <w:jc w:val="left"/>
              <w:spacing w:before="200"/>
              <w:pStyle w:val="ImageCaption"/>
            </w:pPr>
            <w:r>
              <w:t xml:space="preserve">Table S20: Baseline characteristics of the sample</w:t>
            </w:r>
          </w:p>
          <w:tbl>
            <w:tblPr>
              <w:tblStyle w:val="Table"/>
              <w:tblW w:type="pct" w:w="5000"/>
              <w:tblLayout w:type="fixed"/>
              <w:tblLook w:firstRow="1" w:lastRow="0" w:firstColumn="0" w:lastColumn="0" w:noHBand="0" w:noVBand="0" w:val="0020"/>
            </w:tblPr>
            <w:tblGrid>
              <w:gridCol w:w="3681"/>
              <w:gridCol w:w="446"/>
              <w:gridCol w:w="2454"/>
              <w:gridCol w:w="1338"/>
            </w:tblGrid>
            <w:tr>
              <w:trPr>
                <w:tblHeader w:val="on"/>
              </w:trPr>
              <w:tc>
                <w:tcPr/>
                <w:p>
                  <w:pPr>
                    <w:pStyle w:val="Compact"/>
                    <w:jc w:val="left"/>
                    <w:jc w:val="center"/>
                  </w:pPr>
                  <w:r>
                    <w:t xml:space="preserve">Measure</w:t>
                  </w:r>
                </w:p>
              </w:tc>
              <w:tc>
                <w:tcPr/>
                <w:p>
                  <w:pPr>
                    <w:pStyle w:val="Compact"/>
                    <w:jc w:val="right"/>
                    <w:jc w:val="center"/>
                  </w:pPr>
                  <w:r>
                    <w:rPr>
                      <w:i/>
                      <w:iCs/>
                    </w:rPr>
                    <w:t xml:space="preserve">n</w:t>
                  </w:r>
                </w:p>
              </w:tc>
              <w:tc>
                <w:tcPr/>
                <w:p>
                  <w:pPr>
                    <w:pStyle w:val="Compact"/>
                    <w:jc w:val="right"/>
                    <w:jc w:val="center"/>
                  </w:pPr>
                  <w:r>
                    <w:rPr>
                      <w:i/>
                      <w:iCs/>
                    </w:rPr>
                    <w:t xml:space="preserve">M</w:t>
                  </w:r>
                  <w:r>
                    <w:t xml:space="preserve"> </w:t>
                  </w:r>
                  <w:r>
                    <w:t xml:space="preserve">(</w:t>
                  </w:r>
                  <w:r>
                    <w:rPr>
                      <w:i/>
                      <w:iCs/>
                    </w:rPr>
                    <w:t xml:space="preserve">SD</w:t>
                  </w:r>
                  <w:r>
                    <w:t xml:space="preserve">) or</w:t>
                  </w:r>
                  <w:r>
                    <w:t xml:space="preserve"> </w:t>
                  </w:r>
                  <w:r>
                    <w:rPr>
                      <w:i/>
                      <w:iCs/>
                    </w:rPr>
                    <w:t xml:space="preserve">n</w:t>
                  </w:r>
                  <w:r>
                    <w:t xml:space="preserve"> </w:t>
                  </w:r>
                  <w:r>
                    <w:t xml:space="preserve">(%)</w:t>
                  </w:r>
                </w:p>
              </w:tc>
              <w:tc>
                <w:tcPr/>
                <w:p>
                  <w:pPr>
                    <w:pStyle w:val="Compact"/>
                    <w:jc w:val="right"/>
                    <w:jc w:val="center"/>
                  </w:pPr>
                  <w:r>
                    <w:t xml:space="preserve">Range</w:t>
                  </w:r>
                </w:p>
              </w:tc>
            </w:tr>
            <w:tr>
              <w:tc>
                <w:tcPr/>
                <w:p>
                  <w:pPr>
                    <w:pStyle w:val="Compact"/>
                    <w:jc w:val="left"/>
                    <w:jc w:val="center"/>
                  </w:pPr>
                  <w:r>
                    <w:t xml:space="preserve">Age (years)</w:t>
                  </w:r>
                </w:p>
              </w:tc>
              <w:tc>
                <w:tcPr/>
                <w:p>
                  <w:pPr>
                    <w:pStyle w:val="Compact"/>
                    <w:jc w:val="right"/>
                    <w:jc w:val="center"/>
                  </w:pPr>
                  <w:r>
                    <w:t xml:space="preserve">67</w:t>
                  </w:r>
                </w:p>
              </w:tc>
              <w:tc>
                <w:tcPr/>
                <w:p>
                  <w:pPr>
                    <w:pStyle w:val="Compact"/>
                    <w:jc w:val="right"/>
                    <w:jc w:val="center"/>
                  </w:pPr>
                  <w:r>
                    <w:t xml:space="preserve">69.5 (6.4)</w:t>
                  </w:r>
                </w:p>
              </w:tc>
              <w:tc>
                <w:tcPr/>
                <w:p>
                  <w:pPr>
                    <w:pStyle w:val="Compact"/>
                    <w:jc w:val="right"/>
                    <w:jc w:val="center"/>
                  </w:pPr>
                  <w:r>
                    <w:t xml:space="preserve">60.0–87.0</w:t>
                  </w:r>
                </w:p>
              </w:tc>
            </w:tr>
            <w:tr>
              <w:tc>
                <w:tcPr/>
                <w:p>
                  <w:pPr>
                    <w:pStyle w:val="Compact"/>
                    <w:jc w:val="left"/>
                    <w:jc w:val="center"/>
                  </w:pPr>
                  <w:r>
                    <w:t xml:space="preserve">Education (years)</w:t>
                  </w:r>
                </w:p>
              </w:tc>
              <w:tc>
                <w:tcPr/>
                <w:p>
                  <w:pPr>
                    <w:pStyle w:val="Compact"/>
                    <w:jc w:val="right"/>
                    <w:jc w:val="center"/>
                  </w:pPr>
                  <w:r>
                    <w:t xml:space="preserve">64</w:t>
                  </w:r>
                </w:p>
              </w:tc>
              <w:tc>
                <w:tcPr/>
                <w:p>
                  <w:pPr>
                    <w:pStyle w:val="Compact"/>
                    <w:jc w:val="right"/>
                    <w:jc w:val="center"/>
                  </w:pPr>
                  <w:r>
                    <w:t xml:space="preserve">15.8 (2.6)</w:t>
                  </w:r>
                </w:p>
              </w:tc>
              <w:tc>
                <w:tcPr/>
                <w:p>
                  <w:pPr>
                    <w:pStyle w:val="Compact"/>
                    <w:jc w:val="right"/>
                    <w:jc w:val="center"/>
                  </w:pPr>
                  <w:r>
                    <w:t xml:space="preserve">10.0–21.0</w:t>
                  </w:r>
                </w:p>
              </w:tc>
            </w:tr>
            <w:tr>
              <w:tc>
                <w:tcPr/>
                <w:p>
                  <w:pPr>
                    <w:pStyle w:val="Compact"/>
                    <w:jc w:val="left"/>
                    <w:jc w:val="center"/>
                  </w:pPr>
                  <w:r>
                    <w:t xml:space="preserve">MoCA (telephone screen /22)</w:t>
                  </w:r>
                </w:p>
              </w:tc>
              <w:tc>
                <w:tcPr/>
                <w:p>
                  <w:pPr>
                    <w:pStyle w:val="Compact"/>
                    <w:jc w:val="right"/>
                    <w:jc w:val="center"/>
                  </w:pPr>
                  <w:r>
                    <w:t xml:space="preserve">62</w:t>
                  </w:r>
                </w:p>
              </w:tc>
              <w:tc>
                <w:tcPr/>
                <w:p>
                  <w:pPr>
                    <w:pStyle w:val="Compact"/>
                    <w:jc w:val="right"/>
                    <w:jc w:val="center"/>
                  </w:pPr>
                  <w:r>
                    <w:t xml:space="preserve">19.8 (1.5)</w:t>
                  </w:r>
                </w:p>
              </w:tc>
              <w:tc>
                <w:tcPr/>
                <w:p>
                  <w:pPr>
                    <w:pStyle w:val="Compact"/>
                    <w:jc w:val="right"/>
                    <w:jc w:val="center"/>
                  </w:pPr>
                  <w:r>
                    <w:t xml:space="preserve">17.0–22.0</w:t>
                  </w:r>
                </w:p>
              </w:tc>
            </w:tr>
            <w:tr>
              <w:tc>
                <w:tcPr/>
                <w:p>
                  <w:pPr>
                    <w:pStyle w:val="Compact"/>
                    <w:jc w:val="left"/>
                    <w:jc w:val="center"/>
                  </w:pPr>
                  <w:r>
                    <w:t xml:space="preserve">Trail Making A (seconds)</w:t>
                  </w:r>
                </w:p>
              </w:tc>
              <w:tc>
                <w:tcPr/>
                <w:p>
                  <w:pPr>
                    <w:pStyle w:val="Compact"/>
                    <w:jc w:val="right"/>
                    <w:jc w:val="center"/>
                  </w:pPr>
                  <w:r>
                    <w:t xml:space="preserve">63</w:t>
                  </w:r>
                </w:p>
              </w:tc>
              <w:tc>
                <w:tcPr/>
                <w:p>
                  <w:pPr>
                    <w:pStyle w:val="Compact"/>
                    <w:jc w:val="right"/>
                    <w:jc w:val="center"/>
                  </w:pPr>
                  <w:r>
                    <w:t xml:space="preserve">32.3 (9.2)</w:t>
                  </w:r>
                </w:p>
              </w:tc>
              <w:tc>
                <w:tcPr/>
                <w:p>
                  <w:pPr>
                    <w:pStyle w:val="Compact"/>
                    <w:jc w:val="right"/>
                    <w:jc w:val="center"/>
                  </w:pPr>
                  <w:r>
                    <w:t xml:space="preserve">17.8–58.7</w:t>
                  </w:r>
                </w:p>
              </w:tc>
            </w:tr>
            <w:tr>
              <w:tc>
                <w:tcPr/>
                <w:p>
                  <w:pPr>
                    <w:pStyle w:val="Compact"/>
                    <w:jc w:val="left"/>
                    <w:jc w:val="center"/>
                  </w:pPr>
                  <w:r>
                    <w:t xml:space="preserve">Trail Making B (seconds)</w:t>
                  </w:r>
                </w:p>
              </w:tc>
              <w:tc>
                <w:tcPr/>
                <w:p>
                  <w:pPr>
                    <w:pStyle w:val="Compact"/>
                    <w:jc w:val="right"/>
                    <w:jc w:val="center"/>
                  </w:pPr>
                  <w:r>
                    <w:t xml:space="preserve">63</w:t>
                  </w:r>
                </w:p>
              </w:tc>
              <w:tc>
                <w:tcPr/>
                <w:p>
                  <w:pPr>
                    <w:pStyle w:val="Compact"/>
                    <w:jc w:val="right"/>
                    <w:jc w:val="center"/>
                  </w:pPr>
                  <w:r>
                    <w:t xml:space="preserve">52.5 (28.2)</w:t>
                  </w:r>
                </w:p>
              </w:tc>
              <w:tc>
                <w:tcPr/>
                <w:p>
                  <w:pPr>
                    <w:pStyle w:val="Compact"/>
                    <w:jc w:val="right"/>
                    <w:jc w:val="center"/>
                  </w:pPr>
                  <w:r>
                    <w:t xml:space="preserve">12.1–159.6</w:t>
                  </w:r>
                </w:p>
              </w:tc>
            </w:tr>
            <w:tr>
              <w:tc>
                <w:tcPr/>
                <w:p>
                  <w:pPr>
                    <w:pStyle w:val="Compact"/>
                    <w:jc w:val="left"/>
                    <w:jc w:val="center"/>
                  </w:pPr>
                  <w:r>
                    <w:t xml:space="preserve">TMT B − A (seconds)</w:t>
                  </w:r>
                </w:p>
              </w:tc>
              <w:tc>
                <w:tcPr/>
                <w:p>
                  <w:pPr>
                    <w:pStyle w:val="Compact"/>
                    <w:jc w:val="right"/>
                    <w:jc w:val="center"/>
                  </w:pPr>
                  <w:r>
                    <w:t xml:space="preserve">63</w:t>
                  </w:r>
                </w:p>
              </w:tc>
              <w:tc>
                <w:tcPr/>
                <w:p>
                  <w:pPr>
                    <w:pStyle w:val="Compact"/>
                    <w:jc w:val="right"/>
                    <w:jc w:val="center"/>
                  </w:pPr>
                  <w:r>
                    <w:t xml:space="preserve">20.2 (25.6)</w:t>
                  </w:r>
                </w:p>
              </w:tc>
              <w:tc>
                <w:tcPr/>
                <w:p>
                  <w:pPr>
                    <w:pStyle w:val="Compact"/>
                    <w:jc w:val="right"/>
                    <w:jc w:val="center"/>
                  </w:pPr>
                  <w:r>
                    <w:t xml:space="preserve">−33.7–126.1</w:t>
                  </w:r>
                </w:p>
              </w:tc>
            </w:tr>
            <w:tr>
              <w:tc>
                <w:tcPr/>
                <w:p>
                  <w:pPr>
                    <w:pStyle w:val="Compact"/>
                    <w:jc w:val="left"/>
                    <w:jc w:val="center"/>
                  </w:pPr>
                  <w:r>
                    <w:t xml:space="preserve">Boston Naming (/23)</w:t>
                  </w:r>
                </w:p>
              </w:tc>
              <w:tc>
                <w:tcPr/>
                <w:p>
                  <w:pPr>
                    <w:pStyle w:val="Compact"/>
                    <w:jc w:val="right"/>
                    <w:jc w:val="center"/>
                  </w:pPr>
                  <w:r>
                    <w:t xml:space="preserve">62</w:t>
                  </w:r>
                </w:p>
              </w:tc>
              <w:tc>
                <w:tcPr/>
                <w:p>
                  <w:pPr>
                    <w:pStyle w:val="Compact"/>
                    <w:jc w:val="right"/>
                    <w:jc w:val="center"/>
                  </w:pPr>
                  <w:r>
                    <w:t xml:space="preserve">20.6 (2.6)</w:t>
                  </w:r>
                </w:p>
              </w:tc>
              <w:tc>
                <w:tcPr/>
                <w:p>
                  <w:pPr>
                    <w:pStyle w:val="Compact"/>
                    <w:jc w:val="right"/>
                    <w:jc w:val="center"/>
                  </w:pPr>
                  <w:r>
                    <w:t xml:space="preserve">14.0–23.0</w:t>
                  </w:r>
                </w:p>
              </w:tc>
            </w:tr>
            <w:tr>
              <w:tc>
                <w:tcPr/>
                <w:p>
                  <w:pPr>
                    <w:pStyle w:val="Compact"/>
                    <w:jc w:val="left"/>
                    <w:jc w:val="center"/>
                  </w:pPr>
                  <w:r>
                    <w:t xml:space="preserve">SILS (/40)</w:t>
                  </w:r>
                </w:p>
              </w:tc>
              <w:tc>
                <w:tcPr/>
                <w:p>
                  <w:pPr>
                    <w:pStyle w:val="Compact"/>
                    <w:jc w:val="right"/>
                    <w:jc w:val="center"/>
                  </w:pPr>
                  <w:r>
                    <w:t xml:space="preserve">63</w:t>
                  </w:r>
                </w:p>
              </w:tc>
              <w:tc>
                <w:tcPr/>
                <w:p>
                  <w:pPr>
                    <w:pStyle w:val="Compact"/>
                    <w:jc w:val="right"/>
                    <w:jc w:val="center"/>
                  </w:pPr>
                  <w:r>
                    <w:t xml:space="preserve">33.0 (3.6)</w:t>
                  </w:r>
                </w:p>
              </w:tc>
              <w:tc>
                <w:tcPr/>
                <w:p>
                  <w:pPr>
                    <w:pStyle w:val="Compact"/>
                    <w:jc w:val="right"/>
                    <w:jc w:val="center"/>
                  </w:pPr>
                  <w:r>
                    <w:t xml:space="preserve">18.0–38.0</w:t>
                  </w:r>
                </w:p>
              </w:tc>
            </w:tr>
            <w:tr>
              <w:tc>
                <w:tcPr/>
                <w:p>
                  <w:pPr>
                    <w:pStyle w:val="Compact"/>
                    <w:jc w:val="left"/>
                    <w:jc w:val="center"/>
                  </w:pPr>
                  <w:r>
                    <w:t xml:space="preserve">GDS (/15)</w:t>
                  </w:r>
                </w:p>
              </w:tc>
              <w:tc>
                <w:tcPr/>
                <w:p>
                  <w:pPr>
                    <w:pStyle w:val="Compact"/>
                    <w:jc w:val="right"/>
                    <w:jc w:val="center"/>
                  </w:pPr>
                  <w:r>
                    <w:t xml:space="preserve">61</w:t>
                  </w:r>
                </w:p>
              </w:tc>
              <w:tc>
                <w:tcPr/>
                <w:p>
                  <w:pPr>
                    <w:pStyle w:val="Compact"/>
                    <w:jc w:val="right"/>
                    <w:jc w:val="center"/>
                  </w:pPr>
                  <w:r>
                    <w:t xml:space="preserve">1.7 (2.0)</w:t>
                  </w:r>
                </w:p>
              </w:tc>
              <w:tc>
                <w:tcPr/>
                <w:p>
                  <w:pPr>
                    <w:pStyle w:val="Compact"/>
                    <w:jc w:val="right"/>
                    <w:jc w:val="center"/>
                  </w:pPr>
                  <w:r>
                    <w:t xml:space="preserve">0.0–10.0</w:t>
                  </w:r>
                </w:p>
              </w:tc>
            </w:tr>
            <w:tr>
              <w:tc>
                <w:tcPr/>
                <w:p>
                  <w:pPr>
                    <w:pStyle w:val="Compact"/>
                    <w:jc w:val="left"/>
                    <w:jc w:val="center"/>
                  </w:pPr>
                  <w:r>
                    <w:t xml:space="preserve">GAD-7 (/21)</w:t>
                  </w:r>
                </w:p>
              </w:tc>
              <w:tc>
                <w:tcPr/>
                <w:p>
                  <w:pPr>
                    <w:pStyle w:val="Compact"/>
                    <w:jc w:val="right"/>
                    <w:jc w:val="center"/>
                  </w:pPr>
                  <w:r>
                    <w:t xml:space="preserve">61</w:t>
                  </w:r>
                </w:p>
              </w:tc>
              <w:tc>
                <w:tcPr/>
                <w:p>
                  <w:pPr>
                    <w:pStyle w:val="Compact"/>
                    <w:jc w:val="right"/>
                    <w:jc w:val="center"/>
                  </w:pPr>
                  <w:r>
                    <w:t xml:space="preserve">2.3 (2.3)</w:t>
                  </w:r>
                </w:p>
              </w:tc>
              <w:tc>
                <w:tcPr/>
                <w:p>
                  <w:pPr>
                    <w:pStyle w:val="Compact"/>
                    <w:jc w:val="right"/>
                    <w:jc w:val="center"/>
                  </w:pPr>
                  <w:r>
                    <w:t xml:space="preserve">0.0–10.0</w:t>
                  </w:r>
                </w:p>
              </w:tc>
            </w:tr>
            <w:tr>
              <w:tc>
                <w:tcPr/>
                <w:p>
                  <w:pPr>
                    <w:pStyle w:val="Compact"/>
                    <w:jc w:val="left"/>
                    <w:jc w:val="center"/>
                  </w:pPr>
                  <w:r>
                    <w:t xml:space="preserve">EMQ-13</w:t>
                  </w:r>
                </w:p>
              </w:tc>
              <w:tc>
                <w:tcPr/>
                <w:p>
                  <w:pPr>
                    <w:pStyle w:val="Compact"/>
                    <w:jc w:val="right"/>
                    <w:jc w:val="center"/>
                  </w:pPr>
                  <w:r>
                    <w:t xml:space="preserve">62</w:t>
                  </w:r>
                </w:p>
              </w:tc>
              <w:tc>
                <w:tcPr/>
                <w:p>
                  <w:pPr>
                    <w:pStyle w:val="Compact"/>
                    <w:jc w:val="right"/>
                    <w:jc w:val="center"/>
                  </w:pPr>
                  <w:r>
                    <w:t xml:space="preserve">6.7 (4.7)</w:t>
                  </w:r>
                </w:p>
              </w:tc>
              <w:tc>
                <w:tcPr/>
                <w:p>
                  <w:pPr>
                    <w:pStyle w:val="Compact"/>
                    <w:jc w:val="right"/>
                    <w:jc w:val="center"/>
                  </w:pPr>
                  <w:r>
                    <w:t xml:space="preserve">1.0–28.0</w:t>
                  </w:r>
                </w:p>
              </w:tc>
            </w:tr>
            <w:tr>
              <w:tc>
                <w:tcPr/>
                <w:p>
                  <w:pPr>
                    <w:pStyle w:val="Compact"/>
                    <w:jc w:val="left"/>
                    <w:jc w:val="center"/>
                  </w:pPr>
                  <w:r>
                    <w:t xml:space="preserve">Female, n (%)</w:t>
                  </w:r>
                </w:p>
              </w:tc>
              <w:tc>
                <w:tcPr/>
                <w:p>
                  <w:pPr>
                    <w:pStyle w:val="Compact"/>
                  </w:pPr>
                </w:p>
              </w:tc>
              <w:tc>
                <w:tcPr/>
                <w:p>
                  <w:pPr>
                    <w:pStyle w:val="Compact"/>
                    <w:jc w:val="right"/>
                    <w:jc w:val="center"/>
                  </w:pPr>
                  <w:r>
                    <w:t xml:space="preserve">34 (50.7%)</w:t>
                  </w:r>
                </w:p>
              </w:tc>
              <w:tc>
                <w:tcPr/>
                <w:p>
                  <w:pPr>
                    <w:pStyle w:val="Compact"/>
                  </w:pPr>
                </w:p>
              </w:tc>
            </w:tr>
            <w:tr>
              <w:tc>
                <w:tcPr/>
                <w:p>
                  <w:pPr>
                    <w:pStyle w:val="Compact"/>
                    <w:jc w:val="left"/>
                    <w:jc w:val="center"/>
                  </w:pPr>
                  <w:r>
                    <w:t xml:space="preserve">Right-handed, n (%)</w:t>
                  </w:r>
                </w:p>
              </w:tc>
              <w:tc>
                <w:tcPr/>
                <w:p>
                  <w:pPr>
                    <w:pStyle w:val="Compact"/>
                  </w:pPr>
                </w:p>
              </w:tc>
              <w:tc>
                <w:tcPr/>
                <w:p>
                  <w:pPr>
                    <w:pStyle w:val="Compact"/>
                    <w:jc w:val="right"/>
                    <w:jc w:val="center"/>
                  </w:pPr>
                  <w:r>
                    <w:t xml:space="preserve">67 (100.0%)</w:t>
                  </w:r>
                </w:p>
              </w:tc>
              <w:tc>
                <w:tcPr/>
                <w:p>
                  <w:pPr>
                    <w:pStyle w:val="Compact"/>
                  </w:pPr>
                </w:p>
              </w:tc>
            </w:tr>
            <w:tr>
              <w:tc>
                <w:tcPr/>
                <w:p>
                  <w:pPr>
                    <w:pStyle w:val="Compact"/>
                    <w:jc w:val="left"/>
                    <w:jc w:val="center"/>
                  </w:pPr>
                  <w:r>
                    <w:t xml:space="preserve">White race, n (%)</w:t>
                  </w:r>
                </w:p>
              </w:tc>
              <w:tc>
                <w:tcPr/>
                <w:p>
                  <w:pPr>
                    <w:pStyle w:val="Compact"/>
                  </w:pPr>
                </w:p>
              </w:tc>
              <w:tc>
                <w:tcPr/>
                <w:p>
                  <w:pPr>
                    <w:pStyle w:val="Compact"/>
                    <w:jc w:val="right"/>
                    <w:jc w:val="center"/>
                  </w:pPr>
                  <w:r>
                    <w:t xml:space="preserve">51 (76.1%)</w:t>
                  </w:r>
                </w:p>
              </w:tc>
              <w:tc>
                <w:tcPr/>
                <w:p>
                  <w:pPr>
                    <w:pStyle w:val="Compact"/>
                  </w:pPr>
                </w:p>
              </w:tc>
            </w:tr>
            <w:tr>
              <w:tc>
                <w:tcPr/>
                <w:p>
                  <w:pPr>
                    <w:pStyle w:val="Compact"/>
                    <w:jc w:val="left"/>
                    <w:jc w:val="center"/>
                  </w:pPr>
                  <w:r>
                    <w:t xml:space="preserve">Hispanic/Latino ethnicity, n (%)</w:t>
                  </w:r>
                </w:p>
              </w:tc>
              <w:tc>
                <w:tcPr/>
                <w:p>
                  <w:pPr>
                    <w:pStyle w:val="Compact"/>
                  </w:pPr>
                </w:p>
              </w:tc>
              <w:tc>
                <w:tcPr/>
                <w:p>
                  <w:pPr>
                    <w:pStyle w:val="Compact"/>
                    <w:jc w:val="right"/>
                    <w:jc w:val="center"/>
                  </w:pPr>
                  <w:r>
                    <w:t xml:space="preserve">10 (14.9%)</w:t>
                  </w:r>
                </w:p>
              </w:tc>
              <w:tc>
                <w:tcPr/>
                <w:p>
                  <w:pPr>
                    <w:pStyle w:val="Compact"/>
                  </w:pPr>
                </w:p>
              </w:tc>
            </w:tr>
          </w:tbl>
          <w:p>
            <w:pPr>
              <w:jc w:val="center"/>
            </w:pPr>
            <w:r>
              <w:rPr>
                <w:i/>
                <w:iCs/>
              </w:rPr>
              <w:t xml:space="preserve">Note.</w:t>
            </w:r>
            <w:r>
              <w:t xml:space="preserve"> </w:t>
            </w:r>
            <w:r>
              <w:t xml:space="preserve">Means (SD) or counts (%) among participants with a recorded value; n varies by measure.</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neuropsych"/>
          <w:p>
            <w:pPr>
              <w:jc w:val="center"/>
            </w:pPr>
            <w:pPr>
              <w:jc w:val="left"/>
              <w:spacing w:before="200"/>
              <w:pStyle w:val="ImageCaption"/>
            </w:pPr>
            <w:r>
              <w:t xml:space="preserve">Table S21: Exploratory correlations between neuropsychological measures and behavioral and model-based outcomes, with false-discovery-rate-adjusted</w:t>
            </w:r>
            <w:r>
              <w:t xml:space="preserve"> </w:t>
            </w:r>
            <w:r>
              <w:rPr>
                <w:i/>
                <w:iCs/>
              </w:rPr>
              <w:t xml:space="preserve">p</w:t>
            </w:r>
            <w:r>
              <w:t xml:space="preserve"> </w:t>
            </w:r>
            <w:r>
              <w:t xml:space="preserve">values</w:t>
            </w:r>
          </w:p>
          <w:tbl>
            <w:tblPr>
              <w:tblStyle w:val="Table"/>
              <w:tblW w:type="pct" w:w="5000"/>
              <w:tblLayout w:type="fixed"/>
              <w:tblLook w:firstRow="1" w:lastRow="0" w:firstColumn="0" w:lastColumn="0" w:noHBand="0" w:noVBand="0" w:val="0020"/>
            </w:tblPr>
            <w:tblGrid>
              <w:gridCol w:w="1961"/>
              <w:gridCol w:w="3846"/>
              <w:gridCol w:w="678"/>
              <w:gridCol w:w="377"/>
              <w:gridCol w:w="754"/>
              <w:gridCol w:w="301"/>
            </w:tblGrid>
            <w:tr>
              <w:trPr>
                <w:tblHeader w:val="on"/>
              </w:trPr>
              <w:tc>
                <w:tcPr/>
                <w:p>
                  <w:pPr>
                    <w:pStyle w:val="Compact"/>
                    <w:jc w:val="left"/>
                    <w:jc w:val="center"/>
                  </w:pPr>
                  <w:r>
                    <w:t xml:space="preserve">Predictor</w:t>
                  </w:r>
                </w:p>
              </w:tc>
              <w:tc>
                <w:tcPr/>
                <w:p>
                  <w:pPr>
                    <w:pStyle w:val="Compact"/>
                    <w:jc w:val="right"/>
                    <w:jc w:val="center"/>
                  </w:pPr>
                  <w:r>
                    <w:t xml:space="preserve">Outcome</w:t>
                  </w:r>
                </w:p>
              </w:tc>
              <w:tc>
                <w:tcPr/>
                <w:p>
                  <w:pPr>
                    <w:pStyle w:val="Compact"/>
                    <w:jc w:val="right"/>
                    <w:jc w:val="center"/>
                  </w:pPr>
                  <w:r>
                    <w:t xml:space="preserve">r</w:t>
                  </w:r>
                </w:p>
              </w:tc>
              <w:tc>
                <w:tcPr/>
                <w:p>
                  <w:pPr>
                    <w:pStyle w:val="Compact"/>
                    <w:jc w:val="right"/>
                    <w:jc w:val="center"/>
                  </w:pPr>
                  <w:r>
                    <w:rPr>
                      <w:i/>
                      <w:iCs/>
                    </w:rPr>
                    <w:t xml:space="preserve">p</w:t>
                  </w:r>
                </w:p>
              </w:tc>
              <w:tc>
                <w:tcPr/>
                <w:p>
                  <w:pPr>
                    <w:pStyle w:val="Compact"/>
                    <w:jc w:val="right"/>
                    <w:jc w:val="center"/>
                  </w:pPr>
                  <w:r>
                    <w:rPr>
                      <w:i/>
                      <w:iCs/>
                    </w:rPr>
                    <w:t xml:space="preserve">p</w:t>
                  </w:r>
                  <w:r>
                    <w:t xml:space="preserve"> </w:t>
                  </w:r>
                  <w:r>
                    <w:t xml:space="preserve">(FDR)</w:t>
                  </w:r>
                </w:p>
              </w:tc>
              <w:tc>
                <w:tcPr/>
                <w:p>
                  <w:pPr>
                    <w:pStyle w:val="Compact"/>
                    <w:jc w:val="right"/>
                    <w:jc w:val="center"/>
                  </w:pPr>
                  <w:r>
                    <w:rPr>
                      <w:i/>
                      <w:iCs/>
                    </w:rPr>
                    <w:t xml:space="preserve">n</w:t>
                  </w:r>
                </w:p>
              </w:tc>
            </w:tr>
            <w:tr>
              <w:tc>
                <w:tcPr/>
                <w:p>
                  <w:pPr>
                    <w:pStyle w:val="Compact"/>
                    <w:jc w:val="left"/>
                    <w:jc w:val="center"/>
                  </w:pPr>
                  <w:r>
                    <w:t xml:space="preserve">Boston Naming</w:t>
                  </w:r>
                </w:p>
              </w:tc>
              <w:tc>
                <w:tcPr/>
                <w:p>
                  <w:pPr>
                    <w:pStyle w:val="Compact"/>
                    <w:jc w:val="right"/>
                    <w:jc w:val="center"/>
                  </w:pPr>
                  <w:r>
                    <w:t xml:space="preserve">mean accuracy</w:t>
                  </w:r>
                </w:p>
              </w:tc>
              <w:tc>
                <w:tcPr/>
                <w:p>
                  <w:pPr>
                    <w:pStyle w:val="Compact"/>
                    <w:jc w:val="right"/>
                    <w:jc w:val="center"/>
                  </w:pPr>
                  <w:r>
                    <w:t xml:space="preserve">r = .32</w:t>
                  </w:r>
                </w:p>
              </w:tc>
              <w:tc>
                <w:tcPr/>
                <w:p>
                  <w:pPr>
                    <w:pStyle w:val="Compact"/>
                    <w:jc w:val="right"/>
                    <w:jc w:val="center"/>
                  </w:pPr>
                  <w:r>
                    <w:t xml:space="preserve">.012</w:t>
                  </w:r>
                </w:p>
              </w:tc>
              <w:tc>
                <w:tcPr/>
                <w:p>
                  <w:pPr>
                    <w:pStyle w:val="Compact"/>
                    <w:jc w:val="right"/>
                    <w:jc w:val="center"/>
                  </w:pPr>
                  <w:r>
                    <w:t xml:space="preserve">.109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|accuracy difference|</w:t>
                  </w:r>
                </w:p>
              </w:tc>
              <w:tc>
                <w:tcPr/>
                <w:p>
                  <w:pPr>
                    <w:pStyle w:val="Compact"/>
                    <w:jc w:val="right"/>
                    <w:jc w:val="center"/>
                  </w:pPr>
                  <w:r>
                    <w:t xml:space="preserve">r = −.14</w:t>
                  </w:r>
                </w:p>
              </w:tc>
              <w:tc>
                <w:tcPr/>
                <w:p>
                  <w:pPr>
                    <w:pStyle w:val="Compact"/>
                    <w:jc w:val="right"/>
                    <w:jc w:val="center"/>
                  </w:pPr>
                  <w:r>
                    <w:t xml:space="preserve">.270</w:t>
                  </w:r>
                </w:p>
              </w:tc>
              <w:tc>
                <w:tcPr/>
                <w:p>
                  <w:pPr>
                    <w:pStyle w:val="Compact"/>
                    <w:jc w:val="right"/>
                    <w:jc w:val="center"/>
                  </w:pPr>
                  <w:r>
                    <w:t xml:space="preserve">.529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d′ (descriptive)</w:t>
                  </w:r>
                </w:p>
              </w:tc>
              <w:tc>
                <w:tcPr/>
                <w:p>
                  <w:pPr>
                    <w:pStyle w:val="Compact"/>
                    <w:jc w:val="right"/>
                    <w:jc w:val="center"/>
                  </w:pPr>
                  <w:r>
                    <w:t xml:space="preserve">r = .33</w:t>
                  </w:r>
                </w:p>
              </w:tc>
              <w:tc>
                <w:tcPr/>
                <w:p>
                  <w:pPr>
                    <w:pStyle w:val="Compact"/>
                    <w:jc w:val="right"/>
                    <w:jc w:val="center"/>
                  </w:pPr>
                  <w:r>
                    <w:t xml:space="preserve">.009</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|RT effort difference|</w:t>
                  </w:r>
                </w:p>
              </w:tc>
              <w:tc>
                <w:tcPr/>
                <w:p>
                  <w:pPr>
                    <w:pStyle w:val="Compact"/>
                    <w:jc w:val="right"/>
                    <w:jc w:val="center"/>
                  </w:pPr>
                  <w:r>
                    <w:t xml:space="preserve">r = −.20</w:t>
                  </w:r>
                </w:p>
              </w:tc>
              <w:tc>
                <w:tcPr/>
                <w:p>
                  <w:pPr>
                    <w:pStyle w:val="Compact"/>
                    <w:jc w:val="right"/>
                    <w:jc w:val="center"/>
                  </w:pPr>
                  <w:r>
                    <w:t xml:space="preserve">.121</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mean RT</w:t>
                  </w:r>
                </w:p>
              </w:tc>
              <w:tc>
                <w:tcPr/>
                <w:p>
                  <w:pPr>
                    <w:pStyle w:val="Compact"/>
                    <w:jc w:val="right"/>
                    <w:jc w:val="center"/>
                  </w:pPr>
                  <w:r>
                    <w:t xml:space="preserve">r = −.17</w:t>
                  </w:r>
                </w:p>
              </w:tc>
              <w:tc>
                <w:tcPr/>
                <w:p>
                  <w:pPr>
                    <w:pStyle w:val="Compact"/>
                    <w:jc w:val="right"/>
                    <w:jc w:val="center"/>
                  </w:pPr>
                  <w:r>
                    <w:t xml:space="preserve">.182</w:t>
                  </w:r>
                </w:p>
              </w:tc>
              <w:tc>
                <w:tcPr/>
                <w:p>
                  <w:pPr>
                    <w:pStyle w:val="Compact"/>
                    <w:jc w:val="right"/>
                    <w:jc w:val="center"/>
                  </w:pPr>
                  <w:r>
                    <w:t xml:space="preserve">.430</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mean accuracy</w:t>
                  </w:r>
                </w:p>
              </w:tc>
              <w:tc>
                <w:tcPr/>
                <w:p>
                  <w:pPr>
                    <w:pStyle w:val="Compact"/>
                    <w:jc w:val="right"/>
                    <w:jc w:val="center"/>
                  </w:pPr>
                  <w:r>
                    <w:t xml:space="preserve">r = .30</w:t>
                  </w:r>
                </w:p>
              </w:tc>
              <w:tc>
                <w:tcPr/>
                <w:p>
                  <w:pPr>
                    <w:pStyle w:val="Compact"/>
                    <w:jc w:val="right"/>
                    <w:jc w:val="center"/>
                  </w:pPr>
                  <w:r>
                    <w:t xml:space="preserve">.015</w:t>
                  </w:r>
                </w:p>
              </w:tc>
              <w:tc>
                <w:tcPr/>
                <w:p>
                  <w:pPr>
                    <w:pStyle w:val="Compact"/>
                    <w:jc w:val="right"/>
                    <w:jc w:val="center"/>
                  </w:pPr>
                  <w:r>
                    <w:t xml:space="preserve">.109</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|accuracy difference|</w:t>
                  </w:r>
                </w:p>
              </w:tc>
              <w:tc>
                <w:tcPr/>
                <w:p>
                  <w:pPr>
                    <w:pStyle w:val="Compact"/>
                    <w:jc w:val="right"/>
                    <w:jc w:val="center"/>
                  </w:pPr>
                  <w:r>
                    <w:t xml:space="preserve">r = .24</w:t>
                  </w:r>
                </w:p>
              </w:tc>
              <w:tc>
                <w:tcPr/>
                <w:p>
                  <w:pPr>
                    <w:pStyle w:val="Compact"/>
                    <w:jc w:val="right"/>
                    <w:jc w:val="center"/>
                  </w:pPr>
                  <w:r>
                    <w:t xml:space="preserve">.054</w:t>
                  </w:r>
                </w:p>
              </w:tc>
              <w:tc>
                <w:tcPr/>
                <w:p>
                  <w:pPr>
                    <w:pStyle w:val="Compact"/>
                    <w:jc w:val="right"/>
                    <w:jc w:val="center"/>
                  </w:pPr>
                  <w:r>
                    <w:t xml:space="preserve">.244</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d′ (descriptive)</w:t>
                  </w:r>
                </w:p>
              </w:tc>
              <w:tc>
                <w:tcPr/>
                <w:p>
                  <w:pPr>
                    <w:pStyle w:val="Compact"/>
                    <w:jc w:val="right"/>
                    <w:jc w:val="center"/>
                  </w:pPr>
                  <w:r>
                    <w:t xml:space="preserve">r = .07</w:t>
                  </w:r>
                </w:p>
              </w:tc>
              <w:tc>
                <w:tcPr/>
                <w:p>
                  <w:pPr>
                    <w:pStyle w:val="Compact"/>
                    <w:jc w:val="right"/>
                    <w:jc w:val="center"/>
                  </w:pPr>
                  <w:r>
                    <w:t xml:space="preserve">.596</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|RT effort difference|</w:t>
                  </w:r>
                </w:p>
              </w:tc>
              <w:tc>
                <w:tcPr/>
                <w:p>
                  <w:pPr>
                    <w:pStyle w:val="Compact"/>
                    <w:jc w:val="right"/>
                    <w:jc w:val="center"/>
                  </w:pPr>
                  <w:r>
                    <w:t xml:space="preserve">r = −.05</w:t>
                  </w:r>
                </w:p>
              </w:tc>
              <w:tc>
                <w:tcPr/>
                <w:p>
                  <w:pPr>
                    <w:pStyle w:val="Compact"/>
                    <w:jc w:val="right"/>
                    <w:jc w:val="center"/>
                  </w:pPr>
                  <w:r>
                    <w:t xml:space="preserve">.689</w:t>
                  </w:r>
                </w:p>
              </w:tc>
              <w:tc>
                <w:tcPr/>
                <w:p>
                  <w:pPr>
                    <w:pStyle w:val="Compact"/>
                    <w:jc w:val="right"/>
                    <w:jc w:val="center"/>
                  </w:pPr>
                  <w:r>
                    <w:t xml:space="preserve">.915</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mean RT</w:t>
                  </w:r>
                </w:p>
              </w:tc>
              <w:tc>
                <w:tcPr/>
                <w:p>
                  <w:pPr>
                    <w:pStyle w:val="Compact"/>
                    <w:jc w:val="right"/>
                    <w:jc w:val="center"/>
                  </w:pPr>
                  <w:r>
                    <w:t xml:space="preserve">r = −.07</w:t>
                  </w:r>
                </w:p>
              </w:tc>
              <w:tc>
                <w:tcPr/>
                <w:p>
                  <w:pPr>
                    <w:pStyle w:val="Compact"/>
                    <w:jc w:val="right"/>
                    <w:jc w:val="center"/>
                  </w:pPr>
                  <w:r>
                    <w:t xml:space="preserve">.601</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mean accuracy</w:t>
                  </w:r>
                </w:p>
              </w:tc>
              <w:tc>
                <w:tcPr/>
                <w:p>
                  <w:pPr>
                    <w:pStyle w:val="Compact"/>
                    <w:jc w:val="right"/>
                    <w:jc w:val="center"/>
                  </w:pPr>
                  <w:r>
                    <w:t xml:space="preserve">r = .02</w:t>
                  </w:r>
                </w:p>
              </w:tc>
              <w:tc>
                <w:tcPr/>
                <w:p>
                  <w:pPr>
                    <w:pStyle w:val="Compact"/>
                    <w:jc w:val="right"/>
                    <w:jc w:val="center"/>
                  </w:pPr>
                  <w:r>
                    <w:t xml:space="preserve">.859</w:t>
                  </w:r>
                </w:p>
              </w:tc>
              <w:tc>
                <w:tcPr/>
                <w:p>
                  <w:pPr>
                    <w:pStyle w:val="Compact"/>
                    <w:jc w:val="right"/>
                    <w:jc w:val="center"/>
                  </w:pPr>
                  <w:r>
                    <w:t xml:space="preserve">.924</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|accuracy difference|</w:t>
                  </w:r>
                </w:p>
              </w:tc>
              <w:tc>
                <w:tcPr/>
                <w:p>
                  <w:pPr>
                    <w:pStyle w:val="Compact"/>
                    <w:jc w:val="right"/>
                    <w:jc w:val="center"/>
                  </w:pPr>
                  <w:r>
                    <w:t xml:space="preserve">r = .19</w:t>
                  </w:r>
                </w:p>
              </w:tc>
              <w:tc>
                <w:tcPr/>
                <w:p>
                  <w:pPr>
                    <w:pStyle w:val="Compact"/>
                    <w:jc w:val="right"/>
                    <w:jc w:val="center"/>
                  </w:pPr>
                  <w:r>
                    <w:t xml:space="preserve">.140</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d′ (descriptive)</w:t>
                  </w:r>
                </w:p>
              </w:tc>
              <w:tc>
                <w:tcPr/>
                <w:p>
                  <w:pPr>
                    <w:pStyle w:val="Compact"/>
                    <w:jc w:val="right"/>
                    <w:jc w:val="center"/>
                  </w:pPr>
                  <w:r>
                    <w:t xml:space="preserve">r = −.12</w:t>
                  </w:r>
                </w:p>
              </w:tc>
              <w:tc>
                <w:tcPr/>
                <w:p>
                  <w:pPr>
                    <w:pStyle w:val="Compact"/>
                    <w:jc w:val="right"/>
                    <w:jc w:val="center"/>
                  </w:pPr>
                  <w:r>
                    <w:t xml:space="preserve">.358</w:t>
                  </w:r>
                </w:p>
              </w:tc>
              <w:tc>
                <w:tcPr/>
                <w:p>
                  <w:pPr>
                    <w:pStyle w:val="Compact"/>
                    <w:jc w:val="right"/>
                    <w:jc w:val="center"/>
                  </w:pPr>
                  <w:r>
                    <w:t xml:space="preserve">.668</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|RT effort difference|</w:t>
                  </w:r>
                </w:p>
              </w:tc>
              <w:tc>
                <w:tcPr/>
                <w:p>
                  <w:pPr>
                    <w:pStyle w:val="Compact"/>
                    <w:jc w:val="right"/>
                    <w:jc w:val="center"/>
                  </w:pPr>
                  <w:r>
                    <w:t xml:space="preserve">r = .04</w:t>
                  </w:r>
                </w:p>
              </w:tc>
              <w:tc>
                <w:tcPr/>
                <w:p>
                  <w:pPr>
                    <w:pStyle w:val="Compact"/>
                    <w:jc w:val="right"/>
                    <w:jc w:val="center"/>
                  </w:pPr>
                  <w:r>
                    <w:t xml:space="preserve">.732</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mean RT</w:t>
                  </w:r>
                </w:p>
              </w:tc>
              <w:tc>
                <w:tcPr/>
                <w:p>
                  <w:pPr>
                    <w:pStyle w:val="Compact"/>
                    <w:jc w:val="right"/>
                    <w:jc w:val="center"/>
                  </w:pPr>
                  <w:r>
                    <w:t xml:space="preserve">r = .33</w:t>
                  </w:r>
                </w:p>
              </w:tc>
              <w:tc>
                <w:tcPr/>
                <w:p>
                  <w:pPr>
                    <w:pStyle w:val="Compact"/>
                    <w:jc w:val="right"/>
                    <w:jc w:val="center"/>
                  </w:pPr>
                  <w:r>
                    <w:t xml:space="preserve">.008</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.834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|accuracy difference|</w:t>
                  </w:r>
                </w:p>
              </w:tc>
              <w:tc>
                <w:tcPr/>
                <w:p>
                  <w:pPr>
                    <w:pStyle w:val="Compact"/>
                    <w:jc w:val="right"/>
                    <w:jc w:val="center"/>
                  </w:pPr>
                  <w:r>
                    <w:t xml:space="preserve">r = .20</w:t>
                  </w:r>
                </w:p>
              </w:tc>
              <w:tc>
                <w:tcPr/>
                <w:p>
                  <w:pPr>
                    <w:pStyle w:val="Compact"/>
                    <w:jc w:val="right"/>
                    <w:jc w:val="center"/>
                  </w:pPr>
                  <w:r>
                    <w:t xml:space="preserve">.113</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d′ (descriptive)</w:t>
                  </w:r>
                </w:p>
              </w:tc>
              <w:tc>
                <w:tcPr/>
                <w:p>
                  <w:pPr>
                    <w:pStyle w:val="Compact"/>
                    <w:jc w:val="right"/>
                    <w:jc w:val="center"/>
                  </w:pPr>
                  <w:r>
                    <w:t xml:space="preserve">r = .01</w:t>
                  </w:r>
                </w:p>
              </w:tc>
              <w:tc>
                <w:tcPr/>
                <w:p>
                  <w:pPr>
                    <w:pStyle w:val="Compact"/>
                    <w:jc w:val="right"/>
                    <w:jc w:val="center"/>
                  </w:pPr>
                  <w:r>
                    <w:t xml:space="preserve">.931</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|RT effort difference|</w:t>
                  </w:r>
                </w:p>
              </w:tc>
              <w:tc>
                <w:tcPr/>
                <w:p>
                  <w:pPr>
                    <w:pStyle w:val="Compact"/>
                    <w:jc w:val="right"/>
                    <w:jc w:val="center"/>
                  </w:pPr>
                  <w:r>
                    <w:t xml:space="preserve">r = −.02</w:t>
                  </w:r>
                </w:p>
              </w:tc>
              <w:tc>
                <w:tcPr/>
                <w:p>
                  <w:pPr>
                    <w:pStyle w:val="Compact"/>
                    <w:jc w:val="right"/>
                    <w:jc w:val="center"/>
                  </w:pPr>
                  <w:r>
                    <w:t xml:space="preserve">.864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.883</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.844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|accuracy difference|</w:t>
                  </w:r>
                </w:p>
              </w:tc>
              <w:tc>
                <w:tcPr/>
                <w:p>
                  <w:pPr>
                    <w:pStyle w:val="Compact"/>
                    <w:jc w:val="right"/>
                    <w:jc w:val="center"/>
                  </w:pPr>
                  <w:r>
                    <w:t xml:space="preserve">r = .07</w:t>
                  </w:r>
                </w:p>
              </w:tc>
              <w:tc>
                <w:tcPr/>
                <w:p>
                  <w:pPr>
                    <w:pStyle w:val="Compact"/>
                    <w:jc w:val="right"/>
                    <w:jc w:val="center"/>
                  </w:pPr>
                  <w:r>
                    <w:t xml:space="preserve">.569</w:t>
                  </w:r>
                </w:p>
              </w:tc>
              <w:tc>
                <w:tcPr/>
                <w:p>
                  <w:pPr>
                    <w:pStyle w:val="Compact"/>
                    <w:jc w:val="right"/>
                    <w:jc w:val="center"/>
                  </w:pPr>
                  <w:r>
                    <w:t xml:space="preserve">.902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d′ (descriptive)</w:t>
                  </w:r>
                </w:p>
              </w:tc>
              <w:tc>
                <w:tcPr/>
                <w:p>
                  <w:pPr>
                    <w:pStyle w:val="Compact"/>
                    <w:jc w:val="right"/>
                    <w:jc w:val="center"/>
                  </w:pPr>
                  <w:r>
                    <w:t xml:space="preserve">r = −.27</w:t>
                  </w:r>
                </w:p>
              </w:tc>
              <w:tc>
                <w:tcPr/>
                <w:p>
                  <w:pPr>
                    <w:pStyle w:val="Compact"/>
                    <w:jc w:val="right"/>
                    <w:jc w:val="center"/>
                  </w:pPr>
                  <w:r>
                    <w:t xml:space="preserve">.034</w:t>
                  </w:r>
                </w:p>
              </w:tc>
              <w:tc>
                <w:tcPr/>
                <w:p>
                  <w:pPr>
                    <w:pStyle w:val="Compact"/>
                    <w:jc w:val="right"/>
                    <w:jc w:val="center"/>
                  </w:pPr>
                  <w:r>
                    <w:t xml:space="preserve">.203</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|RT effort difference|</w:t>
                  </w:r>
                </w:p>
              </w:tc>
              <w:tc>
                <w:tcPr/>
                <w:p>
                  <w:pPr>
                    <w:pStyle w:val="Compact"/>
                    <w:jc w:val="right"/>
                    <w:jc w:val="center"/>
                  </w:pPr>
                  <w:r>
                    <w:t xml:space="preserve">r = .19</w:t>
                  </w:r>
                </w:p>
              </w:tc>
              <w:tc>
                <w:tcPr/>
                <w:p>
                  <w:pPr>
                    <w:pStyle w:val="Compact"/>
                    <w:jc w:val="right"/>
                    <w:jc w:val="center"/>
                  </w:pPr>
                  <w:r>
                    <w:t xml:space="preserve">.134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RT</w:t>
                  </w:r>
                </w:p>
              </w:tc>
              <w:tc>
                <w:tcPr/>
                <w:p>
                  <w:pPr>
                    <w:pStyle w:val="Compact"/>
                    <w:jc w:val="right"/>
                    <w:jc w:val="center"/>
                  </w:pPr>
                  <w:r>
                    <w:t xml:space="preserve">r = .19</w:t>
                  </w:r>
                </w:p>
              </w:tc>
              <w:tc>
                <w:tcPr/>
                <w:p>
                  <w:pPr>
                    <w:pStyle w:val="Compact"/>
                    <w:jc w:val="right"/>
                    <w:jc w:val="center"/>
                  </w:pPr>
                  <w:r>
                    <w:t xml:space="preserve">.144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mean accuracy</w:t>
                  </w:r>
                </w:p>
              </w:tc>
              <w:tc>
                <w:tcPr/>
                <w:p>
                  <w:pPr>
                    <w:pStyle w:val="Compact"/>
                    <w:jc w:val="right"/>
                    <w:jc w:val="center"/>
                  </w:pPr>
                  <w:r>
                    <w:t xml:space="preserve">r = .01</w:t>
                  </w:r>
                </w:p>
              </w:tc>
              <w:tc>
                <w:tcPr/>
                <w:p>
                  <w:pPr>
                    <w:pStyle w:val="Compact"/>
                    <w:jc w:val="right"/>
                    <w:jc w:val="center"/>
                  </w:pPr>
                  <w:r>
                    <w:t xml:space="preserve">.964</w:t>
                  </w:r>
                </w:p>
              </w:tc>
              <w:tc>
                <w:tcPr/>
                <w:p>
                  <w:pPr>
                    <w:pStyle w:val="Compact"/>
                    <w:jc w:val="right"/>
                    <w:jc w:val="center"/>
                  </w:pPr>
                  <w:r>
                    <w:t xml:space="preserve">.964</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|accuracy difference|</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.409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d′ (descriptive)</w:t>
                  </w:r>
                </w:p>
              </w:tc>
              <w:tc>
                <w:tcPr/>
                <w:p>
                  <w:pPr>
                    <w:pStyle w:val="Compact"/>
                    <w:jc w:val="right"/>
                    <w:jc w:val="center"/>
                  </w:pPr>
                  <w:r>
                    <w:t xml:space="preserve">r = .10</w:t>
                  </w:r>
                </w:p>
              </w:tc>
              <w:tc>
                <w:tcPr/>
                <w:p>
                  <w:pPr>
                    <w:pStyle w:val="Compact"/>
                    <w:jc w:val="right"/>
                    <w:jc w:val="center"/>
                  </w:pPr>
                  <w:r>
                    <w:t xml:space="preserve">.449</w:t>
                  </w:r>
                </w:p>
              </w:tc>
              <w:tc>
                <w:tcPr/>
                <w:p>
                  <w:pPr>
                    <w:pStyle w:val="Compact"/>
                    <w:jc w:val="right"/>
                    <w:jc w:val="center"/>
                  </w:pPr>
                  <w:r>
                    <w:t xml:space="preserve">.749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.658</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mean RT</w:t>
                  </w:r>
                </w:p>
              </w:tc>
              <w:tc>
                <w:tcPr/>
                <w:p>
                  <w:pPr>
                    <w:pStyle w:val="Compact"/>
                    <w:jc w:val="right"/>
                    <w:jc w:val="center"/>
                  </w:pPr>
                  <w:r>
                    <w:t xml:space="preserve">r = −.16</w:t>
                  </w:r>
                </w:p>
              </w:tc>
              <w:tc>
                <w:tcPr/>
                <w:p>
                  <w:pPr>
                    <w:pStyle w:val="Compact"/>
                    <w:jc w:val="right"/>
                    <w:jc w:val="center"/>
                  </w:pPr>
                  <w:r>
                    <w:t xml:space="preserve">.226</w:t>
                  </w:r>
                </w:p>
              </w:tc>
              <w:tc>
                <w:tcPr/>
                <w:p>
                  <w:pPr>
                    <w:pStyle w:val="Compact"/>
                    <w:jc w:val="right"/>
                    <w:jc w:val="center"/>
                  </w:pPr>
                  <w:r>
                    <w:t xml:space="preserve">.484</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mean accuracy</w:t>
                  </w:r>
                </w:p>
              </w:tc>
              <w:tc>
                <w:tcPr/>
                <w:p>
                  <w:pPr>
                    <w:pStyle w:val="Compact"/>
                    <w:jc w:val="right"/>
                    <w:jc w:val="center"/>
                  </w:pPr>
                  <w:r>
                    <w:t xml:space="preserve">r = .37</w:t>
                  </w:r>
                </w:p>
              </w:tc>
              <w:tc>
                <w:tcPr/>
                <w:p>
                  <w:pPr>
                    <w:pStyle w:val="Compact"/>
                    <w:jc w:val="right"/>
                    <w:jc w:val="center"/>
                  </w:pPr>
                  <w:r>
                    <w:t xml:space="preserve">.003</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|accuracy difference|</w:t>
                  </w:r>
                </w:p>
              </w:tc>
              <w:tc>
                <w:tcPr/>
                <w:p>
                  <w:pPr>
                    <w:pStyle w:val="Compact"/>
                    <w:jc w:val="right"/>
                    <w:jc w:val="center"/>
                  </w:pPr>
                  <w:r>
                    <w:t xml:space="preserve">r = −.03</w:t>
                  </w:r>
                </w:p>
              </w:tc>
              <w:tc>
                <w:tcPr/>
                <w:p>
                  <w:pPr>
                    <w:pStyle w:val="Compact"/>
                    <w:jc w:val="right"/>
                    <w:jc w:val="center"/>
                  </w:pPr>
                  <w:r>
                    <w:t xml:space="preserve">.816</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d′ (descriptive)</w:t>
                  </w:r>
                </w:p>
              </w:tc>
              <w:tc>
                <w:tcPr/>
                <w:p>
                  <w:pPr>
                    <w:pStyle w:val="Compact"/>
                    <w:jc w:val="right"/>
                    <w:jc w:val="center"/>
                  </w:pPr>
                  <w:r>
                    <w:t xml:space="preserve">r = .26</w:t>
                  </w:r>
                </w:p>
              </w:tc>
              <w:tc>
                <w:tcPr/>
                <w:p>
                  <w:pPr>
                    <w:pStyle w:val="Compact"/>
                    <w:jc w:val="right"/>
                    <w:jc w:val="center"/>
                  </w:pPr>
                  <w:r>
                    <w:t xml:space="preserve">.038</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|RT effort difference|</w:t>
                  </w:r>
                </w:p>
              </w:tc>
              <w:tc>
                <w:tcPr/>
                <w:p>
                  <w:pPr>
                    <w:pStyle w:val="Compact"/>
                    <w:jc w:val="right"/>
                    <w:jc w:val="center"/>
                  </w:pPr>
                  <w:r>
                    <w:t xml:space="preserve">r = −.26</w:t>
                  </w:r>
                </w:p>
              </w:tc>
              <w:tc>
                <w:tcPr/>
                <w:p>
                  <w:pPr>
                    <w:pStyle w:val="Compact"/>
                    <w:jc w:val="right"/>
                    <w:jc w:val="center"/>
                  </w:pPr>
                  <w:r>
                    <w:t xml:space="preserve">.041</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mean RT</w:t>
                  </w:r>
                </w:p>
              </w:tc>
              <w:tc>
                <w:tcPr/>
                <w:p>
                  <w:pPr>
                    <w:pStyle w:val="Compact"/>
                    <w:jc w:val="right"/>
                    <w:jc w:val="center"/>
                  </w:pPr>
                  <w:r>
                    <w:t xml:space="preserve">r = −.36</w:t>
                  </w:r>
                </w:p>
              </w:tc>
              <w:tc>
                <w:tcPr/>
                <w:p>
                  <w:pPr>
                    <w:pStyle w:val="Compact"/>
                    <w:jc w:val="right"/>
                    <w:jc w:val="center"/>
                  </w:pPr>
                  <w:r>
                    <w:t xml:space="preserve">.004</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accuracy</w:t>
                  </w:r>
                </w:p>
              </w:tc>
              <w:tc>
                <w:tcPr/>
                <w:p>
                  <w:pPr>
                    <w:pStyle w:val="Compact"/>
                    <w:jc w:val="right"/>
                    <w:jc w:val="center"/>
                  </w:pPr>
                  <w:r>
                    <w:t xml:space="preserve">r = −.23</w:t>
                  </w:r>
                </w:p>
              </w:tc>
              <w:tc>
                <w:tcPr/>
                <w:p>
                  <w:pPr>
                    <w:pStyle w:val="Compact"/>
                    <w:jc w:val="right"/>
                    <w:jc w:val="center"/>
                  </w:pPr>
                  <w:r>
                    <w:t xml:space="preserve">.074</w:t>
                  </w:r>
                </w:p>
              </w:tc>
              <w:tc>
                <w:tcPr/>
                <w:p>
                  <w:pPr>
                    <w:pStyle w:val="Compact"/>
                    <w:jc w:val="right"/>
                    <w:jc w:val="center"/>
                  </w:pPr>
                  <w:r>
                    <w:t xml:space="preserve">.302</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|accuracy difference|</w:t>
                  </w:r>
                </w:p>
              </w:tc>
              <w:tc>
                <w:tcPr/>
                <w:p>
                  <w:pPr>
                    <w:pStyle w:val="Compact"/>
                    <w:jc w:val="right"/>
                    <w:jc w:val="center"/>
                  </w:pPr>
                  <w:r>
                    <w:t xml:space="preserve">r = −.05</w:t>
                  </w:r>
                </w:p>
              </w:tc>
              <w:tc>
                <w:tcPr/>
                <w:p>
                  <w:pPr>
                    <w:pStyle w:val="Compact"/>
                    <w:jc w:val="right"/>
                    <w:jc w:val="center"/>
                  </w:pPr>
                  <w:r>
                    <w:t xml:space="preserve">.726</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d′ (descriptive)</w:t>
                  </w:r>
                </w:p>
              </w:tc>
              <w:tc>
                <w:tcPr/>
                <w:p>
                  <w:pPr>
                    <w:pStyle w:val="Compact"/>
                    <w:jc w:val="right"/>
                    <w:jc w:val="center"/>
                  </w:pPr>
                  <w:r>
                    <w:t xml:space="preserve">r = .20</w:t>
                  </w:r>
                </w:p>
              </w:tc>
              <w:tc>
                <w:tcPr/>
                <w:p>
                  <w:pPr>
                    <w:pStyle w:val="Compact"/>
                    <w:jc w:val="right"/>
                    <w:jc w:val="center"/>
                  </w:pPr>
                  <w:r>
                    <w:t xml:space="preserve">.117</w:t>
                  </w:r>
                </w:p>
              </w:tc>
              <w:tc>
                <w:tcPr/>
                <w:p>
                  <w:pPr>
                    <w:pStyle w:val="Compact"/>
                    <w:jc w:val="right"/>
                    <w:jc w:val="center"/>
                  </w:pPr>
                  <w:r>
                    <w:t xml:space="preserve">.381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|RT effort difference|</w:t>
                  </w:r>
                </w:p>
              </w:tc>
              <w:tc>
                <w:tcPr/>
                <w:p>
                  <w:pPr>
                    <w:pStyle w:val="Compact"/>
                    <w:jc w:val="right"/>
                    <w:jc w:val="center"/>
                  </w:pPr>
                  <w:r>
                    <w:t xml:space="preserve">r = −.11</w:t>
                  </w:r>
                </w:p>
              </w:tc>
              <w:tc>
                <w:tcPr/>
                <w:p>
                  <w:pPr>
                    <w:pStyle w:val="Compact"/>
                    <w:jc w:val="right"/>
                    <w:jc w:val="center"/>
                  </w:pPr>
                  <w:r>
                    <w:t xml:space="preserve">.371</w:t>
                  </w:r>
                </w:p>
              </w:tc>
              <w:tc>
                <w:tcPr/>
                <w:p>
                  <w:pPr>
                    <w:pStyle w:val="Compact"/>
                    <w:jc w:val="right"/>
                    <w:jc w:val="center"/>
                  </w:pPr>
                  <w:r>
                    <w:t xml:space="preserve">.668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RT</w:t>
                  </w:r>
                </w:p>
              </w:tc>
              <w:tc>
                <w:tcPr/>
                <w:p>
                  <w:pPr>
                    <w:pStyle w:val="Compact"/>
                    <w:jc w:val="right"/>
                    <w:jc w:val="center"/>
                  </w:pPr>
                  <w:r>
                    <w:t xml:space="preserve">r = .05</w:t>
                  </w:r>
                </w:p>
              </w:tc>
              <w:tc>
                <w:tcPr/>
                <w:p>
                  <w:pPr>
                    <w:pStyle w:val="Compact"/>
                    <w:jc w:val="right"/>
                    <w:jc w:val="center"/>
                  </w:pPr>
                  <w:r>
                    <w:t xml:space="preserve">.725</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accuracy</w:t>
                  </w:r>
                </w:p>
              </w:tc>
              <w:tc>
                <w:tcPr/>
                <w:p>
                  <w:pPr>
                    <w:pStyle w:val="Compact"/>
                    <w:jc w:val="right"/>
                    <w:jc w:val="center"/>
                  </w:pPr>
                  <w:r>
                    <w:t xml:space="preserve">r = −.14</w:t>
                  </w:r>
                </w:p>
              </w:tc>
              <w:tc>
                <w:tcPr/>
                <w:p>
                  <w:pPr>
                    <w:pStyle w:val="Compact"/>
                    <w:jc w:val="right"/>
                    <w:jc w:val="center"/>
                  </w:pPr>
                  <w:r>
                    <w:t xml:space="preserve">.268</w:t>
                  </w:r>
                </w:p>
              </w:tc>
              <w:tc>
                <w:tcPr/>
                <w:p>
                  <w:pPr>
                    <w:pStyle w:val="Compact"/>
                    <w:jc w:val="right"/>
                    <w:jc w:val="center"/>
                  </w:pPr>
                  <w:r>
                    <w:t xml:space="preserve">.529</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|accuracy difference|</w:t>
                  </w:r>
                </w:p>
              </w:tc>
              <w:tc>
                <w:tcPr/>
                <w:p>
                  <w:pPr>
                    <w:pStyle w:val="Compact"/>
                    <w:jc w:val="right"/>
                    <w:jc w:val="center"/>
                  </w:pPr>
                  <w:r>
                    <w:t xml:space="preserve">r = .10</w:t>
                  </w:r>
                </w:p>
              </w:tc>
              <w:tc>
                <w:tcPr/>
                <w:p>
                  <w:pPr>
                    <w:pStyle w:val="Compact"/>
                    <w:jc w:val="right"/>
                    <w:jc w:val="center"/>
                  </w:pPr>
                  <w:r>
                    <w:t xml:space="preserve">.423</w:t>
                  </w:r>
                </w:p>
              </w:tc>
              <w:tc>
                <w:tcPr/>
                <w:p>
                  <w:pPr>
                    <w:pStyle w:val="Compact"/>
                    <w:jc w:val="right"/>
                    <w:jc w:val="center"/>
                  </w:pPr>
                  <w:r>
                    <w:t xml:space="preserve">.732</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d′ (descriptive)</w:t>
                  </w:r>
                </w:p>
              </w:tc>
              <w:tc>
                <w:tcPr/>
                <w:p>
                  <w:pPr>
                    <w:pStyle w:val="Compact"/>
                    <w:jc w:val="right"/>
                    <w:jc w:val="center"/>
                  </w:pPr>
                  <w:r>
                    <w:t xml:space="preserve">r = .16</w:t>
                  </w:r>
                </w:p>
              </w:tc>
              <w:tc>
                <w:tcPr/>
                <w:p>
                  <w:pPr>
                    <w:pStyle w:val="Compact"/>
                    <w:jc w:val="right"/>
                    <w:jc w:val="center"/>
                  </w:pPr>
                  <w:r>
                    <w:t xml:space="preserve">.197</w:t>
                  </w:r>
                </w:p>
              </w:tc>
              <w:tc>
                <w:tcPr/>
                <w:p>
                  <w:pPr>
                    <w:pStyle w:val="Compact"/>
                    <w:jc w:val="right"/>
                    <w:jc w:val="center"/>
                  </w:pPr>
                  <w:r>
                    <w:t xml:space="preserve">.444</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.668</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.850</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Boston Naming</w:t>
                  </w:r>
                </w:p>
              </w:tc>
              <w:tc>
                <w:tcPr/>
                <w:p>
                  <w:pPr>
                    <w:pStyle w:val="Compact"/>
                    <w:jc w:val="right"/>
                    <w:jc w:val="center"/>
                  </w:pPr>
                  <w:r>
                    <w:t xml:space="preserve">subject-level boundary (M4 random intercept)</w:t>
                  </w:r>
                </w:p>
              </w:tc>
              <w:tc>
                <w:tcPr/>
                <w:p>
                  <w:pPr>
                    <w:pStyle w:val="Compact"/>
                    <w:jc w:val="right"/>
                    <w:jc w:val="center"/>
                  </w:pPr>
                  <w:r>
                    <w:t xml:space="preserve">r = −.04</w:t>
                  </w:r>
                </w:p>
              </w:tc>
              <w:tc>
                <w:tcPr/>
                <w:p>
                  <w:pPr>
                    <w:pStyle w:val="Compact"/>
                    <w:jc w:val="right"/>
                    <w:jc w:val="center"/>
                  </w:pPr>
                  <w:r>
                    <w:t xml:space="preserve">.771</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drift (M4 random intercept)</w:t>
                  </w:r>
                </w:p>
              </w:tc>
              <w:tc>
                <w:tcPr/>
                <w:p>
                  <w:pPr>
                    <w:pStyle w:val="Compact"/>
                    <w:jc w:val="right"/>
                    <w:jc w:val="center"/>
                  </w:pPr>
                  <w:r>
                    <w:t xml:space="preserve">r = .08</w:t>
                  </w:r>
                </w:p>
              </w:tc>
              <w:tc>
                <w:tcPr/>
                <w:p>
                  <w:pPr>
                    <w:pStyle w:val="Compact"/>
                    <w:jc w:val="right"/>
                    <w:jc w:val="center"/>
                  </w:pPr>
                  <w:r>
                    <w:t xml:space="preserve">.525</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.522</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subject-level boundary (M4 random intercept)</w:t>
                  </w:r>
                </w:p>
              </w:tc>
              <w:tc>
                <w:tcPr/>
                <w:p>
                  <w:pPr>
                    <w:pStyle w:val="Compact"/>
                    <w:jc w:val="right"/>
                    <w:jc w:val="center"/>
                  </w:pPr>
                  <w:r>
                    <w:t xml:space="preserve">r = .02</w:t>
                  </w:r>
                </w:p>
              </w:tc>
              <w:tc>
                <w:tcPr/>
                <w:p>
                  <w:pPr>
                    <w:pStyle w:val="Compact"/>
                    <w:jc w:val="right"/>
                    <w:jc w:val="center"/>
                  </w:pPr>
                  <w:r>
                    <w:t xml:space="preserve">.887</w:t>
                  </w:r>
                </w:p>
              </w:tc>
              <w:tc>
                <w:tcPr/>
                <w:p>
                  <w:pPr>
                    <w:pStyle w:val="Compact"/>
                    <w:jc w:val="right"/>
                    <w:jc w:val="center"/>
                  </w:pPr>
                  <w:r>
                    <w:t xml:space="preserve">.968</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.181</w:t>
                  </w:r>
                </w:p>
              </w:tc>
              <w:tc>
                <w:tcPr/>
                <w:p>
                  <w:pPr>
                    <w:pStyle w:val="Compact"/>
                    <w:jc w:val="right"/>
                    <w:jc w:val="center"/>
                  </w:pPr>
                  <w:r>
                    <w:t xml:space="preserve">.562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starting point (M4 random intercept)</w:t>
                  </w:r>
                </w:p>
              </w:tc>
              <w:tc>
                <w:tcPr/>
                <w:p>
                  <w:pPr>
                    <w:pStyle w:val="Compact"/>
                    <w:jc w:val="right"/>
                    <w:jc w:val="center"/>
                  </w:pPr>
                  <w:r>
                    <w:t xml:space="preserve">r = .10</w:t>
                  </w:r>
                </w:p>
              </w:tc>
              <w:tc>
                <w:tcPr/>
                <w:p>
                  <w:pPr>
                    <w:pStyle w:val="Compact"/>
                    <w:jc w:val="right"/>
                    <w:jc w:val="center"/>
                  </w:pPr>
                  <w:r>
                    <w:t xml:space="preserve">.451</w:t>
                  </w:r>
                </w:p>
              </w:tc>
              <w:tc>
                <w:tcPr/>
                <w:p>
                  <w:pPr>
                    <w:pStyle w:val="Compact"/>
                    <w:jc w:val="right"/>
                    <w:jc w:val="center"/>
                  </w:pPr>
                  <w:r>
                    <w:t xml:space="preserve">.751</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subject-level boundary (M4 random intercept)</w:t>
                  </w:r>
                </w:p>
              </w:tc>
              <w:tc>
                <w:tcPr/>
                <w:p>
                  <w:pPr>
                    <w:pStyle w:val="Compact"/>
                    <w:jc w:val="right"/>
                    <w:jc w:val="center"/>
                  </w:pPr>
                  <w:r>
                    <w:t xml:space="preserve">r = .35</w:t>
                  </w:r>
                </w:p>
              </w:tc>
              <w:tc>
                <w:tcPr/>
                <w:p>
                  <w:pPr>
                    <w:pStyle w:val="Compact"/>
                    <w:jc w:val="right"/>
                    <w:jc w:val="center"/>
                  </w:pPr>
                  <w:r>
                    <w:t xml:space="preserve">.006</w:t>
                  </w:r>
                </w:p>
              </w:tc>
              <w:tc>
                <w:tcPr/>
                <w:p>
                  <w:pPr>
                    <w:pStyle w:val="Compact"/>
                    <w:jc w:val="right"/>
                    <w:jc w:val="center"/>
                  </w:pPr>
                  <w:r>
                    <w:t xml:space="preserve">.149</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.187</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starting point (M4 random intercept)</w:t>
                  </w:r>
                </w:p>
              </w:tc>
              <w:tc>
                <w:tcPr/>
                <w:p>
                  <w:pPr>
                    <w:pStyle w:val="Compact"/>
                    <w:jc w:val="right"/>
                    <w:jc w:val="center"/>
                  </w:pPr>
                  <w:r>
                    <w:t xml:space="preserve">r = −.22</w:t>
                  </w:r>
                </w:p>
              </w:tc>
              <w:tc>
                <w:tcPr/>
                <w:p>
                  <w:pPr>
                    <w:pStyle w:val="Compact"/>
                    <w:jc w:val="right"/>
                    <w:jc w:val="center"/>
                  </w:pPr>
                  <w:r>
                    <w:t xml:space="preserve">.086</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.968</w:t>
                  </w:r>
                </w:p>
              </w:tc>
              <w:tc>
                <w:tcPr/>
                <w:p>
                  <w:pPr>
                    <w:pStyle w:val="Compact"/>
                    <w:jc w:val="right"/>
                    <w:jc w:val="center"/>
                  </w:pPr>
                  <w:r>
                    <w:t xml:space="preserve">.968</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drift (M4 random intercept)</w:t>
                  </w:r>
                </w:p>
              </w:tc>
              <w:tc>
                <w:tcPr/>
                <w:p>
                  <w:pPr>
                    <w:pStyle w:val="Compact"/>
                    <w:jc w:val="right"/>
                    <w:jc w:val="center"/>
                  </w:pPr>
                  <w:r>
                    <w:t xml:space="preserve">r = .04</w:t>
                  </w:r>
                </w:p>
              </w:tc>
              <w:tc>
                <w:tcPr/>
                <w:p>
                  <w:pPr>
                    <w:pStyle w:val="Compact"/>
                    <w:jc w:val="right"/>
                    <w:jc w:val="center"/>
                  </w:pPr>
                  <w:r>
                    <w:t xml:space="preserve">.776</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starting point (M4 random intercept)</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boundary (M4 random intercept)</w:t>
                  </w:r>
                </w:p>
              </w:tc>
              <w:tc>
                <w:tcPr/>
                <w:p>
                  <w:pPr>
                    <w:pStyle w:val="Compact"/>
                    <w:jc w:val="right"/>
                    <w:jc w:val="center"/>
                  </w:pPr>
                  <w:r>
                    <w:t xml:space="preserve">r = .18</w:t>
                  </w:r>
                </w:p>
              </w:tc>
              <w:tc>
                <w:tcPr/>
                <w:p>
                  <w:pPr>
                    <w:pStyle w:val="Compact"/>
                    <w:jc w:val="right"/>
                    <w:jc w:val="center"/>
                  </w:pPr>
                  <w:r>
                    <w:t xml:space="preserve">.156</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.283</w:t>
                  </w:r>
                </w:p>
              </w:tc>
              <w:tc>
                <w:tcPr/>
                <w:p>
                  <w:pPr>
                    <w:pStyle w:val="Compact"/>
                    <w:jc w:val="right"/>
                    <w:jc w:val="center"/>
                  </w:pPr>
                  <w:r>
                    <w:t xml:space="preserve">.637</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starting point (M4 random intercept)</w:t>
                  </w:r>
                </w:p>
              </w:tc>
              <w:tc>
                <w:tcPr/>
                <w:p>
                  <w:pPr>
                    <w:pStyle w:val="Compact"/>
                    <w:jc w:val="right"/>
                    <w:jc w:val="center"/>
                  </w:pPr>
                  <w:r>
                    <w:t xml:space="preserve">r = −.26</w:t>
                  </w:r>
                </w:p>
              </w:tc>
              <w:tc>
                <w:tcPr/>
                <w:p>
                  <w:pPr>
                    <w:pStyle w:val="Compact"/>
                    <w:jc w:val="right"/>
                    <w:jc w:val="center"/>
                  </w:pPr>
                  <w:r>
                    <w:t xml:space="preserve">.045</w:t>
                  </w:r>
                </w:p>
              </w:tc>
              <w:tc>
                <w:tcPr/>
                <w:p>
                  <w:pPr>
                    <w:pStyle w:val="Compact"/>
                    <w:jc w:val="right"/>
                    <w:jc w:val="center"/>
                  </w:pPr>
                  <w:r>
                    <w:t xml:space="preserve">.408</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subject-level boundary (M4 random intercept)</w:t>
                  </w:r>
                </w:p>
              </w:tc>
              <w:tc>
                <w:tcPr/>
                <w:p>
                  <w:pPr>
                    <w:pStyle w:val="Compact"/>
                    <w:jc w:val="right"/>
                    <w:jc w:val="center"/>
                  </w:pPr>
                  <w:r>
                    <w:t xml:space="preserve">r = −.10</w:t>
                  </w:r>
                </w:p>
              </w:tc>
              <w:tc>
                <w:tcPr/>
                <w:p>
                  <w:pPr>
                    <w:pStyle w:val="Compact"/>
                    <w:jc w:val="right"/>
                    <w:jc w:val="center"/>
                  </w:pPr>
                  <w:r>
                    <w:t xml:space="preserve">.454</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drift (M4 random intercept)</w:t>
                  </w:r>
                </w:p>
              </w:tc>
              <w:tc>
                <w:tcPr/>
                <w:p>
                  <w:pPr>
                    <w:pStyle w:val="Compact"/>
                    <w:jc w:val="right"/>
                    <w:jc w:val="center"/>
                  </w:pPr>
                  <w:r>
                    <w:t xml:space="preserve">r = .01</w:t>
                  </w:r>
                </w:p>
              </w:tc>
              <w:tc>
                <w:tcPr/>
                <w:p>
                  <w:pPr>
                    <w:pStyle w:val="Compact"/>
                    <w:jc w:val="right"/>
                    <w:jc w:val="center"/>
                  </w:pPr>
                  <w:r>
                    <w:t xml:space="preserve">.950</w:t>
                  </w:r>
                </w:p>
              </w:tc>
              <w:tc>
                <w:tcPr/>
                <w:p>
                  <w:pPr>
                    <w:pStyle w:val="Compact"/>
                    <w:jc w:val="right"/>
                    <w:jc w:val="center"/>
                  </w:pPr>
                  <w:r>
                    <w:t xml:space="preserve">.968</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starting point (M4 random intercept)</w:t>
                  </w:r>
                </w:p>
              </w:tc>
              <w:tc>
                <w:tcPr/>
                <w:p>
                  <w:pPr>
                    <w:pStyle w:val="Compact"/>
                    <w:jc w:val="right"/>
                    <w:jc w:val="center"/>
                  </w:pPr>
                  <w:r>
                    <w:t xml:space="preserve">r = −.05</w:t>
                  </w:r>
                </w:p>
              </w:tc>
              <w:tc>
                <w:tcPr/>
                <w:p>
                  <w:pPr>
                    <w:pStyle w:val="Compact"/>
                    <w:jc w:val="right"/>
                    <w:jc w:val="center"/>
                  </w:pPr>
                  <w:r>
                    <w:t xml:space="preserve">.714</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subject-level boundary (M4 random intercept)</w:t>
                  </w:r>
                </w:p>
              </w:tc>
              <w:tc>
                <w:tcPr/>
                <w:p>
                  <w:pPr>
                    <w:pStyle w:val="Compact"/>
                    <w:jc w:val="right"/>
                    <w:jc w:val="center"/>
                  </w:pPr>
                  <w:r>
                    <w:t xml:space="preserve">r = −.20</w:t>
                  </w:r>
                </w:p>
              </w:tc>
              <w:tc>
                <w:tcPr/>
                <w:p>
                  <w:pPr>
                    <w:pStyle w:val="Compact"/>
                    <w:jc w:val="right"/>
                    <w:jc w:val="center"/>
                  </w:pPr>
                  <w:r>
                    <w:t xml:space="preserve">.107</w:t>
                  </w:r>
                </w:p>
              </w:tc>
              <w:tc>
                <w:tcPr/>
                <w:p>
                  <w:pPr>
                    <w:pStyle w:val="Compact"/>
                    <w:jc w:val="right"/>
                    <w:jc w:val="center"/>
                  </w:pPr>
                  <w:r>
                    <w:t xml:space="preserve">.562</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.266</w:t>
                  </w:r>
                </w:p>
              </w:tc>
              <w:tc>
                <w:tcPr/>
                <w:p>
                  <w:pPr>
                    <w:pStyle w:val="Compact"/>
                    <w:jc w:val="right"/>
                    <w:jc w:val="center"/>
                  </w:pPr>
                  <w:r>
                    <w:t xml:space="preserve">.637</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.939</w:t>
                  </w:r>
                </w:p>
              </w:tc>
              <w:tc>
                <w:tcPr/>
                <w:p>
                  <w:pPr>
                    <w:pStyle w:val="Compact"/>
                    <w:jc w:val="right"/>
                    <w:jc w:val="center"/>
                  </w:pPr>
                  <w:r>
                    <w:t xml:space="preserve">.968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drift (M4 random intercept)</w:t>
                  </w:r>
                </w:p>
              </w:tc>
              <w:tc>
                <w:tcPr/>
                <w:p>
                  <w:pPr>
                    <w:pStyle w:val="Compact"/>
                    <w:jc w:val="right"/>
                    <w:jc w:val="center"/>
                  </w:pPr>
                  <w:r>
                    <w:t xml:space="preserve">r = −.10</w:t>
                  </w:r>
                </w:p>
              </w:tc>
              <w:tc>
                <w:tcPr/>
                <w:p>
                  <w:pPr>
                    <w:pStyle w:val="Compact"/>
                    <w:jc w:val="right"/>
                    <w:jc w:val="center"/>
                  </w:pPr>
                  <w:r>
                    <w:t xml:space="preserve">.420</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starting point (M4 random intercept)</w:t>
                  </w:r>
                </w:p>
              </w:tc>
              <w:tc>
                <w:tcPr/>
                <w:p>
                  <w:pPr>
                    <w:pStyle w:val="Compact"/>
                    <w:jc w:val="right"/>
                    <w:jc w:val="center"/>
                  </w:pPr>
                  <w:r>
                    <w:t xml:space="preserve">r = −.30</w:t>
                  </w:r>
                </w:p>
              </w:tc>
              <w:tc>
                <w:tcPr/>
                <w:p>
                  <w:pPr>
                    <w:pStyle w:val="Compact"/>
                    <w:jc w:val="right"/>
                    <w:jc w:val="center"/>
                  </w:pPr>
                  <w:r>
                    <w:t xml:space="preserve">.019</w:t>
                  </w:r>
                </w:p>
              </w:tc>
              <w:tc>
                <w:tcPr/>
                <w:p>
                  <w:pPr>
                    <w:pStyle w:val="Compact"/>
                    <w:jc w:val="right"/>
                    <w:jc w:val="center"/>
                  </w:pPr>
                  <w:r>
                    <w:t xml:space="preserve">.251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boundary (M4 random intercept)</w:t>
                  </w:r>
                </w:p>
              </w:tc>
              <w:tc>
                <w:tcPr/>
                <w:p>
                  <w:pPr>
                    <w:pStyle w:val="Compact"/>
                    <w:jc w:val="right"/>
                    <w:jc w:val="center"/>
                  </w:pPr>
                  <w:r>
                    <w:t xml:space="preserve">r = .08</w:t>
                  </w:r>
                </w:p>
              </w:tc>
              <w:tc>
                <w:tcPr/>
                <w:p>
                  <w:pPr>
                    <w:pStyle w:val="Compact"/>
                    <w:jc w:val="right"/>
                    <w:jc w:val="center"/>
                  </w:pPr>
                  <w:r>
                    <w:t xml:space="preserve">.518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drift (M4 random intercept)</w:t>
                  </w:r>
                </w:p>
              </w:tc>
              <w:tc>
                <w:tcPr/>
                <w:p>
                  <w:pPr>
                    <w:pStyle w:val="Compact"/>
                    <w:jc w:val="right"/>
                    <w:jc w:val="center"/>
                  </w:pPr>
                  <w:r>
                    <w:t xml:space="preserve">r = −.15</w:t>
                  </w:r>
                </w:p>
              </w:tc>
              <w:tc>
                <w:tcPr/>
                <w:p>
                  <w:pPr>
                    <w:pStyle w:val="Compact"/>
                    <w:jc w:val="right"/>
                    <w:jc w:val="center"/>
                  </w:pPr>
                  <w:r>
                    <w:t xml:space="preserve">.235</w:t>
                  </w:r>
                </w:p>
              </w:tc>
              <w:tc>
                <w:tcPr/>
                <w:p>
                  <w:pPr>
                    <w:pStyle w:val="Compact"/>
                    <w:jc w:val="right"/>
                    <w:jc w:val="center"/>
                  </w:pPr>
                  <w:r>
                    <w:t xml:space="preserve">.636</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starting point (M4 random intercept)</w:t>
                  </w:r>
                </w:p>
              </w:tc>
              <w:tc>
                <w:tcPr/>
                <w:p>
                  <w:pPr>
                    <w:pStyle w:val="Compact"/>
                    <w:jc w:val="right"/>
                    <w:jc w:val="center"/>
                  </w:pPr>
                  <w:r>
                    <w:t xml:space="preserve">r = .01</w:t>
                  </w:r>
                </w:p>
              </w:tc>
              <w:tc>
                <w:tcPr/>
                <w:p>
                  <w:pPr>
                    <w:pStyle w:val="Compact"/>
                    <w:jc w:val="right"/>
                    <w:jc w:val="center"/>
                  </w:pPr>
                  <w:r>
                    <w:t xml:space="preserve">.949</w:t>
                  </w:r>
                </w:p>
              </w:tc>
              <w:tc>
                <w:tcPr/>
                <w:p>
                  <w:pPr>
                    <w:pStyle w:val="Compact"/>
                    <w:jc w:val="right"/>
                    <w:jc w:val="center"/>
                  </w:pPr>
                  <w:r>
                    <w:t xml:space="preserve">.968</w:t>
                  </w:r>
                </w:p>
              </w:tc>
              <w:tc>
                <w:tcPr/>
                <w:p>
                  <w:pPr>
                    <w:pStyle w:val="Compact"/>
                    <w:jc w:val="right"/>
                    <w:jc w:val="center"/>
                  </w:pPr>
                  <w:r>
                    <w:t xml:space="preserve">63</w:t>
                  </w:r>
                </w:p>
              </w:tc>
            </w:tr>
          </w:tbl>
          <w:p>
            <w:pPr>
              <w:jc w:val="center"/>
            </w:pPr>
            <w:r>
              <w:rPr>
                <w:i/>
                <w:iCs/>
              </w:rPr>
              <w:t xml:space="preserve">Note.</w:t>
            </w:r>
            <w:r>
              <w:t xml:space="preserve"> </w:t>
            </w:r>
            <w:r>
              <w:t xml:space="preserve">False-discovery-rate correction (Benjamini–Hochberg) was applied within each family: neuropsychological measures × behavioral outcomes (45 tests) and × diffusion-model parameters (27 tests). d′ is the across-condition SD of d′ for each participant.</w:t>
            </w:r>
          </w:p>
          <w:bookmarkEnd w:id="171"/>
        </w:tc>
      </w:tr>
    </w:tbl>
    <w:bookmarkEnd w:id="172"/>
    <w:bookmarkStart w:id="185" w:name="X16a66c8977be584ab3c9e51fe71f358331d4203"/>
    <w:p>
      <w:pPr>
        <w:pStyle w:val="Heading2"/>
      </w:pPr>
      <w:r>
        <w:t xml:space="preserve">Additional behavioral diagnostics (dissertation only)</w:t>
      </w:r>
    </w:p>
    <w:p>
      <w:pPr>
        <w:pStyle w:val="FirstParagraph"/>
      </w:pPr>
      <w:hyperlink w:anchor="suppfig-brinley">
        <w:r>
          <w:rPr>
            <w:rStyle w:val="Hyperlink"/>
          </w:rPr>
          <w:t xml:space="preserve">Figure S6</w:t>
        </w:r>
      </w:hyperlink>
      <w:r>
        <w:t xml:space="preserve"> </w:t>
      </w:r>
      <w:r>
        <w:t xml:space="preserve">shows the relation between Hard and Easy RTs,</w:t>
      </w:r>
      <w:r>
        <w:t xml:space="preserve"> </w:t>
      </w:r>
      <w:hyperlink w:anchor="suppfig-caf">
        <w:r>
          <w:rPr>
            <w:rStyle w:val="Hyperlink"/>
          </w:rPr>
          <w:t xml:space="preserve">Figure S7</w:t>
        </w:r>
      </w:hyperlink>
      <w:r>
        <w:t xml:space="preserve"> </w:t>
      </w:r>
      <w:r>
        <w:t xml:space="preserve">the conditional accuracy functions and</w:t>
      </w:r>
      <w:r>
        <w:t xml:space="preserve"> </w:t>
      </w:r>
      <w:hyperlink w:anchor="suppfig-rtdist">
        <w:r>
          <w:rPr>
            <w:rStyle w:val="Hyperlink"/>
          </w:rPr>
          <w:t xml:space="preserve">Figure S8</w:t>
        </w:r>
      </w:hyperlink>
      <w:r>
        <w:t xml:space="preserve"> </w:t>
      </w:r>
      <w:r>
        <w:t xml:space="preserve">the RT distributions.</w:t>
      </w:r>
    </w:p>
    <w:tbl>
      <w:tblPr>
        <w:tblStyle w:val="Table"/>
        <w:tblW w:type="pct" w:w="5000"/>
        <w:tblLayout w:type="fixed"/>
        <w:tblLook w:firstRow="0" w:lastRow="0" w:firstColumn="0" w:lastColumn="0" w:noHBand="0" w:noVBand="0" w:val="0000"/>
      </w:tblPr>
      <w:tblGrid>
        <w:gridCol w:w="7920"/>
      </w:tblGrid>
      <w:tr>
        <w:tc>
          <w:tcPr/>
          <w:bookmarkStart w:id="176" w:name="suppfig-brinley"/>
          <w:p>
            <w:pPr>
              <w:jc w:val="center"/>
            </w:pPr>
            <w:r>
              <w:drawing>
                <wp:inline>
                  <wp:extent cx="4954274" cy="4770782"/>
                  <wp:effectExtent b="0" l="0" r="0" t="0"/>
                  <wp:docPr descr="" title="" id="174" name="Picture"/>
                  <a:graphic>
                    <a:graphicData uri="http://schemas.openxmlformats.org/drawingml/2006/picture">
                      <pic:pic>
                        <pic:nvPicPr>
                          <pic:cNvPr descr="../output/ddm_refits/runs/final_20261016/figures/final/F4_brinley.png" id="175" name="Picture"/>
                          <pic:cNvPicPr>
                            <a:picLocks noChangeArrowheads="1" noChangeAspect="1"/>
                          </pic:cNvPicPr>
                        </pic:nvPicPr>
                        <pic:blipFill>
                          <a:blip r:embed="rId173"/>
                          <a:stretch>
                            <a:fillRect/>
                          </a:stretch>
                        </pic:blipFill>
                        <pic:spPr bwMode="auto">
                          <a:xfrm>
                            <a:off x="0" y="0"/>
                            <a:ext cx="4954274" cy="4770782"/>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Participant mean RT on Hard versus Easy trials. The line is the least-squares fit with 95% CI; the dashed line is identity.</w:t>
            </w:r>
          </w:p>
          <w:bookmarkEnd w:id="1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0" w:name="suppfig-caf"/>
          <w:p>
            <w:pPr>
              <w:jc w:val="center"/>
            </w:pPr>
            <w:r>
              <w:drawing>
                <wp:inline>
                  <wp:extent cx="5334000" cy="3674533"/>
                  <wp:effectExtent b="0" l="0" r="0" t="0"/>
                  <wp:docPr descr="" title="" id="178" name="Picture"/>
                  <a:graphic>
                    <a:graphicData uri="http://schemas.openxmlformats.org/drawingml/2006/picture">
                      <pic:pic>
                        <pic:nvPicPr>
                          <pic:cNvPr descr="../output/ddm_refits/runs/final_20261016/figures/final/S_caf.png" id="179" name="Picture"/>
                          <pic:cNvPicPr>
                            <a:picLocks noChangeArrowheads="1" noChangeAspect="1"/>
                          </pic:cNvPicPr>
                        </pic:nvPicPr>
                        <pic:blipFill>
                          <a:blip r:embed="rId177"/>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S7: Conditional accuracy functions: accuracy by RT bin, task, stimulus type and effort</w:t>
            </w:r>
          </w:p>
          <w:bookmarkEnd w:id="1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4" w:name="suppfig-rtdist"/>
          <w:p>
            <w:pPr>
              <w:jc w:val="center"/>
            </w:pPr>
            <w:r>
              <w:drawing>
                <wp:inline>
                  <wp:extent cx="5334000" cy="3962400"/>
                  <wp:effectExtent b="0" l="0" r="0" t="0"/>
                  <wp:docPr descr="" title="" id="182" name="Picture"/>
                  <a:graphic>
                    <a:graphicData uri="http://schemas.openxmlformats.org/drawingml/2006/picture">
                      <pic:pic>
                        <pic:nvPicPr>
                          <pic:cNvPr descr="../output/ddm_refits/runs/final_20261016/figures/final/S_rt_distributions.png" id="183" name="Picture"/>
                          <pic:cNvPicPr>
                            <a:picLocks noChangeArrowheads="1" noChangeAspect="1"/>
                          </pic:cNvPicPr>
                        </pic:nvPicPr>
                        <pic:blipFill>
                          <a:blip r:embed="rId181"/>
                          <a:stretch>
                            <a:fillRect/>
                          </a:stretch>
                        </pic:blipFill>
                        <pic:spPr bwMode="auto">
                          <a:xfrm>
                            <a:off x="0" y="0"/>
                            <a:ext cx="53340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Distributions of cue-locked and probe-locked RT in the primary sample</w:t>
            </w:r>
          </w:p>
          <w:bookmarkEnd w:id="184"/>
        </w:tc>
      </w:tr>
    </w:tbl>
    <w:bookmarkEnd w:id="185"/>
    <w:bookmarkStart w:id="186" w:name="analysis-provenance-dissertation-only"/>
    <w:p>
      <w:pPr>
        <w:pStyle w:val="Heading2"/>
      </w:pPr>
      <w:r>
        <w:t xml:space="preserve">Analysis provenance (dissertation only)</w:t>
      </w:r>
    </w:p>
    <w:p>
      <w:pPr>
        <w:pStyle w:val="FirstParagraph"/>
      </w:pPr>
      <w:r>
        <w:t xml:space="preserve">Pupil samples were placed on a time axis at the recorded 250-Hz sampling rate, from 3 s before squeeze onset to the end of the confidence window. Earlier internal analyses that used a time axis derived from file timestamps were discarded, because that axis compressed time and misplaced the analysis windows; no result from those analyses is reported.</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73" Target="media/rId173.png" /><Relationship Type="http://schemas.openxmlformats.org/officeDocument/2006/relationships/image" Id="rId40" Target="media/rId40.png" /><Relationship Type="http://schemas.openxmlformats.org/officeDocument/2006/relationships/image" Id="rId165" Target="media/rId165.png" /><Relationship Type="http://schemas.openxmlformats.org/officeDocument/2006/relationships/image" Id="rId177" Target="media/rId177.png" /><Relationship Type="http://schemas.openxmlformats.org/officeDocument/2006/relationships/image" Id="rId144" Target="media/rId144.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81" Target="media/rId181.png" /><Relationship Type="http://schemas.openxmlformats.org/officeDocument/2006/relationships/image" Id="rId156" Target="media/rId156.png" /><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2026-10-28T01:31:56Z</dcterms:created>
  <dcterms:modified xsi:type="dcterms:W3CDTF">2026-10-28T01:31:56Z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True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