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163.png" ContentType="image/png"/>
  <Override PartName="/word/media/rId153.png" ContentType="image/png"/>
  <Override PartName="/word/media/rId167.png" ContentType="image/png"/>
  <Override PartName="/word/media/rId134.png" ContentType="image/png"/>
  <Override PartName="/word/media/rId119.png" ContentType="image/png"/>
  <Override PartName="/word/media/rId129.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Shifts the Decision Criterion, Not Evidence Quality,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Everyday decisions are often made during physical effort, but it is unclear how physical effort changes decision-making in older adults. Effort could reduce the quality of the evidence people accumulate, change how much evidence they require before responding, or bias them toward one response. We tested these possibilities in 67 older adults who judged whether two tones or two visual patterns were the same or different while holding a handgrip at low (5%) or high (40%) force, with pupil size recorded throughout. A hierarchical drift-diffusion model separated the components of each decision. High effort did not reduce the quality of the evidence, and its effects did not depend on how difficult the discrimination was. Instead, high effort shifted evidence accumulation toward</w:t>
      </w:r>
      <w:r>
        <w:t xml:space="preserve"> </w:t>
      </w:r>
      <w:r>
        <w:t xml:space="preserve">“same”</w:t>
      </w:r>
      <w:r>
        <w:t xml:space="preserve"> </w:t>
      </w:r>
      <w:r>
        <w:t xml:space="preserve">responses on every trial, which lowered accuracy on the most difficult trials with a different probe. Effort did not meaningfully change how much evidence participants required, and it did not change their starting bias.</w:t>
      </w:r>
      <w:r>
        <w:t xml:space="preserve"> </w:t>
      </w:r>
      <w:r>
        <w:rPr>
          <w:b/>
          <w:color w:val="B00000"/>
        </w:rPr>
        <w:t xml:space="preserve">[PENDING r12: two sentences on what the pupil showed.]</w:t>
      </w:r>
      <w:r>
        <w:t xml:space="preserve"> </w:t>
      </w:r>
      <w:r>
        <w:t xml:space="preserve">Physical effort therefore changed how older adults mapped evidence onto responses, not how well they took in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judging a gap in traffic while gripping a steering wheel, or reading a label while carrying groceries. Laboratory work shows that combining a cognitive task with a motor task costs older adults more than younger adults</w:t>
      </w:r>
      <w:r>
        <w:t xml:space="preserve"> </w:t>
      </w:r>
      <w:r>
        <w:t xml:space="preserve">(Verhaeghen et al., 2003)</w:t>
      </w:r>
      <w:r>
        <w:t xml:space="preserve">.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Chapter 1 tested younger adults with the same handgrip manipulation. Harder trials were less accurate and slower in every task, high effort slowed responses in the visual discrimination task only, and task difficulty and physical effort did not interact on any measure, suggesting that the two drew on separate resources at these effort levels. Pupil size across the trial was larger under high effort in every task, whereas task difficulty affected only an exploratory measure of the response to the probe. The present chapter asks how the same manipulation changes decision-making in older adults, using a model that separates the processes that accuracy and response time (RT) combine. In this chapter, effort refers to physical effort throughout.</w:t>
      </w:r>
    </w:p>
    <w:p>
      <w:pPr>
        <w:pStyle w:val="BodyText"/>
      </w:pPr>
      <w:r>
        <w:t xml:space="preserve">Accuracy and RT alone cannot say why performance changes under effort. Lower accuracy could mean that the stimulus was encoded less well, or that participants answered on less evidence. The drift-diffusion model separates these possibilities</w:t>
      </w:r>
      <w:r>
        <w:t xml:space="preserve"> </w:t>
      </w:r>
      <w:r>
        <w:t xml:space="preserve">(Ratcliff &amp; McKoon, 2008)</w:t>
      </w:r>
      <w:r>
        <w:t xml:space="preserve">. It treats a two-choice decision as noisy evidence accumulating until it reaches one of two boundaries. Drift rate (</w:t>
      </w:r>
      <w:r>
        <w:rPr>
          <w:i/>
          <w:iCs/>
        </w:rPr>
        <w:t xml:space="preserve">v</w:t>
      </w:r>
      <w:r>
        <w:t xml:space="preserve">) is the average direction and speed of accumulation, boundary separation (</w:t>
      </w:r>
      <w:r>
        <w:rPr>
          <w:i/>
          <w:iCs/>
        </w:rPr>
        <w:t xml:space="preserve">a</w:t>
      </w:r>
      <w:r>
        <w:t xml:space="preserve">) is how much evidence is required before responding, the starting point (</w:t>
      </w:r>
      <w:r>
        <w:rPr>
          <w:i/>
          <w:iCs/>
        </w:rPr>
        <w:t xml:space="preserve">z</w:t>
      </w:r>
      <w:r>
        <w:t xml:space="preserve">) is a bias toward one response before the stimulus appears, and non-decision time (</w:t>
      </w:r>
      <w:r>
        <w:rPr>
          <w:i/>
          <w:iCs/>
        </w:rPr>
        <w:t xml:space="preserve">t</w:t>
      </w:r>
      <w:r>
        <w:rPr>
          <w:vertAlign w:val="subscript"/>
        </w:rPr>
        <w:t xml:space="preserve">0</w:t>
      </w:r>
      <w:r>
        <w:t xml:space="preserve">) covers encoding and response execution.</w:t>
      </w:r>
    </w:p>
    <w:p>
      <w:pPr>
        <w:pStyle w:val="BodyText"/>
      </w:pPr>
      <w:r>
        <w:t xml:space="preserve">In older adults, the most consistent age differences are wider boundaries and longer non-decision times, whereas drift is often similar to that of younger adults on simple perceptual tasks</w:t>
      </w:r>
      <w:r>
        <w:t xml:space="preserve"> </w:t>
      </w:r>
      <w:r>
        <w:t xml:space="preserve">(Ratcliff et al., 2001; Theisen et al., 2021)</w:t>
      </w:r>
      <w:r>
        <w:t xml:space="preserve">. Older adults also set boundaries more conservatively than would maximize their reward rate</w:t>
      </w:r>
      <w:r>
        <w:t xml:space="preserve"> </w:t>
      </w:r>
      <w:r>
        <w:t xml:space="preserve">(Starns &amp; Ratcliff, 2010)</w:t>
      </w:r>
      <w:r>
        <w:t xml:space="preserve">. The model therefore separates a loss of evidence quality from a change in response caution, which in the diffusion model is boundary separation. Both have been proposed as effects of physical effort.</w:t>
      </w:r>
    </w:p>
    <w:p>
      <w:pPr>
        <w:pStyle w:val="BodyText"/>
      </w:pPr>
      <w:r>
        <w:t xml:space="preserve">The first account treats effort as a competitor for limited processing capacity</w:t>
      </w:r>
      <w:r>
        <w:t xml:space="preserve"> </w:t>
      </w:r>
      <w:r>
        <w:t xml:space="preserve">(Kahneman, 1973; Wickens, 2008)</w:t>
      </w:r>
      <w:r>
        <w:t xml:space="preserve">. If holding a 40% grip uses capacity needed to compare the probe with the standard, evidence about the stimulus should become less informative. In a same–different task coded by response, this predicts a smaller difference between drift on trials with a different probe and drift on trials with an identical probe. Such a reduction in evidence quality differs from a uniform shift of drift toward one response on all trials. That second pattern is a change in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uniform shift can lower accuracy on difficult different trials without any loss of evidence quality, so the two must be estimated separately. Because a shared capacity limit should cost most where discrimination is hardest</w:t>
      </w:r>
      <w:r>
        <w:t xml:space="preserve"> </w:t>
      </w:r>
      <w:r>
        <w:t xml:space="preserve">(Kahneman, 1973)</w:t>
      </w:r>
      <w:r>
        <w:t xml:space="preserve">, this account also predicts that any loss of evidence quality is largest on the hardest trials, so that effort and task difficulty interact.</w:t>
      </w:r>
    </w:p>
    <w:p>
      <w:pPr>
        <w:pStyle w:val="BodyText"/>
      </w:pPr>
      <w:r>
        <w:t xml:space="preserve">The second account treats effort as a change in how participants set their decision policy, not in the evidence itself. Under high effort, participants could require more evidence before responding, to protect accuracy, or less evidence, to end each effortful trial sooner. The first possibility predicts wider boundaries under high effort and the second narrower ones, so the direction of the effort effect on boundary separation distinguishes them. Effort could also bias responding. A bias set before the stimulus appears would move the starting point, whereas a bias in how evidence is evaluated would shift the drift criterion. Neither predicts a loss of evidence quality.</w:t>
      </w:r>
    </w:p>
    <w:p>
      <w:pPr>
        <w:pStyle w:val="BodyText"/>
      </w:pPr>
      <w:r>
        <w:t xml:space="preserve">Pupil size provides a trial-by-trial measure that increases with processing load</w:t>
      </w:r>
      <w:r>
        <w:t xml:space="preserve"> </w:t>
      </w:r>
      <w:r>
        <w:t xml:space="preserve">(Beatty, 1982;</w:t>
      </w:r>
      <w:r>
        <w:t xml:space="preserve"> </w:t>
      </w:r>
      <w:r>
        <w:t xml:space="preserve">van der Wel &amp; van Steenbergen</w:t>
      </w:r>
      <w:r>
        <w:t xml:space="preserve">, 2018)</w:t>
      </w:r>
      <w:r>
        <w:t xml:space="preserve"> </w:t>
      </w:r>
      <w:r>
        <w:t xml:space="preserve">and with physical exertion</w:t>
      </w:r>
      <w:r>
        <w:t xml:space="preserve"> </w:t>
      </w:r>
      <w:r>
        <w:t xml:space="preserve">(Zénon et al., 2014)</w:t>
      </w:r>
      <w:r>
        <w:t xml:space="preserve">. Older adults have smaller pupils and a narrower range of dilation than younger adults</w:t>
      </w:r>
      <w:r>
        <w:t xml:space="preserve"> </w:t>
      </w:r>
      <w:r>
        <w:t xml:space="preserve">(Piquado et al., 2010; Winn et al., 1994)</w:t>
      </w:r>
      <w:r>
        <w:t xml:space="preserve">. In diffusion-model analyses, trial-wise pupil responses have been related to specific parameters. In a reinforcement-learning task, larger dilation on choices between similarly valued options predicted higher decision thresholds</w:t>
      </w:r>
      <w:r>
        <w:t xml:space="preserve"> </w:t>
      </w:r>
      <w:r>
        <w:t xml:space="preserve">(Cavanagh et al., 2014)</w:t>
      </w:r>
      <w:r>
        <w:t xml:space="preserve">, and across several decision tasks, larger pupil responses predicted smaller choice biases</w:t>
      </w:r>
      <w:r>
        <w:t xml:space="preserve"> </w:t>
      </w:r>
      <w:r>
        <w:t xml:space="preserve">(</w:t>
      </w:r>
      <w:r>
        <w:t xml:space="preserve">de Gee et al.</w:t>
      </w:r>
      <w:r>
        <w:t xml:space="preserve">, 2020)</w:t>
      </w:r>
      <w:r>
        <w:t xml:space="preserve">. Pupil responses, however, also scale with decision uncertainty and response time</w:t>
      </w:r>
      <w:r>
        <w:t xml:space="preserve"> </w:t>
      </w:r>
      <w:r>
        <w:t xml:space="preserve">(Urai et al., 2017)</w:t>
      </w:r>
      <w:r>
        <w:t xml:space="preserve">. A pupil–boundary association could therefore arise because longer decisions produce larger pupil responses, not because the pupil response came before the boundary was set. Testing the direction of the relation requires pupil measures taken before the decision, as well as measures that end before the response.</w:t>
      </w:r>
    </w:p>
    <w:p>
      <w:pPr>
        <w:pStyle w:val="BodyText"/>
      </w:pPr>
      <w:r>
        <w:t xml:space="preserve">We combined both approaches in older adults performing auditory and visual same–different tasks under low (5%) and high (40%) handgrip effort. The first analysis was a diffusion model of choices and RTs. It tested whether high effort reduced evidence quality (the capacity account), shifted the drift criterion, or changed boundary separation or starting point (the state accounts). The second analysis added trial-wise pupil measures to the same model. It tested whether pupil size tracked the effort effect, which decision parameter tracked the task-evoked pupil response, and whether pupil measures taken before the decision predicted boundary separation.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the probe ended.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(Table S1).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each sample was placed on a time axis at 4-ms steps from 3 s before squeeze onset. This axis spans the recorded epoch, which ends with the confidence window 10.7 s after squeeze onset.</w:t>
      </w:r>
    </w:p>
    <w:p>
      <w:pPr>
        <w:pStyle w:val="BodyText"/>
      </w:pPr>
      <w:r>
        <w:t xml:space="preserve">The task-evoked pupil response (TEPR) was the mean pupil size 0.3–3.3 s after probe onset (4.65–7.65 s after squeeze onset) minus the mean pupil size in the 0.5 s before the probe (3.85–4.35 s, the interstimulus interval).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6,299 trials from 51 participants (Figure S1),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w:t>
      </w:r>
      <w:r>
        <w:t xml:space="preserve">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In the primary model (M4), drift depended on stimulus type (Standard, Hard, Easy), task, their interaction, effort and an effort × stimulus term. Boundary separation depended on stimulus type, task and effort, and the starting point on task and effort. Non-decision time had an intercept only. 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compared with nested models that differed in how effort, stimulus type and task entered drift and boundary separation (formulas in S6).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S2</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 Table S4 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Each was compared with an M4 baseline fit to the same trials.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a pupil change before the decision. First, P3 was refit after removing the slowest 20% of trials in each participant × task cell (P3 without the slowest trials). Second, boundary separation was predicted from pupil size in the 0.5 s before the response, a window that ends before the response (P7). Third, boundary separation was predicted from measures that precede the decision: the previous trial’s TEPR within a block (P6) and the grip-period pupil size (P8).</w:t>
      </w:r>
    </w:p>
    <w:p>
      <w:pPr>
        <w:pStyle w:val="BodyText"/>
      </w:pPr>
      <w:r>
        <w:t xml:space="preserve">Effort effects on pupil size were tested with paired</w:t>
      </w:r>
      <w:r>
        <w:t xml:space="preserve"> </w:t>
      </w:r>
      <w:r>
        <w:rPr>
          <w:i/>
          <w:iCs/>
        </w:rPr>
        <w:t xml:space="preserve">t</w:t>
      </w:r>
      <w:r>
        <w:t xml:space="preserve"> </w:t>
      </w:r>
      <w:r>
        <w:t xml:space="preserve">tests on participant means within each task.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 The ROPE was ±0.05 for log boundary separation and logit starting point, which corresponds to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 For drift it was ±0.02, about 1% of the drift difference between Standard and Easy trials. 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Because models with random effort slopes were singular,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3"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whereas allowing the effort effects to differ between tasks did not (M4b vs. M4: ΔELPD = −1.6 ± 1.5;</w:t>
      </w:r>
      <w:r>
        <w:t xml:space="preserve"> </w:t>
      </w:r>
      <w:hyperlink w:anchor="supptbl-model-comparison">
        <w:r>
          <w:rPr>
            <w:rStyle w:val="Hyperlink"/>
          </w:rPr>
          <w:t xml:space="preserve">Table S3</w:t>
        </w:r>
      </w:hyperlink>
      <w:r>
        <w:t xml:space="preserve">). Allowing the effort effects on drift and boundary separation to vary with difficulty did not improve prediction either (M2 vs. M1: ΔELPD = 0.7 ± 3.0).</w:t>
      </w:r>
    </w:p>
    <w:p>
      <w:pPr>
        <w:pStyle w:val="BodyText"/>
      </w:pPr>
      <w:r>
        <w:rPr>
          <w:b/>
          <w:bCs/>
        </w:rPr>
        <w:t xml:space="preserve">Stimulus and task effects.</w:t>
      </w:r>
      <w:r>
        <w:t xml:space="preserve"> </w:t>
      </w:r>
      <w:r>
        <w:t xml:space="preserve">Drift was negative on Standard trials and positive on Easy trials (</w:t>
      </w:r>
      <w:hyperlink w:anchor="fig-condition-params">
        <w:r>
          <w:rPr>
            <w:rStyle w:val="Hyperlink"/>
          </w:rPr>
          <w:t xml:space="preserve">Figure 2</w:t>
        </w:r>
      </w:hyperlink>
      <w:r>
        <w:t xml:space="preserve">). Drift on Hard trials was also negative (low effort; ADT: v = −0.575, 95% CrI [−0.675, −0.476]; VDT: v = −0.525, 95% CrI [−0.627, −0.425]). Relative to Standard trials, drift was higher on Hard (β = 0.468, 95% CrI [0.396, 0.543], P(β &gt; 0) &gt; .999) and Easy trials (β = 1.828, 95% CrI [1.750, 1.906], P(β &gt; 0) &gt; .999), and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and it did not differ between tasks (β = −0.003, 95% CrI [−0.018, 0.011], P(β &lt; 0) = .680, 100% in ROPE). In both tasks the starting point lay above 0.5, toward the</w:t>
      </w:r>
      <w:r>
        <w:t xml:space="preserve"> </w:t>
      </w:r>
      <w:r>
        <w:t xml:space="preserve">“different”</w:t>
      </w:r>
      <w:r>
        <w:t xml:space="preserve"> </w:t>
      </w:r>
      <w:r>
        <w:t xml:space="preserve">boundary (ADT:</w:t>
      </w:r>
      <w:r>
        <w:t xml:space="preserve"> </w:t>
      </w:r>
      <w:r>
        <w:rPr>
          <w:i/>
          <w:iCs/>
        </w:rPr>
        <w:t xml:space="preserve">z</w:t>
      </w:r>
      <w:r>
        <w:t xml:space="preserve"> </w:t>
      </w:r>
      <w:r>
        <w:t xml:space="preserve">= .552 [.536, .568]; VDT:</w:t>
      </w:r>
      <w:r>
        <w:t xml:space="preserve"> </w:t>
      </w:r>
      <w:r>
        <w:rPr>
          <w:i/>
          <w:iCs/>
        </w:rPr>
        <w:t xml:space="preserve">z</w:t>
      </w:r>
      <w:r>
        <w:t xml:space="preserve"> </w:t>
      </w:r>
      <w:r>
        <w:t xml:space="preserve">= .538 [.522, .555]), and it was slightly lower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High effort shifted drift toward</w:t>
      </w:r>
      <w:r>
        <w:t xml:space="preserve"> </w:t>
      </w:r>
      <w:r>
        <w:t xml:space="preserve">“same”</w:t>
      </w:r>
      <w:r>
        <w:t xml:space="preserve"> </w:t>
      </w:r>
      <w:r>
        <w:t xml:space="preserve">on all trials (drift criterion: β = −0.053, 95% CrI [−0.103, −0.003], P(β &lt; 0) = .981;</w:t>
      </w:r>
      <w:r>
        <w:t xml:space="preserve">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The effort × stimulus term, which indexes evidence quality, was close to zero (β = −0.013, 95% CrI [−0.052, 0.028], P(β &lt; 0) = .730). Drift decreased on trials with a different comparison stimulus (β = −0.065, 95% CrI [−0.111, −0.021], P(β &lt; 0) = .998); on Standard trials the change was smaller, and its interval included zero (β = −0.041, 95% CrI [−0.119, 0.038], P(β &lt; 0) = .845). High effort widened the boundary by +2.0% [0.6, 3.4], with the whole posterior inside the ROPE (100% in ROPE). The starting point did not change (β = −0.005, 95% CrI [−0.048, 0.037], P(β &lt; 0) = .590, 98% in ROPE).</w:t>
      </w:r>
    </w:p>
    <w:p>
      <w:pPr>
        <w:pStyle w:val="BodyText"/>
      </w:pPr>
      <w:r>
        <w:t xml:space="preserve">Under high effort, observed accuracy was lower on Hard trials (High − Low: −4.5 percentage points, 95% CI [−6.6, −2.4], OR = 0.80, p &lt; .001). It was slightly, but not significantly, higher on Standard trials (+1.7 percentage points, 95% CI [−0.1, 3.5], OR = 1.23, p = .068) and unchanged on Easy trials (−0.9 percentage points, 95% CI [−2.4, 0.6], OR = 0.92, p = .226;</w:t>
      </w:r>
      <w:r>
        <w:t xml:space="preserve"> </w:t>
      </w:r>
      <w:hyperlink w:anchor="supptbl-acc-contrasts">
        <w:r>
          <w:rPr>
            <w:rStyle w:val="Hyperlink"/>
          </w:rPr>
          <w:t xml:space="preserve">Table S11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214"/>
              <w:gridCol w:w="766"/>
              <w:gridCol w:w="1447"/>
              <w:gridCol w:w="1362"/>
              <w:gridCol w:w="681"/>
              <w:gridCol w:w="1447"/>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 DDM coefficients are given to three decimals because the effects are small relative to the region of practical equivalence.</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 N =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The evidence-quality term was close to zero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S8</w:t>
        </w:r>
      </w:hyperlink>
      <w:r>
        <w:t xml:space="preserve">).</w:t>
      </w:r>
    </w:p>
    <w:bookmarkEnd w:id="39"/>
    <w:bookmarkStart w:id="41" w:name="pupil-linked-decision-dynamics"/>
    <w:p>
      <w:pPr>
        <w:pStyle w:val="Heading2"/>
      </w:pPr>
      <w:r>
        <w:t xml:space="preserve">3.3 Pupil-linked decision dynamics</w:t>
      </w:r>
    </w:p>
    <w:p>
      <w:pPr>
        <w:pStyle w:val="FirstParagraph"/>
      </w:pPr>
      <w:r>
        <w:rPr>
          <w:b/>
          <w:bCs/>
        </w:rPr>
        <w:t xml:space="preserve">Effort and pupil size.</w:t>
      </w:r>
      <w:r>
        <w:t xml:space="preserve"> </w:t>
      </w:r>
      <w:r>
        <w:rPr>
          <w:b/>
          <w:color w:val="B00000"/>
        </w:rPr>
        <w:t xml:space="preserve">[PENDING r12: grip and TEPR effort effects; effort effects in the pupil sample.]</w:t>
      </w:r>
    </w:p>
    <w:p>
      <w:pPr>
        <w:pStyle w:val="BodyText"/>
      </w:pPr>
      <w:r>
        <w:rPr>
          <w:b/>
          <w:bCs/>
        </w:rPr>
        <w:t xml:space="preserve">Pupil predictors of decision parameters.</w:t>
      </w:r>
      <w:r>
        <w:t xml:space="preserve"> </w:t>
      </w:r>
      <w:r>
        <w:rPr>
          <w:b/>
          <w:color w:val="B00000"/>
        </w:rPr>
        <w:t xml:space="preserve">[PENDING r12: P1–P3.]</w:t>
      </w:r>
    </w:p>
    <w:p>
      <w:pPr>
        <w:pStyle w:val="BodyText"/>
      </w:pPr>
      <w:r>
        <w:rPr>
          <w:b/>
          <w:bCs/>
        </w:rPr>
        <w:t xml:space="preserve">Timing of the TEPR–boundary association.</w:t>
      </w:r>
      <w:r>
        <w:t xml:space="preserve"> </w:t>
      </w:r>
      <w:r>
        <w:rPr>
          <w:b/>
          <w:color w:val="B00000"/>
        </w:rPr>
        <w:t xml:space="preserve">[PENDING r12: TEPR–RT correlation; P3 without the slowest trials; P5–P8.]</w:t>
      </w:r>
    </w:p>
    <w:p>
      <w:pPr>
        <w:pStyle w:val="BodyText"/>
      </w:pPr>
      <w:r>
        <w:rPr>
          <w:b/>
          <w:color w:val="B00000"/>
        </w:rPr>
        <w:t xml:space="preserve">[PENDING r12: Figure 4]</w:t>
      </w:r>
    </w:p>
    <w:tbl>
      <w:tblPr>
        <w:tblStyle w:val="Table"/>
        <w:tblW w:type="pct" w:w="5000"/>
        <w:tblLayout w:type="fixed"/>
        <w:tblLook w:firstRow="0" w:lastRow="0" w:firstColumn="0" w:lastColumn="0" w:noHBand="0" w:noVBand="0" w:val="0000"/>
      </w:tblPr>
      <w:tblGrid>
        <w:gridCol w:w="7920"/>
      </w:tblGrid>
      <w:tr>
        <w:tc>
          <w:tcPr/>
          <w:bookmarkStart w:id="40" w:name="tbl-pupil-ordering"/>
          <w:p>
            <w:pPr>
              <w:jc w:val="center"/>
            </w:pPr>
            <w:pPr>
              <w:jc w:val="left"/>
              <w:spacing w:before="200"/>
              <w:pStyle w:val="ImageCaption"/>
            </w:pPr>
            <w:r>
              <w:t xml:space="preserve">Table 3</w:t>
            </w:r>
          </w:p>
          <w:p>
            <w:pPr>
              <w:pStyle w:val="Compact"/>
              <w:jc w:val="center"/>
            </w:pPr>
            <w:r>
              <w:rPr>
                <w:b/>
                <w:color w:val="B00000"/>
              </w:rPr>
              <w:t xml:space="preserve">[PENDING r12: Table 3]</w:t>
            </w:r>
          </w:p>
          <w:bookmarkEnd w:id="40"/>
        </w:tc>
      </w:tr>
    </w:tbl>
    <w:bookmarkEnd w:id="41"/>
    <w:bookmarkStart w:id="42"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S7</w:t>
        </w:r>
      </w:hyperlink>
      <w:r>
        <w:t xml:space="preserve">). Of the observed RT quantiles, 27.5% fell inside the 95% predictive intervals, and observed median RTs were on average 175 ms slower than predicted (</w:t>
      </w:r>
      <w:hyperlink w:anchor="suppfig-ppc">
        <w:r>
          <w:rPr>
            <w:rStyle w:val="Hyperlink"/>
          </w:rPr>
          <w:t xml:space="preserve">Figure S2</w:t>
        </w:r>
      </w:hyperlink>
      <w:r>
        <w:t xml:space="preserve">). The discrepancy was largest for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After moment matching and exact refits, no observation in any compared model had a Pareto</w:t>
      </w:r>
      <w:r>
        <w:t xml:space="preserve"> </w:t>
      </w:r>
      <w:r>
        <w:rPr>
          <w:i/>
          <w:iCs/>
        </w:rPr>
        <w:t xml:space="preserve">k</w:t>
      </w:r>
      <w:r>
        <w:t xml:space="preserve"> </w:t>
      </w:r>
      <w:r>
        <w:t xml:space="preserve">above 0.7. Non-decision time changed with the RT cutoff: 0.483 s, 0.527 s and 0.572 s at cutoffs of 0.15 s, 0.20 s and 0.25 s.</w:t>
      </w:r>
    </w:p>
    <w:bookmarkEnd w:id="42"/>
    <w:bookmarkEnd w:id="43"/>
    <w:bookmarkStart w:id="49"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by changing how much evidence they require, or neither. High effort did not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Effort widened boundary separation by about 2%, an amount inside the region of practical equivalence, and left the starting point unchanged.</w:t>
      </w:r>
      <w:r>
        <w:t xml:space="preserve"> </w:t>
      </w:r>
      <w:r>
        <w:rPr>
          <w:b/>
          <w:color w:val="B00000"/>
        </w:rPr>
        <w:t xml:space="preserve">[PENDING r12: one sentence on the pupil results.]</w:t>
      </w:r>
    </w:p>
    <w:bookmarkStart w:id="44" w:name="drift-criterion-and-evidence-quality"/>
    <w:p>
      <w:pPr>
        <w:pStyle w:val="Heading2"/>
      </w:pPr>
      <w:r>
        <w:t xml:space="preserve">4.1 Drift criterion and evidence quality</w:t>
      </w:r>
    </w:p>
    <w:p>
      <w:pPr>
        <w:pStyle w:val="FirstParagraph"/>
      </w:pPr>
      <w:r>
        <w:t xml:space="preserve">A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and its interval allowed a small decline but not a large one. A capacity cost concentrated on the hardest trials would also make the effort effect depend on difficulty</w:t>
      </w:r>
      <w:r>
        <w:t xml:space="preserve"> </w:t>
      </w:r>
      <w:r>
        <w:t xml:space="preserve">(Kahneman, 1973)</w:t>
      </w:r>
      <w:r>
        <w:t xml:space="preserve">, but allowing it to do so did not improve prediction (ΔELPD = 0.7 ± 3.0;</w:t>
      </w:r>
      <w:r>
        <w:t xml:space="preserve"> </w:t>
      </w:r>
      <w:hyperlink w:anchor="supptbl-model-comparison">
        <w:r>
          <w:rPr>
            <w:rStyle w:val="Hyperlink"/>
          </w:rPr>
          <w:t xml:space="preserve">Table S3</w:t>
        </w:r>
      </w:hyperlink>
      <w:r>
        <w:t xml:space="preserve">). The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w:t>
      </w:r>
      <w:r>
        <w:t xml:space="preserve">the criterion shift lowers drift on trials with a different probe, so those trials more often end in</w:t>
      </w:r>
      <w:r>
        <w:t xml:space="preserve"> </w:t>
      </w:r>
      <w:r>
        <w:t xml:space="preserve">“same.”</w:t>
      </w:r>
      <w:r>
        <w:t xml:space="preserve"> </w:t>
      </w:r>
      <w:r>
        <w:t xml:space="preserve">On Standard trials the same shift moves drift further toward the correct response. The accuracy pattern follows from this. The Hard-trial cost is the change that a capacity account would predict, but here it arises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on any measure, which suggested that the two draw on separate resources at these effort levels. Chapter 2 reached the same conclusion from psychometric functions fitted to the same cohort’s responses: high effort lowered</w:t>
      </w:r>
      <w:r>
        <w:t xml:space="preserve"> </w:t>
      </w:r>
      <w:r>
        <w:t xml:space="preserve">“different”</w:t>
      </w:r>
      <w:r>
        <w:t xml:space="preserve"> </w:t>
      </w:r>
      <w:r>
        <w:t xml:space="preserve">responses on identical and different trials alike, without making the psychometric function shallower.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The boundary results do not support either account of how effort changes caution. An adaptive-caution account predicts wider boundaries under high effort; a fatigue account predicts narrower ones. The estimated change was positive but practically negligible, and its interval included zero at the shortest RT cutoff. The data therefore show no meaningful change in caution under a 40% MVC grip. The starting point was also unchanged, so effort did not alter the prior preference for either response.</w:t>
      </w:r>
    </w:p>
    <w:bookmarkEnd w:id="44"/>
    <w:bookmarkStart w:id="45" w:name="effort-and-pupil-size"/>
    <w:p>
      <w:pPr>
        <w:pStyle w:val="Heading2"/>
      </w:pPr>
      <w:r>
        <w:t xml:space="preserve">4.2 Effort and pupil size</w:t>
      </w:r>
    </w:p>
    <w:p>
      <w:pPr>
        <w:pStyle w:val="FirstParagraph"/>
      </w:pPr>
      <w:r>
        <w:rPr>
          <w:b/>
          <w:color w:val="B00000"/>
        </w:rPr>
        <w:t xml:space="preserve">[PENDING r12: the grip-period effort result, citing @zenon2014pupil.]</w:t>
      </w:r>
      <w:r>
        <w:t xml:space="preserve"> </w:t>
      </w:r>
      <w:r>
        <w:rPr>
          <w:b/>
          <w:color w:val="B00000"/>
        </w:rPr>
        <w:t xml:space="preserve">[PENDING r12: the post-probe result and one sentence of interpretation, without arousal.]</w:t>
      </w:r>
      <w:r>
        <w:t xml:space="preserve"> </w:t>
      </w:r>
      <w:r>
        <w:t xml:space="preserve">One interpretation of effort-related pupil changes comes from adaptive gain theory, which links pupil size to activity of the locus coeruleus–noradrenaline system</w:t>
      </w:r>
      <w:r>
        <w:t xml:space="preserve"> </w:t>
      </w:r>
      <w:r>
        <w:t xml:space="preserve">(Aston-Jones &amp; Cohen, 2005; Joshi et al., 2016)</w:t>
      </w:r>
      <w:r>
        <w:t xml:space="preserve">. Isometric handgrip engages this system</w:t>
      </w:r>
      <w:r>
        <w:t xml:space="preserve"> </w:t>
      </w:r>
      <w:r>
        <w:t xml:space="preserve">(Mather et al., 2020)</w:t>
      </w:r>
      <w:r>
        <w:t xml:space="preserve">, and the locus coeruleus is vulnerable in aging</w:t>
      </w:r>
      <w:r>
        <w:t xml:space="preserve"> </w:t>
      </w:r>
      <w:r>
        <w:t xml:space="preserve">(Mather &amp; Harley, 2016)</w:t>
      </w:r>
      <w:r>
        <w:t xml:space="preserve">. This study, however, neither manipulated nor measured locus coeruleus activity during the task, and pupil size also covaries with activity outside the locus coeruleus</w:t>
      </w:r>
      <w:r>
        <w:t xml:space="preserve"> </w:t>
      </w:r>
      <w:r>
        <w:t xml:space="preserve">(Joshi et al., 2016)</w:t>
      </w:r>
      <w:r>
        <w:t xml:space="preserve">.</w:t>
      </w:r>
    </w:p>
    <w:bookmarkEnd w:id="45"/>
    <w:bookmarkStart w:id="46" w:name="pupil-size-and-boundary-separation"/>
    <w:p>
      <w:pPr>
        <w:pStyle w:val="Heading2"/>
      </w:pPr>
      <w:r>
        <w:t xml:space="preserve">4.3 Pupil size and boundary separation</w:t>
      </w:r>
    </w:p>
    <w:p>
      <w:pPr>
        <w:pStyle w:val="FirstParagraph"/>
      </w:pPr>
      <w:r>
        <w:rPr>
          <w:b/>
          <w:color w:val="B00000"/>
        </w:rPr>
        <w:t xml:space="preserve">[PENDING r12: Section 4.3.]</w:t>
      </w:r>
    </w:p>
    <w:bookmarkEnd w:id="46"/>
    <w:bookmarkStart w:id="47"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51 of the 67 participants, selected on recording quality, and they are correlational at the level of trials.</w:t>
      </w:r>
      <w:r>
        <w:t xml:space="preserve"> </w:t>
      </w:r>
      <w:r>
        <w:rPr>
          <w:b/>
          <w:color w:val="B00000"/>
        </w:rPr>
        <w:t xml:space="preserve">[PENDING r12: whether the effort effects in the pupil sample match the full sample.]</w:t>
      </w:r>
      <w:r>
        <w:t xml:space="preserve"> </w:t>
      </w:r>
      <w:r>
        <w:t xml:space="preserve">The TEPR window included post-decision processing, and the grip-period measure combined effort-related dilation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effort.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p>
      <w:pPr>
        <w:pStyle w:val="BodyText"/>
      </w:pPr>
      <w:r>
        <w:rPr>
          <w:b/>
          <w:bCs/>
        </w:rPr>
        <w:t xml:space="preserve">Response mapping.</w:t>
      </w:r>
      <w:r>
        <w:t xml:space="preserve"> </w:t>
      </w:r>
      <w:r>
        <w:t xml:space="preserve">“Different”</w:t>
      </w:r>
      <w:r>
        <w:t xml:space="preserve"> </w:t>
      </w:r>
      <w:r>
        <w:t xml:space="preserve">was always given with the right index finger and</w:t>
      </w:r>
      <w:r>
        <w:t xml:space="preserve"> </w:t>
      </w:r>
      <w:r>
        <w:t xml:space="preserve">“same”</w:t>
      </w:r>
      <w:r>
        <w:t xml:space="preserve"> </w:t>
      </w:r>
      <w:r>
        <w:t xml:space="preserve">with the right middle finger, while the left hand held the grip. A bias acting on the evidence for one response therefore cannot be separated from the finger that gave that response; counterbalancing the mapping across participants would separate them.</w:t>
      </w:r>
    </w:p>
    <w:p>
      <w:pPr>
        <w:pStyle w:val="BodyText"/>
      </w:pPr>
      <w:r>
        <w:rPr>
          <w:b/>
          <w:bCs/>
        </w:rPr>
        <w:t xml:space="preserve">Physiological measures.</w:t>
      </w:r>
      <w:r>
        <w:t xml:space="preserve"> </w:t>
      </w:r>
      <w:r>
        <w:t xml:space="preserve">Pupil size was the only physiological measure. Because locus coeruleus activity was not measured during the task, links between the pupil results and the noradrenergic system remain interpretive.</w:t>
      </w:r>
    </w:p>
    <w:bookmarkEnd w:id="47"/>
    <w:bookmarkStart w:id="48"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w:t>
      </w:r>
      <w:r>
        <w:t xml:space="preserve">It did not reduce the quality of the evidence accumulated or change response caution in a meaningful way.</w:t>
      </w:r>
      <w:r>
        <w:t xml:space="preserve"> </w:t>
      </w:r>
      <w:r>
        <w:rPr>
          <w:b/>
          <w:color w:val="B00000"/>
        </w:rPr>
        <w:t xml:space="preserve">[PENDING r12: the pupil sentence.]</w:t>
      </w:r>
    </w:p>
    <w:bookmarkEnd w:id="48"/>
    <w:bookmarkEnd w:id="49"/>
    <w:bookmarkStart w:id="118" w:name="references"/>
    <w:p>
      <w:pPr>
        <w:pStyle w:val="Heading1"/>
      </w:pPr>
      <w:r>
        <w:t xml:space="preserve">References</w:t>
      </w:r>
    </w:p>
    <w:bookmarkStart w:id="117" w:name="refs"/>
    <w:bookmarkStart w:id="51"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0">
        <w:r>
          <w:rPr>
            <w:rStyle w:val="Hyperlink"/>
          </w:rPr>
          <w:t xml:space="preserve">https://doi.org/10.1146/annurev.neuro.28.061604.135709</w:t>
        </w:r>
      </w:hyperlink>
    </w:p>
    <w:bookmarkEnd w:id="51"/>
    <w:bookmarkStart w:id="53"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2">
        <w:r>
          <w:rPr>
            <w:rStyle w:val="Hyperlink"/>
          </w:rPr>
          <w:t xml:space="preserve">https://doi.org/10.31234/osf.io/et9a2</w:t>
        </w:r>
      </w:hyperlink>
    </w:p>
    <w:bookmarkEnd w:id="53"/>
    <w:bookmarkStart w:id="55"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4">
        <w:r>
          <w:rPr>
            <w:rStyle w:val="Hyperlink"/>
          </w:rPr>
          <w:t xml:space="preserve">https://doi.org/10.1037/pag0000730</w:t>
        </w:r>
      </w:hyperlink>
    </w:p>
    <w:bookmarkEnd w:id="55"/>
    <w:bookmarkStart w:id="57"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56">
        <w:r>
          <w:rPr>
            <w:rStyle w:val="Hyperlink"/>
          </w:rPr>
          <w:t xml:space="preserve">https://doi.org/10.1016/j.jml.2012.11.001</w:t>
        </w:r>
      </w:hyperlink>
    </w:p>
    <w:bookmarkEnd w:id="57"/>
    <w:bookmarkStart w:id="59"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58">
        <w:r>
          <w:rPr>
            <w:rStyle w:val="Hyperlink"/>
          </w:rPr>
          <w:t xml:space="preserve">https://doi.org/10.48550/arXiv.1506.04967</w:t>
        </w:r>
      </w:hyperlink>
    </w:p>
    <w:bookmarkEnd w:id="59"/>
    <w:bookmarkStart w:id="61"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0">
        <w:r>
          <w:rPr>
            <w:rStyle w:val="Hyperlink"/>
          </w:rPr>
          <w:t xml:space="preserve">https://doi.org/10.18637/jss.v067.i01</w:t>
        </w:r>
      </w:hyperlink>
    </w:p>
    <w:bookmarkEnd w:id="61"/>
    <w:bookmarkStart w:id="63"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2">
        <w:r>
          <w:rPr>
            <w:rStyle w:val="Hyperlink"/>
          </w:rPr>
          <w:t xml:space="preserve">https://doi.org/10.1037/0033-2909.91.2.276</w:t>
        </w:r>
      </w:hyperlink>
    </w:p>
    <w:bookmarkEnd w:id="63"/>
    <w:bookmarkStart w:id="64" w:name="ref-brainard1997psychophysics"/>
    <w:p>
      <w:pPr>
        <w:pStyle w:val="Bibliography"/>
      </w:pPr>
      <w:r>
        <w:t xml:space="preserve">Brainard, D. H.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64"/>
    <w:bookmarkStart w:id="66"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65">
        <w:r>
          <w:rPr>
            <w:rStyle w:val="Hyperlink"/>
          </w:rPr>
          <w:t xml:space="preserve">https://doi.org/10.1037/met0000159</w:t>
        </w:r>
      </w:hyperlink>
    </w:p>
    <w:bookmarkEnd w:id="66"/>
    <w:bookmarkStart w:id="68"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67">
        <w:r>
          <w:rPr>
            <w:rStyle w:val="Hyperlink"/>
          </w:rPr>
          <w:t xml:space="preserve">https://doi.org/10.18637/jss.v080.i01</w:t>
        </w:r>
      </w:hyperlink>
    </w:p>
    <w:bookmarkEnd w:id="68"/>
    <w:bookmarkStart w:id="70"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69">
        <w:r>
          <w:rPr>
            <w:rStyle w:val="Hyperlink"/>
          </w:rPr>
          <w:t xml:space="preserve">https://doi.org/10.1037/a0035813</w:t>
        </w:r>
      </w:hyperlink>
    </w:p>
    <w:bookmarkEnd w:id="70"/>
    <w:bookmarkStart w:id="72"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1">
        <w:r>
          <w:rPr>
            <w:rStyle w:val="Hyperlink"/>
          </w:rPr>
          <w:t xml:space="preserve">https://doi.org/10.3758/s13415-020-00843-z</w:t>
        </w:r>
      </w:hyperlink>
    </w:p>
    <w:bookmarkEnd w:id="72"/>
    <w:bookmarkStart w:id="74"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73">
        <w:r>
          <w:rPr>
            <w:rStyle w:val="Hyperlink"/>
          </w:rPr>
          <w:t xml:space="preserve">https://doi.org/10.7554/eLife.54014</w:t>
        </w:r>
      </w:hyperlink>
    </w:p>
    <w:bookmarkEnd w:id="74"/>
    <w:bookmarkStart w:id="76"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75">
        <w:r>
          <w:rPr>
            <w:rStyle w:val="Hyperlink"/>
          </w:rPr>
          <w:t xml:space="preserve">https://doi.org/10.1016/j.neuron.2015.11.028</w:t>
        </w:r>
      </w:hyperlink>
    </w:p>
    <w:bookmarkEnd w:id="76"/>
    <w:bookmarkStart w:id="77" w:name="ref-kahneman1973attention"/>
    <w:p>
      <w:pPr>
        <w:pStyle w:val="Bibliography"/>
      </w:pPr>
      <w:r>
        <w:t xml:space="preserve">Kahneman, D. (1973).</w:t>
      </w:r>
      <w:r>
        <w:t xml:space="preserve"> </w:t>
      </w:r>
      <w:r>
        <w:rPr>
          <w:i/>
          <w:iCs/>
        </w:rPr>
        <w:t xml:space="preserve">Attention and effort</w:t>
      </w:r>
      <w:r>
        <w:t xml:space="preserve"> </w:t>
      </w:r>
      <w:r>
        <w:t xml:space="preserve">(Vol. 1063). Citeseer.</w:t>
      </w:r>
    </w:p>
    <w:bookmarkEnd w:id="77"/>
    <w:bookmarkStart w:id="78" w:name="ref-kleiner2007s"/>
    <w:p>
      <w:pPr>
        <w:pStyle w:val="Bibliography"/>
      </w:pPr>
      <w:r>
        <w:t xml:space="preserve">Kleiner, M., Brainard, D., &amp; Pelli, D. (2007).</w:t>
      </w:r>
      <w:r>
        <w:t xml:space="preserve"> </w:t>
      </w:r>
      <w:r>
        <w:rPr>
          <w:i/>
          <w:iCs/>
        </w:rPr>
        <w:t xml:space="preserve">What’s new in psychtoolbox-3?</w:t>
      </w:r>
    </w:p>
    <w:bookmarkEnd w:id="78"/>
    <w:bookmarkStart w:id="80"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79">
        <w:r>
          <w:rPr>
            <w:rStyle w:val="Hyperlink"/>
          </w:rPr>
          <w:t xml:space="preserve">https://doi.org/10.1177/2515245918771304</w:t>
        </w:r>
      </w:hyperlink>
    </w:p>
    <w:bookmarkEnd w:id="80"/>
    <w:bookmarkStart w:id="82" w:name="ref-lenth2024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81">
        <w:r>
          <w:rPr>
            <w:rStyle w:val="Hyperlink"/>
          </w:rPr>
          <w:t xml:space="preserve">https://doi.org/10.32614/CRAN.package.emmeans</w:t>
        </w:r>
      </w:hyperlink>
    </w:p>
    <w:bookmarkEnd w:id="82"/>
    <w:bookmarkStart w:id="84" w:name="ref-mather2016locus"/>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83">
        <w:r>
          <w:rPr>
            <w:rStyle w:val="Hyperlink"/>
          </w:rPr>
          <w:t xml:space="preserve">https://doi.org/10.1016/j.tics.2016.01.001</w:t>
        </w:r>
      </w:hyperlink>
    </w:p>
    <w:bookmarkEnd w:id="84"/>
    <w:bookmarkStart w:id="86"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85">
        <w:r>
          <w:rPr>
            <w:rStyle w:val="Hyperlink"/>
          </w:rPr>
          <w:t xml:space="preserve">https://doi.org/10.1016/j.neuroimage.2020.116560</w:t>
        </w:r>
      </w:hyperlink>
    </w:p>
    <w:bookmarkEnd w:id="86"/>
    <w:bookmarkStart w:id="88"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87">
        <w:r>
          <w:rPr>
            <w:rStyle w:val="Hyperlink"/>
          </w:rPr>
          <w:t xml:space="preserve">https://doi.org/10.5334/joc.18</w:t>
        </w:r>
      </w:hyperlink>
    </w:p>
    <w:bookmarkEnd w:id="88"/>
    <w:bookmarkStart w:id="90" w:name="ref-piquado2010pupillometry"/>
    <w:p>
      <w:pPr>
        <w:pStyle w:val="Bibliography"/>
      </w:pPr>
      <w:r>
        <w:t xml:space="preserve">Piquado, T., Isaacowitz, D., &amp; Wingfield, A. (2010). Pupillometry as a measure of cognitive effort in younger and older adults.</w:t>
      </w:r>
      <w:r>
        <w:t xml:space="preserve"> </w:t>
      </w:r>
      <w:r>
        <w:rPr>
          <w:i/>
          <w:iCs/>
        </w:rPr>
        <w:t xml:space="preserve">Psychophysiology</w:t>
      </w:r>
      <w:r>
        <w:t xml:space="preserve">,</w:t>
      </w:r>
      <w:r>
        <w:t xml:space="preserve"> </w:t>
      </w:r>
      <w:r>
        <w:rPr>
          <w:i/>
          <w:iCs/>
        </w:rPr>
        <w:t xml:space="preserve">47</w:t>
      </w:r>
      <w:r>
        <w:t xml:space="preserve">(3), 560–569.</w:t>
      </w:r>
      <w:r>
        <w:t xml:space="preserve"> </w:t>
      </w:r>
      <w:hyperlink r:id="rId89">
        <w:r>
          <w:rPr>
            <w:rStyle w:val="Hyperlink"/>
          </w:rPr>
          <w:t xml:space="preserve">https://doi.org/10.1111/j.1469-8986.2009.00947.x</w:t>
        </w:r>
      </w:hyperlink>
    </w:p>
    <w:bookmarkEnd w:id="90"/>
    <w:bookmarkStart w:id="92"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1">
        <w:r>
          <w:rPr>
            <w:rStyle w:val="Hyperlink"/>
          </w:rPr>
          <w:t xml:space="preserve">https://doi.org/10.1162/neco.2008.12-06-420</w:t>
        </w:r>
      </w:hyperlink>
    </w:p>
    <w:bookmarkEnd w:id="92"/>
    <w:bookmarkStart w:id="94"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3">
        <w:r>
          <w:rPr>
            <w:rStyle w:val="Hyperlink"/>
          </w:rPr>
          <w:t xml:space="preserve">https://doi.org/10.1037/0882-7974.16.2.323</w:t>
        </w:r>
      </w:hyperlink>
    </w:p>
    <w:bookmarkEnd w:id="94"/>
    <w:bookmarkStart w:id="96"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95">
        <w:r>
          <w:rPr>
            <w:rStyle w:val="Hyperlink"/>
          </w:rPr>
          <w:t xml:space="preserve">https://doi.org/10.3758/BF03196302</w:t>
        </w:r>
      </w:hyperlink>
    </w:p>
    <w:bookmarkEnd w:id="96"/>
    <w:bookmarkStart w:id="98"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97">
        <w:r>
          <w:rPr>
            <w:rStyle w:val="Hyperlink"/>
          </w:rPr>
          <w:t xml:space="preserve">https://mc-stan.org/docs/cmdstan-guide/</w:t>
        </w:r>
      </w:hyperlink>
    </w:p>
    <w:bookmarkEnd w:id="98"/>
    <w:bookmarkStart w:id="99"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w:t>
      </w:r>
    </w:p>
    <w:bookmarkEnd w:id="99"/>
    <w:bookmarkStart w:id="101" w:name="ref-theisen2021age"/>
    <w:p>
      <w:pPr>
        <w:pStyle w:val="Bibliography"/>
      </w:pPr>
      <w:r>
        <w:t xml:space="preserve">Theisen, M., Lerche, V., Krause, M. von, &amp; Voss, A.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0">
        <w:r>
          <w:rPr>
            <w:rStyle w:val="Hyperlink"/>
          </w:rPr>
          <w:t xml:space="preserve">https://doi.org/10.1007/s00426-020-01371-8</w:t>
        </w:r>
      </w:hyperlink>
    </w:p>
    <w:bookmarkEnd w:id="101"/>
    <w:bookmarkStart w:id="103"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02">
        <w:r>
          <w:rPr>
            <w:rStyle w:val="Hyperlink"/>
          </w:rPr>
          <w:t xml:space="preserve">https://doi.org/10.1038/ncomms14637</w:t>
        </w:r>
      </w:hyperlink>
    </w:p>
    <w:bookmarkEnd w:id="103"/>
    <w:bookmarkStart w:id="105" w:name="ref-vanderwel2018pupil"/>
    <w:p>
      <w:pPr>
        <w:pStyle w:val="Bibliography"/>
      </w:pPr>
      <w:r>
        <w:t xml:space="preserve">van der Wel, P., &amp; van Steenbergen, H.</w:t>
      </w:r>
      <w:r>
        <w:t xml:space="preserve"> (2018). Pupil dilation as an index of effort in cognitive control tasks: A review.</w:t>
      </w:r>
      <w:r>
        <w:t xml:space="preserve"> </w:t>
      </w:r>
      <w:r>
        <w:rPr>
          <w:i/>
          <w:iCs/>
        </w:rPr>
        <w:t xml:space="preserve">Psychonomic Bulletin &amp; Review</w:t>
      </w:r>
      <w:r>
        <w:t xml:space="preserve">,</w:t>
      </w:r>
      <w:r>
        <w:t xml:space="preserve"> </w:t>
      </w:r>
      <w:r>
        <w:rPr>
          <w:i/>
          <w:iCs/>
        </w:rPr>
        <w:t xml:space="preserve">25</w:t>
      </w:r>
      <w:r>
        <w:t xml:space="preserve">(6), 2005–2015.</w:t>
      </w:r>
      <w:r>
        <w:t xml:space="preserve"> </w:t>
      </w:r>
      <w:hyperlink r:id="rId104">
        <w:r>
          <w:rPr>
            <w:rStyle w:val="Hyperlink"/>
          </w:rPr>
          <w:t xml:space="preserve">https://doi.org/10.3758/s13423-018-1432-y</w:t>
        </w:r>
      </w:hyperlink>
    </w:p>
    <w:bookmarkEnd w:id="105"/>
    <w:bookmarkStart w:id="106" w:name="ref-vehtari2017practical"/>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p>
    <w:bookmarkEnd w:id="106"/>
    <w:bookmarkStart w:id="108"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07">
        <w:r>
          <w:rPr>
            <w:rStyle w:val="Hyperlink"/>
          </w:rPr>
          <w:t xml:space="preserve">https://doi.org/10.1214/20-BA1221</w:t>
        </w:r>
      </w:hyperlink>
    </w:p>
    <w:bookmarkEnd w:id="108"/>
    <w:bookmarkStart w:id="110"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09">
        <w:r>
          <w:rPr>
            <w:rStyle w:val="Hyperlink"/>
          </w:rPr>
          <w:t xml:space="preserve">https://doi.org/10.1037/0882-7974.18.3.443</w:t>
        </w:r>
      </w:hyperlink>
    </w:p>
    <w:bookmarkEnd w:id="110"/>
    <w:bookmarkStart w:id="112"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1">
        <w:r>
          <w:rPr>
            <w:rStyle w:val="Hyperlink"/>
          </w:rPr>
          <w:t xml:space="preserve">https://doi.org/10.1518/001872008X288394</w:t>
        </w:r>
      </w:hyperlink>
    </w:p>
    <w:bookmarkEnd w:id="112"/>
    <w:bookmarkStart w:id="114" w:name="ref-winn1994factors"/>
    <w:p>
      <w:pPr>
        <w:pStyle w:val="Bibliography"/>
      </w:pPr>
      <w:r>
        <w:t xml:space="preserve">Winn, B., Whitaker, D., Elliott, D. B., &amp; Phillips, N. J. (1994). Factors affecting light-adapted pupil size in normal human subjects.</w:t>
      </w:r>
      <w:r>
        <w:t xml:space="preserve"> </w:t>
      </w:r>
      <w:r>
        <w:rPr>
          <w:i/>
          <w:iCs/>
        </w:rPr>
        <w:t xml:space="preserve">Investigative Ophthalmology &amp; Visual Science</w:t>
      </w:r>
      <w:r>
        <w:t xml:space="preserve">,</w:t>
      </w:r>
      <w:r>
        <w:t xml:space="preserve"> </w:t>
      </w:r>
      <w:r>
        <w:rPr>
          <w:i/>
          <w:iCs/>
        </w:rPr>
        <w:t xml:space="preserve">35</w:t>
      </w:r>
      <w:r>
        <w:t xml:space="preserve">(3), 1132–1137.</w:t>
      </w:r>
      <w:r>
        <w:t xml:space="preserve"> </w:t>
      </w:r>
      <w:hyperlink r:id="rId113">
        <w:r>
          <w:rPr>
            <w:rStyle w:val="Hyperlink"/>
          </w:rPr>
          <w:t xml:space="preserve">https://iovs.arvojournals.org/article.aspx?articleid=2161149</w:t>
        </w:r>
      </w:hyperlink>
    </w:p>
    <w:bookmarkEnd w:id="114"/>
    <w:bookmarkStart w:id="116" w:name="ref-zenon2014pupil"/>
    <w:p>
      <w:pPr>
        <w:pStyle w:val="Bibliography"/>
      </w:pPr>
      <w:r>
        <w:t xml:space="preserve">Zénon, A., Sidibé, M., &amp; Olivier, E. (2014). Pupil size variations correlate with physical effort perception.</w:t>
      </w:r>
      <w:r>
        <w:t xml:space="preserve"> </w:t>
      </w:r>
      <w:r>
        <w:rPr>
          <w:i/>
          <w:iCs/>
        </w:rPr>
        <w:t xml:space="preserve">Frontiers in Behavioral Neuroscience</w:t>
      </w:r>
      <w:r>
        <w:t xml:space="preserve">,</w:t>
      </w:r>
      <w:r>
        <w:t xml:space="preserve"> </w:t>
      </w:r>
      <w:r>
        <w:rPr>
          <w:i/>
          <w:iCs/>
        </w:rPr>
        <w:t xml:space="preserve">8</w:t>
      </w:r>
      <w:r>
        <w:t xml:space="preserve">, 286.</w:t>
      </w:r>
      <w:r>
        <w:t xml:space="preserve"> </w:t>
      </w:r>
      <w:hyperlink r:id="rId115">
        <w:r>
          <w:rPr>
            <w:rStyle w:val="Hyperlink"/>
          </w:rPr>
          <w:t xml:space="preserve">https://doi.org/10.3389/fnbeh.2014.00286</w:t>
        </w:r>
      </w:hyperlink>
    </w:p>
    <w:bookmarkEnd w:id="116"/>
    <w:bookmarkEnd w:id="117"/>
    <w:bookmarkEnd w:id="118"/>
    <w:bookmarkStart w:id="177" w:name="supplementary-materials"/>
    <w:p>
      <w:pPr>
        <w:pStyle w:val="Heading1"/>
      </w:pPr>
      <w:r>
        <w:t xml:space="preserve">Supplementary Materials</w:t>
      </w:r>
    </w:p>
    <w:bookmarkStart w:id="138" w:name="model-estimation-and-fit"/>
    <w:p>
      <w:pPr>
        <w:pStyle w:val="Heading2"/>
      </w:pPr>
      <w:r>
        <w:t xml:space="preserve">Model estimation and fit</w:t>
      </w:r>
    </w:p>
    <w:p>
      <w:pPr>
        <w:pStyle w:val="FirstParagraph"/>
      </w:pPr>
      <w:r>
        <w:t xml:space="preserve">Figure S1 shows how the behavioral and pupil samples were formed, and Table S1 gives trial counts by condition.</w:t>
      </w:r>
    </w:p>
    <w:tbl>
      <w:tblPr>
        <w:tblStyle w:val="Table"/>
        <w:tblW w:type="pct" w:w="5000"/>
        <w:tblLayout w:type="fixed"/>
        <w:tblLook w:firstRow="0" w:lastRow="0" w:firstColumn="0" w:lastColumn="0" w:noHBand="0" w:noVBand="0" w:val="0000"/>
      </w:tblPr>
      <w:tblGrid>
        <w:gridCol w:w="7920"/>
      </w:tblGrid>
      <w:tr>
        <w:tc>
          <w:tcPr/>
          <w:bookmarkStart w:id="122" w:name="suppfig-flow"/>
          <w:p>
            <w:pPr>
              <w:jc w:val="center"/>
            </w:pPr>
            <w:r>
              <w:drawing>
                <wp:inline>
                  <wp:extent cx="5334000" cy="6574465"/>
                  <wp:effectExtent b="0" l="0" r="0" t="0"/>
                  <wp:docPr descr="" title="" id="120" name="Picture"/>
                  <a:graphic>
                    <a:graphicData uri="http://schemas.openxmlformats.org/drawingml/2006/picture">
                      <pic:pic>
                        <pic:nvPicPr>
                          <pic:cNvPr descr="../output/ddm_refits/runs/final_20261016/figures/final/S_participant_flow.png" id="121" name="Picture"/>
                          <pic:cNvPicPr>
                            <a:picLocks noChangeArrowheads="1" noChangeAspect="1"/>
                          </pic:cNvPicPr>
                        </pic:nvPicPr>
                        <pic:blipFill>
                          <a:blip r:embed="rId119"/>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supptbl-trial-counts"/>
          <w:p>
            <w:pPr>
              <w:jc w:val="center"/>
            </w:pPr>
            <w:pPr>
              <w:jc w:val="left"/>
              <w:spacing w:before="200"/>
              <w:pStyle w:val="ImageCaption"/>
            </w:pPr>
            <w:r>
              <w:t xml:space="preserve">Table S1: Trials in the primary analysis by task, stimulus type and effort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Trials per subject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23"/>
          <w:p/>
        </w:tc>
      </w:tr>
    </w:tbl>
    <w:p>
      <w:pPr>
        <w:pStyle w:val="BodyText"/>
      </w:pPr>
      <w:r>
        <w:t xml:space="preserve">Prior distributions are listed in Table S2.</w:t>
      </w:r>
    </w:p>
    <w:tbl>
      <w:tblPr>
        <w:tblStyle w:val="Table"/>
        <w:tblW w:type="pct" w:w="5000"/>
        <w:tblLayout w:type="fixed"/>
        <w:tblLook w:firstRow="0" w:lastRow="0" w:firstColumn="0" w:lastColumn="0" w:noHBand="0" w:noVBand="0" w:val="0000"/>
      </w:tblPr>
      <w:tblGrid>
        <w:gridCol w:w="7920"/>
      </w:tblGrid>
      <w:tr>
        <w:tc>
          <w:tcPr/>
          <w:bookmarkStart w:id="124" w:name="supptbl-priors"/>
          <w:p>
            <w:pPr>
              <w:jc w:val="center"/>
            </w:pPr>
            <w:pPr>
              <w:jc w:val="left"/>
              <w:spacing w:before="200"/>
              <w:pStyle w:val="ImageCaption"/>
            </w:pPr>
            <w:r>
              <w:t xml:space="preserve">Table S2: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24"/>
        </w:tc>
      </w:tr>
    </w:tbl>
    <w:p>
      <w:pPr>
        <w:pStyle w:val="BodyText"/>
      </w:pPr>
      <w:r>
        <w:t xml:space="preserve">Table S3 compares the nested behavioral models, and Table S4 lists convergence diagnostics for every model reported in the chapter. Tables S5 and S6 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25" w:name="supptbl-model-comparison"/>
          <w:p>
            <w:pPr>
              <w:jc w:val="center"/>
            </w:pPr>
            <w:pPr>
              <w:jc w:val="left"/>
              <w:spacing w:before="200"/>
              <w:pStyle w:val="ImageCaption"/>
            </w:pPr>
            <w:r>
              <w:t xml:space="preserve">Table S3: Model comparison (PSIS-LOO). ΔELPD is relative to the primary model (M4); negative values indicate lower expected predictive accuracy. Model formulas are given in Section S6.</w:t>
            </w:r>
          </w:p>
          <w:tbl>
            <w:tblPr>
              <w:tblStyle w:val="Table"/>
              <w:tblW w:type="pct" w:w="5000"/>
              <w:tblLayout w:type="fixed"/>
              <w:tblLook w:firstRow="1" w:lastRow="0" w:firstColumn="0" w:lastColumn="0" w:noHBand="0" w:noVBand="0" w:val="0020"/>
            </w:tblPr>
            <w:tblGrid>
              <w:gridCol w:w="540"/>
              <w:gridCol w:w="810"/>
              <w:gridCol w:w="540"/>
              <w:gridCol w:w="1530"/>
              <w:gridCol w:w="1260"/>
              <w:gridCol w:w="720"/>
              <w:gridCol w:w="900"/>
              <w:gridCol w:w="1170"/>
              <w:gridCol w:w="450"/>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rPr>
                      <w:i/>
                      <w:iCs/>
                    </w:rPr>
                    <w:t xml:space="preserve">SE</w:t>
                  </w:r>
                </w:p>
              </w:tc>
              <w:tc>
                <w:tcPr/>
                <w:p>
                  <w:pPr>
                    <w:pStyle w:val="Compact"/>
                    <w:jc w:val="right"/>
                    <w:jc w:val="center"/>
                  </w:pPr>
                  <w:r>
                    <w:t xml:space="preserve">Delta ELPD vs M4</w:t>
                  </w:r>
                </w:p>
              </w:tc>
              <w:tc>
                <w:tcPr/>
                <w:p>
                  <w:pPr>
                    <w:pStyle w:val="Compact"/>
                    <w:jc w:val="right"/>
                    <w:jc w:val="center"/>
                  </w:pPr>
                  <w:r>
                    <w:rPr>
                      <w:i/>
                      <w:iCs/>
                    </w:rPr>
                    <w:t xml:space="preserve">SE</w:t>
                  </w:r>
                  <w:r>
                    <w:t xml:space="preserve"> </w:t>
                  </w:r>
                  <w:r>
                    <w:t xml:space="preserve">of delta</w:t>
                  </w:r>
                </w:p>
              </w:tc>
              <w:tc>
                <w:tcPr/>
                <w:p>
                  <w:pPr>
                    <w:pStyle w:val="Compact"/>
                    <w:jc w:val="right"/>
                    <w:jc w:val="center"/>
                  </w:pPr>
                  <w:r>
                    <w:t xml:space="preserve">k &gt; 0.7</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p>
            <w:pPr>
              <w:jc w:val="center"/>
            </w:pPr>
            <w:r>
              <w:rPr>
                <w:i/>
                <w:iCs/>
              </w:rPr>
              <w:t xml:space="preserve">Note.</w:t>
            </w:r>
            <w:r>
              <w:t xml:space="preserve"> </w:t>
            </w:r>
            <w:r>
              <w:t xml:space="preserve">M0 NA M1 NA M2 NA M3 NA M4 NA M4b NA</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convergence"/>
          <w:p>
            <w:pPr>
              <w:jc w:val="center"/>
            </w:pPr>
            <w:pPr>
              <w:jc w:val="left"/>
              <w:spacing w:before="200"/>
              <w:pStyle w:val="ImageCaption"/>
            </w:pPr>
            <w:r>
              <w:t xml:space="preserve">Table S4: Convergence diagnostics for all reported models</w:t>
            </w:r>
          </w:p>
          <w:tbl>
            <w:tblPr>
              <w:tblStyle w:val="Table"/>
              <w:tblW w:type="pct" w:w="5000"/>
              <w:tblLayout w:type="fixed"/>
              <w:tblLook w:firstRow="1" w:lastRow="0" w:firstColumn="0" w:lastColumn="0" w:noHBand="0" w:noVBand="0" w:val="0020"/>
            </w:tblPr>
            <w:tblGrid>
              <w:gridCol w:w="1767"/>
              <w:gridCol w:w="2404"/>
              <w:gridCol w:w="707"/>
              <w:gridCol w:w="919"/>
              <w:gridCol w:w="919"/>
              <w:gridCol w:w="848"/>
              <w:gridCol w:w="353"/>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fixef-m4"/>
          <w:p>
            <w:pPr>
              <w:jc w:val="center"/>
            </w:pPr>
            <w:pPr>
              <w:jc w:val="left"/>
              <w:spacing w:before="200"/>
              <w:pStyle w:val="ImageCaption"/>
            </w:pPr>
            <w:r>
              <w:t xml:space="preserve">Table S5: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ondition-cells"/>
          <w:p>
            <w:pPr>
              <w:jc w:val="center"/>
            </w:pPr>
            <w:pPr>
              <w:jc w:val="left"/>
              <w:spacing w:before="200"/>
              <w:pStyle w:val="ImageCaption"/>
            </w:pPr>
            <w:r>
              <w:t xml:space="preserve">Table S6: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28"/>
        </w:tc>
      </w:tr>
    </w:tbl>
    <w:p>
      <w:pPr>
        <w:pStyle w:val="BodyText"/>
      </w:pPr>
      <w:r>
        <w:t xml:space="preserve">M4 reproduced choice proportions closely (Table S7; Figure S2A). RT quantiles fit less well: observed RTs for minority responses were slower than predicted (Figure S2B),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32" w:name="suppfig-ppc"/>
          <w:p>
            <w:pPr>
              <w:jc w:val="center"/>
            </w:pPr>
            <w:r>
              <w:drawing>
                <wp:inline>
                  <wp:extent cx="5334000" cy="4461163"/>
                  <wp:effectExtent b="0" l="0" r="0" t="0"/>
                  <wp:docPr descr="" title="" id="130" name="Picture"/>
                  <a:graphic>
                    <a:graphicData uri="http://schemas.openxmlformats.org/drawingml/2006/picture">
                      <pic:pic>
                        <pic:nvPicPr>
                          <pic:cNvPr descr="../output/ddm_refits/runs/final_20261016/figures/final/S_ppc_M4.png" id="131" name="Picture"/>
                          <pic:cNvPicPr>
                            <a:picLocks noChangeArrowheads="1" noChangeAspect="1"/>
                          </pic:cNvPicPr>
                        </pic:nvPicPr>
                        <pic:blipFill>
                          <a:blip r:embed="rId129"/>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tbl-ppc-choice"/>
          <w:p>
            <w:pPr>
              <w:jc w:val="center"/>
            </w:pPr>
            <w:pPr>
              <w:jc w:val="left"/>
              <w:spacing w:before="200"/>
              <w:pStyle w:val="ImageCaption"/>
            </w:pPr>
            <w:r>
              <w:t xml:space="preserve">Table S7: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.303</w:t>
                  </w:r>
                </w:p>
              </w:tc>
              <w:tc>
                <w:tcPr/>
                <w:p>
                  <w:pPr>
                    <w:pStyle w:val="Compact"/>
                    <w:jc w:val="right"/>
                    <w:jc w:val="center"/>
                  </w:pPr>
                  <w:r>
                    <w:t xml:space="preserve">.291</w:t>
                  </w:r>
                </w:p>
              </w:tc>
              <w:tc>
                <w:tcPr/>
                <w:p>
                  <w:pPr>
                    <w:pStyle w:val="Compact"/>
                    <w:jc w:val="right"/>
                    <w:jc w:val="center"/>
                  </w:pPr>
                  <w:r>
                    <w:t xml:space="preserve">[.269, .317]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.812</w:t>
                  </w:r>
                </w:p>
              </w:tc>
              <w:tc>
                <w:tcPr/>
                <w:p>
                  <w:pPr>
                    <w:pStyle w:val="Compact"/>
                    <w:jc w:val="right"/>
                    <w:jc w:val="center"/>
                  </w:pPr>
                  <w:r>
                    <w:t xml:space="preserve">.827</w:t>
                  </w:r>
                </w:p>
              </w:tc>
              <w:tc>
                <w:tcPr/>
                <w:p>
                  <w:pPr>
                    <w:pStyle w:val="Compact"/>
                    <w:jc w:val="right"/>
                    <w:jc w:val="center"/>
                  </w:pPr>
                  <w:r>
                    <w:t xml:space="preserve">[.808, .851]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.121</w:t>
                  </w:r>
                </w:p>
              </w:tc>
              <w:tc>
                <w:tcPr/>
                <w:p>
                  <w:pPr>
                    <w:pStyle w:val="Compact"/>
                    <w:jc w:val="right"/>
                    <w:jc w:val="center"/>
                  </w:pPr>
                  <w:r>
                    <w:t xml:space="preserve">.113</w:t>
                  </w:r>
                </w:p>
              </w:tc>
              <w:tc>
                <w:tcPr/>
                <w:p>
                  <w:pPr>
                    <w:pStyle w:val="Compact"/>
                    <w:jc w:val="right"/>
                    <w:jc w:val="center"/>
                  </w:pPr>
                  <w:r>
                    <w:t xml:space="preserve">[.088, .138]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.831</w:t>
                  </w:r>
                </w:p>
              </w:tc>
              <w:tc>
                <w:tcPr/>
                <w:p>
                  <w:pPr>
                    <w:pStyle w:val="Compact"/>
                    <w:jc w:val="right"/>
                    <w:jc w:val="center"/>
                  </w:pPr>
                  <w:r>
                    <w:t xml:space="preserve">.844</w:t>
                  </w:r>
                </w:p>
              </w:tc>
              <w:tc>
                <w:tcPr/>
                <w:p>
                  <w:pPr>
                    <w:pStyle w:val="Compact"/>
                    <w:jc w:val="right"/>
                    <w:jc w:val="center"/>
                  </w:pPr>
                  <w:r>
                    <w:t xml:space="preserve">[.825, .864]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.261</w:t>
                  </w:r>
                </w:p>
              </w:tc>
              <w:tc>
                <w:tcPr/>
                <w:p>
                  <w:pPr>
                    <w:pStyle w:val="Compact"/>
                    <w:jc w:val="right"/>
                    <w:jc w:val="center"/>
                  </w:pPr>
                  <w:r>
                    <w:t xml:space="preserve">.261</w:t>
                  </w:r>
                </w:p>
              </w:tc>
              <w:tc>
                <w:tcPr/>
                <w:p>
                  <w:pPr>
                    <w:pStyle w:val="Compact"/>
                    <w:jc w:val="right"/>
                    <w:jc w:val="center"/>
                  </w:pPr>
                  <w:r>
                    <w:t xml:space="preserve">[.235, .288]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.153</w:t>
                  </w:r>
                </w:p>
              </w:tc>
              <w:tc>
                <w:tcPr/>
                <w:p>
                  <w:pPr>
                    <w:pStyle w:val="Compact"/>
                    <w:jc w:val="right"/>
                    <w:jc w:val="center"/>
                  </w:pPr>
                  <w:r>
                    <w:t xml:space="preserve">.128</w:t>
                  </w:r>
                </w:p>
              </w:tc>
              <w:tc>
                <w:tcPr/>
                <w:p>
                  <w:pPr>
                    <w:pStyle w:val="Compact"/>
                    <w:jc w:val="right"/>
                    <w:jc w:val="center"/>
                  </w:pPr>
                  <w:r>
                    <w:t xml:space="preserve">[.101, .154]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.289</w:t>
                  </w:r>
                </w:p>
              </w:tc>
              <w:tc>
                <w:tcPr/>
                <w:p>
                  <w:pPr>
                    <w:pStyle w:val="Compact"/>
                    <w:jc w:val="right"/>
                    <w:jc w:val="center"/>
                  </w:pPr>
                  <w:r>
                    <w:t xml:space="preserve">.275</w:t>
                  </w:r>
                </w:p>
              </w:tc>
              <w:tc>
                <w:tcPr/>
                <w:p>
                  <w:pPr>
                    <w:pStyle w:val="Compact"/>
                    <w:jc w:val="right"/>
                    <w:jc w:val="center"/>
                  </w:pPr>
                  <w:r>
                    <w:t xml:space="preserve">[.249, .302]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.337</w:t>
                  </w:r>
                </w:p>
              </w:tc>
              <w:tc>
                <w:tcPr/>
                <w:p>
                  <w:pPr>
                    <w:pStyle w:val="Compact"/>
                    <w:jc w:val="right"/>
                    <w:jc w:val="center"/>
                  </w:pPr>
                  <w:r>
                    <w:t xml:space="preserve">.308</w:t>
                  </w:r>
                </w:p>
              </w:tc>
              <w:tc>
                <w:tcPr/>
                <w:p>
                  <w:pPr>
                    <w:pStyle w:val="Compact"/>
                    <w:jc w:val="right"/>
                    <w:jc w:val="center"/>
                  </w:pPr>
                  <w:r>
                    <w:t xml:space="preserve">[.281, .332]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.909</w:t>
                  </w:r>
                </w:p>
              </w:tc>
              <w:tc>
                <w:tcPr/>
                <w:p>
                  <w:pPr>
                    <w:pStyle w:val="Compact"/>
                    <w:jc w:val="right"/>
                    <w:jc w:val="center"/>
                  </w:pPr>
                  <w:r>
                    <w:t xml:space="preserve">.920</w:t>
                  </w:r>
                </w:p>
              </w:tc>
              <w:tc>
                <w:tcPr/>
                <w:p>
                  <w:pPr>
                    <w:pStyle w:val="Compact"/>
                    <w:jc w:val="right"/>
                    <w:jc w:val="center"/>
                  </w:pPr>
                  <w:r>
                    <w:t xml:space="preserve">[.907, .935]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.075</w:t>
                  </w:r>
                </w:p>
              </w:tc>
              <w:tc>
                <w:tcPr/>
                <w:p>
                  <w:pPr>
                    <w:pStyle w:val="Compact"/>
                    <w:jc w:val="right"/>
                    <w:jc w:val="center"/>
                  </w:pPr>
                  <w:r>
                    <w:t xml:space="preserve">.067</w:t>
                  </w:r>
                </w:p>
              </w:tc>
              <w:tc>
                <w:tcPr/>
                <w:p>
                  <w:pPr>
                    <w:pStyle w:val="Compact"/>
                    <w:jc w:val="right"/>
                    <w:jc w:val="center"/>
                  </w:pPr>
                  <w:r>
                    <w:t xml:space="preserve">[.047, .084]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.912</w:t>
                  </w:r>
                </w:p>
              </w:tc>
              <w:tc>
                <w:tcPr/>
                <w:p>
                  <w:pPr>
                    <w:pStyle w:val="Compact"/>
                    <w:jc w:val="right"/>
                    <w:jc w:val="center"/>
                  </w:pPr>
                  <w:r>
                    <w:t xml:space="preserve">.927</w:t>
                  </w:r>
                </w:p>
              </w:tc>
              <w:tc>
                <w:tcPr/>
                <w:p>
                  <w:pPr>
                    <w:pStyle w:val="Compact"/>
                    <w:jc w:val="right"/>
                    <w:jc w:val="center"/>
                  </w:pPr>
                  <w:r>
                    <w:t xml:space="preserve">[.914, .941]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.078</w:t>
                  </w:r>
                </w:p>
              </w:tc>
              <w:tc>
                <w:tcPr/>
                <w:p>
                  <w:pPr>
                    <w:pStyle w:val="Compact"/>
                    <w:jc w:val="right"/>
                    <w:jc w:val="center"/>
                  </w:pPr>
                  <w:r>
                    <w:t xml:space="preserve">.076</w:t>
                  </w:r>
                </w:p>
              </w:tc>
              <w:tc>
                <w:tcPr/>
                <w:p>
                  <w:pPr>
                    <w:pStyle w:val="Compact"/>
                    <w:jc w:val="right"/>
                    <w:jc w:val="center"/>
                  </w:pPr>
                  <w:r>
                    <w:t xml:space="preserve">[.056, .099]</w:t>
                  </w:r>
                </w:p>
              </w:tc>
              <w:tc>
                <w:tcPr/>
                <w:p>
                  <w:pPr>
                    <w:pStyle w:val="Compact"/>
                    <w:jc w:val="right"/>
                    <w:jc w:val="center"/>
                  </w:pPr>
                  <w:r>
                    <w:t xml:space="preserve">Yes</w:t>
                  </w:r>
                </w:p>
              </w:tc>
            </w:tr>
          </w:tbl>
          <w:bookmarkEnd w:id="133"/>
          <w:p/>
        </w:tc>
      </w:tr>
    </w:tbl>
    <w:p>
      <w:pPr>
        <w:pStyle w:val="BodyText"/>
      </w:pPr>
      <w:r>
        <w:t xml:space="preserve">The non-decision-time posterior lay well below its upper bound (Figure S3).</w:t>
      </w:r>
    </w:p>
    <w:tbl>
      <w:tblPr>
        <w:tblStyle w:val="Table"/>
        <w:tblW w:type="pct" w:w="5000"/>
        <w:tblLayout w:type="fixed"/>
        <w:tblLook w:firstRow="0" w:lastRow="0" w:firstColumn="0" w:lastColumn="0" w:noHBand="0" w:noVBand="0" w:val="0000"/>
      </w:tblPr>
      <w:tblGrid>
        <w:gridCol w:w="7920"/>
      </w:tblGrid>
      <w:tr>
        <w:tc>
          <w:tcPr/>
          <w:bookmarkStart w:id="137" w:name="suppfig-ndt"/>
          <w:p>
            <w:pPr>
              <w:jc w:val="center"/>
            </w:pPr>
            <w:r>
              <w:drawing>
                <wp:inline>
                  <wp:extent cx="5334000" cy="5506064"/>
                  <wp:effectExtent b="0" l="0" r="0" t="0"/>
                  <wp:docPr descr="" title="" id="135" name="Picture"/>
                  <a:graphic>
                    <a:graphicData uri="http://schemas.openxmlformats.org/drawingml/2006/picture">
                      <pic:pic>
                        <pic:nvPicPr>
                          <pic:cNvPr descr="../output/ddm_refits/runs/final_20261016/figures/final/S_ndt_prior_posterior.png" id="136" name="Picture"/>
                          <pic:cNvPicPr>
                            <a:picLocks noChangeArrowheads="1" noChangeAspect="1"/>
                          </pic:cNvPicPr>
                        </pic:nvPicPr>
                        <pic:blipFill>
                          <a:blip r:embed="rId134"/>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Prior (bottom) and posterior (top) distributions of non-decision time in M4. The dashed line marks the upper bound set from the shortest RT.</w:t>
            </w:r>
          </w:p>
          <w:bookmarkEnd w:id="137"/>
        </w:tc>
      </w:tr>
    </w:tbl>
    <w:bookmarkEnd w:id="138"/>
    <w:bookmarkStart w:id="143" w:name="robustness"/>
    <w:p>
      <w:pPr>
        <w:pStyle w:val="Heading2"/>
      </w:pPr>
      <w:r>
        <w:t xml:space="preserve">Robustness</w:t>
      </w:r>
    </w:p>
    <w:p>
      <w:pPr>
        <w:pStyle w:val="FirstParagraph"/>
      </w:pPr>
      <w:r>
        <w:t xml:space="preserve">Table S8 reports the effort effects in each model variant, Table S9 the between-participant variability of the effort effects, and Table S10 the task-specific effort effects. Table S11 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39" w:name="supptbl-robustness"/>
          <w:p>
            <w:pPr>
              <w:jc w:val="center"/>
            </w:pPr>
            <w:pPr>
              <w:jc w:val="left"/>
              <w:spacing w:before="200"/>
              <w:pStyle w:val="ImageCaption"/>
            </w:pPr>
            <w:r>
              <w:t xml:space="preserve">Table S8: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867"/>
              <w:gridCol w:w="1942"/>
              <w:gridCol w:w="672"/>
              <w:gridCol w:w="1270"/>
              <w:gridCol w:w="597"/>
              <w:gridCol w:w="523"/>
              <w:gridCol w:w="672"/>
              <w:gridCol w:w="373"/>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different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same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same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different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same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0" w:name="supptbl-random-slopes"/>
          <w:p>
            <w:pPr>
              <w:jc w:val="center"/>
            </w:pPr>
            <w:pPr>
              <w:jc w:val="left"/>
              <w:spacing w:before="200"/>
              <w:pStyle w:val="ImageCaption"/>
            </w:pPr>
            <w:r>
              <w:t xml:space="preserve">Table S9: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supptbl-m4b"/>
          <w:p>
            <w:pPr>
              <w:jc w:val="center"/>
            </w:pPr>
            <w:pPr>
              <w:jc w:val="left"/>
              <w:spacing w:before="200"/>
              <w:pStyle w:val="ImageCaption"/>
            </w:pPr>
            <w:r>
              <w:t xml:space="preserve">Table S10: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supptbl-acc-contrasts"/>
          <w:p>
            <w:pPr>
              <w:jc w:val="center"/>
            </w:pPr>
            <w:pPr>
              <w:jc w:val="left"/>
              <w:spacing w:before="200"/>
              <w:pStyle w:val="ImageCaption"/>
            </w:pPr>
            <w:r>
              <w:t xml:space="preserve">Table S11: Observed accuracy, high minus low effort, at each stimulus type. Estimates are from a binomial GLMM with a random intercept for participant (see the behavioral mixed-effects models in the dissertation version); percentage points are averaged over task.</w:t>
            </w:r>
          </w:p>
          <w:tbl>
            <w:tblPr>
              <w:tblStyle w:val="Table"/>
              <w:tblW w:type="pct" w:w="5000"/>
              <w:tblLayout w:type="fixed"/>
              <w:tblLook w:firstRow="1" w:lastRow="0" w:firstColumn="0" w:lastColumn="0" w:noHBand="0" w:noVBand="0" w:val="0020"/>
            </w:tblPr>
            <w:tblGrid>
              <w:gridCol w:w="1102"/>
              <w:gridCol w:w="1604"/>
              <w:gridCol w:w="1503"/>
              <w:gridCol w:w="1102"/>
              <w:gridCol w:w="1303"/>
              <w:gridCol w:w="601"/>
              <w:gridCol w:w="701"/>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rPr>
                      <w:i/>
                      <w:iCs/>
                    </w:rPr>
                    <w:t xml:space="preserve">z</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42"/>
        </w:tc>
      </w:tr>
    </w:tbl>
    <w:bookmarkEnd w:id="143"/>
    <w:bookmarkStart w:id="148" w:name="pupil-data"/>
    <w:p>
      <w:pPr>
        <w:pStyle w:val="Heading2"/>
      </w:pPr>
      <w:r>
        <w:t xml:space="preserve">Pupil data</w:t>
      </w:r>
    </w:p>
    <w:p>
      <w:pPr>
        <w:pStyle w:val="FirstParagraph"/>
      </w:pPr>
      <w:r>
        <w:rPr>
          <w:b/>
          <w:color w:val="B00000"/>
        </w:rPr>
        <w:t xml:space="preserve">[PENDING r12]</w:t>
      </w:r>
    </w:p>
    <w:tbl>
      <w:tblPr>
        <w:tblStyle w:val="Table"/>
        <w:tblW w:type="pct" w:w="5000"/>
        <w:tblLayout w:type="fixed"/>
        <w:tblLook w:firstRow="0" w:lastRow="0" w:firstColumn="0" w:lastColumn="0" w:noHBand="0" w:noVBand="0" w:val="0000"/>
      </w:tblPr>
      <w:tblGrid>
        <w:gridCol w:w="7920"/>
      </w:tblGrid>
      <w:tr>
        <w:tc>
          <w:tcPr/>
          <w:bookmarkStart w:id="144" w:name="supptbl-pupil-models"/>
          <w:p>
            <w:pPr>
              <w:jc w:val="center"/>
            </w:pPr>
            <w:pPr>
              <w:jc w:val="left"/>
              <w:spacing w:before="200"/>
              <w:pStyle w:val="ImageCaption"/>
            </w:pPr>
            <w:r>
              <w:t xml:space="preserve">Table S12</w:t>
            </w:r>
          </w:p>
          <w:p>
            <w:pPr>
              <w:jc w:val="center"/>
            </w:pPr>
            <w:r>
              <w:rPr>
                <w:b/>
                <w:color w:val="B00000"/>
              </w:rPr>
              <w:t xml:space="preserve">[PENDING r12]</w:t>
            </w:r>
          </w:p>
          <w:bookmarkEnd w:id="1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supptbl-pupil-descriptives"/>
          <w:p>
            <w:pPr>
              <w:jc w:val="center"/>
            </w:pPr>
            <w:pPr>
              <w:jc w:val="left"/>
              <w:spacing w:before="200"/>
              <w:pStyle w:val="ImageCaption"/>
            </w:pPr>
            <w:r>
              <w:t xml:space="preserve">Table S13</w:t>
            </w:r>
          </w:p>
          <w:p>
            <w:pPr>
              <w:jc w:val="center"/>
            </w:pPr>
            <w:r>
              <w:rPr>
                <w:b/>
                <w:color w:val="B00000"/>
              </w:rPr>
              <w:t xml:space="preserve">[PENDING r12]</w:t>
            </w:r>
          </w:p>
          <w:bookmarkEnd w:id="1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suppfig-tepr"/>
          <w:p>
            <w:pPr>
              <w:jc w:val="center"/>
            </w:pPr>
            <w:r>
              <w:rPr>
                <w:b/>
                <w:color w:val="B00000"/>
              </w:rPr>
              <w:t xml:space="preserve">[PENDING r12]</w:t>
            </w:r>
          </w:p>
          <w:p>
            <w:pPr>
              <w:jc w:val="center"/>
            </w:pPr>
            <w:pPr>
              <w:jc w:val="left"/>
              <w:spacing w:before="200"/>
              <w:pStyle w:val="ImageCaption"/>
            </w:pPr>
            <w:r>
              <w:t xml:space="preserve">Figure S4</w:t>
            </w:r>
          </w:p>
          <w:bookmarkEnd w:id="146"/>
        </w:tc>
      </w:tr>
    </w:tbl>
    <w:p>
      <w:pPr>
        <w:pStyle w:val="BodyText"/>
      </w:pPr>
      <w:r>
        <w:t xml:space="preserve">Table S14 lists the formula of every model.</w:t>
      </w:r>
    </w:p>
    <w:tbl>
      <w:tblPr>
        <w:tblStyle w:val="Table"/>
        <w:tblW w:type="pct" w:w="5000"/>
        <w:tblLayout w:type="fixed"/>
        <w:tblLook w:firstRow="0" w:lastRow="0" w:firstColumn="0" w:lastColumn="0" w:noHBand="0" w:noVBand="0" w:val="0000"/>
      </w:tblPr>
      <w:tblGrid>
        <w:gridCol w:w="7920"/>
      </w:tblGrid>
      <w:tr>
        <w:tc>
          <w:tcPr/>
          <w:bookmarkStart w:id="147" w:name="supptbl-formulas"/>
          <w:p>
            <w:pPr>
              <w:jc w:val="center"/>
            </w:pPr>
            <w:pPr>
              <w:jc w:val="left"/>
              <w:spacing w:before="200"/>
              <w:pStyle w:val="ImageCaption"/>
            </w:pPr>
            <w:r>
              <w:t xml:space="preserve">Table S14: brms formulas for each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w:t>
                  </w:r>
                </w:p>
              </w:tc>
              <w:tc>
                <w:tcPr/>
                <w:p>
                  <w:pPr>
                    <w:pStyle w:val="Compact"/>
                    <w:jc w:val="left"/>
                    <w:jc w:val="center"/>
                  </w:pPr>
                  <w:r>
                    <w:t xml:space="preserve">Formula</w:t>
                  </w:r>
                </w:p>
              </w:tc>
            </w:tr>
            <w:tr>
              <w:tc>
                <w:tcPr/>
                <w:p>
                  <w:pPr>
                    <w:pStyle w:val="Compact"/>
                    <w:jc w:val="left"/>
                    <w:jc w:val="center"/>
                  </w:pPr>
                  <w:r>
                    <w:t xml:space="preserve">M0</w:t>
                  </w:r>
                </w:p>
              </w:tc>
              <w:tc>
                <w:tcPr/>
                <w:p>
                  <w:pPr>
                    <w:pStyle w:val="Compact"/>
                    <w:jc w:val="left"/>
                    <w:jc w:val="center"/>
                  </w:pPr>
                  <w:r>
                    <w:rPr>
                      <w:rStyle w:val="VerbatimChar"/>
                    </w:rPr>
                    <w:t xml:space="preserve">rt | dec(choice_binary) ~ difficulty_3 + (1 | subject_id); bs ~ difficulty_3 + (1 | subject_id); ndt ~ 1; bias ~ task + effort_condition + (1 | subject_id)</w:t>
                  </w:r>
                </w:p>
              </w:tc>
            </w:tr>
            <w:tr>
              <w:tc>
                <w:tcPr/>
                <w:p>
                  <w:pPr>
                    <w:pStyle w:val="Compact"/>
                    <w:jc w:val="left"/>
                    <w:jc w:val="center"/>
                  </w:pPr>
                  <w:r>
                    <w:t xml:space="preserve">M1</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M2</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M3</w:t>
                  </w:r>
                </w:p>
              </w:tc>
              <w:tc>
                <w:tcPr/>
                <w:p>
                  <w:pPr>
                    <w:pStyle w:val="Compact"/>
                    <w:jc w:val="left"/>
                    <w:jc w:val="center"/>
                  </w:pPr>
                  <w:r>
                    <w:rPr>
                      <w:rStyle w:val="VerbatimChar"/>
                    </w:rPr>
                    <w:t xml:space="preserve">rt | dec(choice_binary) ~ difficulty_3 + effort_condition + effort_x_stim + (1 | subject_id); bs ~ difficulty_3 + effort_condition + (1 | subject_id); ndt ~ 1; bias ~ task + effort_condition + (1 | subject_id)</w:t>
                  </w:r>
                </w:p>
              </w:tc>
            </w:tr>
            <w:tr>
              <w:tc>
                <w:tcPr/>
                <w:p>
                  <w:pPr>
                    <w:pStyle w:val="Compact"/>
                    <w:jc w:val="left"/>
                    <w:jc w:val="center"/>
                  </w:pPr>
                  <w:r>
                    <w:t xml:space="preserve">M4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M4b</w:t>
                  </w:r>
                </w:p>
              </w:tc>
              <w:tc>
                <w:tcPr/>
                <w:p>
                  <w:pPr>
                    <w:pStyle w:val="Compact"/>
                    <w:jc w:val="left"/>
                    <w:jc w:val="center"/>
                  </w:pPr>
                  <w:r>
                    <w:rPr>
                      <w:rStyle w:val="VerbatimChar"/>
                    </w:rPr>
                    <w:t xml:space="preserve">rt | dec(choice_binary) ~ difficulty_3 * task + effort_condition + effort_x_stim + effort_condition:task + effort_x_stim:task + (1 | subject_id); bs ~ difficulty_3 + task + effort_condition + (1 | subject_id); ndt ~ 1; bias ~ task + effort_condition + (1 | subject_id)</w:t>
                  </w:r>
                </w:p>
              </w:tc>
            </w:tr>
            <w:tr>
              <w:tc>
                <w:tcPr/>
                <w:p>
                  <w:pPr>
                    <w:pStyle w:val="Compact"/>
                    <w:jc w:val="left"/>
                    <w:jc w:val="center"/>
                  </w:pPr>
                  <w:r>
                    <w:t xml:space="preserve">M4r</w:t>
                  </w:r>
                </w:p>
              </w:tc>
              <w:tc>
                <w:tcPr/>
                <w:p>
                  <w:pPr>
                    <w:pStyle w:val="Compact"/>
                    <w:jc w:val="left"/>
                    <w:jc w:val="center"/>
                  </w:pPr>
                  <w:r>
                    <w:rPr>
                      <w:rStyle w:val="VerbatimChar"/>
                    </w:rPr>
                    <w:t xml:space="preserve">rt | dec(choice_binary) ~ difficulty_3 * task + effort_condition + effort_x_stim + (1 + effort_condition | subject_id); bs ~ difficulty_3 + task + effort_condition + (1 + effort_condition | subject_id); ndt ~ 1; bias ~ task + effort_condition + (1 | subject_id)</w:t>
                  </w:r>
                </w:p>
              </w:tc>
            </w:tr>
            <w:tr>
              <w:tc>
                <w:tcPr/>
                <w:p>
                  <w:pPr>
                    <w:pStyle w:val="Compact"/>
                    <w:jc w:val="left"/>
                    <w:jc w:val="center"/>
                  </w:pPr>
                  <w:r>
                    <w:t xml:space="preserve">P0</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P1</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tepr_c + (1 | subject_id)</w:t>
                  </w:r>
                </w:p>
              </w:tc>
            </w:tr>
            <w:tr>
              <w:tc>
                <w:tcPr/>
                <w:p>
                  <w:pPr>
                    <w:pStyle w:val="Compact"/>
                    <w:jc w:val="left"/>
                    <w:jc w:val="center"/>
                  </w:pPr>
                  <w:r>
                    <w:t xml:space="preserve">P2</w:t>
                  </w:r>
                </w:p>
              </w:tc>
              <w:tc>
                <w:tcPr/>
                <w:p>
                  <w:pPr>
                    <w:pStyle w:val="Compact"/>
                    <w:jc w:val="left"/>
                    <w:jc w:val="center"/>
                  </w:pPr>
                  <w:r>
                    <w:rPr>
                      <w:rStyle w:val="VerbatimChar"/>
                    </w:rPr>
                    <w:t xml:space="preserve">rt | dec(choice_binary) ~ difficulty_3 * task + effort_condition + effort_x_stim + tepr_c + tepr_c:stim_sign + (1 | subject_id); bs ~ difficulty_3 + task + effort_condition + (1 | subject_id); ndt ~ 1; bias ~ task + effort_condition + (1 | subject_id)</w:t>
                  </w:r>
                </w:p>
              </w:tc>
            </w:tr>
            <w:tr>
              <w:tc>
                <w:tcPr/>
                <w:p>
                  <w:pPr>
                    <w:pStyle w:val="Compact"/>
                    <w:jc w:val="left"/>
                    <w:jc w:val="center"/>
                  </w:pPr>
                  <w:r>
                    <w:t xml:space="preserve">P3</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P3_rt</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base_c + (1 | subject_id)</w:t>
                  </w:r>
                </w:p>
              </w:tc>
            </w:tr>
            <w:tr>
              <w:tc>
                <w:tcPr/>
                <w:p>
                  <w:pPr>
                    <w:pStyle w:val="Compact"/>
                    <w:jc w:val="left"/>
                    <w:jc w:val="center"/>
                  </w:pPr>
                  <w:r>
                    <w:t xml:space="preserve">P5</w:t>
                  </w:r>
                </w:p>
              </w:tc>
              <w:tc>
                <w:tcPr/>
                <w:p>
                  <w:pPr>
                    <w:pStyle w:val="Compact"/>
                    <w:jc w:val="left"/>
                    <w:jc w:val="center"/>
                  </w:pPr>
                  <w:r>
                    <w:rPr>
                      <w:rStyle w:val="VerbatimChar"/>
                    </w:rPr>
                    <w:t xml:space="preserve">rt | dec(choice_binary) ~ difficulty_3 * task + effort_condition + effort_x_stim + (1 | subject_id); bs ~ difficulty_3 + task + effort_condition + base_c + (1 | subject_id); ndt ~ 1; bias ~ task + effort_condition + (1 | subject_id)</w:t>
                  </w:r>
                </w:p>
              </w:tc>
            </w:tr>
            <w:tr>
              <w:tc>
                <w:tcPr/>
                <w:p>
                  <w:pPr>
                    <w:pStyle w:val="Compact"/>
                    <w:jc w:val="left"/>
                    <w:jc w:val="center"/>
                  </w:pPr>
                  <w:r>
                    <w:t xml:space="preserve">P6</w:t>
                  </w:r>
                </w:p>
              </w:tc>
              <w:tc>
                <w:tcPr/>
                <w:p>
                  <w:pPr>
                    <w:pStyle w:val="Compact"/>
                    <w:jc w:val="left"/>
                    <w:jc w:val="center"/>
                  </w:pPr>
                  <w:r>
                    <w:rPr>
                      <w:rStyle w:val="VerbatimChar"/>
                    </w:rPr>
                    <w:t xml:space="preserve">rt | dec(choice_binary) ~ difficulty_3 * task + effort_condition + effort_x_stim + (1 | subject_id); bs ~ difficulty_3 + task + effort_condition + lag_tepr_c + (1 | subject_id); ndt ~ 1; bias ~ task + effort_condition + (1 | subject_id)</w:t>
                  </w:r>
                </w:p>
              </w:tc>
            </w:tr>
            <w:tr>
              <w:tc>
                <w:tcPr/>
                <w:p>
                  <w:pPr>
                    <w:pStyle w:val="Compact"/>
                    <w:jc w:val="left"/>
                    <w:jc w:val="center"/>
                  </w:pPr>
                  <w:r>
                    <w:t xml:space="preserve">P7</w:t>
                  </w:r>
                </w:p>
              </w:tc>
              <w:tc>
                <w:tcPr/>
                <w:p>
                  <w:pPr>
                    <w:pStyle w:val="Compact"/>
                    <w:jc w:val="left"/>
                    <w:jc w:val="center"/>
                  </w:pPr>
                  <w:r>
                    <w:rPr>
                      <w:rStyle w:val="VerbatimChar"/>
                    </w:rPr>
                    <w:t xml:space="preserve">rt | dec(choice_binary) ~ difficulty_3 * task + effort_condition + effort_x_stim + (1 | subject_id); bs ~ difficulty_3 + task + effort_condition + prechoice_c + (1 | subject_id); ndt ~ 1; bias ~ task + effort_condition + (1 | subject_id)</w:t>
                  </w:r>
                </w:p>
              </w:tc>
            </w:tr>
            <w:tr>
              <w:tc>
                <w:tcPr/>
                <w:p>
                  <w:pPr>
                    <w:pStyle w:val="Compact"/>
                    <w:jc w:val="left"/>
                    <w:jc w:val="center"/>
                  </w:pPr>
                  <w:r>
                    <w:t xml:space="preserve">P8</w:t>
                  </w:r>
                </w:p>
              </w:tc>
              <w:tc>
                <w:tcPr/>
                <w:p>
                  <w:pPr>
                    <w:pStyle w:val="Compact"/>
                    <w:jc w:val="left"/>
                    <w:jc w:val="center"/>
                  </w:pPr>
                  <w:r>
                    <w:rPr>
                      <w:rStyle w:val="VerbatimChar"/>
                    </w:rPr>
                    <w:t xml:space="preserve">rt | dec(choice_binary) ~ difficulty_3 * task + effort_condition + effort_x_stim + (1 | subject_id); bs ~ difficulty_3 + task + effort_condition + grip_c + (1 | subject_id); ndt ~ 1; bias ~ task + effort_condition + (1 | subject_id)</w:t>
                  </w:r>
                </w:p>
              </w:tc>
            </w:tr>
            <w:tr>
              <w:tc>
                <w:tcPr/>
                <w:p>
                  <w:pPr>
                    <w:pStyle w:val="Compact"/>
                    <w:jc w:val="left"/>
                    <w:jc w:val="center"/>
                  </w:pPr>
                  <w:r>
                    <w:t xml:space="preserve">P0_base</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P0_lag</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P0_pre</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P0_grip</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P0_rt</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bl>
          <w:bookmarkEnd w:id="147"/>
          <w:p/>
        </w:tc>
      </w:tr>
    </w:tbl>
    <w:bookmarkEnd w:id="148"/>
    <w:bookmarkStart w:id="157" w:name="X7cce5f35b5247992e0c040be4a8cd311080a3ce"/>
    <w:p>
      <w:pPr>
        <w:pStyle w:val="Heading2"/>
      </w:pPr>
      <w:r>
        <w:t xml:space="preserve">Behavioral mixed-effects models (dissertation only)</w:t>
      </w:r>
    </w:p>
    <w:p>
      <w:pPr>
        <w:pStyle w:val="FirstParagraph"/>
      </w:pPr>
      <w:r>
        <w:t xml:space="preserve">These models analyze observed accuracy and median RT directly. Their contrasts are cited in Section 3.1.</w:t>
      </w:r>
    </w:p>
    <w:p>
      <w:pPr>
        <w:pStyle w:val="BodyText"/>
      </w:pPr>
      <w:r>
        <w:t xml:space="preserve">Random slopes for effort were singular on both the accuracy and the median-RT models, so each model uses a random intercept only, (1 | subject_id), following</w:t>
      </w:r>
      <w:r>
        <w:t xml:space="preserve"> </w:t>
      </w:r>
      <w:r>
        <w:t xml:space="preserve">Barr et al. (2013)</w:t>
      </w:r>
      <w:r>
        <w:t xml:space="preserve">,</w:t>
      </w:r>
      <w:r>
        <w:t xml:space="preserve"> </w:t>
      </w:r>
      <w:r>
        <w:t xml:space="preserve">Bates, Kliegl, et al. (2015)</w:t>
      </w:r>
      <w:r>
        <w:t xml:space="preserve">, and</w:t>
      </w:r>
      <w:r>
        <w:t xml:space="preserve"> </w:t>
      </w:r>
      <w:r>
        <w:t xml:space="preserve">Brauer &amp; Curtin (2018)</w:t>
      </w:r>
      <w:r>
        <w:t xml:space="preserve">.</w:t>
      </w:r>
    </w:p>
    <w:tbl>
      <w:tblPr>
        <w:tblStyle w:val="Table"/>
        <w:tblW w:type="pct" w:w="5000"/>
        <w:tblLayout w:type="fixed"/>
        <w:tblLook w:firstRow="0" w:lastRow="0" w:firstColumn="0" w:lastColumn="0" w:noHBand="0" w:noVBand="0" w:val="0000"/>
      </w:tblPr>
      <w:tblGrid>
        <w:gridCol w:w="7920"/>
      </w:tblGrid>
      <w:tr>
        <w:tc>
          <w:tcPr/>
          <w:bookmarkStart w:id="149" w:name="supptbl-reduction"/>
          <w:p>
            <w:pPr>
              <w:jc w:val="center"/>
            </w:pPr>
            <w:pPr>
              <w:jc w:val="left"/>
              <w:spacing w:before="200"/>
              <w:pStyle w:val="ImageCaption"/>
            </w:pPr>
            <w:r>
              <w:t xml:space="preserve">Table S15: Random-effects reduction for the accuracy and RT models</w:t>
            </w:r>
          </w:p>
          <w:tbl>
            <w:tblPr>
              <w:tblStyle w:val="Table"/>
              <w:tblW w:type="pct" w:w="5000"/>
              <w:tblLayout w:type="fixed"/>
              <w:tblLook w:firstRow="1" w:lastRow="0" w:firstColumn="0" w:lastColumn="0" w:noHBand="0" w:noVBand="0" w:val="0020"/>
            </w:tblPr>
            <w:tblGrid>
              <w:gridCol w:w="649"/>
              <w:gridCol w:w="973"/>
              <w:gridCol w:w="3700"/>
              <w:gridCol w:w="584"/>
              <w:gridCol w:w="714"/>
              <w:gridCol w:w="973"/>
              <w:gridCol w:w="324"/>
            </w:tblGrid>
            <w:tr>
              <w:trPr>
                <w:tblHeader w:val="on"/>
              </w:trPr>
              <w:tc>
                <w:tcPr/>
                <w:p>
                  <w:pPr>
                    <w:pStyle w:val="Compact"/>
                    <w:jc w:val="left"/>
                    <w:jc w:val="center"/>
                  </w:pPr>
                  <w:r>
                    <w:t xml:space="preserve">Outcome</w:t>
                  </w:r>
                </w:p>
              </w:tc>
              <w:tc>
                <w:tcPr/>
                <w:p>
                  <w:pPr>
                    <w:pStyle w:val="Compact"/>
                    <w:jc w:val="right"/>
                    <w:jc w:val="center"/>
                  </w:pPr>
                  <w:r>
                    <w:t xml:space="preserve">Step</w:t>
                  </w:r>
                </w:p>
              </w:tc>
              <w:tc>
                <w:tcPr/>
                <w:p>
                  <w:pPr>
                    <w:pStyle w:val="Compact"/>
                    <w:jc w:val="right"/>
                    <w:jc w:val="center"/>
                  </w:pPr>
                  <w:r>
                    <w:t xml:space="preserve">Random effects</w:t>
                  </w:r>
                </w:p>
              </w:tc>
              <w:tc>
                <w:tcPr/>
                <w:p>
                  <w:pPr>
                    <w:pStyle w:val="Compact"/>
                    <w:jc w:val="right"/>
                    <w:jc w:val="center"/>
                  </w:pPr>
                  <w:r>
                    <w:t xml:space="preserve">Singular</w:t>
                  </w:r>
                </w:p>
              </w:tc>
              <w:tc>
                <w:tcPr/>
                <w:p>
                  <w:pPr>
                    <w:pStyle w:val="Compact"/>
                    <w:jc w:val="right"/>
                    <w:jc w:val="center"/>
                  </w:pPr>
                  <w:r>
                    <w:t xml:space="preserve">Slope</w:t>
                  </w:r>
                  <w:r>
                    <w:t xml:space="preserve"> </w:t>
                  </w:r>
                  <w:r>
                    <w:rPr>
                      <w:i/>
                      <w:iCs/>
                    </w:rPr>
                    <w:t xml:space="preserve">SD</w:t>
                  </w:r>
                </w:p>
              </w:tc>
              <w:tc>
                <w:tcPr/>
                <w:p>
                  <w:pPr>
                    <w:pStyle w:val="Compact"/>
                    <w:jc w:val="right"/>
                    <w:jc w:val="center"/>
                  </w:pPr>
                  <w:r>
                    <w:t xml:space="preserve">Intercept</w:t>
                  </w:r>
                  <w:r>
                    <w:t xml:space="preserve"> </w:t>
                  </w:r>
                  <w:r>
                    <w:rPr>
                      <w:i/>
                      <w:iCs/>
                    </w:rPr>
                    <w:t xml:space="preserve">SD</w:t>
                  </w:r>
                </w:p>
              </w:tc>
              <w:tc>
                <w:tcPr/>
                <w:p>
                  <w:pPr>
                    <w:pStyle w:val="Compact"/>
                    <w:jc w:val="right"/>
                    <w:jc w:val="center"/>
                  </w:pPr>
                  <w:r>
                    <w:t xml:space="preserve">Used</w:t>
                  </w:r>
                </w:p>
              </w:tc>
            </w:tr>
            <w:tr>
              <w:tc>
                <w:tcPr/>
                <w:p>
                  <w:pPr>
                    <w:pStyle w:val="Compact"/>
                    <w:jc w:val="left"/>
                    <w:jc w:val="center"/>
                  </w:pPr>
                  <w:r>
                    <w:t xml:space="preserve">Accuracy</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0.717</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0.701</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0.701</w:t>
                  </w:r>
                </w:p>
              </w:tc>
              <w:tc>
                <w:tcPr/>
                <w:p>
                  <w:pPr>
                    <w:pStyle w:val="Compact"/>
                    <w:jc w:val="right"/>
                    <w:jc w:val="center"/>
                  </w:pPr>
                  <w:r>
                    <w:t xml:space="preserve">Yes</w:t>
                  </w:r>
                </w:p>
              </w:tc>
            </w:tr>
            <w:tr>
              <w:tc>
                <w:tcPr/>
                <w:p>
                  <w:pPr>
                    <w:pStyle w:val="Compact"/>
                    <w:jc w:val="left"/>
                    <w:jc w:val="center"/>
                  </w:pPr>
                  <w:r>
                    <w:t xml:space="preserve">Median RT</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0.011</w:t>
                  </w:r>
                </w:p>
              </w:tc>
              <w:tc>
                <w:tcPr/>
                <w:p>
                  <w:pPr>
                    <w:pStyle w:val="Compact"/>
                    <w:jc w:val="right"/>
                    <w:jc w:val="center"/>
                  </w:pPr>
                  <w:r>
                    <w:t xml:space="preserve">0.251</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0.256</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0.256</w:t>
                  </w:r>
                </w:p>
              </w:tc>
              <w:tc>
                <w:tcPr/>
                <w:p>
                  <w:pPr>
                    <w:pStyle w:val="Compact"/>
                    <w:jc w:val="right"/>
                    <w:jc w:val="center"/>
                  </w:pPr>
                  <w:r>
                    <w:t xml:space="preserve">Yes</w:t>
                  </w:r>
                </w:p>
              </w:tc>
            </w:tr>
          </w:tbl>
          <w:p>
            <w:pPr>
              <w:jc w:val="center"/>
            </w:pPr>
            <w:r>
              <w:rPr>
                <w:i/>
                <w:iCs/>
              </w:rPr>
              <w:t xml:space="preserve">Note.</w:t>
            </w:r>
            <w:r>
              <w:t xml:space="preserve"> </w:t>
            </w:r>
            <w:r>
              <w:t xml:space="preserve">Singular random slopes were dropped in the order in Barr et al. (2013), Bates et al. (2015), and Brauer and Curtin (2018). The intercept-only model is the one used.</w:t>
            </w:r>
          </w:p>
          <w:bookmarkEnd w:id="1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supptbl-acc-glmm"/>
          <w:p>
            <w:pPr>
              <w:jc w:val="center"/>
            </w:pPr>
            <w:pPr>
              <w:jc w:val="left"/>
              <w:spacing w:before="200"/>
              <w:pStyle w:val="ImageCaption"/>
            </w:pPr>
            <w:r>
              <w:t xml:space="preserve">Table S16: The High-effort coefficient is the Standard contrast on the logit scale. Cell contrasts are in</w:t>
            </w:r>
            <w:r>
              <w:t xml:space="preserve"> </w:t>
            </w:r>
            <w:hyperlink w:anchor="supptbl-acc-contrasts">
              <w:r>
                <w:rPr>
                  <w:rStyle w:val="Hyperlink"/>
                </w:rPr>
                <w:t xml:space="preserve">Table S11</w:t>
              </w:r>
            </w:hyperlink>
            <w:r>
              <w:t xml:space="preserve">.</w:t>
            </w:r>
          </w:p>
          <w:tbl>
            <w:tblPr>
              <w:tblStyle w:val="Table"/>
              <w:tblW w:type="pct" w:w="5000"/>
              <w:tblLayout w:type="fixed"/>
              <w:tblLook w:firstRow="1" w:lastRow="0" w:firstColumn="0" w:lastColumn="0" w:noHBand="0" w:noVBand="0" w:val="0020"/>
            </w:tblPr>
            <w:tblGrid>
              <w:gridCol w:w="2212"/>
              <w:gridCol w:w="1048"/>
              <w:gridCol w:w="698"/>
              <w:gridCol w:w="1164"/>
              <w:gridCol w:w="815"/>
              <w:gridCol w:w="1980"/>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rPr>
                      <w:i/>
                      <w:iCs/>
                    </w:rPr>
                    <w:t xml:space="preserve">SE</w:t>
                  </w:r>
                </w:p>
              </w:tc>
              <w:tc>
                <w:tcPr/>
                <w:p>
                  <w:pPr>
                    <w:pStyle w:val="Compact"/>
                    <w:jc w:val="right"/>
                    <w:jc w:val="center"/>
                  </w:pPr>
                  <w:r>
                    <w:t xml:space="preserve">Statistic</w:t>
                  </w:r>
                </w:p>
              </w:tc>
              <w:tc>
                <w:tcPr/>
                <w:p>
                  <w:pPr>
                    <w:pStyle w:val="Compact"/>
                    <w:jc w:val="right"/>
                    <w:jc w:val="center"/>
                  </w:pPr>
                  <w:r>
                    <w:rPr>
                      <w:i/>
                      <w:iCs/>
                    </w:rP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1.991</w:t>
                  </w:r>
                </w:p>
              </w:tc>
              <w:tc>
                <w:tcPr/>
                <w:p>
                  <w:pPr>
                    <w:pStyle w:val="Compact"/>
                    <w:jc w:val="right"/>
                    <w:jc w:val="center"/>
                  </w:pPr>
                  <w:r>
                    <w:t xml:space="preserve">0.117</w:t>
                  </w:r>
                </w:p>
              </w:tc>
              <w:tc>
                <w:tcPr/>
                <w:p>
                  <w:pPr>
                    <w:pStyle w:val="Compact"/>
                    <w:jc w:val="right"/>
                    <w:jc w:val="center"/>
                  </w:pPr>
                  <w:r>
                    <w:t xml:space="preserve">17.04</w:t>
                  </w:r>
                </w:p>
              </w:tc>
              <w:tc>
                <w:tcPr/>
                <w:p>
                  <w:pPr>
                    <w:pStyle w:val="Compact"/>
                    <w:jc w:val="right"/>
                    <w:jc w:val="center"/>
                  </w:pPr>
                  <w:r>
                    <w:t xml:space="preserve">&lt; .001</w:t>
                  </w:r>
                </w:p>
              </w:tc>
              <w:tc>
                <w:tcPr/>
                <w:p>
                  <w:pPr>
                    <w:pStyle w:val="Compact"/>
                    <w:jc w:val="right"/>
                    <w:jc w:val="center"/>
                  </w:pPr>
                  <w:r>
                    <w:t xml:space="preserve">[1.762, 2.220]</w:t>
                  </w:r>
                </w:p>
              </w:tc>
            </w:tr>
            <w:tr>
              <w:tc>
                <w:tcPr/>
                <w:p>
                  <w:pPr>
                    <w:pStyle w:val="Compact"/>
                    <w:jc w:val="left"/>
                    <w:jc w:val="center"/>
                  </w:pPr>
                  <w:r>
                    <w:t xml:space="preserve">Hard</w:t>
                  </w:r>
                </w:p>
              </w:tc>
              <w:tc>
                <w:tcPr/>
                <w:p>
                  <w:pPr>
                    <w:pStyle w:val="Compact"/>
                    <w:jc w:val="right"/>
                    <w:jc w:val="center"/>
                  </w:pPr>
                  <w:r>
                    <w:t xml:space="preserve">−3.064</w:t>
                  </w:r>
                </w:p>
              </w:tc>
              <w:tc>
                <w:tcPr/>
                <w:p>
                  <w:pPr>
                    <w:pStyle w:val="Compact"/>
                    <w:jc w:val="right"/>
                    <w:jc w:val="center"/>
                  </w:pPr>
                  <w:r>
                    <w:t xml:space="preserve">0.087</w:t>
                  </w:r>
                </w:p>
              </w:tc>
              <w:tc>
                <w:tcPr/>
                <w:p>
                  <w:pPr>
                    <w:pStyle w:val="Compact"/>
                    <w:jc w:val="right"/>
                    <w:jc w:val="center"/>
                  </w:pPr>
                  <w:r>
                    <w:t xml:space="preserve">−35.26</w:t>
                  </w:r>
                </w:p>
              </w:tc>
              <w:tc>
                <w:tcPr/>
                <w:p>
                  <w:pPr>
                    <w:pStyle w:val="Compact"/>
                    <w:jc w:val="right"/>
                    <w:jc w:val="center"/>
                  </w:pPr>
                  <w:r>
                    <w:t xml:space="preserve">&lt; .001</w:t>
                  </w:r>
                </w:p>
              </w:tc>
              <w:tc>
                <w:tcPr/>
                <w:p>
                  <w:pPr>
                    <w:pStyle w:val="Compact"/>
                    <w:jc w:val="right"/>
                    <w:jc w:val="center"/>
                  </w:pPr>
                  <w:r>
                    <w:t xml:space="preserve">[−3.234, −2.894]</w:t>
                  </w:r>
                </w:p>
              </w:tc>
            </w:tr>
            <w:tr>
              <w:tc>
                <w:tcPr/>
                <w:p>
                  <w:pPr>
                    <w:pStyle w:val="Compact"/>
                    <w:jc w:val="left"/>
                    <w:jc w:val="center"/>
                  </w:pPr>
                  <w:r>
                    <w:t xml:space="preserve">Easy</w:t>
                  </w:r>
                </w:p>
              </w:tc>
              <w:tc>
                <w:tcPr/>
                <w:p>
                  <w:pPr>
                    <w:pStyle w:val="Compact"/>
                    <w:jc w:val="right"/>
                    <w:jc w:val="center"/>
                  </w:pPr>
                  <w:r>
                    <w:t xml:space="preserve">−0.134</w:t>
                  </w:r>
                </w:p>
              </w:tc>
              <w:tc>
                <w:tcPr/>
                <w:p>
                  <w:pPr>
                    <w:pStyle w:val="Compact"/>
                    <w:jc w:val="right"/>
                    <w:jc w:val="center"/>
                  </w:pPr>
                  <w:r>
                    <w:t xml:space="preserve">0.093</w:t>
                  </w:r>
                </w:p>
              </w:tc>
              <w:tc>
                <w:tcPr/>
                <w:p>
                  <w:pPr>
                    <w:pStyle w:val="Compact"/>
                    <w:jc w:val="right"/>
                    <w:jc w:val="center"/>
                  </w:pPr>
                  <w:r>
                    <w:t xml:space="preserve">−1.44</w:t>
                  </w:r>
                </w:p>
              </w:tc>
              <w:tc>
                <w:tcPr/>
                <w:p>
                  <w:pPr>
                    <w:pStyle w:val="Compact"/>
                    <w:jc w:val="right"/>
                    <w:jc w:val="center"/>
                  </w:pPr>
                  <w:r>
                    <w:t xml:space="preserve">.150</w:t>
                  </w:r>
                </w:p>
              </w:tc>
              <w:tc>
                <w:tcPr/>
                <w:p>
                  <w:pPr>
                    <w:pStyle w:val="Compact"/>
                    <w:jc w:val="right"/>
                    <w:jc w:val="center"/>
                  </w:pPr>
                  <w:r>
                    <w:t xml:space="preserve">[−0.316, 0.048]</w:t>
                  </w:r>
                </w:p>
              </w:tc>
            </w:tr>
            <w:tr>
              <w:tc>
                <w:tcPr/>
                <w:p>
                  <w:pPr>
                    <w:pStyle w:val="Compact"/>
                    <w:jc w:val="left"/>
                    <w:jc w:val="center"/>
                  </w:pPr>
                  <w:r>
                    <w:t xml:space="preserve">High effort</w:t>
                  </w:r>
                </w:p>
              </w:tc>
              <w:tc>
                <w:tcPr/>
                <w:p>
                  <w:pPr>
                    <w:pStyle w:val="Compact"/>
                    <w:jc w:val="right"/>
                    <w:jc w:val="center"/>
                  </w:pPr>
                  <w:r>
                    <w:t xml:space="preserve">0.204</w:t>
                  </w:r>
                </w:p>
              </w:tc>
              <w:tc>
                <w:tcPr/>
                <w:p>
                  <w:pPr>
                    <w:pStyle w:val="Compact"/>
                    <w:jc w:val="right"/>
                    <w:jc w:val="center"/>
                  </w:pPr>
                  <w:r>
                    <w:t xml:space="preserve">0.112</w:t>
                  </w:r>
                </w:p>
              </w:tc>
              <w:tc>
                <w:tcPr/>
                <w:p>
                  <w:pPr>
                    <w:pStyle w:val="Compact"/>
                    <w:jc w:val="right"/>
                    <w:jc w:val="center"/>
                  </w:pPr>
                  <w:r>
                    <w:t xml:space="preserve">1.83</w:t>
                  </w:r>
                </w:p>
              </w:tc>
              <w:tc>
                <w:tcPr/>
                <w:p>
                  <w:pPr>
                    <w:pStyle w:val="Compact"/>
                    <w:jc w:val="right"/>
                    <w:jc w:val="center"/>
                  </w:pPr>
                  <w:r>
                    <w:t xml:space="preserve">.068</w:t>
                  </w:r>
                </w:p>
              </w:tc>
              <w:tc>
                <w:tcPr/>
                <w:p>
                  <w:pPr>
                    <w:pStyle w:val="Compact"/>
                    <w:jc w:val="right"/>
                    <w:jc w:val="center"/>
                  </w:pPr>
                  <w:r>
                    <w:t xml:space="preserve">[−0.015, 0.423]</w:t>
                  </w:r>
                </w:p>
              </w:tc>
            </w:tr>
            <w:tr>
              <w:tc>
                <w:tcPr/>
                <w:p>
                  <w:pPr>
                    <w:pStyle w:val="Compact"/>
                    <w:jc w:val="left"/>
                    <w:jc w:val="center"/>
                  </w:pPr>
                  <w:r>
                    <w:t xml:space="preserve">Visual task</w:t>
                  </w:r>
                </w:p>
              </w:tc>
              <w:tc>
                <w:tcPr/>
                <w:p>
                  <w:pPr>
                    <w:pStyle w:val="Compact"/>
                    <w:jc w:val="right"/>
                    <w:jc w:val="center"/>
                  </w:pPr>
                  <w:r>
                    <w:t xml:space="preserve">0.417</w:t>
                  </w:r>
                </w:p>
              </w:tc>
              <w:tc>
                <w:tcPr/>
                <w:p>
                  <w:pPr>
                    <w:pStyle w:val="Compact"/>
                    <w:jc w:val="right"/>
                    <w:jc w:val="center"/>
                  </w:pPr>
                  <w:r>
                    <w:t xml:space="preserve">0.041</w:t>
                  </w:r>
                </w:p>
              </w:tc>
              <w:tc>
                <w:tcPr/>
                <w:p>
                  <w:pPr>
                    <w:pStyle w:val="Compact"/>
                    <w:jc w:val="right"/>
                    <w:jc w:val="center"/>
                  </w:pPr>
                  <w:r>
                    <w:t xml:space="preserve">10.08</w:t>
                  </w:r>
                </w:p>
              </w:tc>
              <w:tc>
                <w:tcPr/>
                <w:p>
                  <w:pPr>
                    <w:pStyle w:val="Compact"/>
                    <w:jc w:val="right"/>
                    <w:jc w:val="center"/>
                  </w:pPr>
                  <w:r>
                    <w:t xml:space="preserve">&lt; .001</w:t>
                  </w:r>
                </w:p>
              </w:tc>
              <w:tc>
                <w:tcPr/>
                <w:p>
                  <w:pPr>
                    <w:pStyle w:val="Compact"/>
                    <w:jc w:val="right"/>
                    <w:jc w:val="center"/>
                  </w:pPr>
                  <w:r>
                    <w:t xml:space="preserve">[0.336, 0.499]</w:t>
                  </w:r>
                </w:p>
              </w:tc>
            </w:tr>
            <w:tr>
              <w:tc>
                <w:tcPr/>
                <w:p>
                  <w:pPr>
                    <w:pStyle w:val="Compact"/>
                    <w:jc w:val="left"/>
                    <w:jc w:val="center"/>
                  </w:pPr>
                  <w:r>
                    <w:t xml:space="preserve">Hard × high effort</w:t>
                  </w:r>
                </w:p>
              </w:tc>
              <w:tc>
                <w:tcPr/>
                <w:p>
                  <w:pPr>
                    <w:pStyle w:val="Compact"/>
                    <w:jc w:val="right"/>
                    <w:jc w:val="center"/>
                  </w:pPr>
                  <w:r>
                    <w:t xml:space="preserve">−0.431</w:t>
                  </w:r>
                </w:p>
              </w:tc>
              <w:tc>
                <w:tcPr/>
                <w:p>
                  <w:pPr>
                    <w:pStyle w:val="Compact"/>
                    <w:jc w:val="right"/>
                    <w:jc w:val="center"/>
                  </w:pPr>
                  <w:r>
                    <w:t xml:space="preserve">0.124</w:t>
                  </w:r>
                </w:p>
              </w:tc>
              <w:tc>
                <w:tcPr/>
                <w:p>
                  <w:pPr>
                    <w:pStyle w:val="Compact"/>
                    <w:jc w:val="right"/>
                    <w:jc w:val="center"/>
                  </w:pPr>
                  <w:r>
                    <w:t xml:space="preserve">−3.47</w:t>
                  </w:r>
                </w:p>
              </w:tc>
              <w:tc>
                <w:tcPr/>
                <w:p>
                  <w:pPr>
                    <w:pStyle w:val="Compact"/>
                    <w:jc w:val="right"/>
                    <w:jc w:val="center"/>
                  </w:pPr>
                  <w:r>
                    <w:t xml:space="preserve">&lt; .001</w:t>
                  </w:r>
                </w:p>
              </w:tc>
              <w:tc>
                <w:tcPr/>
                <w:p>
                  <w:pPr>
                    <w:pStyle w:val="Compact"/>
                    <w:jc w:val="right"/>
                    <w:jc w:val="center"/>
                  </w:pPr>
                  <w:r>
                    <w:t xml:space="preserve">[−0.674, −0.188]</w:t>
                  </w:r>
                </w:p>
              </w:tc>
            </w:tr>
            <w:tr>
              <w:tc>
                <w:tcPr/>
                <w:p>
                  <w:pPr>
                    <w:pStyle w:val="Compact"/>
                    <w:jc w:val="left"/>
                    <w:jc w:val="center"/>
                  </w:pPr>
                  <w:r>
                    <w:t xml:space="preserve">Easy × high effort</w:t>
                  </w:r>
                </w:p>
              </w:tc>
              <w:tc>
                <w:tcPr/>
                <w:p>
                  <w:pPr>
                    <w:pStyle w:val="Compact"/>
                    <w:jc w:val="right"/>
                    <w:jc w:val="center"/>
                  </w:pPr>
                  <w:r>
                    <w:t xml:space="preserve">−0.291</w:t>
                  </w:r>
                </w:p>
              </w:tc>
              <w:tc>
                <w:tcPr/>
                <w:p>
                  <w:pPr>
                    <w:pStyle w:val="Compact"/>
                    <w:jc w:val="right"/>
                    <w:jc w:val="center"/>
                  </w:pPr>
                  <w:r>
                    <w:t xml:space="preserve">0.133</w:t>
                  </w:r>
                </w:p>
              </w:tc>
              <w:tc>
                <w:tcPr/>
                <w:p>
                  <w:pPr>
                    <w:pStyle w:val="Compact"/>
                    <w:jc w:val="right"/>
                    <w:jc w:val="center"/>
                  </w:pPr>
                  <w:r>
                    <w:t xml:space="preserve">−2.19</w:t>
                  </w:r>
                </w:p>
              </w:tc>
              <w:tc>
                <w:tcPr/>
                <w:p>
                  <w:pPr>
                    <w:pStyle w:val="Compact"/>
                    <w:jc w:val="right"/>
                    <w:jc w:val="center"/>
                  </w:pPr>
                  <w:r>
                    <w:t xml:space="preserve">.028</w:t>
                  </w:r>
                </w:p>
              </w:tc>
              <w:tc>
                <w:tcPr/>
                <w:p>
                  <w:pPr>
                    <w:pStyle w:val="Compact"/>
                    <w:jc w:val="right"/>
                    <w:jc w:val="center"/>
                  </w:pPr>
                  <w:r>
                    <w:t xml:space="preserve">[−0.552, −0.031]</w:t>
                  </w:r>
                </w:p>
              </w:tc>
            </w:tr>
          </w:tbl>
          <w:p>
            <w:pPr>
              <w:jc w:val="center"/>
            </w:pPr>
            <w:r>
              <w:rPr>
                <w:i/>
                <w:iCs/>
              </w:rPr>
              <w:t xml:space="preserve">Note.</w:t>
            </w:r>
            <w:r>
              <w:t xml:space="preserve"> </w:t>
            </w:r>
            <w:r>
              <w:t xml:space="preserve">Binomial GLMM. Coefficients are on the logit scale. The statistic is a Wald z; lme4 does not report denominator df. Random slopes for effort were singular, so the model keeps a random intercept only (Barr et al., 2013; Bates et al., 2015; Brauer &amp; Curtin, 2018). Reference levels: Standard difficulty, low effort, auditory task (ADT).</w:t>
            </w:r>
          </w:p>
          <w:p>
            <w:pPr>
              <w:jc w:val="center"/>
            </w:pPr>
            <w:r>
              <w:t xml:space="preserve">Accuracy model: fixed effects (binomial GLMM, logit scale)</w:t>
            </w:r>
          </w:p>
          <w:bookmarkEnd w:id="1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supptbl-rt-lmm"/>
          <w:p>
            <w:pPr>
              <w:jc w:val="center"/>
            </w:pPr>
            <w:pPr>
              <w:jc w:val="left"/>
              <w:spacing w:before="200"/>
              <w:pStyle w:val="ImageCaption"/>
            </w:pPr>
            <w:r>
              <w:t xml:space="preserve">Table S17: df and</w:t>
            </w:r>
            <w:r>
              <w:t xml:space="preserve"> </w:t>
            </w:r>
            <w:r>
              <w:rPr>
                <w:i/>
                <w:iCs/>
              </w:rPr>
              <w:t xml:space="preserve">p</w:t>
            </w:r>
            <w:r>
              <w:t xml:space="preserve"> </w:t>
            </w:r>
            <w:r>
              <w:t xml:space="preserve">use the Satterthwaite approximation. Cell contrasts, in milliseconds, are in</w:t>
            </w:r>
            <w:r>
              <w:t xml:space="preserve"> </w:t>
            </w:r>
            <w:hyperlink w:anchor="supptbl-rt-contrasts">
              <w:r>
                <w:rPr>
                  <w:rStyle w:val="Hyperlink"/>
                </w:rPr>
                <w:t xml:space="preserve">Table S18</w:t>
              </w:r>
            </w:hyperlink>
            <w:r>
              <w:t xml:space="preserve">.</w:t>
            </w:r>
          </w:p>
          <w:tbl>
            <w:tblPr>
              <w:tblStyle w:val="Table"/>
              <w:tblW w:type="pct" w:w="5000"/>
              <w:tblLayout w:type="fixed"/>
              <w:tblLook w:firstRow="1" w:lastRow="0" w:firstColumn="0" w:lastColumn="0" w:noHBand="0" w:noVBand="0" w:val="0020"/>
            </w:tblPr>
            <w:tblGrid>
              <w:gridCol w:w="2033"/>
              <w:gridCol w:w="963"/>
              <w:gridCol w:w="642"/>
              <w:gridCol w:w="642"/>
              <w:gridCol w:w="1070"/>
              <w:gridCol w:w="749"/>
              <w:gridCol w:w="1819"/>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rPr>
                      <w:i/>
                      <w:iCs/>
                    </w:rPr>
                    <w:t xml:space="preserve">SE</w:t>
                  </w:r>
                </w:p>
              </w:tc>
              <w:tc>
                <w:tcPr/>
                <w:p>
                  <w:pPr>
                    <w:pStyle w:val="Compact"/>
                    <w:jc w:val="right"/>
                    <w:jc w:val="center"/>
                  </w:pPr>
                  <w:r>
                    <w:t xml:space="preserve">df</w:t>
                  </w:r>
                </w:p>
              </w:tc>
              <w:tc>
                <w:tcPr/>
                <w:p>
                  <w:pPr>
                    <w:pStyle w:val="Compact"/>
                    <w:jc w:val="right"/>
                    <w:jc w:val="center"/>
                  </w:pPr>
                  <w:r>
                    <w:t xml:space="preserve">Statistic</w:t>
                  </w:r>
                </w:p>
              </w:tc>
              <w:tc>
                <w:tcPr/>
                <w:p>
                  <w:pPr>
                    <w:pStyle w:val="Compact"/>
                    <w:jc w:val="right"/>
                    <w:jc w:val="center"/>
                  </w:pPr>
                  <w:r>
                    <w:rPr>
                      <w:i/>
                      <w:iCs/>
                    </w:rP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1.379</w:t>
                  </w:r>
                </w:p>
              </w:tc>
              <w:tc>
                <w:tcPr/>
                <w:p>
                  <w:pPr>
                    <w:pStyle w:val="Compact"/>
                    <w:jc w:val="right"/>
                    <w:jc w:val="center"/>
                  </w:pPr>
                  <w:r>
                    <w:t xml:space="preserve">0.038</w:t>
                  </w:r>
                </w:p>
              </w:tc>
              <w:tc>
                <w:tcPr/>
                <w:p>
                  <w:pPr>
                    <w:pStyle w:val="Compact"/>
                    <w:jc w:val="right"/>
                    <w:jc w:val="center"/>
                  </w:pPr>
                  <w:r>
                    <w:t xml:space="preserve">118.7</w:t>
                  </w:r>
                </w:p>
              </w:tc>
              <w:tc>
                <w:tcPr/>
                <w:p>
                  <w:pPr>
                    <w:pStyle w:val="Compact"/>
                    <w:jc w:val="right"/>
                    <w:jc w:val="center"/>
                  </w:pPr>
                  <w:r>
                    <w:t xml:space="preserve">36.73</w:t>
                  </w:r>
                </w:p>
              </w:tc>
              <w:tc>
                <w:tcPr/>
                <w:p>
                  <w:pPr>
                    <w:pStyle w:val="Compact"/>
                    <w:jc w:val="right"/>
                    <w:jc w:val="center"/>
                  </w:pPr>
                  <w:r>
                    <w:t xml:space="preserve">&lt; .001</w:t>
                  </w:r>
                </w:p>
              </w:tc>
              <w:tc>
                <w:tcPr/>
                <w:p>
                  <w:pPr>
                    <w:pStyle w:val="Compact"/>
                    <w:jc w:val="right"/>
                    <w:jc w:val="center"/>
                  </w:pPr>
                  <w:r>
                    <w:t xml:space="preserve">[1.304, 1.453]</w:t>
                  </w:r>
                </w:p>
              </w:tc>
            </w:tr>
            <w:tr>
              <w:tc>
                <w:tcPr/>
                <w:p>
                  <w:pPr>
                    <w:pStyle w:val="Compact"/>
                    <w:jc w:val="left"/>
                    <w:jc w:val="center"/>
                  </w:pPr>
                  <w:r>
                    <w:t xml:space="preserve">Hard</w:t>
                  </w:r>
                </w:p>
              </w:tc>
              <w:tc>
                <w:tcPr/>
                <w:p>
                  <w:pPr>
                    <w:pStyle w:val="Compact"/>
                    <w:jc w:val="right"/>
                    <w:jc w:val="center"/>
                  </w:pPr>
                  <w:r>
                    <w:t xml:space="preserve">0.054</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1.99</w:t>
                  </w:r>
                </w:p>
              </w:tc>
              <w:tc>
                <w:tcPr/>
                <w:p>
                  <w:pPr>
                    <w:pStyle w:val="Compact"/>
                    <w:jc w:val="right"/>
                    <w:jc w:val="center"/>
                  </w:pPr>
                  <w:r>
                    <w:t xml:space="preserve">.047</w:t>
                  </w:r>
                </w:p>
              </w:tc>
              <w:tc>
                <w:tcPr/>
                <w:p>
                  <w:pPr>
                    <w:pStyle w:val="Compact"/>
                    <w:jc w:val="right"/>
                    <w:jc w:val="center"/>
                  </w:pPr>
                  <w:r>
                    <w:t xml:space="preserve">[0.001, 0.107]</w:t>
                  </w:r>
                </w:p>
              </w:tc>
            </w:tr>
            <w:tr>
              <w:tc>
                <w:tcPr/>
                <w:p>
                  <w:pPr>
                    <w:pStyle w:val="Compact"/>
                    <w:jc w:val="left"/>
                    <w:jc w:val="center"/>
                  </w:pPr>
                  <w:r>
                    <w:t xml:space="preserve">Easy</w:t>
                  </w:r>
                </w:p>
              </w:tc>
              <w:tc>
                <w:tcPr/>
                <w:p>
                  <w:pPr>
                    <w:pStyle w:val="Compact"/>
                    <w:jc w:val="right"/>
                    <w:jc w:val="center"/>
                  </w:pPr>
                  <w:r>
                    <w:t xml:space="preserve">−0.186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−6.90</w:t>
                  </w:r>
                </w:p>
              </w:tc>
              <w:tc>
                <w:tcPr/>
                <w:p>
                  <w:pPr>
                    <w:pStyle w:val="Compact"/>
                    <w:jc w:val="right"/>
                    <w:jc w:val="center"/>
                  </w:pPr>
                  <w:r>
                    <w:t xml:space="preserve">&lt; .001</w:t>
                  </w:r>
                </w:p>
              </w:tc>
              <w:tc>
                <w:tcPr/>
                <w:p>
                  <w:pPr>
                    <w:pStyle w:val="Compact"/>
                    <w:jc w:val="right"/>
                    <w:jc w:val="center"/>
                  </w:pPr>
                  <w:r>
                    <w:t xml:space="preserve">[−0.239, −0.133]</w:t>
                  </w:r>
                </w:p>
              </w:tc>
            </w:tr>
            <w:tr>
              <w:tc>
                <w:tcPr/>
                <w:p>
                  <w:pPr>
                    <w:pStyle w:val="Compact"/>
                    <w:jc w:val="left"/>
                    <w:jc w:val="center"/>
                  </w:pPr>
                  <w:r>
                    <w:t xml:space="preserve">High effort</w:t>
                  </w:r>
                </w:p>
              </w:tc>
              <w:tc>
                <w:tcPr/>
                <w:p>
                  <w:pPr>
                    <w:pStyle w:val="Compact"/>
                    <w:jc w:val="right"/>
                    <w:jc w:val="center"/>
                  </w:pPr>
                  <w:r>
                    <w:t xml:space="preserve">0.036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1.35</w:t>
                  </w:r>
                </w:p>
              </w:tc>
              <w:tc>
                <w:tcPr/>
                <w:p>
                  <w:pPr>
                    <w:pStyle w:val="Compact"/>
                    <w:jc w:val="right"/>
                    <w:jc w:val="center"/>
                  </w:pPr>
                  <w:r>
                    <w:t xml:space="preserve">.179</w:t>
                  </w:r>
                </w:p>
              </w:tc>
              <w:tc>
                <w:tcPr/>
                <w:p>
                  <w:pPr>
                    <w:pStyle w:val="Compact"/>
                    <w:jc w:val="right"/>
                    <w:jc w:val="center"/>
                  </w:pPr>
                  <w:r>
                    <w:t xml:space="preserve">[−0.017, 0.089]</w:t>
                  </w:r>
                </w:p>
              </w:tc>
            </w:tr>
            <w:tr>
              <w:tc>
                <w:tcPr/>
                <w:p>
                  <w:pPr>
                    <w:pStyle w:val="Compact"/>
                    <w:jc w:val="left"/>
                    <w:jc w:val="center"/>
                  </w:pPr>
                  <w:r>
                    <w:t xml:space="preserve">Visual task</w:t>
                  </w:r>
                </w:p>
              </w:tc>
              <w:tc>
                <w:tcPr/>
                <w:p>
                  <w:pPr>
                    <w:pStyle w:val="Compact"/>
                    <w:jc w:val="right"/>
                    <w:jc w:val="center"/>
                  </w:pPr>
                  <w:r>
                    <w:t xml:space="preserve">−0.100</w:t>
                  </w:r>
                </w:p>
              </w:tc>
              <w:tc>
                <w:tcPr/>
                <w:p>
                  <w:pPr>
                    <w:pStyle w:val="Compact"/>
                    <w:jc w:val="right"/>
                    <w:jc w:val="center"/>
                  </w:pPr>
                  <w:r>
                    <w:t xml:space="preserve">0.016</w:t>
                  </w:r>
                </w:p>
              </w:tc>
              <w:tc>
                <w:tcPr/>
                <w:p>
                  <w:pPr>
                    <w:pStyle w:val="Compact"/>
                    <w:jc w:val="right"/>
                    <w:jc w:val="center"/>
                  </w:pPr>
                  <w:r>
                    <w:t xml:space="preserve">706.3</w:t>
                  </w:r>
                </w:p>
              </w:tc>
              <w:tc>
                <w:tcPr/>
                <w:p>
                  <w:pPr>
                    <w:pStyle w:val="Compact"/>
                    <w:jc w:val="right"/>
                    <w:jc w:val="center"/>
                  </w:pPr>
                  <w:r>
                    <w:t xml:space="preserve">−6.33</w:t>
                  </w:r>
                </w:p>
              </w:tc>
              <w:tc>
                <w:tcPr/>
                <w:p>
                  <w:pPr>
                    <w:pStyle w:val="Compact"/>
                    <w:jc w:val="right"/>
                    <w:jc w:val="center"/>
                  </w:pPr>
                  <w:r>
                    <w:t xml:space="preserve">&lt; .001</w:t>
                  </w:r>
                </w:p>
              </w:tc>
              <w:tc>
                <w:tcPr/>
                <w:p>
                  <w:pPr>
                    <w:pStyle w:val="Compact"/>
                    <w:jc w:val="right"/>
                    <w:jc w:val="center"/>
                  </w:pPr>
                  <w:r>
                    <w:t xml:space="preserve">[−0.131, −0.069]</w:t>
                  </w:r>
                </w:p>
              </w:tc>
            </w:tr>
            <w:tr>
              <w:tc>
                <w:tcPr/>
                <w:p>
                  <w:pPr>
                    <w:pStyle w:val="Compact"/>
                    <w:jc w:val="left"/>
                    <w:jc w:val="center"/>
                  </w:pPr>
                  <w:r>
                    <w:t xml:space="preserve">Hard × high effort</w:t>
                  </w:r>
                </w:p>
              </w:tc>
              <w:tc>
                <w:tcPr/>
                <w:p>
                  <w:pPr>
                    <w:pStyle w:val="Compact"/>
                    <w:jc w:val="right"/>
                    <w:jc w:val="center"/>
                  </w:pPr>
                  <w:r>
                    <w:t xml:space="preserve">−0.029</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−0.77</w:t>
                  </w:r>
                </w:p>
              </w:tc>
              <w:tc>
                <w:tcPr/>
                <w:p>
                  <w:pPr>
                    <w:pStyle w:val="Compact"/>
                    <w:jc w:val="right"/>
                    <w:jc w:val="center"/>
                  </w:pPr>
                  <w:r>
                    <w:t xml:space="preserve">.443</w:t>
                  </w:r>
                </w:p>
              </w:tc>
              <w:tc>
                <w:tcPr/>
                <w:p>
                  <w:pPr>
                    <w:pStyle w:val="Compact"/>
                    <w:jc w:val="right"/>
                    <w:jc w:val="center"/>
                  </w:pPr>
                  <w:r>
                    <w:t xml:space="preserve">[−0.104, 0.046]</w:t>
                  </w:r>
                </w:p>
              </w:tc>
            </w:tr>
            <w:tr>
              <w:tc>
                <w:tcPr/>
                <w:p>
                  <w:pPr>
                    <w:pStyle w:val="Compact"/>
                    <w:jc w:val="left"/>
                    <w:jc w:val="center"/>
                  </w:pPr>
                  <w:r>
                    <w:t xml:space="preserve">Easy × high effort</w:t>
                  </w:r>
                </w:p>
              </w:tc>
              <w:tc>
                <w:tcPr/>
                <w:p>
                  <w:pPr>
                    <w:pStyle w:val="Compact"/>
                    <w:jc w:val="right"/>
                    <w:jc w:val="center"/>
                  </w:pPr>
                  <w:r>
                    <w:t xml:space="preserve">−0.025</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−0.66</w:t>
                  </w:r>
                </w:p>
              </w:tc>
              <w:tc>
                <w:tcPr/>
                <w:p>
                  <w:pPr>
                    <w:pStyle w:val="Compact"/>
                    <w:jc w:val="right"/>
                    <w:jc w:val="center"/>
                  </w:pPr>
                  <w:r>
                    <w:t xml:space="preserve">.509</w:t>
                  </w:r>
                </w:p>
              </w:tc>
              <w:tc>
                <w:tcPr/>
                <w:p>
                  <w:pPr>
                    <w:pStyle w:val="Compact"/>
                    <w:jc w:val="right"/>
                    <w:jc w:val="center"/>
                  </w:pPr>
                  <w:r>
                    <w:t xml:space="preserve">[−0.100, 0.050]</w:t>
                  </w:r>
                </w:p>
              </w:tc>
            </w:tr>
          </w:tbl>
          <w:p>
            <w:pPr>
              <w:jc w:val="center"/>
            </w:pPr>
            <w:r>
              <w:rPr>
                <w:i/>
                <w:iCs/>
              </w:rPr>
              <w:t xml:space="preserve">Note.</w:t>
            </w:r>
            <w:r>
              <w:t xml:space="preserve"> </w:t>
            </w:r>
            <w:r>
              <w:t xml:space="preserve">The outcome is the median RT in each subject x task x difficulty x effort cell, in seconds, not log RT. df and p use the Satterthwaite approximation. Random slopes for effort were singular, so the model keeps a random intercept only (Barr et al., 2013; Bates et al., 2015; Brauer &amp; Curtin, 2018). Reference levels: Standard difficulty, low effort, auditory task (ADT).</w:t>
            </w:r>
          </w:p>
          <w:p>
            <w:pPr>
              <w:jc w:val="center"/>
            </w:pPr>
            <w:r>
              <w:t xml:space="preserve">Median RT model: fixed effects (seconds)</w:t>
            </w:r>
          </w:p>
          <w:bookmarkEnd w:id="1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2" w:name="supptbl-rt-contrasts"/>
          <w:p>
            <w:pPr>
              <w:jc w:val="center"/>
            </w:pPr>
            <w:pPr>
              <w:jc w:val="left"/>
              <w:spacing w:before="200"/>
              <w:pStyle w:val="ImageCaption"/>
            </w:pPr>
            <w:r>
              <w:t xml:space="preserve">Table S18: Median RT, high minus low effort, at each stimulus type (ms)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Difficulty</w:t>
                  </w:r>
                </w:p>
              </w:tc>
              <w:tc>
                <w:tcPr/>
                <w:p>
                  <w:pPr>
                    <w:pStyle w:val="Compact"/>
                    <w:jc w:val="right"/>
                    <w:jc w:val="center"/>
                  </w:pPr>
                  <w:r>
                    <w:t xml:space="preserve">High − low (ms)</w:t>
                  </w:r>
                </w:p>
              </w:tc>
              <w:tc>
                <w:tcPr/>
                <w:p>
                  <w:pPr>
                    <w:pStyle w:val="Compact"/>
                    <w:jc w:val="right"/>
                    <w:jc w:val="center"/>
                  </w:pPr>
                  <w:r>
                    <w:t xml:space="preserve">95% CI (ms)</w:t>
                  </w:r>
                </w:p>
              </w:tc>
              <w:tc>
                <w:tcPr/>
                <w:p>
                  <w:pPr>
                    <w:pStyle w:val="Compact"/>
                    <w:jc w:val="right"/>
                    <w:jc w:val="center"/>
                  </w:pPr>
                  <w:r>
                    <w:rPr>
                      <w:i/>
                      <w:iCs/>
                    </w:rPr>
                    <w:t xml:space="preserve">t</w:t>
                  </w:r>
                </w:p>
              </w:tc>
              <w:tc>
                <w:tcPr/>
                <w:p>
                  <w:pPr>
                    <w:pStyle w:val="Compact"/>
                    <w:jc w:val="right"/>
                    <w:jc w:val="center"/>
                  </w:pPr>
                  <w:r>
                    <w:t xml:space="preserve">df</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36.3</w:t>
                  </w:r>
                </w:p>
              </w:tc>
              <w:tc>
                <w:tcPr/>
                <w:p>
                  <w:pPr>
                    <w:pStyle w:val="Compact"/>
                    <w:jc w:val="right"/>
                    <w:jc w:val="center"/>
                  </w:pPr>
                  <w:r>
                    <w:t xml:space="preserve">[−16.6, 89.2]</w:t>
                  </w:r>
                </w:p>
              </w:tc>
              <w:tc>
                <w:tcPr/>
                <w:p>
                  <w:pPr>
                    <w:pStyle w:val="Compact"/>
                    <w:jc w:val="right"/>
                    <w:jc w:val="center"/>
                  </w:pPr>
                  <w:r>
                    <w:t xml:space="preserve">1.35</w:t>
                  </w:r>
                </w:p>
              </w:tc>
              <w:tc>
                <w:tcPr/>
                <w:p>
                  <w:pPr>
                    <w:pStyle w:val="Compact"/>
                    <w:jc w:val="right"/>
                    <w:jc w:val="center"/>
                  </w:pPr>
                  <w:r>
                    <w:t xml:space="preserve">700.7</w:t>
                  </w:r>
                </w:p>
              </w:tc>
              <w:tc>
                <w:tcPr/>
                <w:p>
                  <w:pPr>
                    <w:pStyle w:val="Compact"/>
                    <w:jc w:val="right"/>
                    <w:jc w:val="center"/>
                  </w:pPr>
                  <w:r>
                    <w:t xml:space="preserve">.179</w:t>
                  </w:r>
                </w:p>
              </w:tc>
            </w:tr>
            <w:tr>
              <w:tc>
                <w:tcPr/>
                <w:p>
                  <w:pPr>
                    <w:pStyle w:val="Compact"/>
                    <w:jc w:val="left"/>
                    <w:jc w:val="center"/>
                  </w:pPr>
                  <w:r>
                    <w:t xml:space="preserve">Hard</w:t>
                  </w:r>
                </w:p>
              </w:tc>
              <w:tc>
                <w:tcPr/>
                <w:p>
                  <w:pPr>
                    <w:pStyle w:val="Compact"/>
                    <w:jc w:val="right"/>
                    <w:jc w:val="center"/>
                  </w:pPr>
                  <w:r>
                    <w:t xml:space="preserve">7.0</w:t>
                  </w:r>
                </w:p>
              </w:tc>
              <w:tc>
                <w:tcPr/>
                <w:p>
                  <w:pPr>
                    <w:pStyle w:val="Compact"/>
                    <w:jc w:val="right"/>
                    <w:jc w:val="center"/>
                  </w:pPr>
                  <w:r>
                    <w:t xml:space="preserve">[−45.9, 59.9]</w:t>
                  </w:r>
                </w:p>
              </w:tc>
              <w:tc>
                <w:tcPr/>
                <w:p>
                  <w:pPr>
                    <w:pStyle w:val="Compact"/>
                    <w:jc w:val="right"/>
                    <w:jc w:val="center"/>
                  </w:pPr>
                  <w:r>
                    <w:t xml:space="preserve">0.26</w:t>
                  </w:r>
                </w:p>
              </w:tc>
              <w:tc>
                <w:tcPr/>
                <w:p>
                  <w:pPr>
                    <w:pStyle w:val="Compact"/>
                    <w:jc w:val="right"/>
                    <w:jc w:val="center"/>
                  </w:pPr>
                  <w:r>
                    <w:t xml:space="preserve">700.7</w:t>
                  </w:r>
                </w:p>
              </w:tc>
              <w:tc>
                <w:tcPr/>
                <w:p>
                  <w:pPr>
                    <w:pStyle w:val="Compact"/>
                    <w:jc w:val="right"/>
                    <w:jc w:val="center"/>
                  </w:pPr>
                  <w:r>
                    <w:t xml:space="preserve">.795</w:t>
                  </w:r>
                </w:p>
              </w:tc>
            </w:tr>
            <w:tr>
              <w:tc>
                <w:tcPr/>
                <w:p>
                  <w:pPr>
                    <w:pStyle w:val="Compact"/>
                    <w:jc w:val="left"/>
                    <w:jc w:val="center"/>
                  </w:pPr>
                  <w:r>
                    <w:t xml:space="preserve">Easy</w:t>
                  </w:r>
                </w:p>
              </w:tc>
              <w:tc>
                <w:tcPr/>
                <w:p>
                  <w:pPr>
                    <w:pStyle w:val="Compact"/>
                    <w:jc w:val="right"/>
                    <w:jc w:val="center"/>
                  </w:pPr>
                  <w:r>
                    <w:t xml:space="preserve">11.1</w:t>
                  </w:r>
                </w:p>
              </w:tc>
              <w:tc>
                <w:tcPr/>
                <w:p>
                  <w:pPr>
                    <w:pStyle w:val="Compact"/>
                    <w:jc w:val="right"/>
                    <w:jc w:val="center"/>
                  </w:pPr>
                  <w:r>
                    <w:t xml:space="preserve">[−41.8, 64.0]</w:t>
                  </w:r>
                </w:p>
              </w:tc>
              <w:tc>
                <w:tcPr/>
                <w:p>
                  <w:pPr>
                    <w:pStyle w:val="Compact"/>
                    <w:jc w:val="right"/>
                    <w:jc w:val="center"/>
                  </w:pPr>
                  <w:r>
                    <w:t xml:space="preserve">0.41</w:t>
                  </w:r>
                </w:p>
              </w:tc>
              <w:tc>
                <w:tcPr/>
                <w:p>
                  <w:pPr>
                    <w:pStyle w:val="Compact"/>
                    <w:jc w:val="right"/>
                    <w:jc w:val="center"/>
                  </w:pPr>
                  <w:r>
                    <w:t xml:space="preserve">700.7</w:t>
                  </w:r>
                </w:p>
              </w:tc>
              <w:tc>
                <w:tcPr/>
                <w:p>
                  <w:pPr>
                    <w:pStyle w:val="Compact"/>
                    <w:jc w:val="right"/>
                    <w:jc w:val="center"/>
                  </w:pPr>
                  <w:r>
                    <w:t xml:space="preserve">.681</w:t>
                  </w:r>
                </w:p>
              </w:tc>
            </w:tr>
          </w:tbl>
          <w:p>
            <w:pPr>
              <w:jc w:val="center"/>
            </w:pPr>
            <w:r>
              <w:rPr>
                <w:i/>
                <w:iCs/>
              </w:rPr>
              <w:t xml:space="preserve">Note.</w:t>
            </w:r>
            <w:r>
              <w:t xml:space="preserve"> </w:t>
            </w:r>
            <w:r>
              <w:t xml:space="preserve">High minus low, in milliseconds, averaged over task with equal weights. df and p use the Satterthwaite approximation.</w:t>
            </w:r>
          </w:p>
          <w:bookmarkEnd w:id="1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6" w:name="suppfig-accuracy"/>
          <w:p>
            <w:pPr>
              <w:jc w:val="center"/>
            </w:pPr>
            <w:r>
              <w:drawing>
                <wp:inline>
                  <wp:extent cx="5334000" cy="3067049"/>
                  <wp:effectExtent b="0" l="0" r="0" t="0"/>
                  <wp:docPr descr="" title="" id="154" name="Picture"/>
                  <a:graphic>
                    <a:graphicData uri="http://schemas.openxmlformats.org/drawingml/2006/picture">
                      <pic:pic>
                        <pic:nvPicPr>
                          <pic:cNvPr descr="../output/ddm_refits/runs/final_20261016/figures/final/S_accuracy_by_condition.png" id="155" name="Picture"/>
                          <pic:cNvPicPr>
                            <a:picLocks noChangeArrowheads="1" noChangeAspect="1"/>
                          </pic:cNvPicPr>
                        </pic:nvPicPr>
                        <pic:blipFill>
                          <a:blip r:embed="rId153"/>
                          <a:stretch>
                            <a:fillRect/>
                          </a:stretch>
                        </pic:blipFill>
                        <pic:spPr bwMode="auto">
                          <a:xfrm>
                            <a:off x="0" y="0"/>
                            <a:ext cx="5334000" cy="3067049"/>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Observed accuracy by task, stimulus type and effort. Thin lines are individual participants and thick lines are means.</w:t>
            </w:r>
          </w:p>
          <w:bookmarkEnd w:id="156"/>
        </w:tc>
      </w:tr>
    </w:tbl>
    <w:bookmarkEnd w:id="157"/>
    <w:bookmarkStart w:id="160" w:name="X01ac6bc37aa4fb6c48d213e0533d6e133ae986c"/>
    <w:p>
      <w:pPr>
        <w:pStyle w:val="Heading2"/>
      </w:pPr>
      <w:r>
        <w:t xml:space="preserve">Extended baseline and neuropsychological profile (dissertation only)</w:t>
      </w:r>
    </w:p>
    <w:p>
      <w:pPr>
        <w:pStyle w:val="FirstParagraph"/>
      </w:pPr>
      <w:r>
        <w:t xml:space="preserve">Table S19 describes the sample on the neuropsychological battery. Table S20 reports exploratory correlations between these measures and task outcomes; none is interpreted.</w:t>
      </w:r>
    </w:p>
    <w:tbl>
      <w:tblPr>
        <w:tblStyle w:val="Table"/>
        <w:tblW w:type="pct" w:w="5000"/>
        <w:tblLayout w:type="fixed"/>
        <w:tblLook w:firstRow="0" w:lastRow="0" w:firstColumn="0" w:lastColumn="0" w:noHBand="0" w:noVBand="0" w:val="0000"/>
      </w:tblPr>
      <w:tblGrid>
        <w:gridCol w:w="7920"/>
      </w:tblGrid>
      <w:tr>
        <w:tc>
          <w:tcPr/>
          <w:bookmarkStart w:id="158" w:name="supptbl-baseline"/>
          <w:p>
            <w:pPr>
              <w:jc w:val="center"/>
            </w:pPr>
            <w:pPr>
              <w:jc w:val="left"/>
              <w:spacing w:before="200"/>
              <w:pStyle w:val="ImageCaption"/>
            </w:pPr>
            <w:r>
              <w:t xml:space="preserve">Table S19: Baseline characteristics of the sample</w:t>
            </w:r>
          </w:p>
          <w:tbl>
            <w:tblPr>
              <w:tblStyle w:val="Table"/>
              <w:tblW w:type="pct" w:w="5000"/>
              <w:tblLayout w:type="fixed"/>
              <w:tblLook w:firstRow="1" w:lastRow="0" w:firstColumn="0" w:lastColumn="0" w:noHBand="0" w:noVBand="0" w:val="0020"/>
            </w:tblPr>
            <w:tblGrid>
              <w:gridCol w:w="3681"/>
              <w:gridCol w:w="446"/>
              <w:gridCol w:w="2454"/>
              <w:gridCol w:w="1338"/>
            </w:tblGrid>
            <w:tr>
              <w:trPr>
                <w:tblHeader w:val="on"/>
              </w:trPr>
              <w:tc>
                <w:tcPr/>
                <w:p>
                  <w:pPr>
                    <w:pStyle w:val="Compact"/>
                    <w:jc w:val="left"/>
                    <w:jc w:val="center"/>
                  </w:pPr>
                  <w:r>
                    <w:t xml:space="preserve">Measure</w:t>
                  </w:r>
                </w:p>
              </w:tc>
              <w:tc>
                <w:tcPr/>
                <w:p>
                  <w:pPr>
                    <w:pStyle w:val="Compact"/>
                    <w:jc w:val="right"/>
                    <w:jc w:val="center"/>
                  </w:pPr>
                  <w:r>
                    <w:rPr>
                      <w:i/>
                      <w:iCs/>
                    </w:rPr>
                    <w:t xml:space="preserve">n</w:t>
                  </w:r>
                </w:p>
              </w:tc>
              <w:tc>
                <w:tcPr/>
                <w:p>
                  <w:pPr>
                    <w:pStyle w:val="Compact"/>
                    <w:jc w:val="right"/>
                    <w:jc w:val="center"/>
                  </w:pPr>
                  <w:r>
                    <w:rPr>
                      <w:i/>
                      <w:iCs/>
                    </w:rPr>
                    <w:t xml:space="preserve">M</w:t>
                  </w:r>
                  <w:r>
                    <w:t xml:space="preserve"> </w:t>
                  </w:r>
                  <w:r>
                    <w:t xml:space="preserve">(</w:t>
                  </w:r>
                  <w:r>
                    <w:rPr>
                      <w:i/>
                      <w:iCs/>
                    </w:rPr>
                    <w:t xml:space="preserve">SD</w:t>
                  </w:r>
                  <w:r>
                    <w:t xml:space="preserve">) or</w:t>
                  </w:r>
                  <w:r>
                    <w:t xml:space="preserve"> </w:t>
                  </w:r>
                  <w:r>
                    <w:rPr>
                      <w:i/>
                      <w:iCs/>
                    </w:rPr>
                    <w:t xml:space="preserve">n</w:t>
                  </w:r>
                  <w:r>
                    <w:t xml:space="preserve"> </w:t>
                  </w:r>
                  <w:r>
                    <w:t xml:space="preserve">(%)</w:t>
                  </w:r>
                </w:p>
              </w:tc>
              <w:tc>
                <w:tcPr/>
                <w:p>
                  <w:pPr>
                    <w:pStyle w:val="Compact"/>
                    <w:jc w:val="right"/>
                    <w:jc w:val="center"/>
                  </w:pPr>
                  <w:r>
                    <w:t xml:space="preserve">Range</w:t>
                  </w:r>
                </w:p>
              </w:tc>
            </w:tr>
            <w:tr>
              <w:tc>
                <w:tcPr/>
                <w:p>
                  <w:pPr>
                    <w:pStyle w:val="Compact"/>
                    <w:jc w:val="left"/>
                    <w:jc w:val="center"/>
                  </w:pPr>
                  <w:r>
                    <w:t xml:space="preserve">Age (years)</w:t>
                  </w:r>
                </w:p>
              </w:tc>
              <w:tc>
                <w:tcPr/>
                <w:p>
                  <w:pPr>
                    <w:pStyle w:val="Compact"/>
                    <w:jc w:val="right"/>
                    <w:jc w:val="center"/>
                  </w:pPr>
                  <w:r>
                    <w:t xml:space="preserve">67</w:t>
                  </w:r>
                </w:p>
              </w:tc>
              <w:tc>
                <w:tcPr/>
                <w:p>
                  <w:pPr>
                    <w:pStyle w:val="Compact"/>
                    <w:jc w:val="right"/>
                    <w:jc w:val="center"/>
                  </w:pPr>
                  <w:r>
                    <w:t xml:space="preserve">69.5 (6.4)</w:t>
                  </w:r>
                </w:p>
              </w:tc>
              <w:tc>
                <w:tcPr/>
                <w:p>
                  <w:pPr>
                    <w:pStyle w:val="Compact"/>
                    <w:jc w:val="right"/>
                    <w:jc w:val="center"/>
                  </w:pPr>
                  <w:r>
                    <w:t xml:space="preserve">60.0–87.0</w:t>
                  </w:r>
                </w:p>
              </w:tc>
            </w:tr>
            <w:tr>
              <w:tc>
                <w:tcPr/>
                <w:p>
                  <w:pPr>
                    <w:pStyle w:val="Compact"/>
                    <w:jc w:val="left"/>
                    <w:jc w:val="center"/>
                  </w:pPr>
                  <w:r>
                    <w:t xml:space="preserve">Education (years)</w:t>
                  </w:r>
                </w:p>
              </w:tc>
              <w:tc>
                <w:tcPr/>
                <w:p>
                  <w:pPr>
                    <w:pStyle w:val="Compact"/>
                    <w:jc w:val="right"/>
                    <w:jc w:val="center"/>
                  </w:pPr>
                  <w:r>
                    <w:t xml:space="preserve">64</w:t>
                  </w:r>
                </w:p>
              </w:tc>
              <w:tc>
                <w:tcPr/>
                <w:p>
                  <w:pPr>
                    <w:pStyle w:val="Compact"/>
                    <w:jc w:val="right"/>
                    <w:jc w:val="center"/>
                  </w:pPr>
                  <w:r>
                    <w:t xml:space="preserve">15.8 (2.6)</w:t>
                  </w:r>
                </w:p>
              </w:tc>
              <w:tc>
                <w:tcPr/>
                <w:p>
                  <w:pPr>
                    <w:pStyle w:val="Compact"/>
                    <w:jc w:val="right"/>
                    <w:jc w:val="center"/>
                  </w:pPr>
                  <w:r>
                    <w:t xml:space="preserve">10.0–21.0</w:t>
                  </w:r>
                </w:p>
              </w:tc>
            </w:tr>
            <w:tr>
              <w:tc>
                <w:tcPr/>
                <w:p>
                  <w:pPr>
                    <w:pStyle w:val="Compact"/>
                    <w:jc w:val="left"/>
                    <w:jc w:val="center"/>
                  </w:pPr>
                  <w:r>
                    <w:t xml:space="preserve">MoCA (telephone screen /22)</w:t>
                  </w:r>
                </w:p>
              </w:tc>
              <w:tc>
                <w:tcPr/>
                <w:p>
                  <w:pPr>
                    <w:pStyle w:val="Compact"/>
                    <w:jc w:val="right"/>
                    <w:jc w:val="center"/>
                  </w:pPr>
                  <w:r>
                    <w:t xml:space="preserve">62</w:t>
                  </w:r>
                </w:p>
              </w:tc>
              <w:tc>
                <w:tcPr/>
                <w:p>
                  <w:pPr>
                    <w:pStyle w:val="Compact"/>
                    <w:jc w:val="right"/>
                    <w:jc w:val="center"/>
                  </w:pPr>
                  <w:r>
                    <w:t xml:space="preserve">19.8 (1.5)</w:t>
                  </w:r>
                </w:p>
              </w:tc>
              <w:tc>
                <w:tcPr/>
                <w:p>
                  <w:pPr>
                    <w:pStyle w:val="Compact"/>
                    <w:jc w:val="right"/>
                    <w:jc w:val="center"/>
                  </w:pPr>
                  <w:r>
                    <w:t xml:space="preserve">17.0–22.0</w:t>
                  </w:r>
                </w:p>
              </w:tc>
            </w:tr>
            <w:tr>
              <w:tc>
                <w:tcPr/>
                <w:p>
                  <w:pPr>
                    <w:pStyle w:val="Compact"/>
                    <w:jc w:val="left"/>
                    <w:jc w:val="center"/>
                  </w:pPr>
                  <w:r>
                    <w:t xml:space="preserve">Trail Making A (seconds)</w:t>
                  </w:r>
                </w:p>
              </w:tc>
              <w:tc>
                <w:tcPr/>
                <w:p>
                  <w:pPr>
                    <w:pStyle w:val="Compact"/>
                    <w:jc w:val="right"/>
                    <w:jc w:val="center"/>
                  </w:pPr>
                  <w:r>
                    <w:t xml:space="preserve">63</w:t>
                  </w:r>
                </w:p>
              </w:tc>
              <w:tc>
                <w:tcPr/>
                <w:p>
                  <w:pPr>
                    <w:pStyle w:val="Compact"/>
                    <w:jc w:val="right"/>
                    <w:jc w:val="center"/>
                  </w:pPr>
                  <w:r>
                    <w:t xml:space="preserve">32.3 (9.2)</w:t>
                  </w:r>
                </w:p>
              </w:tc>
              <w:tc>
                <w:tcPr/>
                <w:p>
                  <w:pPr>
                    <w:pStyle w:val="Compact"/>
                    <w:jc w:val="right"/>
                    <w:jc w:val="center"/>
                  </w:pPr>
                  <w:r>
                    <w:t xml:space="preserve">17.8–58.7</w:t>
                  </w:r>
                </w:p>
              </w:tc>
            </w:tr>
            <w:tr>
              <w:tc>
                <w:tcPr/>
                <w:p>
                  <w:pPr>
                    <w:pStyle w:val="Compact"/>
                    <w:jc w:val="left"/>
                    <w:jc w:val="center"/>
                  </w:pPr>
                  <w:r>
                    <w:t xml:space="preserve">Trail Making B (seconds)</w:t>
                  </w:r>
                </w:p>
              </w:tc>
              <w:tc>
                <w:tcPr/>
                <w:p>
                  <w:pPr>
                    <w:pStyle w:val="Compact"/>
                    <w:jc w:val="right"/>
                    <w:jc w:val="center"/>
                  </w:pPr>
                  <w:r>
                    <w:t xml:space="preserve">63</w:t>
                  </w:r>
                </w:p>
              </w:tc>
              <w:tc>
                <w:tcPr/>
                <w:p>
                  <w:pPr>
                    <w:pStyle w:val="Compact"/>
                    <w:jc w:val="right"/>
                    <w:jc w:val="center"/>
                  </w:pPr>
                  <w:r>
                    <w:t xml:space="preserve">52.5 (28.2)</w:t>
                  </w:r>
                </w:p>
              </w:tc>
              <w:tc>
                <w:tcPr/>
                <w:p>
                  <w:pPr>
                    <w:pStyle w:val="Compact"/>
                    <w:jc w:val="right"/>
                    <w:jc w:val="center"/>
                  </w:pPr>
                  <w:r>
                    <w:t xml:space="preserve">12.1–159.6</w:t>
                  </w:r>
                </w:p>
              </w:tc>
            </w:tr>
            <w:tr>
              <w:tc>
                <w:tcPr/>
                <w:p>
                  <w:pPr>
                    <w:pStyle w:val="Compact"/>
                    <w:jc w:val="left"/>
                    <w:jc w:val="center"/>
                  </w:pPr>
                  <w:r>
                    <w:t xml:space="preserve">TMT B − A (seconds)</w:t>
                  </w:r>
                </w:p>
              </w:tc>
              <w:tc>
                <w:tcPr/>
                <w:p>
                  <w:pPr>
                    <w:pStyle w:val="Compact"/>
                    <w:jc w:val="right"/>
                    <w:jc w:val="center"/>
                  </w:pPr>
                  <w:r>
                    <w:t xml:space="preserve">63</w:t>
                  </w:r>
                </w:p>
              </w:tc>
              <w:tc>
                <w:tcPr/>
                <w:p>
                  <w:pPr>
                    <w:pStyle w:val="Compact"/>
                    <w:jc w:val="right"/>
                    <w:jc w:val="center"/>
                  </w:pPr>
                  <w:r>
                    <w:t xml:space="preserve">20.2 (25.6)</w:t>
                  </w:r>
                </w:p>
              </w:tc>
              <w:tc>
                <w:tcPr/>
                <w:p>
                  <w:pPr>
                    <w:pStyle w:val="Compact"/>
                    <w:jc w:val="right"/>
                    <w:jc w:val="center"/>
                  </w:pPr>
                  <w:r>
                    <w:t xml:space="preserve">−33.7–126.1</w:t>
                  </w:r>
                </w:p>
              </w:tc>
            </w:tr>
            <w:tr>
              <w:tc>
                <w:tcPr/>
                <w:p>
                  <w:pPr>
                    <w:pStyle w:val="Compact"/>
                    <w:jc w:val="left"/>
                    <w:jc w:val="center"/>
                  </w:pPr>
                  <w:r>
                    <w:t xml:space="preserve">Boston Naming (/23)</w:t>
                  </w:r>
                </w:p>
              </w:tc>
              <w:tc>
                <w:tcPr/>
                <w:p>
                  <w:pPr>
                    <w:pStyle w:val="Compact"/>
                    <w:jc w:val="right"/>
                    <w:jc w:val="center"/>
                  </w:pPr>
                  <w:r>
                    <w:t xml:space="preserve">62</w:t>
                  </w:r>
                </w:p>
              </w:tc>
              <w:tc>
                <w:tcPr/>
                <w:p>
                  <w:pPr>
                    <w:pStyle w:val="Compact"/>
                    <w:jc w:val="right"/>
                    <w:jc w:val="center"/>
                  </w:pPr>
                  <w:r>
                    <w:t xml:space="preserve">20.6 (2.6)</w:t>
                  </w:r>
                </w:p>
              </w:tc>
              <w:tc>
                <w:tcPr/>
                <w:p>
                  <w:pPr>
                    <w:pStyle w:val="Compact"/>
                    <w:jc w:val="right"/>
                    <w:jc w:val="center"/>
                  </w:pPr>
                  <w:r>
                    <w:t xml:space="preserve">14.0–23.0</w:t>
                  </w:r>
                </w:p>
              </w:tc>
            </w:tr>
            <w:tr>
              <w:tc>
                <w:tcPr/>
                <w:p>
                  <w:pPr>
                    <w:pStyle w:val="Compact"/>
                    <w:jc w:val="left"/>
                    <w:jc w:val="center"/>
                  </w:pPr>
                  <w:r>
                    <w:t xml:space="preserve">SILS (/40)</w:t>
                  </w:r>
                </w:p>
              </w:tc>
              <w:tc>
                <w:tcPr/>
                <w:p>
                  <w:pPr>
                    <w:pStyle w:val="Compact"/>
                    <w:jc w:val="right"/>
                    <w:jc w:val="center"/>
                  </w:pPr>
                  <w:r>
                    <w:t xml:space="preserve">63</w:t>
                  </w:r>
                </w:p>
              </w:tc>
              <w:tc>
                <w:tcPr/>
                <w:p>
                  <w:pPr>
                    <w:pStyle w:val="Compact"/>
                    <w:jc w:val="right"/>
                    <w:jc w:val="center"/>
                  </w:pPr>
                  <w:r>
                    <w:t xml:space="preserve">33.0 (3.6)</w:t>
                  </w:r>
                </w:p>
              </w:tc>
              <w:tc>
                <w:tcPr/>
                <w:p>
                  <w:pPr>
                    <w:pStyle w:val="Compact"/>
                    <w:jc w:val="right"/>
                    <w:jc w:val="center"/>
                  </w:pPr>
                  <w:r>
                    <w:t xml:space="preserve">18.0–38.0</w:t>
                  </w:r>
                </w:p>
              </w:tc>
            </w:tr>
            <w:tr>
              <w:tc>
                <w:tcPr/>
                <w:p>
                  <w:pPr>
                    <w:pStyle w:val="Compact"/>
                    <w:jc w:val="left"/>
                    <w:jc w:val="center"/>
                  </w:pPr>
                  <w:r>
                    <w:t xml:space="preserve">GDS (/15)</w:t>
                  </w:r>
                </w:p>
              </w:tc>
              <w:tc>
                <w:tcPr/>
                <w:p>
                  <w:pPr>
                    <w:pStyle w:val="Compact"/>
                    <w:jc w:val="right"/>
                    <w:jc w:val="center"/>
                  </w:pPr>
                  <w:r>
                    <w:t xml:space="preserve">61</w:t>
                  </w:r>
                </w:p>
              </w:tc>
              <w:tc>
                <w:tcPr/>
                <w:p>
                  <w:pPr>
                    <w:pStyle w:val="Compact"/>
                    <w:jc w:val="right"/>
                    <w:jc w:val="center"/>
                  </w:pPr>
                  <w:r>
                    <w:t xml:space="preserve">1.7 (2.0)</w:t>
                  </w:r>
                </w:p>
              </w:tc>
              <w:tc>
                <w:tcPr/>
                <w:p>
                  <w:pPr>
                    <w:pStyle w:val="Compact"/>
                    <w:jc w:val="right"/>
                    <w:jc w:val="center"/>
                  </w:pPr>
                  <w:r>
                    <w:t xml:space="preserve">0.0–10.0</w:t>
                  </w:r>
                </w:p>
              </w:tc>
            </w:tr>
            <w:tr>
              <w:tc>
                <w:tcPr/>
                <w:p>
                  <w:pPr>
                    <w:pStyle w:val="Compact"/>
                    <w:jc w:val="left"/>
                    <w:jc w:val="center"/>
                  </w:pPr>
                  <w:r>
                    <w:t xml:space="preserve">GAD-7 (/8)</w:t>
                  </w:r>
                </w:p>
              </w:tc>
              <w:tc>
                <w:tcPr/>
                <w:p>
                  <w:pPr>
                    <w:pStyle w:val="Compact"/>
                    <w:jc w:val="right"/>
                    <w:jc w:val="center"/>
                  </w:pPr>
                  <w:r>
                    <w:t xml:space="preserve">61</w:t>
                  </w:r>
                </w:p>
              </w:tc>
              <w:tc>
                <w:tcPr/>
                <w:p>
                  <w:pPr>
                    <w:pStyle w:val="Compact"/>
                    <w:jc w:val="right"/>
                    <w:jc w:val="center"/>
                  </w:pPr>
                  <w:r>
                    <w:t xml:space="preserve">2.3 (2.3)</w:t>
                  </w:r>
                </w:p>
              </w:tc>
              <w:tc>
                <w:tcPr/>
                <w:p>
                  <w:pPr>
                    <w:pStyle w:val="Compact"/>
                    <w:jc w:val="right"/>
                    <w:jc w:val="center"/>
                  </w:pPr>
                  <w:r>
                    <w:t xml:space="preserve">0.0–10.0</w:t>
                  </w:r>
                </w:p>
              </w:tc>
            </w:tr>
            <w:tr>
              <w:tc>
                <w:tcPr/>
                <w:p>
                  <w:pPr>
                    <w:pStyle w:val="Compact"/>
                    <w:jc w:val="left"/>
                    <w:jc w:val="center"/>
                  </w:pPr>
                  <w:r>
                    <w:t xml:space="preserve">EMQ-13</w:t>
                  </w:r>
                </w:p>
              </w:tc>
              <w:tc>
                <w:tcPr/>
                <w:p>
                  <w:pPr>
                    <w:pStyle w:val="Compact"/>
                    <w:jc w:val="right"/>
                    <w:jc w:val="center"/>
                  </w:pPr>
                  <w:r>
                    <w:t xml:space="preserve">62</w:t>
                  </w:r>
                </w:p>
              </w:tc>
              <w:tc>
                <w:tcPr/>
                <w:p>
                  <w:pPr>
                    <w:pStyle w:val="Compact"/>
                    <w:jc w:val="right"/>
                    <w:jc w:val="center"/>
                  </w:pPr>
                  <w:r>
                    <w:t xml:space="preserve">6.7 (4.7)</w:t>
                  </w:r>
                </w:p>
              </w:tc>
              <w:tc>
                <w:tcPr/>
                <w:p>
                  <w:pPr>
                    <w:pStyle w:val="Compact"/>
                    <w:jc w:val="right"/>
                    <w:jc w:val="center"/>
                  </w:pPr>
                  <w:r>
                    <w:t xml:space="preserve">1.0–28.0</w:t>
                  </w:r>
                </w:p>
              </w:tc>
            </w:tr>
            <w:tr>
              <w:tc>
                <w:tcPr/>
                <w:p>
                  <w:pPr>
                    <w:pStyle w:val="Compact"/>
                    <w:jc w:val="left"/>
                    <w:jc w:val="center"/>
                  </w:pPr>
                  <w:r>
                    <w:t xml:space="preserve">Female, n (%)</w:t>
                  </w:r>
                </w:p>
              </w:tc>
              <w:tc>
                <w:tcPr/>
                <w:p>
                  <w:pPr>
                    <w:pStyle w:val="Compact"/>
                  </w:pPr>
                </w:p>
              </w:tc>
              <w:tc>
                <w:tcPr/>
                <w:p>
                  <w:pPr>
                    <w:pStyle w:val="Compact"/>
                    <w:jc w:val="right"/>
                    <w:jc w:val="center"/>
                  </w:pPr>
                  <w:r>
                    <w:t xml:space="preserve">34 (50.7%)</w:t>
                  </w:r>
                </w:p>
              </w:tc>
              <w:tc>
                <w:tcPr/>
                <w:p>
                  <w:pPr>
                    <w:pStyle w:val="Compact"/>
                  </w:pPr>
                </w:p>
              </w:tc>
            </w:tr>
            <w:tr>
              <w:tc>
                <w:tcPr/>
                <w:p>
                  <w:pPr>
                    <w:pStyle w:val="Compact"/>
                    <w:jc w:val="left"/>
                    <w:jc w:val="center"/>
                  </w:pPr>
                  <w:r>
                    <w:t xml:space="preserve">Right-handed, n (%)</w:t>
                  </w:r>
                </w:p>
              </w:tc>
              <w:tc>
                <w:tcPr/>
                <w:p>
                  <w:pPr>
                    <w:pStyle w:val="Compact"/>
                  </w:pPr>
                </w:p>
              </w:tc>
              <w:tc>
                <w:tcPr/>
                <w:p>
                  <w:pPr>
                    <w:pStyle w:val="Compact"/>
                    <w:jc w:val="right"/>
                    <w:jc w:val="center"/>
                  </w:pPr>
                  <w:r>
                    <w:t xml:space="preserve">67 (100.0%)</w:t>
                  </w:r>
                </w:p>
              </w:tc>
              <w:tc>
                <w:tcPr/>
                <w:p>
                  <w:pPr>
                    <w:pStyle w:val="Compact"/>
                  </w:pPr>
                </w:p>
              </w:tc>
            </w:tr>
            <w:tr>
              <w:tc>
                <w:tcPr/>
                <w:p>
                  <w:pPr>
                    <w:pStyle w:val="Compact"/>
                    <w:jc w:val="left"/>
                    <w:jc w:val="center"/>
                  </w:pPr>
                  <w:r>
                    <w:t xml:space="preserve">White race, n (%)</w:t>
                  </w:r>
                </w:p>
              </w:tc>
              <w:tc>
                <w:tcPr/>
                <w:p>
                  <w:pPr>
                    <w:pStyle w:val="Compact"/>
                  </w:pPr>
                </w:p>
              </w:tc>
              <w:tc>
                <w:tcPr/>
                <w:p>
                  <w:pPr>
                    <w:pStyle w:val="Compact"/>
                    <w:jc w:val="right"/>
                    <w:jc w:val="center"/>
                  </w:pPr>
                  <w:r>
                    <w:t xml:space="preserve">51 (76.1%)</w:t>
                  </w:r>
                </w:p>
              </w:tc>
              <w:tc>
                <w:tcPr/>
                <w:p>
                  <w:pPr>
                    <w:pStyle w:val="Compact"/>
                  </w:pPr>
                </w:p>
              </w:tc>
            </w:tr>
            <w:tr>
              <w:tc>
                <w:tcPr/>
                <w:p>
                  <w:pPr>
                    <w:pStyle w:val="Compact"/>
                    <w:jc w:val="left"/>
                    <w:jc w:val="center"/>
                  </w:pPr>
                  <w:r>
                    <w:t xml:space="preserve">Hispanic/Latino ethnicity, n (%)</w:t>
                  </w:r>
                </w:p>
              </w:tc>
              <w:tc>
                <w:tcPr/>
                <w:p>
                  <w:pPr>
                    <w:pStyle w:val="Compact"/>
                  </w:pPr>
                </w:p>
              </w:tc>
              <w:tc>
                <w:tcPr/>
                <w:p>
                  <w:pPr>
                    <w:pStyle w:val="Compact"/>
                    <w:jc w:val="right"/>
                    <w:jc w:val="center"/>
                  </w:pPr>
                  <w:r>
                    <w:t xml:space="preserve">10 (15.4%)</w:t>
                  </w:r>
                </w:p>
              </w:tc>
              <w:tc>
                <w:tcPr/>
                <w:p>
                  <w:pPr>
                    <w:pStyle w:val="Compact"/>
                  </w:pPr>
                </w:p>
              </w:tc>
            </w:tr>
          </w:tbl>
          <w:p>
            <w:pPr>
              <w:jc w:val="center"/>
            </w:pPr>
            <w:r>
              <w:rPr>
                <w:i/>
                <w:iCs/>
              </w:rPr>
              <w:t xml:space="preserve">Note.</w:t>
            </w:r>
            <w:r>
              <w:t xml:space="preserve"> </w:t>
            </w:r>
            <w:r>
              <w:t xml:space="preserve">Values are from output/neuropsych_demographics/extended_baseline_continuous.csv and extended_baseline_categorical.csv, the July S9 source. T14 stored the means but dropped the ranges.</w:t>
            </w:r>
          </w:p>
          <w:bookmarkEnd w:id="1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supptbl-neuropsych"/>
          <w:p>
            <w:pPr>
              <w:jc w:val="center"/>
            </w:pPr>
            <w:pPr>
              <w:jc w:val="left"/>
              <w:spacing w:before="200"/>
              <w:pStyle w:val="ImageCaption"/>
            </w:pPr>
            <w:r>
              <w:t xml:space="preserve">Table S20: Exploratory correlations between neuropsychological measures and behavioral and model-based outcomes, with false-discovery-rate-adjusted</w:t>
            </w:r>
            <w:r>
              <w:t xml:space="preserve"> </w:t>
            </w:r>
            <w:r>
              <w:rPr>
                <w:i/>
                <w:iCs/>
              </w:rPr>
              <w:t xml:space="preserve">p</w:t>
            </w:r>
            <w:r>
              <w:t xml:space="preserve"> </w:t>
            </w:r>
            <w:r>
              <w:t xml:space="preserve">values</w:t>
            </w:r>
          </w:p>
          <w:tbl>
            <w:tblPr>
              <w:tblStyle w:val="Table"/>
              <w:tblW w:type="pct" w:w="5000"/>
              <w:tblLayout w:type="fixed"/>
              <w:tblLook w:firstRow="1" w:lastRow="0" w:firstColumn="0" w:lastColumn="0" w:noHBand="0" w:noVBand="0" w:val="0020"/>
            </w:tblPr>
            <w:tblGrid>
              <w:gridCol w:w="1961"/>
              <w:gridCol w:w="3846"/>
              <w:gridCol w:w="678"/>
              <w:gridCol w:w="377"/>
              <w:gridCol w:w="754"/>
              <w:gridCol w:w="301"/>
            </w:tblGrid>
            <w:tr>
              <w:trPr>
                <w:tblHeader w:val="on"/>
              </w:trPr>
              <w:tc>
                <w:tcPr/>
                <w:p>
                  <w:pPr>
                    <w:pStyle w:val="Compact"/>
                    <w:jc w:val="left"/>
                    <w:jc w:val="center"/>
                  </w:pPr>
                  <w:r>
                    <w:t xml:space="preserve">Predictor</w:t>
                  </w:r>
                </w:p>
              </w:tc>
              <w:tc>
                <w:tcPr/>
                <w:p>
                  <w:pPr>
                    <w:pStyle w:val="Compact"/>
                    <w:jc w:val="right"/>
                    <w:jc w:val="center"/>
                  </w:pPr>
                  <w:r>
                    <w:t xml:space="preserve">Outcome</w:t>
                  </w:r>
                </w:p>
              </w:tc>
              <w:tc>
                <w:tcPr/>
                <w:p>
                  <w:pPr>
                    <w:pStyle w:val="Compact"/>
                    <w:jc w:val="right"/>
                    <w:jc w:val="center"/>
                  </w:pPr>
                  <w:r>
                    <w:t xml:space="preserve">r</w:t>
                  </w:r>
                </w:p>
              </w:tc>
              <w:tc>
                <w:tcPr/>
                <w:p>
                  <w:pPr>
                    <w:pStyle w:val="Compact"/>
                    <w:jc w:val="right"/>
                    <w:jc w:val="center"/>
                  </w:pPr>
                  <w:r>
                    <w:rPr>
                      <w:i/>
                      <w:iCs/>
                    </w:rPr>
                    <w:t xml:space="preserve">p</w:t>
                  </w:r>
                </w:p>
              </w:tc>
              <w:tc>
                <w:tcPr/>
                <w:p>
                  <w:pPr>
                    <w:pStyle w:val="Compact"/>
                    <w:jc w:val="right"/>
                    <w:jc w:val="center"/>
                  </w:pPr>
                  <w:r>
                    <w:rPr>
                      <w:i/>
                      <w:iCs/>
                    </w:rPr>
                    <w:t xml:space="preserve">p</w:t>
                  </w:r>
                  <w:r>
                    <w:t xml:space="preserve"> </w:t>
                  </w:r>
                  <w:r>
                    <w:t xml:space="preserve">(FDR)</w:t>
                  </w:r>
                </w:p>
              </w:tc>
              <w:tc>
                <w:tcPr/>
                <w:p>
                  <w:pPr>
                    <w:pStyle w:val="Compact"/>
                    <w:jc w:val="right"/>
                    <w:jc w:val="center"/>
                  </w:pPr>
                  <w:r>
                    <w:rPr>
                      <w:i/>
                      <w:iCs/>
                    </w:rPr>
                    <w:t xml:space="preserve">n</w:t>
                  </w:r>
                </w:p>
              </w:tc>
            </w:tr>
            <w:tr>
              <w:tc>
                <w:tcPr/>
                <w:p>
                  <w:pPr>
                    <w:pStyle w:val="Compact"/>
                    <w:jc w:val="left"/>
                    <w:jc w:val="center"/>
                  </w:pPr>
                  <w:r>
                    <w:t xml:space="preserve">Boston Naming</w:t>
                  </w:r>
                </w:p>
              </w:tc>
              <w:tc>
                <w:tcPr/>
                <w:p>
                  <w:pPr>
                    <w:pStyle w:val="Compact"/>
                    <w:jc w:val="right"/>
                    <w:jc w:val="center"/>
                  </w:pPr>
                  <w:r>
                    <w:t xml:space="preserve">mean accuracy</w:t>
                  </w:r>
                </w:p>
              </w:tc>
              <w:tc>
                <w:tcPr/>
                <w:p>
                  <w:pPr>
                    <w:pStyle w:val="Compact"/>
                    <w:jc w:val="right"/>
                    <w:jc w:val="center"/>
                  </w:pPr>
                  <w:r>
                    <w:t xml:space="preserve">r = .32</w:t>
                  </w:r>
                </w:p>
              </w:tc>
              <w:tc>
                <w:tcPr/>
                <w:p>
                  <w:pPr>
                    <w:pStyle w:val="Compact"/>
                    <w:jc w:val="right"/>
                    <w:jc w:val="center"/>
                  </w:pPr>
                  <w:r>
                    <w:t xml:space="preserve">.012</w:t>
                  </w:r>
                </w:p>
              </w:tc>
              <w:tc>
                <w:tcPr/>
                <w:p>
                  <w:pPr>
                    <w:pStyle w:val="Compact"/>
                    <w:jc w:val="right"/>
                    <w:jc w:val="center"/>
                  </w:pPr>
                  <w:r>
                    <w:t xml:space="preserve">.109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|accuracy difference|</w:t>
                  </w:r>
                </w:p>
              </w:tc>
              <w:tc>
                <w:tcPr/>
                <w:p>
                  <w:pPr>
                    <w:pStyle w:val="Compact"/>
                    <w:jc w:val="right"/>
                    <w:jc w:val="center"/>
                  </w:pPr>
                  <w:r>
                    <w:t xml:space="preserve">r = −.14</w:t>
                  </w:r>
                </w:p>
              </w:tc>
              <w:tc>
                <w:tcPr/>
                <w:p>
                  <w:pPr>
                    <w:pStyle w:val="Compact"/>
                    <w:jc w:val="right"/>
                    <w:jc w:val="center"/>
                  </w:pPr>
                  <w:r>
                    <w:t xml:space="preserve">.270</w:t>
                  </w:r>
                </w:p>
              </w:tc>
              <w:tc>
                <w:tcPr/>
                <w:p>
                  <w:pPr>
                    <w:pStyle w:val="Compact"/>
                    <w:jc w:val="right"/>
                    <w:jc w:val="center"/>
                  </w:pPr>
                  <w:r>
                    <w:t xml:space="preserve">.529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d′ (descriptive)</w:t>
                  </w:r>
                </w:p>
              </w:tc>
              <w:tc>
                <w:tcPr/>
                <w:p>
                  <w:pPr>
                    <w:pStyle w:val="Compact"/>
                    <w:jc w:val="right"/>
                    <w:jc w:val="center"/>
                  </w:pPr>
                  <w:r>
                    <w:t xml:space="preserve">r = .33</w:t>
                  </w:r>
                </w:p>
              </w:tc>
              <w:tc>
                <w:tcPr/>
                <w:p>
                  <w:pPr>
                    <w:pStyle w:val="Compact"/>
                    <w:jc w:val="right"/>
                    <w:jc w:val="center"/>
                  </w:pPr>
                  <w:r>
                    <w:t xml:space="preserve">.009</w:t>
                  </w:r>
                </w:p>
              </w:tc>
              <w:tc>
                <w:tcPr/>
                <w:p>
                  <w:pPr>
                    <w:pStyle w:val="Compact"/>
                    <w:jc w:val="right"/>
                    <w:jc w:val="center"/>
                  </w:pPr>
                  <w:r>
                    <w:t xml:space="preserve">.101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|RT effort difference|</w:t>
                  </w:r>
                </w:p>
              </w:tc>
              <w:tc>
                <w:tcPr/>
                <w:p>
                  <w:pPr>
                    <w:pStyle w:val="Compact"/>
                    <w:jc w:val="right"/>
                    <w:jc w:val="center"/>
                  </w:pPr>
                  <w:r>
                    <w:t xml:space="preserve">r = −.20</w:t>
                  </w:r>
                </w:p>
              </w:tc>
              <w:tc>
                <w:tcPr/>
                <w:p>
                  <w:pPr>
                    <w:pStyle w:val="Compact"/>
                    <w:jc w:val="right"/>
                    <w:jc w:val="center"/>
                  </w:pPr>
                  <w:r>
                    <w:t xml:space="preserve">.121</w:t>
                  </w:r>
                </w:p>
              </w:tc>
              <w:tc>
                <w:tcPr/>
                <w:p>
                  <w:pPr>
                    <w:pStyle w:val="Compact"/>
                    <w:jc w:val="right"/>
                    <w:jc w:val="center"/>
                  </w:pPr>
                  <w:r>
                    <w:t xml:space="preserve">.381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mean RT</w:t>
                  </w:r>
                </w:p>
              </w:tc>
              <w:tc>
                <w:tcPr/>
                <w:p>
                  <w:pPr>
                    <w:pStyle w:val="Compact"/>
                    <w:jc w:val="right"/>
                    <w:jc w:val="center"/>
                  </w:pPr>
                  <w:r>
                    <w:t xml:space="preserve">r = −.17</w:t>
                  </w:r>
                </w:p>
              </w:tc>
              <w:tc>
                <w:tcPr/>
                <w:p>
                  <w:pPr>
                    <w:pStyle w:val="Compact"/>
                    <w:jc w:val="right"/>
                    <w:jc w:val="center"/>
                  </w:pPr>
                  <w:r>
                    <w:t xml:space="preserve">.182</w:t>
                  </w:r>
                </w:p>
              </w:tc>
              <w:tc>
                <w:tcPr/>
                <w:p>
                  <w:pPr>
                    <w:pStyle w:val="Compact"/>
                    <w:jc w:val="right"/>
                    <w:jc w:val="center"/>
                  </w:pPr>
                  <w:r>
                    <w:t xml:space="preserve">.430</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mean accuracy</w:t>
                  </w:r>
                </w:p>
              </w:tc>
              <w:tc>
                <w:tcPr/>
                <w:p>
                  <w:pPr>
                    <w:pStyle w:val="Compact"/>
                    <w:jc w:val="right"/>
                    <w:jc w:val="center"/>
                  </w:pPr>
                  <w:r>
                    <w:t xml:space="preserve">r = .30</w:t>
                  </w:r>
                </w:p>
              </w:tc>
              <w:tc>
                <w:tcPr/>
                <w:p>
                  <w:pPr>
                    <w:pStyle w:val="Compact"/>
                    <w:jc w:val="right"/>
                    <w:jc w:val="center"/>
                  </w:pPr>
                  <w:r>
                    <w:t xml:space="preserve">.015</w:t>
                  </w:r>
                </w:p>
              </w:tc>
              <w:tc>
                <w:tcPr/>
                <w:p>
                  <w:pPr>
                    <w:pStyle w:val="Compact"/>
                    <w:jc w:val="right"/>
                    <w:jc w:val="center"/>
                  </w:pPr>
                  <w:r>
                    <w:t xml:space="preserve">.109</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|accuracy difference|</w:t>
                  </w:r>
                </w:p>
              </w:tc>
              <w:tc>
                <w:tcPr/>
                <w:p>
                  <w:pPr>
                    <w:pStyle w:val="Compact"/>
                    <w:jc w:val="right"/>
                    <w:jc w:val="center"/>
                  </w:pPr>
                  <w:r>
                    <w:t xml:space="preserve">r = .24</w:t>
                  </w:r>
                </w:p>
              </w:tc>
              <w:tc>
                <w:tcPr/>
                <w:p>
                  <w:pPr>
                    <w:pStyle w:val="Compact"/>
                    <w:jc w:val="right"/>
                    <w:jc w:val="center"/>
                  </w:pPr>
                  <w:r>
                    <w:t xml:space="preserve">.054</w:t>
                  </w:r>
                </w:p>
              </w:tc>
              <w:tc>
                <w:tcPr/>
                <w:p>
                  <w:pPr>
                    <w:pStyle w:val="Compact"/>
                    <w:jc w:val="right"/>
                    <w:jc w:val="center"/>
                  </w:pPr>
                  <w:r>
                    <w:t xml:space="preserve">.244</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d′ (descriptive)</w:t>
                  </w:r>
                </w:p>
              </w:tc>
              <w:tc>
                <w:tcPr/>
                <w:p>
                  <w:pPr>
                    <w:pStyle w:val="Compact"/>
                    <w:jc w:val="right"/>
                    <w:jc w:val="center"/>
                  </w:pPr>
                  <w:r>
                    <w:t xml:space="preserve">r = .07</w:t>
                  </w:r>
                </w:p>
              </w:tc>
              <w:tc>
                <w:tcPr/>
                <w:p>
                  <w:pPr>
                    <w:pStyle w:val="Compact"/>
                    <w:jc w:val="right"/>
                    <w:jc w:val="center"/>
                  </w:pPr>
                  <w:r>
                    <w:t xml:space="preserve">.596</w:t>
                  </w:r>
                </w:p>
              </w:tc>
              <w:tc>
                <w:tcPr/>
                <w:p>
                  <w:pPr>
                    <w:pStyle w:val="Compact"/>
                    <w:jc w:val="right"/>
                    <w:jc w:val="center"/>
                  </w:pPr>
                  <w:r>
                    <w:t xml:space="preserve">.902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|RT effort difference|</w:t>
                  </w:r>
                </w:p>
              </w:tc>
              <w:tc>
                <w:tcPr/>
                <w:p>
                  <w:pPr>
                    <w:pStyle w:val="Compact"/>
                    <w:jc w:val="right"/>
                    <w:jc w:val="center"/>
                  </w:pPr>
                  <w:r>
                    <w:t xml:space="preserve">r = −.05</w:t>
                  </w:r>
                </w:p>
              </w:tc>
              <w:tc>
                <w:tcPr/>
                <w:p>
                  <w:pPr>
                    <w:pStyle w:val="Compact"/>
                    <w:jc w:val="right"/>
                    <w:jc w:val="center"/>
                  </w:pPr>
                  <w:r>
                    <w:t xml:space="preserve">.689</w:t>
                  </w:r>
                </w:p>
              </w:tc>
              <w:tc>
                <w:tcPr/>
                <w:p>
                  <w:pPr>
                    <w:pStyle w:val="Compact"/>
                    <w:jc w:val="right"/>
                    <w:jc w:val="center"/>
                  </w:pPr>
                  <w:r>
                    <w:t xml:space="preserve">.915</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mean RT</w:t>
                  </w:r>
                </w:p>
              </w:tc>
              <w:tc>
                <w:tcPr/>
                <w:p>
                  <w:pPr>
                    <w:pStyle w:val="Compact"/>
                    <w:jc w:val="right"/>
                    <w:jc w:val="center"/>
                  </w:pPr>
                  <w:r>
                    <w:t xml:space="preserve">r = −.07</w:t>
                  </w:r>
                </w:p>
              </w:tc>
              <w:tc>
                <w:tcPr/>
                <w:p>
                  <w:pPr>
                    <w:pStyle w:val="Compact"/>
                    <w:jc w:val="right"/>
                    <w:jc w:val="center"/>
                  </w:pPr>
                  <w:r>
                    <w:t xml:space="preserve">.601</w:t>
                  </w:r>
                </w:p>
              </w:tc>
              <w:tc>
                <w:tcPr/>
                <w:p>
                  <w:pPr>
                    <w:pStyle w:val="Compact"/>
                    <w:jc w:val="right"/>
                    <w:jc w:val="center"/>
                  </w:pPr>
                  <w:r>
                    <w:t xml:space="preserve">.902</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mean accuracy</w:t>
                  </w:r>
                </w:p>
              </w:tc>
              <w:tc>
                <w:tcPr/>
                <w:p>
                  <w:pPr>
                    <w:pStyle w:val="Compact"/>
                    <w:jc w:val="right"/>
                    <w:jc w:val="center"/>
                  </w:pPr>
                  <w:r>
                    <w:t xml:space="preserve">r = .02</w:t>
                  </w:r>
                </w:p>
              </w:tc>
              <w:tc>
                <w:tcPr/>
                <w:p>
                  <w:pPr>
                    <w:pStyle w:val="Compact"/>
                    <w:jc w:val="right"/>
                    <w:jc w:val="center"/>
                  </w:pPr>
                  <w:r>
                    <w:t xml:space="preserve">.859</w:t>
                  </w:r>
                </w:p>
              </w:tc>
              <w:tc>
                <w:tcPr/>
                <w:p>
                  <w:pPr>
                    <w:pStyle w:val="Compact"/>
                    <w:jc w:val="right"/>
                    <w:jc w:val="center"/>
                  </w:pPr>
                  <w:r>
                    <w:t xml:space="preserve">.924</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|accuracy difference|</w:t>
                  </w:r>
                </w:p>
              </w:tc>
              <w:tc>
                <w:tcPr/>
                <w:p>
                  <w:pPr>
                    <w:pStyle w:val="Compact"/>
                    <w:jc w:val="right"/>
                    <w:jc w:val="center"/>
                  </w:pPr>
                  <w:r>
                    <w:t xml:space="preserve">r = .19</w:t>
                  </w:r>
                </w:p>
              </w:tc>
              <w:tc>
                <w:tcPr/>
                <w:p>
                  <w:pPr>
                    <w:pStyle w:val="Compact"/>
                    <w:jc w:val="right"/>
                    <w:jc w:val="center"/>
                  </w:pPr>
                  <w:r>
                    <w:t xml:space="preserve">.140</w:t>
                  </w:r>
                </w:p>
              </w:tc>
              <w:tc>
                <w:tcPr/>
                <w:p>
                  <w:pPr>
                    <w:pStyle w:val="Compact"/>
                    <w:jc w:val="right"/>
                    <w:jc w:val="center"/>
                  </w:pPr>
                  <w:r>
                    <w:t xml:space="preserve">.381</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d′ (descriptive)</w:t>
                  </w:r>
                </w:p>
              </w:tc>
              <w:tc>
                <w:tcPr/>
                <w:p>
                  <w:pPr>
                    <w:pStyle w:val="Compact"/>
                    <w:jc w:val="right"/>
                    <w:jc w:val="center"/>
                  </w:pPr>
                  <w:r>
                    <w:t xml:space="preserve">r = −.12</w:t>
                  </w:r>
                </w:p>
              </w:tc>
              <w:tc>
                <w:tcPr/>
                <w:p>
                  <w:pPr>
                    <w:pStyle w:val="Compact"/>
                    <w:jc w:val="right"/>
                    <w:jc w:val="center"/>
                  </w:pPr>
                  <w:r>
                    <w:t xml:space="preserve">.358</w:t>
                  </w:r>
                </w:p>
              </w:tc>
              <w:tc>
                <w:tcPr/>
                <w:p>
                  <w:pPr>
                    <w:pStyle w:val="Compact"/>
                    <w:jc w:val="right"/>
                    <w:jc w:val="center"/>
                  </w:pPr>
                  <w:r>
                    <w:t xml:space="preserve">.668</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|RT effort difference|</w:t>
                  </w:r>
                </w:p>
              </w:tc>
              <w:tc>
                <w:tcPr/>
                <w:p>
                  <w:pPr>
                    <w:pStyle w:val="Compact"/>
                    <w:jc w:val="right"/>
                    <w:jc w:val="center"/>
                  </w:pPr>
                  <w:r>
                    <w:t xml:space="preserve">r = .04</w:t>
                  </w:r>
                </w:p>
              </w:tc>
              <w:tc>
                <w:tcPr/>
                <w:p>
                  <w:pPr>
                    <w:pStyle w:val="Compact"/>
                    <w:jc w:val="right"/>
                    <w:jc w:val="center"/>
                  </w:pPr>
                  <w:r>
                    <w:t xml:space="preserve">.732</w:t>
                  </w:r>
                </w:p>
              </w:tc>
              <w:tc>
                <w:tcPr/>
                <w:p>
                  <w:pPr>
                    <w:pStyle w:val="Compact"/>
                    <w:jc w:val="right"/>
                    <w:jc w:val="center"/>
                  </w:pPr>
                  <w:r>
                    <w:t xml:space="preserve">.915</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mean RT</w:t>
                  </w:r>
                </w:p>
              </w:tc>
              <w:tc>
                <w:tcPr/>
                <w:p>
                  <w:pPr>
                    <w:pStyle w:val="Compact"/>
                    <w:jc w:val="right"/>
                    <w:jc w:val="center"/>
                  </w:pPr>
                  <w:r>
                    <w:t xml:space="preserve">r = .33</w:t>
                  </w:r>
                </w:p>
              </w:tc>
              <w:tc>
                <w:tcPr/>
                <w:p>
                  <w:pPr>
                    <w:pStyle w:val="Compact"/>
                    <w:jc w:val="right"/>
                    <w:jc w:val="center"/>
                  </w:pPr>
                  <w:r>
                    <w:t xml:space="preserve">.008</w:t>
                  </w:r>
                </w:p>
              </w:tc>
              <w:tc>
                <w:tcPr/>
                <w:p>
                  <w:pPr>
                    <w:pStyle w:val="Compact"/>
                    <w:jc w:val="right"/>
                    <w:jc w:val="center"/>
                  </w:pPr>
                  <w:r>
                    <w:t xml:space="preserve">.101</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.834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|accuracy difference|</w:t>
                  </w:r>
                </w:p>
              </w:tc>
              <w:tc>
                <w:tcPr/>
                <w:p>
                  <w:pPr>
                    <w:pStyle w:val="Compact"/>
                    <w:jc w:val="right"/>
                    <w:jc w:val="center"/>
                  </w:pPr>
                  <w:r>
                    <w:t xml:space="preserve">r = .20</w:t>
                  </w:r>
                </w:p>
              </w:tc>
              <w:tc>
                <w:tcPr/>
                <w:p>
                  <w:pPr>
                    <w:pStyle w:val="Compact"/>
                    <w:jc w:val="right"/>
                    <w:jc w:val="center"/>
                  </w:pPr>
                  <w:r>
                    <w:t xml:space="preserve">.113</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d′ (descriptive)</w:t>
                  </w:r>
                </w:p>
              </w:tc>
              <w:tc>
                <w:tcPr/>
                <w:p>
                  <w:pPr>
                    <w:pStyle w:val="Compact"/>
                    <w:jc w:val="right"/>
                    <w:jc w:val="center"/>
                  </w:pPr>
                  <w:r>
                    <w:t xml:space="preserve">r = .01</w:t>
                  </w:r>
                </w:p>
              </w:tc>
              <w:tc>
                <w:tcPr/>
                <w:p>
                  <w:pPr>
                    <w:pStyle w:val="Compact"/>
                    <w:jc w:val="right"/>
                    <w:jc w:val="center"/>
                  </w:pPr>
                  <w:r>
                    <w:t xml:space="preserve">.931</w:t>
                  </w:r>
                </w:p>
              </w:tc>
              <w:tc>
                <w:tcPr/>
                <w:p>
                  <w:pPr>
                    <w:pStyle w:val="Compact"/>
                    <w:jc w:val="right"/>
                    <w:jc w:val="center"/>
                  </w:pPr>
                  <w:r>
                    <w:t xml:space="preserve">.952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|RT effort difference|</w:t>
                  </w:r>
                </w:p>
              </w:tc>
              <w:tc>
                <w:tcPr/>
                <w:p>
                  <w:pPr>
                    <w:pStyle w:val="Compact"/>
                    <w:jc w:val="right"/>
                    <w:jc w:val="center"/>
                  </w:pPr>
                  <w:r>
                    <w:t xml:space="preserve">r = −.02</w:t>
                  </w:r>
                </w:p>
              </w:tc>
              <w:tc>
                <w:tcPr/>
                <w:p>
                  <w:pPr>
                    <w:pStyle w:val="Compact"/>
                    <w:jc w:val="right"/>
                    <w:jc w:val="center"/>
                  </w:pPr>
                  <w:r>
                    <w:t xml:space="preserve">.864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.883</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.844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|accuracy difference|</w:t>
                  </w:r>
                </w:p>
              </w:tc>
              <w:tc>
                <w:tcPr/>
                <w:p>
                  <w:pPr>
                    <w:pStyle w:val="Compact"/>
                    <w:jc w:val="right"/>
                    <w:jc w:val="center"/>
                  </w:pPr>
                  <w:r>
                    <w:t xml:space="preserve">r = .07</w:t>
                  </w:r>
                </w:p>
              </w:tc>
              <w:tc>
                <w:tcPr/>
                <w:p>
                  <w:pPr>
                    <w:pStyle w:val="Compact"/>
                    <w:jc w:val="right"/>
                    <w:jc w:val="center"/>
                  </w:pPr>
                  <w:r>
                    <w:t xml:space="preserve">.569</w:t>
                  </w:r>
                </w:p>
              </w:tc>
              <w:tc>
                <w:tcPr/>
                <w:p>
                  <w:pPr>
                    <w:pStyle w:val="Compact"/>
                    <w:jc w:val="right"/>
                    <w:jc w:val="center"/>
                  </w:pPr>
                  <w:r>
                    <w:t xml:space="preserve">.902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d′ (descriptive)</w:t>
                  </w:r>
                </w:p>
              </w:tc>
              <w:tc>
                <w:tcPr/>
                <w:p>
                  <w:pPr>
                    <w:pStyle w:val="Compact"/>
                    <w:jc w:val="right"/>
                    <w:jc w:val="center"/>
                  </w:pPr>
                  <w:r>
                    <w:t xml:space="preserve">r = −.27</w:t>
                  </w:r>
                </w:p>
              </w:tc>
              <w:tc>
                <w:tcPr/>
                <w:p>
                  <w:pPr>
                    <w:pStyle w:val="Compact"/>
                    <w:jc w:val="right"/>
                    <w:jc w:val="center"/>
                  </w:pPr>
                  <w:r>
                    <w:t xml:space="preserve">.034</w:t>
                  </w:r>
                </w:p>
              </w:tc>
              <w:tc>
                <w:tcPr/>
                <w:p>
                  <w:pPr>
                    <w:pStyle w:val="Compact"/>
                    <w:jc w:val="right"/>
                    <w:jc w:val="center"/>
                  </w:pPr>
                  <w:r>
                    <w:t xml:space="preserve">.203</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|RT effort difference|</w:t>
                  </w:r>
                </w:p>
              </w:tc>
              <w:tc>
                <w:tcPr/>
                <w:p>
                  <w:pPr>
                    <w:pStyle w:val="Compact"/>
                    <w:jc w:val="right"/>
                    <w:jc w:val="center"/>
                  </w:pPr>
                  <w:r>
                    <w:t xml:space="preserve">r = .19</w:t>
                  </w:r>
                </w:p>
              </w:tc>
              <w:tc>
                <w:tcPr/>
                <w:p>
                  <w:pPr>
                    <w:pStyle w:val="Compact"/>
                    <w:jc w:val="right"/>
                    <w:jc w:val="center"/>
                  </w:pPr>
                  <w:r>
                    <w:t xml:space="preserve">.134</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RT</w:t>
                  </w:r>
                </w:p>
              </w:tc>
              <w:tc>
                <w:tcPr/>
                <w:p>
                  <w:pPr>
                    <w:pStyle w:val="Compact"/>
                    <w:jc w:val="right"/>
                    <w:jc w:val="center"/>
                  </w:pPr>
                  <w:r>
                    <w:t xml:space="preserve">r = .19</w:t>
                  </w:r>
                </w:p>
              </w:tc>
              <w:tc>
                <w:tcPr/>
                <w:p>
                  <w:pPr>
                    <w:pStyle w:val="Compact"/>
                    <w:jc w:val="right"/>
                    <w:jc w:val="center"/>
                  </w:pPr>
                  <w:r>
                    <w:t xml:space="preserve">.144</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mean accuracy</w:t>
                  </w:r>
                </w:p>
              </w:tc>
              <w:tc>
                <w:tcPr/>
                <w:p>
                  <w:pPr>
                    <w:pStyle w:val="Compact"/>
                    <w:jc w:val="right"/>
                    <w:jc w:val="center"/>
                  </w:pPr>
                  <w:r>
                    <w:t xml:space="preserve">r = .01</w:t>
                  </w:r>
                </w:p>
              </w:tc>
              <w:tc>
                <w:tcPr/>
                <w:p>
                  <w:pPr>
                    <w:pStyle w:val="Compact"/>
                    <w:jc w:val="right"/>
                    <w:jc w:val="center"/>
                  </w:pPr>
                  <w:r>
                    <w:t xml:space="preserve">.964</w:t>
                  </w:r>
                </w:p>
              </w:tc>
              <w:tc>
                <w:tcPr/>
                <w:p>
                  <w:pPr>
                    <w:pStyle w:val="Compact"/>
                    <w:jc w:val="right"/>
                    <w:jc w:val="center"/>
                  </w:pPr>
                  <w:r>
                    <w:t xml:space="preserve">.964</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|accuracy difference|</w:t>
                  </w:r>
                </w:p>
              </w:tc>
              <w:tc>
                <w:tcPr/>
                <w:p>
                  <w:pPr>
                    <w:pStyle w:val="Compact"/>
                    <w:jc w:val="right"/>
                    <w:jc w:val="center"/>
                  </w:pPr>
                  <w:r>
                    <w:t xml:space="preserve">r = .18</w:t>
                  </w:r>
                </w:p>
              </w:tc>
              <w:tc>
                <w:tcPr/>
                <w:p>
                  <w:pPr>
                    <w:pStyle w:val="Compact"/>
                    <w:jc w:val="right"/>
                    <w:jc w:val="center"/>
                  </w:pPr>
                  <w:r>
                    <w:t xml:space="preserve">.164</w:t>
                  </w:r>
                </w:p>
              </w:tc>
              <w:tc>
                <w:tcPr/>
                <w:p>
                  <w:pPr>
                    <w:pStyle w:val="Compact"/>
                    <w:jc w:val="right"/>
                    <w:jc w:val="center"/>
                  </w:pPr>
                  <w:r>
                    <w:t xml:space="preserve">.409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d′ (descriptive)</w:t>
                  </w:r>
                </w:p>
              </w:tc>
              <w:tc>
                <w:tcPr/>
                <w:p>
                  <w:pPr>
                    <w:pStyle w:val="Compact"/>
                    <w:jc w:val="right"/>
                    <w:jc w:val="center"/>
                  </w:pPr>
                  <w:r>
                    <w:t xml:space="preserve">r = .10</w:t>
                  </w:r>
                </w:p>
              </w:tc>
              <w:tc>
                <w:tcPr/>
                <w:p>
                  <w:pPr>
                    <w:pStyle w:val="Compact"/>
                    <w:jc w:val="right"/>
                    <w:jc w:val="center"/>
                  </w:pPr>
                  <w:r>
                    <w:t xml:space="preserve">.449</w:t>
                  </w:r>
                </w:p>
              </w:tc>
              <w:tc>
                <w:tcPr/>
                <w:p>
                  <w:pPr>
                    <w:pStyle w:val="Compact"/>
                    <w:jc w:val="right"/>
                    <w:jc w:val="center"/>
                  </w:pPr>
                  <w:r>
                    <w:t xml:space="preserve">.749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.658</w:t>
                  </w:r>
                </w:p>
              </w:tc>
              <w:tc>
                <w:tcPr/>
                <w:p>
                  <w:pPr>
                    <w:pStyle w:val="Compact"/>
                    <w:jc w:val="right"/>
                    <w:jc w:val="center"/>
                  </w:pPr>
                  <w:r>
                    <w:t xml:space="preserve">.915</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mean RT</w:t>
                  </w:r>
                </w:p>
              </w:tc>
              <w:tc>
                <w:tcPr/>
                <w:p>
                  <w:pPr>
                    <w:pStyle w:val="Compact"/>
                    <w:jc w:val="right"/>
                    <w:jc w:val="center"/>
                  </w:pPr>
                  <w:r>
                    <w:t xml:space="preserve">r = −.16</w:t>
                  </w:r>
                </w:p>
              </w:tc>
              <w:tc>
                <w:tcPr/>
                <w:p>
                  <w:pPr>
                    <w:pStyle w:val="Compact"/>
                    <w:jc w:val="right"/>
                    <w:jc w:val="center"/>
                  </w:pPr>
                  <w:r>
                    <w:t xml:space="preserve">.226</w:t>
                  </w:r>
                </w:p>
              </w:tc>
              <w:tc>
                <w:tcPr/>
                <w:p>
                  <w:pPr>
                    <w:pStyle w:val="Compact"/>
                    <w:jc w:val="right"/>
                    <w:jc w:val="center"/>
                  </w:pPr>
                  <w:r>
                    <w:t xml:space="preserve">.484</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mean accuracy</w:t>
                  </w:r>
                </w:p>
              </w:tc>
              <w:tc>
                <w:tcPr/>
                <w:p>
                  <w:pPr>
                    <w:pStyle w:val="Compact"/>
                    <w:jc w:val="right"/>
                    <w:jc w:val="center"/>
                  </w:pPr>
                  <w:r>
                    <w:t xml:space="preserve">r = .37</w:t>
                  </w:r>
                </w:p>
              </w:tc>
              <w:tc>
                <w:tcPr/>
                <w:p>
                  <w:pPr>
                    <w:pStyle w:val="Compact"/>
                    <w:jc w:val="right"/>
                    <w:jc w:val="center"/>
                  </w:pPr>
                  <w:r>
                    <w:t xml:space="preserve">.003</w:t>
                  </w:r>
                </w:p>
              </w:tc>
              <w:tc>
                <w:tcPr/>
                <w:p>
                  <w:pPr>
                    <w:pStyle w:val="Compact"/>
                    <w:jc w:val="right"/>
                    <w:jc w:val="center"/>
                  </w:pPr>
                  <w:r>
                    <w:t xml:space="preserve">.095</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|accuracy difference|</w:t>
                  </w:r>
                </w:p>
              </w:tc>
              <w:tc>
                <w:tcPr/>
                <w:p>
                  <w:pPr>
                    <w:pStyle w:val="Compact"/>
                    <w:jc w:val="right"/>
                    <w:jc w:val="center"/>
                  </w:pPr>
                  <w:r>
                    <w:t xml:space="preserve">r = −.03</w:t>
                  </w:r>
                </w:p>
              </w:tc>
              <w:tc>
                <w:tcPr/>
                <w:p>
                  <w:pPr>
                    <w:pStyle w:val="Compact"/>
                    <w:jc w:val="right"/>
                    <w:jc w:val="center"/>
                  </w:pPr>
                  <w:r>
                    <w:t xml:space="preserve">.816</w:t>
                  </w:r>
                </w:p>
              </w:tc>
              <w:tc>
                <w:tcPr/>
                <w:p>
                  <w:pPr>
                    <w:pStyle w:val="Compact"/>
                    <w:jc w:val="right"/>
                    <w:jc w:val="center"/>
                  </w:pPr>
                  <w:r>
                    <w:t xml:space="preserve">.924</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d′ (descriptive)</w:t>
                  </w:r>
                </w:p>
              </w:tc>
              <w:tc>
                <w:tcPr/>
                <w:p>
                  <w:pPr>
                    <w:pStyle w:val="Compact"/>
                    <w:jc w:val="right"/>
                    <w:jc w:val="center"/>
                  </w:pPr>
                  <w:r>
                    <w:t xml:space="preserve">r = .26</w:t>
                  </w:r>
                </w:p>
              </w:tc>
              <w:tc>
                <w:tcPr/>
                <w:p>
                  <w:pPr>
                    <w:pStyle w:val="Compact"/>
                    <w:jc w:val="right"/>
                    <w:jc w:val="center"/>
                  </w:pPr>
                  <w:r>
                    <w:t xml:space="preserve">.038</w:t>
                  </w:r>
                </w:p>
              </w:tc>
              <w:tc>
                <w:tcPr/>
                <w:p>
                  <w:pPr>
                    <w:pStyle w:val="Compact"/>
                    <w:jc w:val="right"/>
                    <w:jc w:val="center"/>
                  </w:pPr>
                  <w:r>
                    <w:t xml:space="preserve">.203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|RT effort difference|</w:t>
                  </w:r>
                </w:p>
              </w:tc>
              <w:tc>
                <w:tcPr/>
                <w:p>
                  <w:pPr>
                    <w:pStyle w:val="Compact"/>
                    <w:jc w:val="right"/>
                    <w:jc w:val="center"/>
                  </w:pPr>
                  <w:r>
                    <w:t xml:space="preserve">r = −.26</w:t>
                  </w:r>
                </w:p>
              </w:tc>
              <w:tc>
                <w:tcPr/>
                <w:p>
                  <w:pPr>
                    <w:pStyle w:val="Compact"/>
                    <w:jc w:val="right"/>
                    <w:jc w:val="center"/>
                  </w:pPr>
                  <w:r>
                    <w:t xml:space="preserve">.041</w:t>
                  </w:r>
                </w:p>
              </w:tc>
              <w:tc>
                <w:tcPr/>
                <w:p>
                  <w:pPr>
                    <w:pStyle w:val="Compact"/>
                    <w:jc w:val="right"/>
                    <w:jc w:val="center"/>
                  </w:pPr>
                  <w:r>
                    <w:t xml:space="preserve">.203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mean RT</w:t>
                  </w:r>
                </w:p>
              </w:tc>
              <w:tc>
                <w:tcPr/>
                <w:p>
                  <w:pPr>
                    <w:pStyle w:val="Compact"/>
                    <w:jc w:val="right"/>
                    <w:jc w:val="center"/>
                  </w:pPr>
                  <w:r>
                    <w:t xml:space="preserve">r = −.36</w:t>
                  </w:r>
                </w:p>
              </w:tc>
              <w:tc>
                <w:tcPr/>
                <w:p>
                  <w:pPr>
                    <w:pStyle w:val="Compact"/>
                    <w:jc w:val="right"/>
                    <w:jc w:val="center"/>
                  </w:pPr>
                  <w:r>
                    <w:t xml:space="preserve">.004</w:t>
                  </w:r>
                </w:p>
              </w:tc>
              <w:tc>
                <w:tcPr/>
                <w:p>
                  <w:pPr>
                    <w:pStyle w:val="Compact"/>
                    <w:jc w:val="right"/>
                    <w:jc w:val="center"/>
                  </w:pPr>
                  <w:r>
                    <w:t xml:space="preserve">.095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accuracy</w:t>
                  </w:r>
                </w:p>
              </w:tc>
              <w:tc>
                <w:tcPr/>
                <w:p>
                  <w:pPr>
                    <w:pStyle w:val="Compact"/>
                    <w:jc w:val="right"/>
                    <w:jc w:val="center"/>
                  </w:pPr>
                  <w:r>
                    <w:t xml:space="preserve">r = −.23</w:t>
                  </w:r>
                </w:p>
              </w:tc>
              <w:tc>
                <w:tcPr/>
                <w:p>
                  <w:pPr>
                    <w:pStyle w:val="Compact"/>
                    <w:jc w:val="right"/>
                    <w:jc w:val="center"/>
                  </w:pPr>
                  <w:r>
                    <w:t xml:space="preserve">.074</w:t>
                  </w:r>
                </w:p>
              </w:tc>
              <w:tc>
                <w:tcPr/>
                <w:p>
                  <w:pPr>
                    <w:pStyle w:val="Compact"/>
                    <w:jc w:val="right"/>
                    <w:jc w:val="center"/>
                  </w:pPr>
                  <w:r>
                    <w:t xml:space="preserve">.302</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|accuracy difference|</w:t>
                  </w:r>
                </w:p>
              </w:tc>
              <w:tc>
                <w:tcPr/>
                <w:p>
                  <w:pPr>
                    <w:pStyle w:val="Compact"/>
                    <w:jc w:val="right"/>
                    <w:jc w:val="center"/>
                  </w:pPr>
                  <w:r>
                    <w:t xml:space="preserve">r = −.05</w:t>
                  </w:r>
                </w:p>
              </w:tc>
              <w:tc>
                <w:tcPr/>
                <w:p>
                  <w:pPr>
                    <w:pStyle w:val="Compact"/>
                    <w:jc w:val="right"/>
                    <w:jc w:val="center"/>
                  </w:pPr>
                  <w:r>
                    <w:t xml:space="preserve">.726</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d′ (descriptive)</w:t>
                  </w:r>
                </w:p>
              </w:tc>
              <w:tc>
                <w:tcPr/>
                <w:p>
                  <w:pPr>
                    <w:pStyle w:val="Compact"/>
                    <w:jc w:val="right"/>
                    <w:jc w:val="center"/>
                  </w:pPr>
                  <w:r>
                    <w:t xml:space="preserve">r = .20</w:t>
                  </w:r>
                </w:p>
              </w:tc>
              <w:tc>
                <w:tcPr/>
                <w:p>
                  <w:pPr>
                    <w:pStyle w:val="Compact"/>
                    <w:jc w:val="right"/>
                    <w:jc w:val="center"/>
                  </w:pPr>
                  <w:r>
                    <w:t xml:space="preserve">.117</w:t>
                  </w:r>
                </w:p>
              </w:tc>
              <w:tc>
                <w:tcPr/>
                <w:p>
                  <w:pPr>
                    <w:pStyle w:val="Compact"/>
                    <w:jc w:val="right"/>
                    <w:jc w:val="center"/>
                  </w:pPr>
                  <w:r>
                    <w:t xml:space="preserve">.381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|RT effort difference|</w:t>
                  </w:r>
                </w:p>
              </w:tc>
              <w:tc>
                <w:tcPr/>
                <w:p>
                  <w:pPr>
                    <w:pStyle w:val="Compact"/>
                    <w:jc w:val="right"/>
                    <w:jc w:val="center"/>
                  </w:pPr>
                  <w:r>
                    <w:t xml:space="preserve">r = −.11</w:t>
                  </w:r>
                </w:p>
              </w:tc>
              <w:tc>
                <w:tcPr/>
                <w:p>
                  <w:pPr>
                    <w:pStyle w:val="Compact"/>
                    <w:jc w:val="right"/>
                    <w:jc w:val="center"/>
                  </w:pPr>
                  <w:r>
                    <w:t xml:space="preserve">.371</w:t>
                  </w:r>
                </w:p>
              </w:tc>
              <w:tc>
                <w:tcPr/>
                <w:p>
                  <w:pPr>
                    <w:pStyle w:val="Compact"/>
                    <w:jc w:val="right"/>
                    <w:jc w:val="center"/>
                  </w:pPr>
                  <w:r>
                    <w:t xml:space="preserve">.668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RT</w:t>
                  </w:r>
                </w:p>
              </w:tc>
              <w:tc>
                <w:tcPr/>
                <w:p>
                  <w:pPr>
                    <w:pStyle w:val="Compact"/>
                    <w:jc w:val="right"/>
                    <w:jc w:val="center"/>
                  </w:pPr>
                  <w:r>
                    <w:t xml:space="preserve">r = .05</w:t>
                  </w:r>
                </w:p>
              </w:tc>
              <w:tc>
                <w:tcPr/>
                <w:p>
                  <w:pPr>
                    <w:pStyle w:val="Compact"/>
                    <w:jc w:val="right"/>
                    <w:jc w:val="center"/>
                  </w:pPr>
                  <w:r>
                    <w:t xml:space="preserve">.725</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accuracy</w:t>
                  </w:r>
                </w:p>
              </w:tc>
              <w:tc>
                <w:tcPr/>
                <w:p>
                  <w:pPr>
                    <w:pStyle w:val="Compact"/>
                    <w:jc w:val="right"/>
                    <w:jc w:val="center"/>
                  </w:pPr>
                  <w:r>
                    <w:t xml:space="preserve">r = −.14</w:t>
                  </w:r>
                </w:p>
              </w:tc>
              <w:tc>
                <w:tcPr/>
                <w:p>
                  <w:pPr>
                    <w:pStyle w:val="Compact"/>
                    <w:jc w:val="right"/>
                    <w:jc w:val="center"/>
                  </w:pPr>
                  <w:r>
                    <w:t xml:space="preserve">.268</w:t>
                  </w:r>
                </w:p>
              </w:tc>
              <w:tc>
                <w:tcPr/>
                <w:p>
                  <w:pPr>
                    <w:pStyle w:val="Compact"/>
                    <w:jc w:val="right"/>
                    <w:jc w:val="center"/>
                  </w:pPr>
                  <w:r>
                    <w:t xml:space="preserve">.529</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|accuracy difference|</w:t>
                  </w:r>
                </w:p>
              </w:tc>
              <w:tc>
                <w:tcPr/>
                <w:p>
                  <w:pPr>
                    <w:pStyle w:val="Compact"/>
                    <w:jc w:val="right"/>
                    <w:jc w:val="center"/>
                  </w:pPr>
                  <w:r>
                    <w:t xml:space="preserve">r = .10</w:t>
                  </w:r>
                </w:p>
              </w:tc>
              <w:tc>
                <w:tcPr/>
                <w:p>
                  <w:pPr>
                    <w:pStyle w:val="Compact"/>
                    <w:jc w:val="right"/>
                    <w:jc w:val="center"/>
                  </w:pPr>
                  <w:r>
                    <w:t xml:space="preserve">.423</w:t>
                  </w:r>
                </w:p>
              </w:tc>
              <w:tc>
                <w:tcPr/>
                <w:p>
                  <w:pPr>
                    <w:pStyle w:val="Compact"/>
                    <w:jc w:val="right"/>
                    <w:jc w:val="center"/>
                  </w:pPr>
                  <w:r>
                    <w:t xml:space="preserve">.732</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d′ (descriptive)</w:t>
                  </w:r>
                </w:p>
              </w:tc>
              <w:tc>
                <w:tcPr/>
                <w:p>
                  <w:pPr>
                    <w:pStyle w:val="Compact"/>
                    <w:jc w:val="right"/>
                    <w:jc w:val="center"/>
                  </w:pPr>
                  <w:r>
                    <w:t xml:space="preserve">r = .16</w:t>
                  </w:r>
                </w:p>
              </w:tc>
              <w:tc>
                <w:tcPr/>
                <w:p>
                  <w:pPr>
                    <w:pStyle w:val="Compact"/>
                    <w:jc w:val="right"/>
                    <w:jc w:val="center"/>
                  </w:pPr>
                  <w:r>
                    <w:t xml:space="preserve">.197</w:t>
                  </w:r>
                </w:p>
              </w:tc>
              <w:tc>
                <w:tcPr/>
                <w:p>
                  <w:pPr>
                    <w:pStyle w:val="Compact"/>
                    <w:jc w:val="right"/>
                    <w:jc w:val="center"/>
                  </w:pPr>
                  <w:r>
                    <w:t xml:space="preserve">.444</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.668</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.850</w:t>
                  </w:r>
                </w:p>
              </w:tc>
              <w:tc>
                <w:tcPr/>
                <w:p>
                  <w:pPr>
                    <w:pStyle w:val="Compact"/>
                    <w:jc w:val="right"/>
                    <w:jc w:val="center"/>
                  </w:pPr>
                  <w:r>
                    <w:t xml:space="preserve">.924</w:t>
                  </w:r>
                </w:p>
              </w:tc>
              <w:tc>
                <w:tcPr/>
                <w:p>
                  <w:pPr>
                    <w:pStyle w:val="Compact"/>
                    <w:jc w:val="right"/>
                    <w:jc w:val="center"/>
                  </w:pPr>
                  <w:r>
                    <w:t xml:space="preserve">63</w:t>
                  </w:r>
                </w:p>
              </w:tc>
            </w:tr>
            <w:tr>
              <w:tc>
                <w:tcPr/>
                <w:p>
                  <w:pPr>
                    <w:pStyle w:val="Compact"/>
                    <w:jc w:val="left"/>
                    <w:jc w:val="center"/>
                  </w:pPr>
                  <w:r>
                    <w:t xml:space="preserve">Boston Naming</w:t>
                  </w:r>
                </w:p>
              </w:tc>
              <w:tc>
                <w:tcPr/>
                <w:p>
                  <w:pPr>
                    <w:pStyle w:val="Compact"/>
                    <w:jc w:val="right"/>
                    <w:jc w:val="center"/>
                  </w:pPr>
                  <w:r>
                    <w:t xml:space="preserve">subject-level boundary (M4 random intercept)</w:t>
                  </w:r>
                </w:p>
              </w:tc>
              <w:tc>
                <w:tcPr/>
                <w:p>
                  <w:pPr>
                    <w:pStyle w:val="Compact"/>
                    <w:jc w:val="right"/>
                    <w:jc w:val="center"/>
                  </w:pPr>
                  <w:r>
                    <w:t xml:space="preserve">r = −.04</w:t>
                  </w:r>
                </w:p>
              </w:tc>
              <w:tc>
                <w:tcPr/>
                <w:p>
                  <w:pPr>
                    <w:pStyle w:val="Compact"/>
                    <w:jc w:val="right"/>
                    <w:jc w:val="center"/>
                  </w:pPr>
                  <w:r>
                    <w:t xml:space="preserve">.771</w:t>
                  </w:r>
                </w:p>
              </w:tc>
              <w:tc>
                <w:tcPr/>
                <w:p>
                  <w:pPr>
                    <w:pStyle w:val="Compact"/>
                    <w:jc w:val="right"/>
                    <w:jc w:val="center"/>
                  </w:pPr>
                  <w:r>
                    <w:t xml:space="preserve">.952</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drift (M4 random intercept)</w:t>
                  </w:r>
                </w:p>
              </w:tc>
              <w:tc>
                <w:tcPr/>
                <w:p>
                  <w:pPr>
                    <w:pStyle w:val="Compact"/>
                    <w:jc w:val="right"/>
                    <w:jc w:val="center"/>
                  </w:pPr>
                  <w:r>
                    <w:t xml:space="preserve">r = .08</w:t>
                  </w:r>
                </w:p>
              </w:tc>
              <w:tc>
                <w:tcPr/>
                <w:p>
                  <w:pPr>
                    <w:pStyle w:val="Compact"/>
                    <w:jc w:val="right"/>
                    <w:jc w:val="center"/>
                  </w:pPr>
                  <w:r>
                    <w:t xml:space="preserve">.525</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.522</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subject-level boundary (M4 random intercept)</w:t>
                  </w:r>
                </w:p>
              </w:tc>
              <w:tc>
                <w:tcPr/>
                <w:p>
                  <w:pPr>
                    <w:pStyle w:val="Compact"/>
                    <w:jc w:val="right"/>
                    <w:jc w:val="center"/>
                  </w:pPr>
                  <w:r>
                    <w:t xml:space="preserve">r = .02</w:t>
                  </w:r>
                </w:p>
              </w:tc>
              <w:tc>
                <w:tcPr/>
                <w:p>
                  <w:pPr>
                    <w:pStyle w:val="Compact"/>
                    <w:jc w:val="right"/>
                    <w:jc w:val="center"/>
                  </w:pPr>
                  <w:r>
                    <w:t xml:space="preserve">.887</w:t>
                  </w:r>
                </w:p>
              </w:tc>
              <w:tc>
                <w:tcPr/>
                <w:p>
                  <w:pPr>
                    <w:pStyle w:val="Compact"/>
                    <w:jc w:val="right"/>
                    <w:jc w:val="center"/>
                  </w:pPr>
                  <w:r>
                    <w:t xml:space="preserve">.968</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.181</w:t>
                  </w:r>
                </w:p>
              </w:tc>
              <w:tc>
                <w:tcPr/>
                <w:p>
                  <w:pPr>
                    <w:pStyle w:val="Compact"/>
                    <w:jc w:val="right"/>
                    <w:jc w:val="center"/>
                  </w:pPr>
                  <w:r>
                    <w:t xml:space="preserve">.562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starting point (M4 random intercept)</w:t>
                  </w:r>
                </w:p>
              </w:tc>
              <w:tc>
                <w:tcPr/>
                <w:p>
                  <w:pPr>
                    <w:pStyle w:val="Compact"/>
                    <w:jc w:val="right"/>
                    <w:jc w:val="center"/>
                  </w:pPr>
                  <w:r>
                    <w:t xml:space="preserve">r = .10</w:t>
                  </w:r>
                </w:p>
              </w:tc>
              <w:tc>
                <w:tcPr/>
                <w:p>
                  <w:pPr>
                    <w:pStyle w:val="Compact"/>
                    <w:jc w:val="right"/>
                    <w:jc w:val="center"/>
                  </w:pPr>
                  <w:r>
                    <w:t xml:space="preserve">.451</w:t>
                  </w:r>
                </w:p>
              </w:tc>
              <w:tc>
                <w:tcPr/>
                <w:p>
                  <w:pPr>
                    <w:pStyle w:val="Compact"/>
                    <w:jc w:val="right"/>
                    <w:jc w:val="center"/>
                  </w:pPr>
                  <w:r>
                    <w:t xml:space="preserve">.751</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subject-level boundary (M4 random intercept)</w:t>
                  </w:r>
                </w:p>
              </w:tc>
              <w:tc>
                <w:tcPr/>
                <w:p>
                  <w:pPr>
                    <w:pStyle w:val="Compact"/>
                    <w:jc w:val="right"/>
                    <w:jc w:val="center"/>
                  </w:pPr>
                  <w:r>
                    <w:t xml:space="preserve">r = .35</w:t>
                  </w:r>
                </w:p>
              </w:tc>
              <w:tc>
                <w:tcPr/>
                <w:p>
                  <w:pPr>
                    <w:pStyle w:val="Compact"/>
                    <w:jc w:val="right"/>
                    <w:jc w:val="center"/>
                  </w:pPr>
                  <w:r>
                    <w:t xml:space="preserve">.006</w:t>
                  </w:r>
                </w:p>
              </w:tc>
              <w:tc>
                <w:tcPr/>
                <w:p>
                  <w:pPr>
                    <w:pStyle w:val="Compact"/>
                    <w:jc w:val="right"/>
                    <w:jc w:val="center"/>
                  </w:pPr>
                  <w:r>
                    <w:t xml:space="preserve">.149</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.187</w:t>
                  </w:r>
                </w:p>
              </w:tc>
              <w:tc>
                <w:tcPr/>
                <w:p>
                  <w:pPr>
                    <w:pStyle w:val="Compact"/>
                    <w:jc w:val="right"/>
                    <w:jc w:val="center"/>
                  </w:pPr>
                  <w:r>
                    <w:t xml:space="preserve">.562</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starting point (M4 random intercept)</w:t>
                  </w:r>
                </w:p>
              </w:tc>
              <w:tc>
                <w:tcPr/>
                <w:p>
                  <w:pPr>
                    <w:pStyle w:val="Compact"/>
                    <w:jc w:val="right"/>
                    <w:jc w:val="center"/>
                  </w:pPr>
                  <w:r>
                    <w:t xml:space="preserve">r = −.22</w:t>
                  </w:r>
                </w:p>
              </w:tc>
              <w:tc>
                <w:tcPr/>
                <w:p>
                  <w:pPr>
                    <w:pStyle w:val="Compact"/>
                    <w:jc w:val="right"/>
                    <w:jc w:val="center"/>
                  </w:pPr>
                  <w:r>
                    <w:t xml:space="preserve">.086</w:t>
                  </w:r>
                </w:p>
              </w:tc>
              <w:tc>
                <w:tcPr/>
                <w:p>
                  <w:pPr>
                    <w:pStyle w:val="Compact"/>
                    <w:jc w:val="right"/>
                    <w:jc w:val="center"/>
                  </w:pPr>
                  <w:r>
                    <w:t xml:space="preserve">.562</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.968</w:t>
                  </w:r>
                </w:p>
              </w:tc>
              <w:tc>
                <w:tcPr/>
                <w:p>
                  <w:pPr>
                    <w:pStyle w:val="Compact"/>
                    <w:jc w:val="right"/>
                    <w:jc w:val="center"/>
                  </w:pPr>
                  <w:r>
                    <w:t xml:space="preserve">.968</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drift (M4 random intercept)</w:t>
                  </w:r>
                </w:p>
              </w:tc>
              <w:tc>
                <w:tcPr/>
                <w:p>
                  <w:pPr>
                    <w:pStyle w:val="Compact"/>
                    <w:jc w:val="right"/>
                    <w:jc w:val="center"/>
                  </w:pPr>
                  <w:r>
                    <w:t xml:space="preserve">r = .04</w:t>
                  </w:r>
                </w:p>
              </w:tc>
              <w:tc>
                <w:tcPr/>
                <w:p>
                  <w:pPr>
                    <w:pStyle w:val="Compact"/>
                    <w:jc w:val="right"/>
                    <w:jc w:val="center"/>
                  </w:pPr>
                  <w:r>
                    <w:t xml:space="preserve">.776</w:t>
                  </w:r>
                </w:p>
              </w:tc>
              <w:tc>
                <w:tcPr/>
                <w:p>
                  <w:pPr>
                    <w:pStyle w:val="Compact"/>
                    <w:jc w:val="right"/>
                    <w:jc w:val="center"/>
                  </w:pPr>
                  <w:r>
                    <w:t xml:space="preserve">.952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starting point (M4 random intercept)</w:t>
                  </w:r>
                </w:p>
              </w:tc>
              <w:tc>
                <w:tcPr/>
                <w:p>
                  <w:pPr>
                    <w:pStyle w:val="Compact"/>
                    <w:jc w:val="right"/>
                    <w:jc w:val="center"/>
                  </w:pPr>
                  <w:r>
                    <w:t xml:space="preserve">r = −.18</w:t>
                  </w:r>
                </w:p>
              </w:tc>
              <w:tc>
                <w:tcPr/>
                <w:p>
                  <w:pPr>
                    <w:pStyle w:val="Compact"/>
                    <w:jc w:val="right"/>
                    <w:jc w:val="center"/>
                  </w:pPr>
                  <w:r>
                    <w:t xml:space="preserve">.164</w:t>
                  </w:r>
                </w:p>
              </w:tc>
              <w:tc>
                <w:tcPr/>
                <w:p>
                  <w:pPr>
                    <w:pStyle w:val="Compact"/>
                    <w:jc w:val="right"/>
                    <w:jc w:val="center"/>
                  </w:pPr>
                  <w:r>
                    <w:t xml:space="preserve">.562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boundary (M4 random intercept)</w:t>
                  </w:r>
                </w:p>
              </w:tc>
              <w:tc>
                <w:tcPr/>
                <w:p>
                  <w:pPr>
                    <w:pStyle w:val="Compact"/>
                    <w:jc w:val="right"/>
                    <w:jc w:val="center"/>
                  </w:pPr>
                  <w:r>
                    <w:t xml:space="preserve">r = .18</w:t>
                  </w:r>
                </w:p>
              </w:tc>
              <w:tc>
                <w:tcPr/>
                <w:p>
                  <w:pPr>
                    <w:pStyle w:val="Compact"/>
                    <w:jc w:val="right"/>
                    <w:jc w:val="center"/>
                  </w:pPr>
                  <w:r>
                    <w:t xml:space="preserve">.156</w:t>
                  </w:r>
                </w:p>
              </w:tc>
              <w:tc>
                <w:tcPr/>
                <w:p>
                  <w:pPr>
                    <w:pStyle w:val="Compact"/>
                    <w:jc w:val="right"/>
                    <w:jc w:val="center"/>
                  </w:pPr>
                  <w:r>
                    <w:t xml:space="preserve">.562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.283</w:t>
                  </w:r>
                </w:p>
              </w:tc>
              <w:tc>
                <w:tcPr/>
                <w:p>
                  <w:pPr>
                    <w:pStyle w:val="Compact"/>
                    <w:jc w:val="right"/>
                    <w:jc w:val="center"/>
                  </w:pPr>
                  <w:r>
                    <w:t xml:space="preserve">.637</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starting point (M4 random intercept)</w:t>
                  </w:r>
                </w:p>
              </w:tc>
              <w:tc>
                <w:tcPr/>
                <w:p>
                  <w:pPr>
                    <w:pStyle w:val="Compact"/>
                    <w:jc w:val="right"/>
                    <w:jc w:val="center"/>
                  </w:pPr>
                  <w:r>
                    <w:t xml:space="preserve">r = −.26</w:t>
                  </w:r>
                </w:p>
              </w:tc>
              <w:tc>
                <w:tcPr/>
                <w:p>
                  <w:pPr>
                    <w:pStyle w:val="Compact"/>
                    <w:jc w:val="right"/>
                    <w:jc w:val="center"/>
                  </w:pPr>
                  <w:r>
                    <w:t xml:space="preserve">.045</w:t>
                  </w:r>
                </w:p>
              </w:tc>
              <w:tc>
                <w:tcPr/>
                <w:p>
                  <w:pPr>
                    <w:pStyle w:val="Compact"/>
                    <w:jc w:val="right"/>
                    <w:jc w:val="center"/>
                  </w:pPr>
                  <w:r>
                    <w:t xml:space="preserve">.408</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subject-level boundary (M4 random intercept)</w:t>
                  </w:r>
                </w:p>
              </w:tc>
              <w:tc>
                <w:tcPr/>
                <w:p>
                  <w:pPr>
                    <w:pStyle w:val="Compact"/>
                    <w:jc w:val="right"/>
                    <w:jc w:val="center"/>
                  </w:pPr>
                  <w:r>
                    <w:t xml:space="preserve">r = −.10</w:t>
                  </w:r>
                </w:p>
              </w:tc>
              <w:tc>
                <w:tcPr/>
                <w:p>
                  <w:pPr>
                    <w:pStyle w:val="Compact"/>
                    <w:jc w:val="right"/>
                    <w:jc w:val="center"/>
                  </w:pPr>
                  <w:r>
                    <w:t xml:space="preserve">.454</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drift (M4 random intercept)</w:t>
                  </w:r>
                </w:p>
              </w:tc>
              <w:tc>
                <w:tcPr/>
                <w:p>
                  <w:pPr>
                    <w:pStyle w:val="Compact"/>
                    <w:jc w:val="right"/>
                    <w:jc w:val="center"/>
                  </w:pPr>
                  <w:r>
                    <w:t xml:space="preserve">r = .01</w:t>
                  </w:r>
                </w:p>
              </w:tc>
              <w:tc>
                <w:tcPr/>
                <w:p>
                  <w:pPr>
                    <w:pStyle w:val="Compact"/>
                    <w:jc w:val="right"/>
                    <w:jc w:val="center"/>
                  </w:pPr>
                  <w:r>
                    <w:t xml:space="preserve">.950</w:t>
                  </w:r>
                </w:p>
              </w:tc>
              <w:tc>
                <w:tcPr/>
                <w:p>
                  <w:pPr>
                    <w:pStyle w:val="Compact"/>
                    <w:jc w:val="right"/>
                    <w:jc w:val="center"/>
                  </w:pPr>
                  <w:r>
                    <w:t xml:space="preserve">.968</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starting point (M4 random intercept)</w:t>
                  </w:r>
                </w:p>
              </w:tc>
              <w:tc>
                <w:tcPr/>
                <w:p>
                  <w:pPr>
                    <w:pStyle w:val="Compact"/>
                    <w:jc w:val="right"/>
                    <w:jc w:val="center"/>
                  </w:pPr>
                  <w:r>
                    <w:t xml:space="preserve">r = −.05</w:t>
                  </w:r>
                </w:p>
              </w:tc>
              <w:tc>
                <w:tcPr/>
                <w:p>
                  <w:pPr>
                    <w:pStyle w:val="Compact"/>
                    <w:jc w:val="right"/>
                    <w:jc w:val="center"/>
                  </w:pPr>
                  <w:r>
                    <w:t xml:space="preserve">.714</w:t>
                  </w:r>
                </w:p>
              </w:tc>
              <w:tc>
                <w:tcPr/>
                <w:p>
                  <w:pPr>
                    <w:pStyle w:val="Compact"/>
                    <w:jc w:val="right"/>
                    <w:jc w:val="center"/>
                  </w:pPr>
                  <w:r>
                    <w:t xml:space="preserve">.952</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subject-level boundary (M4 random intercept)</w:t>
                  </w:r>
                </w:p>
              </w:tc>
              <w:tc>
                <w:tcPr/>
                <w:p>
                  <w:pPr>
                    <w:pStyle w:val="Compact"/>
                    <w:jc w:val="right"/>
                    <w:jc w:val="center"/>
                  </w:pPr>
                  <w:r>
                    <w:t xml:space="preserve">r = −.20</w:t>
                  </w:r>
                </w:p>
              </w:tc>
              <w:tc>
                <w:tcPr/>
                <w:p>
                  <w:pPr>
                    <w:pStyle w:val="Compact"/>
                    <w:jc w:val="right"/>
                    <w:jc w:val="center"/>
                  </w:pPr>
                  <w:r>
                    <w:t xml:space="preserve">.107</w:t>
                  </w:r>
                </w:p>
              </w:tc>
              <w:tc>
                <w:tcPr/>
                <w:p>
                  <w:pPr>
                    <w:pStyle w:val="Compact"/>
                    <w:jc w:val="right"/>
                    <w:jc w:val="center"/>
                  </w:pPr>
                  <w:r>
                    <w:t xml:space="preserve">.562</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.266</w:t>
                  </w:r>
                </w:p>
              </w:tc>
              <w:tc>
                <w:tcPr/>
                <w:p>
                  <w:pPr>
                    <w:pStyle w:val="Compact"/>
                    <w:jc w:val="right"/>
                    <w:jc w:val="center"/>
                  </w:pPr>
                  <w:r>
                    <w:t xml:space="preserve">.637</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.528</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.939</w:t>
                  </w:r>
                </w:p>
              </w:tc>
              <w:tc>
                <w:tcPr/>
                <w:p>
                  <w:pPr>
                    <w:pStyle w:val="Compact"/>
                    <w:jc w:val="right"/>
                    <w:jc w:val="center"/>
                  </w:pPr>
                  <w:r>
                    <w:t xml:space="preserve">.968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drift (M4 random intercept)</w:t>
                  </w:r>
                </w:p>
              </w:tc>
              <w:tc>
                <w:tcPr/>
                <w:p>
                  <w:pPr>
                    <w:pStyle w:val="Compact"/>
                    <w:jc w:val="right"/>
                    <w:jc w:val="center"/>
                  </w:pPr>
                  <w:r>
                    <w:t xml:space="preserve">r = −.10</w:t>
                  </w:r>
                </w:p>
              </w:tc>
              <w:tc>
                <w:tcPr/>
                <w:p>
                  <w:pPr>
                    <w:pStyle w:val="Compact"/>
                    <w:jc w:val="right"/>
                    <w:jc w:val="center"/>
                  </w:pPr>
                  <w:r>
                    <w:t xml:space="preserve">.420</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starting point (M4 random intercept)</w:t>
                  </w:r>
                </w:p>
              </w:tc>
              <w:tc>
                <w:tcPr/>
                <w:p>
                  <w:pPr>
                    <w:pStyle w:val="Compact"/>
                    <w:jc w:val="right"/>
                    <w:jc w:val="center"/>
                  </w:pPr>
                  <w:r>
                    <w:t xml:space="preserve">r = −.30</w:t>
                  </w:r>
                </w:p>
              </w:tc>
              <w:tc>
                <w:tcPr/>
                <w:p>
                  <w:pPr>
                    <w:pStyle w:val="Compact"/>
                    <w:jc w:val="right"/>
                    <w:jc w:val="center"/>
                  </w:pPr>
                  <w:r>
                    <w:t xml:space="preserve">.019</w:t>
                  </w:r>
                </w:p>
              </w:tc>
              <w:tc>
                <w:tcPr/>
                <w:p>
                  <w:pPr>
                    <w:pStyle w:val="Compact"/>
                    <w:jc w:val="right"/>
                    <w:jc w:val="center"/>
                  </w:pPr>
                  <w:r>
                    <w:t xml:space="preserve">.251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boundary (M4 random intercept)</w:t>
                  </w:r>
                </w:p>
              </w:tc>
              <w:tc>
                <w:tcPr/>
                <w:p>
                  <w:pPr>
                    <w:pStyle w:val="Compact"/>
                    <w:jc w:val="right"/>
                    <w:jc w:val="center"/>
                  </w:pPr>
                  <w:r>
                    <w:t xml:space="preserve">r = .08</w:t>
                  </w:r>
                </w:p>
              </w:tc>
              <w:tc>
                <w:tcPr/>
                <w:p>
                  <w:pPr>
                    <w:pStyle w:val="Compact"/>
                    <w:jc w:val="right"/>
                    <w:jc w:val="center"/>
                  </w:pPr>
                  <w:r>
                    <w:t xml:space="preserve">.518</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drift (M4 random intercept)</w:t>
                  </w:r>
                </w:p>
              </w:tc>
              <w:tc>
                <w:tcPr/>
                <w:p>
                  <w:pPr>
                    <w:pStyle w:val="Compact"/>
                    <w:jc w:val="right"/>
                    <w:jc w:val="center"/>
                  </w:pPr>
                  <w:r>
                    <w:t xml:space="preserve">r = −.15</w:t>
                  </w:r>
                </w:p>
              </w:tc>
              <w:tc>
                <w:tcPr/>
                <w:p>
                  <w:pPr>
                    <w:pStyle w:val="Compact"/>
                    <w:jc w:val="right"/>
                    <w:jc w:val="center"/>
                  </w:pPr>
                  <w:r>
                    <w:t xml:space="preserve">.235</w:t>
                  </w:r>
                </w:p>
              </w:tc>
              <w:tc>
                <w:tcPr/>
                <w:p>
                  <w:pPr>
                    <w:pStyle w:val="Compact"/>
                    <w:jc w:val="right"/>
                    <w:jc w:val="center"/>
                  </w:pPr>
                  <w:r>
                    <w:t xml:space="preserve">.636</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starting point (M4 random intercept)</w:t>
                  </w:r>
                </w:p>
              </w:tc>
              <w:tc>
                <w:tcPr/>
                <w:p>
                  <w:pPr>
                    <w:pStyle w:val="Compact"/>
                    <w:jc w:val="right"/>
                    <w:jc w:val="center"/>
                  </w:pPr>
                  <w:r>
                    <w:t xml:space="preserve">r = .01</w:t>
                  </w:r>
                </w:p>
              </w:tc>
              <w:tc>
                <w:tcPr/>
                <w:p>
                  <w:pPr>
                    <w:pStyle w:val="Compact"/>
                    <w:jc w:val="right"/>
                    <w:jc w:val="center"/>
                  </w:pPr>
                  <w:r>
                    <w:t xml:space="preserve">.949</w:t>
                  </w:r>
                </w:p>
              </w:tc>
              <w:tc>
                <w:tcPr/>
                <w:p>
                  <w:pPr>
                    <w:pStyle w:val="Compact"/>
                    <w:jc w:val="right"/>
                    <w:jc w:val="center"/>
                  </w:pPr>
                  <w:r>
                    <w:t xml:space="preserve">.968</w:t>
                  </w:r>
                </w:p>
              </w:tc>
              <w:tc>
                <w:tcPr/>
                <w:p>
                  <w:pPr>
                    <w:pStyle w:val="Compact"/>
                    <w:jc w:val="right"/>
                    <w:jc w:val="center"/>
                  </w:pPr>
                  <w:r>
                    <w:t xml:space="preserve">63</w:t>
                  </w:r>
                </w:p>
              </w:tc>
            </w:tr>
          </w:tbl>
          <w:p>
            <w:pPr>
              <w:jc w:val="center"/>
            </w:pPr>
            <w:r>
              <w:rPr>
                <w:i/>
                <w:iCs/>
              </w:rPr>
              <w:t xml:space="preserve">Note.</w:t>
            </w:r>
            <w:r>
              <w:t xml:space="preserve"> </w:t>
            </w:r>
            <w:r>
              <w:t xml:space="preserve">Benjamini-Hochberg FDR is computed within family. Neuropsych x behavioral outcomes: 45 tests. Neuropsych x DDM parameters: 27 tests. d′ (descriptive) is the SD of d′ across grip conditions. No SD of accuracy across conditions is in the source table.</w:t>
            </w:r>
          </w:p>
          <w:bookmarkEnd w:id="159"/>
        </w:tc>
      </w:tr>
    </w:tbl>
    <w:bookmarkEnd w:id="160"/>
    <w:bookmarkStart w:id="162" w:name="Xca629de48c53e5ea657d5aec29b7cc12f2d48e3"/>
    <w:p>
      <w:pPr>
        <w:pStyle w:val="Heading2"/>
      </w:pPr>
      <w:r>
        <w:t xml:space="preserve">Exploratory temporal dynamics (dissertation only; pre-revision model structure)</w:t>
      </w:r>
    </w:p>
    <w:p>
      <w:pPr>
        <w:pStyle w:val="FirstParagraph"/>
      </w:pPr>
      <w:r>
        <w:t xml:space="preserve">These choice-history and within-run models were fit before the model revision used in this chapter (the response coding and effort terms of M4) and were not refit. They are reported for completeness and are not interpreted.</w:t>
      </w:r>
    </w:p>
    <w:tbl>
      <w:tblPr>
        <w:tblStyle w:val="Table"/>
        <w:tblW w:type="pct" w:w="5000"/>
        <w:tblLayout w:type="fixed"/>
        <w:tblLook w:firstRow="0" w:lastRow="0" w:firstColumn="0" w:lastColumn="0" w:noHBand="0" w:noVBand="0" w:val="0000"/>
      </w:tblPr>
      <w:tblGrid>
        <w:gridCol w:w="7920"/>
      </w:tblGrid>
      <w:tr>
        <w:tc>
          <w:tcPr/>
          <w:bookmarkStart w:id="161" w:name="supptbl-temporal"/>
          <w:p>
            <w:pPr>
              <w:jc w:val="center"/>
            </w:pPr>
            <w:pPr>
              <w:jc w:val="left"/>
              <w:spacing w:before="200"/>
              <w:pStyle w:val="ImageCaption"/>
            </w:pPr>
            <w:r>
              <w:t xml:space="preserve">Table S21: Exploratory choice-history and within-run models. These were fit with the pre-revision model structure and not refit; see the text.</w:t>
            </w:r>
          </w:p>
          <w:tbl>
            <w:tblPr>
              <w:tblStyle w:val="Table"/>
              <w:tblW w:type="pct" w:w="5000"/>
              <w:tblLayout w:type="fixed"/>
              <w:tblLook w:firstRow="1" w:lastRow="0" w:firstColumn="0" w:lastColumn="0" w:noHBand="0" w:noVBand="0" w:val="0020"/>
            </w:tblPr>
            <w:tblGrid>
              <w:gridCol w:w="772"/>
              <w:gridCol w:w="4925"/>
              <w:gridCol w:w="869"/>
              <w:gridCol w:w="579"/>
              <w:gridCol w:w="772"/>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rPr>
                      <w:i/>
                      <w:iCs/>
                    </w:rPr>
                    <w:t xml:space="preserve">SD</w:t>
                  </w:r>
                </w:p>
              </w:tc>
              <w:tc>
                <w:tcPr/>
                <w:p>
                  <w:pPr>
                    <w:pStyle w:val="Compact"/>
                    <w:jc w:val="right"/>
                    <w:jc w:val="center"/>
                  </w:pPr>
                  <w:r>
                    <w:rPr>
                      <w:i/>
                      <w:iCs/>
                    </w:rPr>
                    <w:t xml:space="preserve">p</w:t>
                  </w:r>
                  <w:r>
                    <w:t xml:space="preserve">…0</w:t>
                  </w:r>
                </w:p>
              </w:tc>
            </w:tr>
            <w:tr>
              <w:tc>
                <w:tcPr/>
                <w:p>
                  <w:pPr>
                    <w:pStyle w:val="Compact"/>
                    <w:jc w:val="left"/>
                    <w:jc w:val="center"/>
                  </w:pPr>
                  <w:r>
                    <w:t xml:space="preserve">M_hist</w:t>
                  </w:r>
                </w:p>
              </w:tc>
              <w:tc>
                <w:tcPr/>
                <w:p>
                  <w:pPr>
                    <w:pStyle w:val="Compact"/>
                    <w:jc w:val="right"/>
                    <w:jc w:val="center"/>
                  </w:pPr>
                  <w:r>
                    <w:t xml:space="preserve">Starting-point intercept</w:t>
                  </w:r>
                </w:p>
              </w:tc>
              <w:tc>
                <w:tcPr/>
                <w:p>
                  <w:pPr>
                    <w:pStyle w:val="Compact"/>
                    <w:jc w:val="right"/>
                    <w:jc w:val="center"/>
                  </w:pPr>
                  <w:r>
                    <w:t xml:space="preserve">0.197</w:t>
                  </w:r>
                </w:p>
              </w:tc>
              <w:tc>
                <w:tcPr/>
                <w:p>
                  <w:pPr>
                    <w:pStyle w:val="Compact"/>
                    <w:jc w:val="right"/>
                    <w:jc w:val="center"/>
                  </w:pPr>
                  <w:r>
                    <w:t xml:space="preserve">0.033</w:t>
                  </w:r>
                </w:p>
              </w:tc>
              <w:tc>
                <w:tcPr/>
                <w:p>
                  <w:pPr>
                    <w:pStyle w:val="Compact"/>
                    <w:jc w:val="right"/>
                    <w:jc w:val="center"/>
                  </w:pPr>
                  <w:r>
                    <w:t xml:space="preserve">&gt; .999</w:t>
                  </w:r>
                </w:p>
              </w:tc>
            </w:tr>
            <w:tr>
              <w:tc>
                <w:tcPr/>
                <w:p>
                  <w:pPr>
                    <w:pStyle w:val="Compact"/>
                    <w:jc w:val="left"/>
                    <w:jc w:val="center"/>
                  </w:pPr>
                  <w:r>
                    <w:t xml:space="preserve">M_hist</w:t>
                  </w:r>
                </w:p>
              </w:tc>
              <w:tc>
                <w:tcPr/>
                <w:p>
                  <w:pPr>
                    <w:pStyle w:val="Compact"/>
                    <w:jc w:val="right"/>
                    <w:jc w:val="center"/>
                  </w:pPr>
                  <w:r>
                    <w:t xml:space="preserve">Starting point, low effort</w:t>
                  </w:r>
                </w:p>
              </w:tc>
              <w:tc>
                <w:tcPr/>
                <w:p>
                  <w:pPr>
                    <w:pStyle w:val="Compact"/>
                    <w:jc w:val="right"/>
                    <w:jc w:val="center"/>
                  </w:pPr>
                  <w:r>
                    <w:t xml:space="preserve">−0.016</w:t>
                  </w:r>
                </w:p>
              </w:tc>
              <w:tc>
                <w:tcPr/>
                <w:p>
                  <w:pPr>
                    <w:pStyle w:val="Compact"/>
                    <w:jc w:val="right"/>
                    <w:jc w:val="center"/>
                  </w:pPr>
                  <w:r>
                    <w:t xml:space="preserve">0.022</w:t>
                  </w:r>
                </w:p>
              </w:tc>
              <w:tc>
                <w:tcPr/>
                <w:p>
                  <w:pPr>
                    <w:pStyle w:val="Compact"/>
                    <w:jc w:val="right"/>
                    <w:jc w:val="center"/>
                  </w:pPr>
                  <w:r>
                    <w:t xml:space="preserve">.225</w:t>
                  </w:r>
                </w:p>
              </w:tc>
            </w:tr>
            <w:tr>
              <w:tc>
                <w:tcPr/>
                <w:p>
                  <w:pPr>
                    <w:pStyle w:val="Compact"/>
                    <w:jc w:val="left"/>
                    <w:jc w:val="center"/>
                  </w:pPr>
                  <w:r>
                    <w:t xml:space="preserve">M_hist</w:t>
                  </w:r>
                </w:p>
              </w:tc>
              <w:tc>
                <w:tcPr/>
                <w:p>
                  <w:pPr>
                    <w:pStyle w:val="Compact"/>
                    <w:jc w:val="right"/>
                    <w:jc w:val="center"/>
                  </w:pPr>
                  <w:r>
                    <w:t xml:space="preserve">Starting point, previous choice</w:t>
                  </w:r>
                </w:p>
              </w:tc>
              <w:tc>
                <w:tcPr/>
                <w:p>
                  <w:pPr>
                    <w:pStyle w:val="Compact"/>
                    <w:jc w:val="right"/>
                    <w:jc w:val="center"/>
                  </w:pPr>
                  <w:r>
                    <w:t xml:space="preserve">0.065</w:t>
                  </w:r>
                </w:p>
              </w:tc>
              <w:tc>
                <w:tcPr/>
                <w:p>
                  <w:pPr>
                    <w:pStyle w:val="Compact"/>
                    <w:jc w:val="right"/>
                    <w:jc w:val="center"/>
                  </w:pPr>
                  <w:r>
                    <w:t xml:space="preserve">0.031</w:t>
                  </w:r>
                </w:p>
              </w:tc>
              <w:tc>
                <w:tcPr/>
                <w:p>
                  <w:pPr>
                    <w:pStyle w:val="Compact"/>
                    <w:jc w:val="right"/>
                    <w:jc w:val="center"/>
                  </w:pPr>
                  <w:r>
                    <w:t xml:space="preserve">.982</w:t>
                  </w:r>
                </w:p>
              </w:tc>
            </w:tr>
            <w:tr>
              <w:tc>
                <w:tcPr/>
                <w:p>
                  <w:pPr>
                    <w:pStyle w:val="Compact"/>
                    <w:jc w:val="left"/>
                    <w:jc w:val="center"/>
                  </w:pPr>
                  <w:r>
                    <w:t xml:space="preserve">M_hist</w:t>
                  </w:r>
                </w:p>
              </w:tc>
              <w:tc>
                <w:tcPr/>
                <w:p>
                  <w:pPr>
                    <w:pStyle w:val="Compact"/>
                    <w:jc w:val="right"/>
                    <w:jc w:val="center"/>
                  </w:pPr>
                  <w:r>
                    <w:t xml:space="preserve">Starting point, previous choice × low effort</w:t>
                  </w:r>
                </w:p>
              </w:tc>
              <w:tc>
                <w:tcPr/>
                <w:p>
                  <w:pPr>
                    <w:pStyle w:val="Compact"/>
                    <w:jc w:val="right"/>
                    <w:jc w:val="center"/>
                  </w:pPr>
                  <w:r>
                    <w:t xml:space="preserve">−0.001</w:t>
                  </w:r>
                </w:p>
              </w:tc>
              <w:tc>
                <w:tcPr/>
                <w:p>
                  <w:pPr>
                    <w:pStyle w:val="Compact"/>
                    <w:jc w:val="right"/>
                    <w:jc w:val="center"/>
                  </w:pPr>
                  <w:r>
                    <w:t xml:space="preserve">0.033</w:t>
                  </w:r>
                </w:p>
              </w:tc>
              <w:tc>
                <w:tcPr/>
                <w:p>
                  <w:pPr>
                    <w:pStyle w:val="Compact"/>
                    <w:jc w:val="right"/>
                    <w:jc w:val="center"/>
                  </w:pPr>
                  <w:r>
                    <w:t xml:space="preserve">.488</w:t>
                  </w:r>
                </w:p>
              </w:tc>
            </w:tr>
            <w:tr>
              <w:tc>
                <w:tcPr/>
                <w:p>
                  <w:pPr>
                    <w:pStyle w:val="Compact"/>
                    <w:jc w:val="left"/>
                    <w:jc w:val="center"/>
                  </w:pPr>
                  <w:r>
                    <w:t xml:space="preserve">M_hist</w:t>
                  </w:r>
                </w:p>
              </w:tc>
              <w:tc>
                <w:tcPr/>
                <w:p>
                  <w:pPr>
                    <w:pStyle w:val="Compact"/>
                    <w:jc w:val="right"/>
                    <w:jc w:val="center"/>
                  </w:pPr>
                  <w:r>
                    <w:t xml:space="preserve">Drift, previous choice</w:t>
                  </w:r>
                </w:p>
              </w:tc>
              <w:tc>
                <w:tcPr/>
                <w:p>
                  <w:pPr>
                    <w:pStyle w:val="Compact"/>
                    <w:jc w:val="right"/>
                    <w:jc w:val="center"/>
                  </w:pPr>
                  <w:r>
                    <w:t xml:space="preserve">0.054</w:t>
                  </w:r>
                </w:p>
              </w:tc>
              <w:tc>
                <w:tcPr/>
                <w:p>
                  <w:pPr>
                    <w:pStyle w:val="Compact"/>
                    <w:jc w:val="right"/>
                    <w:jc w:val="center"/>
                  </w:pPr>
                  <w:r>
                    <w:t xml:space="preserve">0.023</w:t>
                  </w:r>
                </w:p>
              </w:tc>
              <w:tc>
                <w:tcPr/>
                <w:p>
                  <w:pPr>
                    <w:pStyle w:val="Compact"/>
                    <w:jc w:val="right"/>
                    <w:jc w:val="center"/>
                  </w:pPr>
                  <w:r>
                    <w:t xml:space="preserve">.991</w:t>
                  </w:r>
                </w:p>
              </w:tc>
            </w:tr>
            <w:tr>
              <w:tc>
                <w:tcPr/>
                <w:p>
                  <w:pPr>
                    <w:pStyle w:val="Compact"/>
                    <w:jc w:val="left"/>
                    <w:jc w:val="center"/>
                  </w:pPr>
                  <w:r>
                    <w:t xml:space="preserve">M_wsls</w:t>
                  </w:r>
                </w:p>
              </w:tc>
              <w:tc>
                <w:tcPr/>
                <w:p>
                  <w:pPr>
                    <w:pStyle w:val="Compact"/>
                    <w:jc w:val="right"/>
                    <w:jc w:val="center"/>
                  </w:pPr>
                  <w:r>
                    <w:t xml:space="preserve">Starting-point intercept</w:t>
                  </w:r>
                </w:p>
              </w:tc>
              <w:tc>
                <w:tcPr/>
                <w:p>
                  <w:pPr>
                    <w:pStyle w:val="Compact"/>
                    <w:jc w:val="right"/>
                    <w:jc w:val="center"/>
                  </w:pPr>
                  <w:r>
                    <w:t xml:space="preserve">0.214</w:t>
                  </w:r>
                </w:p>
              </w:tc>
              <w:tc>
                <w:tcPr/>
                <w:p>
                  <w:pPr>
                    <w:pStyle w:val="Compact"/>
                    <w:jc w:val="right"/>
                    <w:jc w:val="center"/>
                  </w:pPr>
                  <w:r>
                    <w:t xml:space="preserve">0.042</w:t>
                  </w:r>
                </w:p>
              </w:tc>
              <w:tc>
                <w:tcPr/>
                <w:p>
                  <w:pPr>
                    <w:pStyle w:val="Compact"/>
                    <w:jc w:val="right"/>
                    <w:jc w:val="center"/>
                  </w:pPr>
                  <w:r>
                    <w:t xml:space="preserve">&gt; .999</w:t>
                  </w:r>
                </w:p>
              </w:tc>
            </w:tr>
            <w:tr>
              <w:tc>
                <w:tcPr/>
                <w:p>
                  <w:pPr>
                    <w:pStyle w:val="Compact"/>
                    <w:jc w:val="left"/>
                    <w:jc w:val="center"/>
                  </w:pPr>
                  <w:r>
                    <w:t xml:space="preserve">M_wsls</w:t>
                  </w:r>
                </w:p>
              </w:tc>
              <w:tc>
                <w:tcPr/>
                <w:p>
                  <w:pPr>
                    <w:pStyle w:val="Compact"/>
                    <w:jc w:val="right"/>
                    <w:jc w:val="center"/>
                  </w:pPr>
                  <w:r>
                    <w:t xml:space="preserve">Starting point, low effort</w:t>
                  </w:r>
                </w:p>
              </w:tc>
              <w:tc>
                <w:tcPr/>
                <w:p>
                  <w:pPr>
                    <w:pStyle w:val="Compact"/>
                    <w:jc w:val="right"/>
                    <w:jc w:val="center"/>
                  </w:pPr>
                  <w:r>
                    <w:t xml:space="preserve">−0.017</w:t>
                  </w:r>
                </w:p>
              </w:tc>
              <w:tc>
                <w:tcPr/>
                <w:p>
                  <w:pPr>
                    <w:pStyle w:val="Compact"/>
                    <w:jc w:val="right"/>
                    <w:jc w:val="center"/>
                  </w:pPr>
                  <w:r>
                    <w:t xml:space="preserve">0.022</w:t>
                  </w:r>
                </w:p>
              </w:tc>
              <w:tc>
                <w:tcPr/>
                <w:p>
                  <w:pPr>
                    <w:pStyle w:val="Compact"/>
                    <w:jc w:val="right"/>
                    <w:jc w:val="center"/>
                  </w:pPr>
                  <w:r>
                    <w:t xml:space="preserve">.225</w:t>
                  </w:r>
                </w:p>
              </w:tc>
            </w:tr>
            <w:tr>
              <w:tc>
                <w:tcPr/>
                <w:p>
                  <w:pPr>
                    <w:pStyle w:val="Compact"/>
                    <w:jc w:val="left"/>
                    <w:jc w:val="center"/>
                  </w:pPr>
                  <w:r>
                    <w:t xml:space="preserve">M_wsls</w:t>
                  </w:r>
                </w:p>
              </w:tc>
              <w:tc>
                <w:tcPr/>
                <w:p>
                  <w:pPr>
                    <w:pStyle w:val="Compact"/>
                    <w:jc w:val="right"/>
                    <w:jc w:val="center"/>
                  </w:pPr>
                  <w:r>
                    <w:t xml:space="preserve">Starting point, previous choice</w:t>
                  </w:r>
                </w:p>
              </w:tc>
              <w:tc>
                <w:tcPr/>
                <w:p>
                  <w:pPr>
                    <w:pStyle w:val="Compact"/>
                    <w:jc w:val="right"/>
                    <w:jc w:val="center"/>
                  </w:pPr>
                  <w:r>
                    <w:t xml:space="preserve">0.137</w:t>
                  </w:r>
                </w:p>
              </w:tc>
              <w:tc>
                <w:tcPr/>
                <w:p>
                  <w:pPr>
                    <w:pStyle w:val="Compact"/>
                    <w:jc w:val="right"/>
                    <w:jc w:val="center"/>
                  </w:pPr>
                  <w:r>
                    <w:t xml:space="preserve">0.061</w:t>
                  </w:r>
                </w:p>
              </w:tc>
              <w:tc>
                <w:tcPr/>
                <w:p>
                  <w:pPr>
                    <w:pStyle w:val="Compact"/>
                    <w:jc w:val="right"/>
                    <w:jc w:val="center"/>
                  </w:pPr>
                  <w:r>
                    <w:t xml:space="preserve">.987</w:t>
                  </w:r>
                </w:p>
              </w:tc>
            </w:tr>
            <w:tr>
              <w:tc>
                <w:tcPr/>
                <w:p>
                  <w:pPr>
                    <w:pStyle w:val="Compact"/>
                    <w:jc w:val="left"/>
                    <w:jc w:val="center"/>
                  </w:pPr>
                  <w:r>
                    <w:t xml:space="preserve">M_wsls</w:t>
                  </w:r>
                </w:p>
              </w:tc>
              <w:tc>
                <w:tcPr/>
                <w:p>
                  <w:pPr>
                    <w:pStyle w:val="Compact"/>
                    <w:jc w:val="right"/>
                    <w:jc w:val="center"/>
                  </w:pPr>
                  <w:r>
                    <w:t xml:space="preserve">Starting point, previous choice × low effort</w:t>
                  </w:r>
                </w:p>
              </w:tc>
              <w:tc>
                <w:tcPr/>
                <w:p>
                  <w:pPr>
                    <w:pStyle w:val="Compact"/>
                    <w:jc w:val="right"/>
                    <w:jc w:val="center"/>
                  </w:pPr>
                  <w:r>
                    <w:t xml:space="preserve">−0.001</w:t>
                  </w:r>
                </w:p>
              </w:tc>
              <w:tc>
                <w:tcPr/>
                <w:p>
                  <w:pPr>
                    <w:pStyle w:val="Compact"/>
                    <w:jc w:val="right"/>
                    <w:jc w:val="center"/>
                  </w:pPr>
                  <w:r>
                    <w:t xml:space="preserve">0.033</w:t>
                  </w:r>
                </w:p>
              </w:tc>
              <w:tc>
                <w:tcPr/>
                <w:p>
                  <w:pPr>
                    <w:pStyle w:val="Compact"/>
                    <w:jc w:val="right"/>
                    <w:jc w:val="center"/>
                  </w:pPr>
                  <w:r>
                    <w:t xml:space="preserve">.489</w:t>
                  </w:r>
                </w:p>
              </w:tc>
            </w:tr>
            <w:tr>
              <w:tc>
                <w:tcPr/>
                <w:p>
                  <w:pPr>
                    <w:pStyle w:val="Compact"/>
                    <w:jc w:val="left"/>
                    <w:jc w:val="center"/>
                  </w:pPr>
                  <w:r>
                    <w:t xml:space="preserve">M_wsls</w:t>
                  </w:r>
                </w:p>
              </w:tc>
              <w:tc>
                <w:tcPr/>
                <w:p>
                  <w:pPr>
                    <w:pStyle w:val="Compact"/>
                    <w:jc w:val="right"/>
                    <w:jc w:val="center"/>
                  </w:pPr>
                  <w:r>
                    <w:t xml:space="preserve">Starting point, previous choice × previous correct</w:t>
                  </w:r>
                </w:p>
              </w:tc>
              <w:tc>
                <w:tcPr/>
                <w:p>
                  <w:pPr>
                    <w:pStyle w:val="Compact"/>
                    <w:jc w:val="right"/>
                    <w:jc w:val="center"/>
                  </w:pPr>
                  <w:r>
                    <w:t xml:space="preserve">−0.107</w:t>
                  </w:r>
                </w:p>
              </w:tc>
              <w:tc>
                <w:tcPr/>
                <w:p>
                  <w:pPr>
                    <w:pStyle w:val="Compact"/>
                    <w:jc w:val="right"/>
                    <w:jc w:val="center"/>
                  </w:pPr>
                  <w:r>
                    <w:t xml:space="preserve">0.060</w:t>
                  </w:r>
                </w:p>
              </w:tc>
              <w:tc>
                <w:tcPr/>
                <w:p>
                  <w:pPr>
                    <w:pStyle w:val="Compact"/>
                    <w:jc w:val="right"/>
                    <w:jc w:val="center"/>
                  </w:pPr>
                  <w:r>
                    <w:t xml:space="preserve">.036</w:t>
                  </w:r>
                </w:p>
              </w:tc>
            </w:tr>
            <w:tr>
              <w:tc>
                <w:tcPr/>
                <w:p>
                  <w:pPr>
                    <w:pStyle w:val="Compact"/>
                    <w:jc w:val="left"/>
                    <w:jc w:val="center"/>
                  </w:pPr>
                  <w:r>
                    <w:t xml:space="preserve">M_wsls</w:t>
                  </w:r>
                </w:p>
              </w:tc>
              <w:tc>
                <w:tcPr/>
                <w:p>
                  <w:pPr>
                    <w:pStyle w:val="Compact"/>
                    <w:jc w:val="right"/>
                    <w:jc w:val="center"/>
                  </w:pPr>
                  <w:r>
                    <w:t xml:space="preserve">Starting point, previous correct</w:t>
                  </w:r>
                </w:p>
              </w:tc>
              <w:tc>
                <w:tcPr/>
                <w:p>
                  <w:pPr>
                    <w:pStyle w:val="Compact"/>
                    <w:jc w:val="right"/>
                    <w:jc w:val="center"/>
                  </w:pPr>
                  <w:r>
                    <w:t xml:space="preserve">0.000</w:t>
                  </w:r>
                </w:p>
              </w:tc>
              <w:tc>
                <w:tcPr/>
                <w:p>
                  <w:pPr>
                    <w:pStyle w:val="Compact"/>
                    <w:jc w:val="right"/>
                    <w:jc w:val="center"/>
                  </w:pPr>
                  <w:r>
                    <w:t xml:space="preserve">0.031</w:t>
                  </w:r>
                </w:p>
              </w:tc>
              <w:tc>
                <w:tcPr/>
                <w:p>
                  <w:pPr>
                    <w:pStyle w:val="Compact"/>
                    <w:jc w:val="right"/>
                    <w:jc w:val="center"/>
                  </w:pPr>
                  <w:r>
                    <w:t xml:space="preserve">.499</w:t>
                  </w:r>
                </w:p>
              </w:tc>
            </w:tr>
            <w:tr>
              <w:tc>
                <w:tcPr/>
                <w:p>
                  <w:pPr>
                    <w:pStyle w:val="Compact"/>
                    <w:jc w:val="left"/>
                    <w:jc w:val="center"/>
                  </w:pPr>
                  <w:r>
                    <w:t xml:space="preserve">M_wsls</w:t>
                  </w:r>
                </w:p>
              </w:tc>
              <w:tc>
                <w:tcPr/>
                <w:p>
                  <w:pPr>
                    <w:pStyle w:val="Compact"/>
                    <w:jc w:val="right"/>
                    <w:jc w:val="center"/>
                  </w:pPr>
                  <w:r>
                    <w:t xml:space="preserve">Drift, previous choice</w:t>
                  </w:r>
                </w:p>
              </w:tc>
              <w:tc>
                <w:tcPr/>
                <w:p>
                  <w:pPr>
                    <w:pStyle w:val="Compact"/>
                    <w:jc w:val="right"/>
                    <w:jc w:val="center"/>
                  </w:pPr>
                  <w:r>
                    <w:t xml:space="preserve">0.053</w:t>
                  </w:r>
                </w:p>
              </w:tc>
              <w:tc>
                <w:tcPr/>
                <w:p>
                  <w:pPr>
                    <w:pStyle w:val="Compact"/>
                    <w:jc w:val="right"/>
                    <w:jc w:val="center"/>
                  </w:pPr>
                  <w:r>
                    <w:t xml:space="preserve">0.023</w:t>
                  </w:r>
                </w:p>
              </w:tc>
              <w:tc>
                <w:tcPr/>
                <w:p>
                  <w:pPr>
                    <w:pStyle w:val="Compact"/>
                    <w:jc w:val="right"/>
                    <w:jc w:val="center"/>
                  </w:pPr>
                  <w:r>
                    <w:t xml:space="preserve">.991</w:t>
                  </w:r>
                </w:p>
              </w:tc>
            </w:tr>
            <w:tr>
              <w:tc>
                <w:tcPr/>
                <w:p>
                  <w:pPr>
                    <w:pStyle w:val="Compact"/>
                    <w:jc w:val="left"/>
                    <w:jc w:val="center"/>
                  </w:pPr>
                  <w:r>
                    <w:t xml:space="preserve">fatigue</w:t>
                  </w:r>
                </w:p>
              </w:tc>
              <w:tc>
                <w:tcPr/>
                <w:p>
                  <w:pPr>
                    <w:pStyle w:val="Compact"/>
                    <w:jc w:val="right"/>
                    <w:jc w:val="center"/>
                  </w:pPr>
                  <w:r>
                    <w:t xml:space="preserve">Boundary separation, age</w:t>
                  </w:r>
                </w:p>
              </w:tc>
              <w:tc>
                <w:tcPr/>
                <w:p>
                  <w:pPr>
                    <w:pStyle w:val="Compact"/>
                    <w:jc w:val="right"/>
                    <w:jc w:val="center"/>
                  </w:pPr>
                  <w:r>
                    <w:t xml:space="preserve">0.003</w:t>
                  </w:r>
                </w:p>
              </w:tc>
              <w:tc>
                <w:tcPr/>
                <w:p>
                  <w:pPr>
                    <w:pStyle w:val="Compact"/>
                    <w:jc w:val="right"/>
                    <w:jc w:val="center"/>
                  </w:pPr>
                  <w:r>
                    <w:t xml:space="preserve">0.025</w:t>
                  </w:r>
                </w:p>
              </w:tc>
              <w:tc>
                <w:tcPr/>
                <w:p>
                  <w:pPr>
                    <w:pStyle w:val="Compact"/>
                    <w:jc w:val="right"/>
                    <w:jc w:val="center"/>
                  </w:pPr>
                  <w:r>
                    <w:t xml:space="preserve">.552</w:t>
                  </w:r>
                </w:p>
              </w:tc>
            </w:tr>
            <w:tr>
              <w:tc>
                <w:tcPr/>
                <w:p>
                  <w:pPr>
                    <w:pStyle w:val="Compact"/>
                    <w:jc w:val="left"/>
                    <w:jc w:val="center"/>
                  </w:pPr>
                  <w:r>
                    <w:t xml:space="preserve">fatigue</w:t>
                  </w:r>
                </w:p>
              </w:tc>
              <w:tc>
                <w:tcPr/>
                <w:p>
                  <w:pPr>
                    <w:pStyle w:val="Compact"/>
                    <w:jc w:val="right"/>
                    <w:jc w:val="center"/>
                  </w:pPr>
                  <w:r>
                    <w:t xml:space="preserve">Boundary separation, second half</w:t>
                  </w:r>
                </w:p>
              </w:tc>
              <w:tc>
                <w:tcPr/>
                <w:p>
                  <w:pPr>
                    <w:pStyle w:val="Compact"/>
                    <w:jc w:val="right"/>
                    <w:jc w:val="center"/>
                  </w:pPr>
                  <w:r>
                    <w:t xml:space="preserve">−0.022</w:t>
                  </w:r>
                </w:p>
              </w:tc>
              <w:tc>
                <w:tcPr/>
                <w:p>
                  <w:pPr>
                    <w:pStyle w:val="Compact"/>
                    <w:jc w:val="right"/>
                    <w:jc w:val="center"/>
                  </w:pPr>
                  <w:r>
                    <w:t xml:space="preserve">0.009</w:t>
                  </w:r>
                </w:p>
              </w:tc>
              <w:tc>
                <w:tcPr/>
                <w:p>
                  <w:pPr>
                    <w:pStyle w:val="Compact"/>
                    <w:jc w:val="right"/>
                    <w:jc w:val="center"/>
                  </w:pPr>
                  <w:r>
                    <w:t xml:space="preserve">.007</w:t>
                  </w:r>
                </w:p>
              </w:tc>
            </w:tr>
            <w:tr>
              <w:tc>
                <w:tcPr/>
                <w:p>
                  <w:pPr>
                    <w:pStyle w:val="Compact"/>
                    <w:jc w:val="left"/>
                    <w:jc w:val="center"/>
                  </w:pPr>
                  <w:r>
                    <w:t xml:space="preserve">fatigue</w:t>
                  </w:r>
                </w:p>
              </w:tc>
              <w:tc>
                <w:tcPr/>
                <w:p>
                  <w:pPr>
                    <w:pStyle w:val="Compact"/>
                    <w:jc w:val="right"/>
                    <w:jc w:val="center"/>
                  </w:pPr>
                  <w:r>
                    <w:t xml:space="preserve">Boundary separation, high effort</w:t>
                  </w:r>
                </w:p>
              </w:tc>
              <w:tc>
                <w:tcPr/>
                <w:p>
                  <w:pPr>
                    <w:pStyle w:val="Compact"/>
                    <w:jc w:val="right"/>
                    <w:jc w:val="center"/>
                  </w:pPr>
                  <w:r>
                    <w:t xml:space="preserve">0.009</w:t>
                  </w:r>
                </w:p>
              </w:tc>
              <w:tc>
                <w:tcPr/>
                <w:p>
                  <w:pPr>
                    <w:pStyle w:val="Compact"/>
                    <w:jc w:val="right"/>
                    <w:jc w:val="center"/>
                  </w:pPr>
                  <w:r>
                    <w:t xml:space="preserve">0.010</w:t>
                  </w:r>
                </w:p>
              </w:tc>
              <w:tc>
                <w:tcPr/>
                <w:p>
                  <w:pPr>
                    <w:pStyle w:val="Compact"/>
                    <w:jc w:val="right"/>
                    <w:jc w:val="center"/>
                  </w:pPr>
                  <w:r>
                    <w:t xml:space="preserve">.819</w:t>
                  </w:r>
                </w:p>
              </w:tc>
            </w:tr>
            <w:tr>
              <w:tc>
                <w:tcPr/>
                <w:p>
                  <w:pPr>
                    <w:pStyle w:val="Compact"/>
                    <w:jc w:val="left"/>
                    <w:jc w:val="center"/>
                  </w:pPr>
                  <w:r>
                    <w:t xml:space="preserve">fatigue</w:t>
                  </w:r>
                </w:p>
              </w:tc>
              <w:tc>
                <w:tcPr/>
                <w:p>
                  <w:pPr>
                    <w:pStyle w:val="Compact"/>
                    <w:jc w:val="right"/>
                    <w:jc w:val="center"/>
                  </w:pPr>
                  <w:r>
                    <w:t xml:space="preserve">Boundary separation, high effort × second half</w:t>
                  </w:r>
                </w:p>
              </w:tc>
              <w:tc>
                <w:tcPr/>
                <w:p>
                  <w:pPr>
                    <w:pStyle w:val="Compact"/>
                    <w:jc w:val="right"/>
                    <w:jc w:val="center"/>
                  </w:pPr>
                  <w:r>
                    <w:t xml:space="preserve">0.011</w:t>
                  </w:r>
                </w:p>
              </w:tc>
              <w:tc>
                <w:tcPr/>
                <w:p>
                  <w:pPr>
                    <w:pStyle w:val="Compact"/>
                    <w:jc w:val="right"/>
                    <w:jc w:val="center"/>
                  </w:pPr>
                  <w:r>
                    <w:t xml:space="preserve">0.013</w:t>
                  </w:r>
                </w:p>
              </w:tc>
              <w:tc>
                <w:tcPr/>
                <w:p>
                  <w:pPr>
                    <w:pStyle w:val="Compact"/>
                    <w:jc w:val="right"/>
                    <w:jc w:val="center"/>
                  </w:pPr>
                  <w:r>
                    <w:t xml:space="preserve">.808</w:t>
                  </w:r>
                </w:p>
              </w:tc>
            </w:tr>
            <w:tr>
              <w:tc>
                <w:tcPr/>
                <w:p>
                  <w:pPr>
                    <w:pStyle w:val="Compact"/>
                    <w:jc w:val="left"/>
                    <w:jc w:val="center"/>
                  </w:pPr>
                  <w:r>
                    <w:t xml:space="preserve">fatigue</w:t>
                  </w:r>
                </w:p>
              </w:tc>
              <w:tc>
                <w:tcPr/>
                <w:p>
                  <w:pPr>
                    <w:pStyle w:val="Compact"/>
                    <w:jc w:val="right"/>
                    <w:jc w:val="center"/>
                  </w:pPr>
                  <w:r>
                    <w:t xml:space="preserve">Drift, age</w:t>
                  </w:r>
                </w:p>
              </w:tc>
              <w:tc>
                <w:tcPr/>
                <w:p>
                  <w:pPr>
                    <w:pStyle w:val="Compact"/>
                    <w:jc w:val="right"/>
                    <w:jc w:val="center"/>
                  </w:pPr>
                  <w:r>
                    <w:t xml:space="preserve">−0.027</w:t>
                  </w:r>
                </w:p>
              </w:tc>
              <w:tc>
                <w:tcPr/>
                <w:p>
                  <w:pPr>
                    <w:pStyle w:val="Compact"/>
                    <w:jc w:val="right"/>
                    <w:jc w:val="center"/>
                  </w:pPr>
                  <w:r>
                    <w:t xml:space="preserve">0.051</w:t>
                  </w:r>
                </w:p>
              </w:tc>
              <w:tc>
                <w:tcPr/>
                <w:p>
                  <w:pPr>
                    <w:pStyle w:val="Compact"/>
                    <w:jc w:val="right"/>
                    <w:jc w:val="center"/>
                  </w:pPr>
                  <w:r>
                    <w:t xml:space="preserve">.301</w:t>
                  </w:r>
                </w:p>
              </w:tc>
            </w:tr>
            <w:tr>
              <w:tc>
                <w:tcPr/>
                <w:p>
                  <w:pPr>
                    <w:pStyle w:val="Compact"/>
                    <w:jc w:val="left"/>
                    <w:jc w:val="center"/>
                  </w:pPr>
                  <w:r>
                    <w:t xml:space="preserve">fatigue</w:t>
                  </w:r>
                </w:p>
              </w:tc>
              <w:tc>
                <w:tcPr/>
                <w:p>
                  <w:pPr>
                    <w:pStyle w:val="Compact"/>
                    <w:jc w:val="right"/>
                    <w:jc w:val="center"/>
                  </w:pPr>
                  <w:r>
                    <w:t xml:space="preserve">Drift, second half</w:t>
                  </w:r>
                </w:p>
              </w:tc>
              <w:tc>
                <w:tcPr/>
                <w:p>
                  <w:pPr>
                    <w:pStyle w:val="Compact"/>
                    <w:jc w:val="right"/>
                    <w:jc w:val="center"/>
                  </w:pPr>
                  <w:r>
                    <w:t xml:space="preserve">0.014</w:t>
                  </w:r>
                </w:p>
              </w:tc>
              <w:tc>
                <w:tcPr/>
                <w:p>
                  <w:pPr>
                    <w:pStyle w:val="Compact"/>
                    <w:jc w:val="right"/>
                    <w:jc w:val="center"/>
                  </w:pPr>
                  <w:r>
                    <w:t xml:space="preserve">0.027</w:t>
                  </w:r>
                </w:p>
              </w:tc>
              <w:tc>
                <w:tcPr/>
                <w:p>
                  <w:pPr>
                    <w:pStyle w:val="Compact"/>
                    <w:jc w:val="right"/>
                    <w:jc w:val="center"/>
                  </w:pPr>
                  <w:r>
                    <w:t xml:space="preserve">.705</w:t>
                  </w:r>
                </w:p>
              </w:tc>
            </w:tr>
            <w:tr>
              <w:tc>
                <w:tcPr/>
                <w:p>
                  <w:pPr>
                    <w:pStyle w:val="Compact"/>
                    <w:jc w:val="left"/>
                    <w:jc w:val="center"/>
                  </w:pPr>
                  <w:r>
                    <w:t xml:space="preserve">fatigue</w:t>
                  </w:r>
                </w:p>
              </w:tc>
              <w:tc>
                <w:tcPr/>
                <w:p>
                  <w:pPr>
                    <w:pStyle w:val="Compact"/>
                    <w:jc w:val="right"/>
                    <w:jc w:val="center"/>
                  </w:pPr>
                  <w:r>
                    <w:t xml:space="preserve">Drift, second half × age</w:t>
                  </w:r>
                </w:p>
              </w:tc>
              <w:tc>
                <w:tcPr/>
                <w:p>
                  <w:pPr>
                    <w:pStyle w:val="Compact"/>
                    <w:jc w:val="right"/>
                    <w:jc w:val="center"/>
                  </w:pPr>
                  <w:r>
                    <w:t xml:space="preserve">0.048</w:t>
                  </w:r>
                </w:p>
              </w:tc>
              <w:tc>
                <w:tcPr/>
                <w:p>
                  <w:pPr>
                    <w:pStyle w:val="Compact"/>
                    <w:jc w:val="right"/>
                    <w:jc w:val="center"/>
                  </w:pPr>
                  <w:r>
                    <w:t xml:space="preserve">0.027</w:t>
                  </w:r>
                </w:p>
              </w:tc>
              <w:tc>
                <w:tcPr/>
                <w:p>
                  <w:pPr>
                    <w:pStyle w:val="Compact"/>
                    <w:jc w:val="right"/>
                    <w:jc w:val="center"/>
                  </w:pPr>
                  <w:r>
                    <w:t xml:space="preserve">.958</w:t>
                  </w:r>
                </w:p>
              </w:tc>
            </w:tr>
            <w:tr>
              <w:tc>
                <w:tcPr/>
                <w:p>
                  <w:pPr>
                    <w:pStyle w:val="Compact"/>
                    <w:jc w:val="left"/>
                    <w:jc w:val="center"/>
                  </w:pPr>
                  <w:r>
                    <w:t xml:space="preserve">fatigue</w:t>
                  </w:r>
                </w:p>
              </w:tc>
              <w:tc>
                <w:tcPr/>
                <w:p>
                  <w:pPr>
                    <w:pStyle w:val="Compact"/>
                    <w:jc w:val="right"/>
                    <w:jc w:val="center"/>
                  </w:pPr>
                  <w:r>
                    <w:t xml:space="preserve">Drift, high effort</w:t>
                  </w:r>
                </w:p>
              </w:tc>
              <w:tc>
                <w:tcPr/>
                <w:p>
                  <w:pPr>
                    <w:pStyle w:val="Compact"/>
                    <w:jc w:val="right"/>
                    <w:jc w:val="center"/>
                  </w:pPr>
                  <w:r>
                    <w:t xml:space="preserve">−0.038</w:t>
                  </w:r>
                </w:p>
              </w:tc>
              <w:tc>
                <w:tcPr/>
                <w:p>
                  <w:pPr>
                    <w:pStyle w:val="Compact"/>
                    <w:jc w:val="right"/>
                    <w:jc w:val="center"/>
                  </w:pPr>
                  <w:r>
                    <w:t xml:space="preserve">0.024</w:t>
                  </w:r>
                </w:p>
              </w:tc>
              <w:tc>
                <w:tcPr/>
                <w:p>
                  <w:pPr>
                    <w:pStyle w:val="Compact"/>
                    <w:jc w:val="right"/>
                    <w:jc w:val="center"/>
                  </w:pPr>
                  <w:r>
                    <w:t xml:space="preserve">.052</w:t>
                  </w:r>
                </w:p>
              </w:tc>
            </w:tr>
            <w:tr>
              <w:tc>
                <w:tcPr/>
                <w:p>
                  <w:pPr>
                    <w:pStyle w:val="Compact"/>
                    <w:jc w:val="left"/>
                    <w:jc w:val="center"/>
                  </w:pPr>
                  <w:r>
                    <w:t xml:space="preserve">fatigue</w:t>
                  </w:r>
                </w:p>
              </w:tc>
              <w:tc>
                <w:tcPr/>
                <w:p>
                  <w:pPr>
                    <w:pStyle w:val="Compact"/>
                    <w:jc w:val="right"/>
                    <w:jc w:val="center"/>
                  </w:pPr>
                  <w:r>
                    <w:t xml:space="preserve">Drift, high effort × age</w:t>
                  </w:r>
                </w:p>
              </w:tc>
              <w:tc>
                <w:tcPr/>
                <w:p>
                  <w:pPr>
                    <w:pStyle w:val="Compact"/>
                    <w:jc w:val="right"/>
                    <w:jc w:val="center"/>
                  </w:pPr>
                  <w:r>
                    <w:t xml:space="preserve">−0.029</w:t>
                  </w:r>
                </w:p>
              </w:tc>
              <w:tc>
                <w:tcPr/>
                <w:p>
                  <w:pPr>
                    <w:pStyle w:val="Compact"/>
                    <w:jc w:val="right"/>
                    <w:jc w:val="center"/>
                  </w:pPr>
                  <w:r>
                    <w:t xml:space="preserve">0.024</w:t>
                  </w:r>
                </w:p>
              </w:tc>
              <w:tc>
                <w:tcPr/>
                <w:p>
                  <w:pPr>
                    <w:pStyle w:val="Compact"/>
                    <w:jc w:val="right"/>
                    <w:jc w:val="center"/>
                  </w:pPr>
                  <w:r>
                    <w:t xml:space="preserve">.113</w:t>
                  </w:r>
                </w:p>
              </w:tc>
            </w:tr>
            <w:tr>
              <w:tc>
                <w:tcPr/>
                <w:p>
                  <w:pPr>
                    <w:pStyle w:val="Compact"/>
                    <w:jc w:val="left"/>
                    <w:jc w:val="center"/>
                  </w:pPr>
                  <w:r>
                    <w:t xml:space="preserve">fatigue</w:t>
                  </w:r>
                </w:p>
              </w:tc>
              <w:tc>
                <w:tcPr/>
                <w:p>
                  <w:pPr>
                    <w:pStyle w:val="Compact"/>
                    <w:jc w:val="right"/>
                    <w:jc w:val="center"/>
                  </w:pPr>
                  <w:r>
                    <w:t xml:space="preserve">Drift, high effort × second half</w:t>
                  </w:r>
                </w:p>
              </w:tc>
              <w:tc>
                <w:tcPr/>
                <w:p>
                  <w:pPr>
                    <w:pStyle w:val="Compact"/>
                    <w:jc w:val="right"/>
                    <w:jc w:val="center"/>
                  </w:pPr>
                  <w:r>
                    <w:t xml:space="preserve">−0.035</w:t>
                  </w:r>
                </w:p>
              </w:tc>
              <w:tc>
                <w:tcPr/>
                <w:p>
                  <w:pPr>
                    <w:pStyle w:val="Compact"/>
                    <w:jc w:val="right"/>
                    <w:jc w:val="center"/>
                  </w:pPr>
                  <w:r>
                    <w:t xml:space="preserve">0.034</w:t>
                  </w:r>
                </w:p>
              </w:tc>
              <w:tc>
                <w:tcPr/>
                <w:p>
                  <w:pPr>
                    <w:pStyle w:val="Compact"/>
                    <w:jc w:val="right"/>
                    <w:jc w:val="center"/>
                  </w:pPr>
                  <w:r>
                    <w:t xml:space="preserve">.147</w:t>
                  </w:r>
                </w:p>
              </w:tc>
            </w:tr>
            <w:tr>
              <w:tc>
                <w:tcPr/>
                <w:p>
                  <w:pPr>
                    <w:pStyle w:val="Compact"/>
                    <w:jc w:val="left"/>
                    <w:jc w:val="center"/>
                  </w:pPr>
                  <w:r>
                    <w:t xml:space="preserve">fatigue</w:t>
                  </w:r>
                </w:p>
              </w:tc>
              <w:tc>
                <w:tcPr/>
                <w:p>
                  <w:pPr>
                    <w:pStyle w:val="Compact"/>
                    <w:jc w:val="right"/>
                    <w:jc w:val="center"/>
                  </w:pPr>
                  <w:r>
                    <w:t xml:space="preserve">Drift, high effort × second half × age</w:t>
                  </w:r>
                </w:p>
              </w:tc>
              <w:tc>
                <w:tcPr/>
                <w:p>
                  <w:pPr>
                    <w:pStyle w:val="Compact"/>
                    <w:jc w:val="right"/>
                    <w:jc w:val="center"/>
                  </w:pPr>
                  <w:r>
                    <w:t xml:space="preserve">−0.023</w:t>
                  </w:r>
                </w:p>
              </w:tc>
              <w:tc>
                <w:tcPr/>
                <w:p>
                  <w:pPr>
                    <w:pStyle w:val="Compact"/>
                    <w:jc w:val="right"/>
                    <w:jc w:val="center"/>
                  </w:pPr>
                  <w:r>
                    <w:t xml:space="preserve">0.035</w:t>
                  </w:r>
                </w:p>
              </w:tc>
              <w:tc>
                <w:tcPr/>
                <w:p>
                  <w:pPr>
                    <w:pStyle w:val="Compact"/>
                    <w:jc w:val="right"/>
                    <w:jc w:val="center"/>
                  </w:pPr>
                  <w:r>
                    <w:t xml:space="preserve">.260</w:t>
                  </w:r>
                </w:p>
              </w:tc>
            </w:tr>
          </w:tbl>
          <w:p>
            <w:pPr>
              <w:jc w:val="center"/>
            </w:pPr>
            <w:r>
              <w:rPr>
                <w:i/>
                <w:iCs/>
              </w:rPr>
              <w:t xml:space="preserve">Note.</w:t>
            </w:r>
            <w:r>
              <w:t xml:space="preserve"> </w:t>
            </w:r>
            <w:r>
              <w:t xml:space="preserve">Fit on the pre-revision model structure. The fatigue block is exploratory_fatigue_trajectory; that file has no model column.</w:t>
            </w:r>
          </w:p>
          <w:bookmarkEnd w:id="161"/>
        </w:tc>
      </w:tr>
    </w:tbl>
    <w:bookmarkEnd w:id="162"/>
    <w:bookmarkStart w:id="175" w:name="X28382c03197a763bcc44ea3fb703cff838a2d94"/>
    <w:p>
      <w:pPr>
        <w:pStyle w:val="Heading2"/>
      </w:pPr>
      <w:r>
        <w:t xml:space="preserve">Additional diagnostics (dissertation only): CAF and RT distributions</w:t>
      </w:r>
    </w:p>
    <w:p>
      <w:pPr>
        <w:pStyle w:val="FirstParagraph"/>
      </w:pPr>
      <w:r>
        <w:t xml:space="preserve">Figures S6–S8 show the Hard-versus-Easy RT relation, conditional accuracy functions and RT distributions.</w:t>
      </w:r>
    </w:p>
    <w:tbl>
      <w:tblPr>
        <w:tblStyle w:val="Table"/>
        <w:tblW w:type="pct" w:w="5000"/>
        <w:tblLayout w:type="fixed"/>
        <w:tblLook w:firstRow="0" w:lastRow="0" w:firstColumn="0" w:lastColumn="0" w:noHBand="0" w:noVBand="0" w:val="0000"/>
      </w:tblPr>
      <w:tblGrid>
        <w:gridCol w:w="7920"/>
      </w:tblGrid>
      <w:tr>
        <w:tc>
          <w:tcPr/>
          <w:bookmarkStart w:id="166" w:name="suppfig-brinley"/>
          <w:p>
            <w:pPr>
              <w:jc w:val="center"/>
            </w:pPr>
            <w:r>
              <w:drawing>
                <wp:inline>
                  <wp:extent cx="4954274" cy="4770782"/>
                  <wp:effectExtent b="0" l="0" r="0" t="0"/>
                  <wp:docPr descr="" title="" id="164" name="Picture"/>
                  <a:graphic>
                    <a:graphicData uri="http://schemas.openxmlformats.org/drawingml/2006/picture">
                      <pic:pic>
                        <pic:nvPicPr>
                          <pic:cNvPr descr="../output/ddm_refits/runs/final_20261016/figures/final/F4_brinley.png" id="165" name="Picture"/>
                          <pic:cNvPicPr>
                            <a:picLocks noChangeArrowheads="1" noChangeAspect="1"/>
                          </pic:cNvPicPr>
                        </pic:nvPicPr>
                        <pic:blipFill>
                          <a:blip r:embed="rId163"/>
                          <a:stretch>
                            <a:fillRect/>
                          </a:stretch>
                        </pic:blipFill>
                        <pic:spPr bwMode="auto">
                          <a:xfrm>
                            <a:off x="0" y="0"/>
                            <a:ext cx="4954274" cy="4770782"/>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Participant mean RT on Hard versus Easy trials. The line is the least-squares fit with 95% CI; the dashed line is identity.</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fig-caf"/>
          <w:p>
            <w:pPr>
              <w:jc w:val="center"/>
            </w:pPr>
            <w:r>
              <w:drawing>
                <wp:inline>
                  <wp:extent cx="5334000" cy="3674533"/>
                  <wp:effectExtent b="0" l="0" r="0" t="0"/>
                  <wp:docPr descr="" title="" id="168" name="Picture"/>
                  <a:graphic>
                    <a:graphicData uri="http://schemas.openxmlformats.org/drawingml/2006/picture">
                      <pic:pic>
                        <pic:nvPicPr>
                          <pic:cNvPr descr="../output/ddm_refits/runs/final_20261016/figures/final/S_caf.png" id="169" name="Picture"/>
                          <pic:cNvPicPr>
                            <a:picLocks noChangeArrowheads="1" noChangeAspect="1"/>
                          </pic:cNvPicPr>
                        </pic:nvPicPr>
                        <pic:blipFill>
                          <a:blip r:embed="rId167"/>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S7: Conditional accuracy functions: accuracy by RT bin, task, stimulus type and effort</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fig-rtdist"/>
          <w:p>
            <w:pPr>
              <w:jc w:val="center"/>
            </w:pPr>
            <w:r>
              <w:drawing>
                <wp:inline>
                  <wp:extent cx="5334000" cy="3962400"/>
                  <wp:effectExtent b="0" l="0" r="0" t="0"/>
                  <wp:docPr descr="" title="" id="172" name="Picture"/>
                  <a:graphic>
                    <a:graphicData uri="http://schemas.openxmlformats.org/drawingml/2006/picture">
                      <pic:pic>
                        <pic:nvPicPr>
                          <pic:cNvPr descr="../output/ddm_refits/runs/final_20261016/figures/final/S_rt_distributions.png" id="173" name="Picture"/>
                          <pic:cNvPicPr>
                            <a:picLocks noChangeArrowheads="1" noChangeAspect="1"/>
                          </pic:cNvPicPr>
                        </pic:nvPicPr>
                        <pic:blipFill>
                          <a:blip r:embed="rId171"/>
                          <a:stretch>
                            <a:fillRect/>
                          </a:stretch>
                        </pic:blipFill>
                        <pic:spPr bwMode="auto">
                          <a:xfrm>
                            <a:off x="0" y="0"/>
                            <a:ext cx="53340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Distributions of cue-locked and probe-locked RT in the primary sample</w:t>
            </w:r>
          </w:p>
          <w:bookmarkEnd w:id="174"/>
        </w:tc>
      </w:tr>
    </w:tbl>
    <w:bookmarkEnd w:id="175"/>
    <w:bookmarkStart w:id="176" w:name="analysis-provenance-dissertation-only"/>
    <w:p>
      <w:pPr>
        <w:pStyle w:val="Heading2"/>
      </w:pPr>
      <w:r>
        <w:t xml:space="preserve">Analysis provenance (dissertation only)</w:t>
      </w:r>
    </w:p>
    <w:p>
      <w:pPr>
        <w:pStyle w:val="FirstParagraph"/>
      </w:pPr>
      <w:r>
        <w:t xml:space="preserve">Pupil samples were placed on a time axis at the recorded 250-Hz sampling rate, from 3 s before squeeze onset to the end of the confidence window. Earlier internal analyses that used a time axis derived from file timestamps were discarded, because that axis compressed time and misplaced the analysis windows; no result from those analyses is reported.</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63" Target="media/rId163.png" /><Relationship Type="http://schemas.openxmlformats.org/officeDocument/2006/relationships/image" Id="rId153" Target="media/rId153.png" /><Relationship Type="http://schemas.openxmlformats.org/officeDocument/2006/relationships/image" Id="rId167" Target="media/rId167.png" /><Relationship Type="http://schemas.openxmlformats.org/officeDocument/2006/relationships/image" Id="rId134" Target="media/rId134.png" /><Relationship Type="http://schemas.openxmlformats.org/officeDocument/2006/relationships/image" Id="rId119" Target="media/rId119.png" /><Relationship Type="http://schemas.openxmlformats.org/officeDocument/2006/relationships/image" Id="rId129" Target="media/rId129.png" /><Relationship Type="http://schemas.openxmlformats.org/officeDocument/2006/relationships/image" Id="rId171" Target="media/rId171.png" /><Relationship Type="http://schemas.openxmlformats.org/officeDocument/2006/relationships/hyperlink" Id="rId100" Target="https://doi.org/10.1007/s00426-020-01371-8" TargetMode="External" /><Relationship Type="http://schemas.openxmlformats.org/officeDocument/2006/relationships/hyperlink" Id="rId56" Target="https://doi.org/10.1016/j.jml.2012.11.001" TargetMode="External" /><Relationship Type="http://schemas.openxmlformats.org/officeDocument/2006/relationships/hyperlink" Id="rId85" Target="https://doi.org/10.1016/j.neuroimage.2020.116560" TargetMode="External" /><Relationship Type="http://schemas.openxmlformats.org/officeDocument/2006/relationships/hyperlink" Id="rId75" Target="https://doi.org/10.1016/j.neuron.2015.11.028" TargetMode="External" /><Relationship Type="http://schemas.openxmlformats.org/officeDocument/2006/relationships/hyperlink" Id="rId83" Target="https://doi.org/10.1016/j.tics.2016.01.001" TargetMode="External" /><Relationship Type="http://schemas.openxmlformats.org/officeDocument/2006/relationships/hyperlink" Id="rId62" Target="https://doi.org/10.1037/0033-2909.91.2.276" TargetMode="External" /><Relationship Type="http://schemas.openxmlformats.org/officeDocument/2006/relationships/hyperlink" Id="rId93" Target="https://doi.org/10.1037/0882-7974.16.2.323" TargetMode="External" /><Relationship Type="http://schemas.openxmlformats.org/officeDocument/2006/relationships/hyperlink" Id="rId109" Target="https://doi.org/10.1037/0882-7974.18.3.443" TargetMode="External" /><Relationship Type="http://schemas.openxmlformats.org/officeDocument/2006/relationships/hyperlink" Id="rId69" Target="https://doi.org/10.1037/a0035813" TargetMode="External" /><Relationship Type="http://schemas.openxmlformats.org/officeDocument/2006/relationships/hyperlink" Id="rId65" Target="https://doi.org/10.1037/met0000159" TargetMode="External" /><Relationship Type="http://schemas.openxmlformats.org/officeDocument/2006/relationships/hyperlink" Id="rId54" Target="https://doi.org/10.1037/pag0000730" TargetMode="External" /><Relationship Type="http://schemas.openxmlformats.org/officeDocument/2006/relationships/hyperlink" Id="rId102" Target="https://doi.org/10.1038/ncomms14637" TargetMode="External" /><Relationship Type="http://schemas.openxmlformats.org/officeDocument/2006/relationships/hyperlink" Id="rId89" Target="https://doi.org/10.1111/j.1469-8986.2009.00947.x" TargetMode="External" /><Relationship Type="http://schemas.openxmlformats.org/officeDocument/2006/relationships/hyperlink" Id="rId50" Target="https://doi.org/10.1146/annurev.neuro.28.061604.135709" TargetMode="External" /><Relationship Type="http://schemas.openxmlformats.org/officeDocument/2006/relationships/hyperlink" Id="rId91" Target="https://doi.org/10.1162/neco.2008.12-06-420" TargetMode="External" /><Relationship Type="http://schemas.openxmlformats.org/officeDocument/2006/relationships/hyperlink" Id="rId79" Target="https://doi.org/10.1177/2515245918771304" TargetMode="External" /><Relationship Type="http://schemas.openxmlformats.org/officeDocument/2006/relationships/hyperlink" Id="rId107" Target="https://doi.org/10.1214/20-BA1221" TargetMode="External" /><Relationship Type="http://schemas.openxmlformats.org/officeDocument/2006/relationships/hyperlink" Id="rId111" Target="https://doi.org/10.1518/001872008X288394" TargetMode="External" /><Relationship Type="http://schemas.openxmlformats.org/officeDocument/2006/relationships/hyperlink" Id="rId60" Target="https://doi.org/10.18637/jss.v067.i01" TargetMode="External" /><Relationship Type="http://schemas.openxmlformats.org/officeDocument/2006/relationships/hyperlink" Id="rId67" Target="https://doi.org/10.18637/jss.v080.i01" TargetMode="External" /><Relationship Type="http://schemas.openxmlformats.org/officeDocument/2006/relationships/hyperlink" Id="rId52" Target="https://doi.org/10.31234/osf.io/et9a2" TargetMode="External" /><Relationship Type="http://schemas.openxmlformats.org/officeDocument/2006/relationships/hyperlink" Id="rId81" Target="https://doi.org/10.32614/CRAN.package.emmeans" TargetMode="External" /><Relationship Type="http://schemas.openxmlformats.org/officeDocument/2006/relationships/hyperlink" Id="rId115" Target="https://doi.org/10.3389/fnbeh.2014.00286" TargetMode="External" /><Relationship Type="http://schemas.openxmlformats.org/officeDocument/2006/relationships/hyperlink" Id="rId95" Target="https://doi.org/10.3758/BF03196302" TargetMode="External" /><Relationship Type="http://schemas.openxmlformats.org/officeDocument/2006/relationships/hyperlink" Id="rId71" Target="https://doi.org/10.3758/s13415-020-00843-z" TargetMode="External" /><Relationship Type="http://schemas.openxmlformats.org/officeDocument/2006/relationships/hyperlink" Id="rId104" Target="https://doi.org/10.3758/s13423-018-1432-y" TargetMode="External" /><Relationship Type="http://schemas.openxmlformats.org/officeDocument/2006/relationships/hyperlink" Id="rId58" Target="https://doi.org/10.48550/arXiv.1506.04967" TargetMode="External" /><Relationship Type="http://schemas.openxmlformats.org/officeDocument/2006/relationships/hyperlink" Id="rId87" Target="https://doi.org/10.5334/joc.18" TargetMode="External" /><Relationship Type="http://schemas.openxmlformats.org/officeDocument/2006/relationships/hyperlink" Id="rId73" Target="https://doi.org/10.7554/eLife.54014" TargetMode="External" /><Relationship Type="http://schemas.openxmlformats.org/officeDocument/2006/relationships/hyperlink" Id="rId113" Target="https://iovs.arvojournals.org/article.aspx?articleid=2161149" TargetMode="External" /><Relationship Type="http://schemas.openxmlformats.org/officeDocument/2006/relationships/hyperlink" Id="rId97" Target="https://mc-stan.org/docs/cmdstan-guide/"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7/s00426-020-01371-8" TargetMode="External" /><Relationship Type="http://schemas.openxmlformats.org/officeDocument/2006/relationships/hyperlink" Id="rId56" Target="https://doi.org/10.1016/j.jml.2012.11.001" TargetMode="External" /><Relationship Type="http://schemas.openxmlformats.org/officeDocument/2006/relationships/hyperlink" Id="rId85" Target="https://doi.org/10.1016/j.neuroimage.2020.116560" TargetMode="External" /><Relationship Type="http://schemas.openxmlformats.org/officeDocument/2006/relationships/hyperlink" Id="rId75" Target="https://doi.org/10.1016/j.neuron.2015.11.028" TargetMode="External" /><Relationship Type="http://schemas.openxmlformats.org/officeDocument/2006/relationships/hyperlink" Id="rId83" Target="https://doi.org/10.1016/j.tics.2016.01.001" TargetMode="External" /><Relationship Type="http://schemas.openxmlformats.org/officeDocument/2006/relationships/hyperlink" Id="rId62" Target="https://doi.org/10.1037/0033-2909.91.2.276" TargetMode="External" /><Relationship Type="http://schemas.openxmlformats.org/officeDocument/2006/relationships/hyperlink" Id="rId93" Target="https://doi.org/10.1037/0882-7974.16.2.323" TargetMode="External" /><Relationship Type="http://schemas.openxmlformats.org/officeDocument/2006/relationships/hyperlink" Id="rId109" Target="https://doi.org/10.1037/0882-7974.18.3.443" TargetMode="External" /><Relationship Type="http://schemas.openxmlformats.org/officeDocument/2006/relationships/hyperlink" Id="rId69" Target="https://doi.org/10.1037/a0035813" TargetMode="External" /><Relationship Type="http://schemas.openxmlformats.org/officeDocument/2006/relationships/hyperlink" Id="rId65" Target="https://doi.org/10.1037/met0000159" TargetMode="External" /><Relationship Type="http://schemas.openxmlformats.org/officeDocument/2006/relationships/hyperlink" Id="rId54" Target="https://doi.org/10.1037/pag0000730" TargetMode="External" /><Relationship Type="http://schemas.openxmlformats.org/officeDocument/2006/relationships/hyperlink" Id="rId102" Target="https://doi.org/10.1038/ncomms14637" TargetMode="External" /><Relationship Type="http://schemas.openxmlformats.org/officeDocument/2006/relationships/hyperlink" Id="rId89" Target="https://doi.org/10.1111/j.1469-8986.2009.00947.x" TargetMode="External" /><Relationship Type="http://schemas.openxmlformats.org/officeDocument/2006/relationships/hyperlink" Id="rId50" Target="https://doi.org/10.1146/annurev.neuro.28.061604.135709" TargetMode="External" /><Relationship Type="http://schemas.openxmlformats.org/officeDocument/2006/relationships/hyperlink" Id="rId91" Target="https://doi.org/10.1162/neco.2008.12-06-420" TargetMode="External" /><Relationship Type="http://schemas.openxmlformats.org/officeDocument/2006/relationships/hyperlink" Id="rId79" Target="https://doi.org/10.1177/2515245918771304" TargetMode="External" /><Relationship Type="http://schemas.openxmlformats.org/officeDocument/2006/relationships/hyperlink" Id="rId107" Target="https://doi.org/10.1214/20-BA1221" TargetMode="External" /><Relationship Type="http://schemas.openxmlformats.org/officeDocument/2006/relationships/hyperlink" Id="rId111" Target="https://doi.org/10.1518/001872008X288394" TargetMode="External" /><Relationship Type="http://schemas.openxmlformats.org/officeDocument/2006/relationships/hyperlink" Id="rId60" Target="https://doi.org/10.18637/jss.v067.i01" TargetMode="External" /><Relationship Type="http://schemas.openxmlformats.org/officeDocument/2006/relationships/hyperlink" Id="rId67" Target="https://doi.org/10.18637/jss.v080.i01" TargetMode="External" /><Relationship Type="http://schemas.openxmlformats.org/officeDocument/2006/relationships/hyperlink" Id="rId52" Target="https://doi.org/10.31234/osf.io/et9a2" TargetMode="External" /><Relationship Type="http://schemas.openxmlformats.org/officeDocument/2006/relationships/hyperlink" Id="rId81" Target="https://doi.org/10.32614/CRAN.package.emmeans" TargetMode="External" /><Relationship Type="http://schemas.openxmlformats.org/officeDocument/2006/relationships/hyperlink" Id="rId115" Target="https://doi.org/10.3389/fnbeh.2014.00286" TargetMode="External" /><Relationship Type="http://schemas.openxmlformats.org/officeDocument/2006/relationships/hyperlink" Id="rId95" Target="https://doi.org/10.3758/BF03196302" TargetMode="External" /><Relationship Type="http://schemas.openxmlformats.org/officeDocument/2006/relationships/hyperlink" Id="rId71" Target="https://doi.org/10.3758/s13415-020-00843-z" TargetMode="External" /><Relationship Type="http://schemas.openxmlformats.org/officeDocument/2006/relationships/hyperlink" Id="rId104" Target="https://doi.org/10.3758/s13423-018-1432-y" TargetMode="External" /><Relationship Type="http://schemas.openxmlformats.org/officeDocument/2006/relationships/hyperlink" Id="rId58" Target="https://doi.org/10.48550/arXiv.1506.04967" TargetMode="External" /><Relationship Type="http://schemas.openxmlformats.org/officeDocument/2006/relationships/hyperlink" Id="rId87" Target="https://doi.org/10.5334/joc.18" TargetMode="External" /><Relationship Type="http://schemas.openxmlformats.org/officeDocument/2006/relationships/hyperlink" Id="rId73" Target="https://doi.org/10.7554/eLife.54014" TargetMode="External" /><Relationship Type="http://schemas.openxmlformats.org/officeDocument/2006/relationships/hyperlink" Id="rId113" Target="https://iovs.arvojournals.org/article.aspx?articleid=2161149" TargetMode="External" /><Relationship Type="http://schemas.openxmlformats.org/officeDocument/2006/relationships/hyperlink" Id="rId97" Target="https://mc-stan.org/docs/cmdstan-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Shifts the Decision Criterion, Not Evidence Quality, in Older Adults</dc:title>
  <dc:creator>Mohammad Dastgheib</dc:creator>
  <cp:keywords/>
  <dcterms:created xsi:type="dcterms:W3CDTF">2026-10-25T20:33:13Z</dcterms:created>
  <dcterms:modified xsi:type="dcterms:W3CDTF">2026-10-25T20:33:13Z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True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