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4.png" ContentType="image/png"/>
  <Override PartName="/word/media/rId144.pdf" ContentType="application/pdf"/>
  <Override PartName="/word/media/rId148.pdf" ContentType="application/pdf"/>
  <Override PartName="/word/media/rId130.png" ContentType="image/png"/>
  <Override PartName="/word/media/rId162.png" ContentType="image/png"/>
  <Override PartName="/word/media/rId207.png" ContentType="image/png"/>
  <Override PartName="/word/media/rId176.png" ContentType="image/png"/>
  <Override PartName="/word/media/rId158.png" ContentType="image/png"/>
  <Override PartName="/word/media/rId71.png" ContentType="image/png"/>
  <Override PartName="/word/media/rId121.png" ContentType="image/png"/>
  <Override PartName="/word/media/rId138.png" ContentType="image/png"/>
  <Override PartName="/word/media/rId54.png" ContentType="image/png"/>
  <Override PartName="/word/media/rId62.png" ContentType="image/png"/>
  <Override PartName="/word/media/rId58.png" ContentType="image/png"/>
  <Override PartName="/word/media/rId75.png" ContentType="image/png"/>
  <Override PartName="/word/media/rId108.png" ContentType="image/png"/>
  <Override PartName="/word/media/rId104.png" ContentType="image/png"/>
  <Override PartName="/word/media/rId117.png" ContentType="image/png"/>
  <Override PartName="/word/media/rId85.png" ContentType="image/png"/>
  <Override PartName="/word/media/rId211.png" ContentType="image/png"/>
  <Override PartName="/word/media/rId216.png" ContentType="image/png"/>
  <Override PartName="/word/media/rId126.png" ContentType="image/png"/>
  <Override PartName="/word/media/rId113.png" ContentType="image/png"/>
  <Override PartName="/word/media/rId172.png" ContentType="image/png"/>
  <Override PartName="/word/media/rId1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Physical Effort Selectively Impairs Evidence Accumulation Without Altering Response Caution in Older Adults: A Diffusion Model Analysis</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20" w:name="abstract"/>
    <w:p>
      <w:pPr>
        <w:pStyle w:val="Heading1"/>
      </w:pPr>
      <w:r>
        <w:t xml:space="preserve">Abstract</w:t>
      </w:r>
    </w:p>
    <w:p>
      <w:pPr>
        <w:pStyle w:val="FirstParagraph"/>
      </w:pPr>
      <w:r>
        <w:t xml:space="preserve">This chapter presents a hierarchical Wiener diffusion decision model (DDM) for a response-signal change-detection task in older adults. The primary model maps task difficulty to drift rate (</w:t>
      </w:r>
      <m:oMath>
        <m:r>
          <m:t>v</m:t>
        </m:r>
      </m:oMath>
      <w:r>
        <w:t xml:space="preserve">) and boundary separation (</w:t>
      </w:r>
      <m:oMath>
        <m:r>
          <m:t>a</m:t>
        </m:r>
      </m:oMath>
      <w:r>
        <w:t xml:space="preserve">), with starting-point bias (</w:t>
      </w:r>
      <m:oMath>
        <m:r>
          <m:t>z</m:t>
        </m:r>
      </m:oMath>
      <w:r>
        <w:t xml:space="preserve">) varying by task and effort but constant across difficulty levels (reflecting the randomized trial design). Results showed that High-effort (40% MVC) conditions reliably reduced drift rate relative to Low-effort (5% MVC) conditions (</w:t>
      </w:r>
      <m:oMath>
        <m:r>
          <m:t>β</m:t>
        </m:r>
        <m:r>
          <m:rPr>
            <m:sty m:val="p"/>
          </m:rPr>
          <m:t>=</m:t>
        </m:r>
        <m:r>
          <m:rPr>
            <m:sty m:val="p"/>
          </m:rPr>
          <m:t>−</m:t>
        </m:r>
        <m:r>
          <m:t>0.07</m:t>
        </m:r>
      </m:oMath>
      <w:r>
        <w:t xml:space="preserve">; 95% CrI</w:t>
      </w:r>
      <w:r>
        <w:t xml:space="preserve"> </w:t>
      </w:r>
      <m:oMath>
        <m:d>
          <m:dPr>
            <m:begChr m:val="["/>
            <m:sepChr m:val=""/>
            <m:endChr m:val="]"/>
            <m:grow/>
          </m:dPr>
          <m:e>
            <m:r>
              <m:rPr>
                <m:sty m:val="p"/>
              </m:rPr>
              <m:t>−</m:t>
            </m:r>
            <m:r>
              <m:t>0.11</m:t>
            </m:r>
            <m:r>
              <m:rPr>
                <m:sty m:val="p"/>
              </m:rPr>
              <m:t>,</m:t>
            </m:r>
            <m:r>
              <m:t> </m:t>
            </m:r>
            <m:r>
              <m:rPr>
                <m:sty m:val="p"/>
              </m:rPr>
              <m:t>−</m:t>
            </m:r>
            <m:r>
              <m:t>0.03</m:t>
            </m:r>
          </m:e>
        </m:d>
      </m:oMath>
      <w:r>
        <w:t xml:space="preserve">, where CrI = 95% credible interval; ;</w:t>
      </w:r>
      <w:r>
        <w:t xml:space="preserve"> </w:t>
      </w:r>
      <m:oMath>
        <m:r>
          <m:t>P</m:t>
        </m:r>
        <m:d>
          <m:dPr>
            <m:begChr m:val="("/>
            <m:sepChr m:val=""/>
            <m:endChr m:val=")"/>
            <m:grow/>
          </m:dPr>
          <m:e>
            <m:r>
              <m:t>β</m:t>
            </m:r>
            <m:r>
              <m:rPr>
                <m:sty m:val="p"/>
              </m:rPr>
              <m:t>&lt;</m:t>
            </m:r>
            <m:r>
              <m:t>0</m:t>
            </m:r>
          </m:e>
        </m:d>
        <m:r>
          <m:rPr>
            <m:sty m:val="p"/>
          </m:rPr>
          <m:t>&gt;</m:t>
        </m:r>
        <m:r>
          <m:t>.999</m:t>
        </m:r>
      </m:oMath>
      <w:r>
        <w:t xml:space="preserve">), consistent with degraded evidence accumulation under effort-induced arousal (H1 supported). Boundary separation and starting-point bias showed no reliable effort effects (H2, H4 not supported), indicating that concurrent grip primarily impaired the quality of evidence accumulation rather than response caution or pre-stimulus bias. Non-decision time could not be formally tested due to modeling constraints in the response-signal paradigm (H3; exploratory estimates suggested minimal peripheral slowing). Trial-wise pupil-linked arousal (TEPR) did not reliably modulate drift rate or starting-point bias when pooled across difficulty levels; a supplementary interaction model (</w:t>
      </w:r>
      <w:r>
        <w:rPr>
          <w:rStyle w:val="VerbatimChar"/>
        </w:rPr>
        <w:t xml:space="preserve">pupil_scaled * difficulty</w:t>
      </w:r>
      <w:r>
        <w:t xml:space="preserve">) tests whether arousal effects are conditional on task demands, as predicted by the Yerkes–Dodson law. All models converged satisfactorily. Results suggest that effort-induced arousal in older adults selectively degrades evidence quality without triggering compensatory response caution, with implications for understanding how arousal state modulates the latent mechanisms of perceptual decision-making in aging. These findings advance our mechanistic understanding of how physiological demand affects cognitive aging, and demonstrate the utility of DDM decomposition for dissociating arousal-related costs across distinct stages of the decision process.</w:t>
      </w:r>
    </w:p>
    <w:p>
      <w:r>
        <w:br w:type="page"/>
      </w:r>
    </w:p>
    <w:bookmarkEnd w:id="20"/>
    <w:bookmarkStart w:id="28" w:name="introduction"/>
    <w:p>
      <w:pPr>
        <w:pStyle w:val="Heading1"/>
      </w:pPr>
      <w:r>
        <w:t xml:space="preserve">1. Introduction</w:t>
      </w:r>
    </w:p>
    <w:bookmarkStart w:id="21" w:name="X047307c8e0c13f67b9a971c9d8842102738892e"/>
    <w:p>
      <w:pPr>
        <w:pStyle w:val="Heading2"/>
      </w:pPr>
      <w:r>
        <w:t xml:space="preserve">1.1 Age-Related Slowing and Strategic Adaptation</w:t>
      </w:r>
    </w:p>
    <w:p>
      <w:pPr>
        <w:pStyle w:val="FirstParagraph"/>
      </w:pPr>
      <w:r>
        <w:t xml:space="preserve">Older adults show pervasive response time slowing across virtually all task domains, a finding historically attributed to generalized processing speed decline</w:t>
      </w:r>
      <w:r>
        <w:t xml:space="preserve"> </w:t>
      </w:r>
      <w:r>
        <w:t xml:space="preserve">(Birren, 1965; Salthouse, 1985; Salthouse, 1996)</w:t>
      </w:r>
      <w:r>
        <w:t xml:space="preserve">. However, this slowing is partly strategic: older adults systematically widen their decision criterion to preserve accuracy under declining neural efficiency, favoring a cautious response mode over speed</w:t>
      </w:r>
      <w:r>
        <w:t xml:space="preserve"> </w:t>
      </w:r>
      <w:r>
        <w:t xml:space="preserve">(Rabbitt, 1979; Ratcliff et al., 2004; Starns &amp; Ratcliff, 2010)</w:t>
      </w:r>
      <w:r>
        <w:t xml:space="preserve">. Drift-diffusion modeling has formalized this dissociation: response caution and peripheral processing time are reliably elevated in older adults relative to younger adults, while the quality of evidence accumulation is largely preserved in simple perceptual tasks such as brightness or letter discrimination</w:t>
      </w:r>
      <w:r>
        <w:t xml:space="preserve"> </w:t>
      </w:r>
      <w:r>
        <w:t xml:space="preserve">(Ratcliff et al., 2001, 2004; Ratcliff &amp; McKoon, 2008)</w:t>
      </w:r>
      <w:r>
        <w:t xml:space="preserve"> </w:t>
      </w:r>
      <w:r>
        <w:t xml:space="preserve">but declines under more demanding conditions, including episodic memory retrieval and complex visual search</w:t>
      </w:r>
      <w:r>
        <w:t xml:space="preserve"> </w:t>
      </w:r>
      <w:r>
        <w:t xml:space="preserve">(Madden &amp; Allen, 1991; Spaniol et al., 2006)</w:t>
      </w:r>
      <w:r>
        <w:t xml:space="preserve">. Nevertheless, it remains unclear whether physiological arousal state, independent of task complexity, can dynamically modulate these latent decision parameters within older adults.</w:t>
      </w:r>
    </w:p>
    <w:bookmarkEnd w:id="21"/>
    <w:bookmarkStart w:id="23" w:name="X44526b3790371d30eadfa5df302977e8f259a4e"/>
    <w:p>
      <w:pPr>
        <w:pStyle w:val="Heading2"/>
      </w:pPr>
      <w:r>
        <w:t xml:space="preserve">1.2 Drift-Diffusion Modeling of Decision-Making</w:t>
      </w:r>
    </w:p>
    <w:p>
      <w:pPr>
        <w:pStyle w:val="FirstParagraph"/>
      </w:pPr>
      <w:r>
        <w:t xml:space="preserve">The Drift Diffusion Model (DDM) assumes that decision-making is driven by two continuous, opposing forces. The deterministic component is the</w:t>
      </w:r>
      <w:r>
        <w:t xml:space="preserve"> </w:t>
      </w:r>
      <w:r>
        <w:rPr>
          <w:b/>
          <w:bCs/>
        </w:rPr>
        <w:t xml:space="preserve">mean drift rate (</w:t>
      </w:r>
      <m:oMath>
        <m:r>
          <m:t>v</m:t>
        </m:r>
      </m:oMath>
      <w:r>
        <w:rPr>
          <w:b/>
          <w:bCs/>
        </w:rPr>
        <w:t xml:space="preserve">)</w:t>
      </w:r>
      <w:r>
        <w:t xml:space="preserve">, which represents the true quality of sensory evidence extracted from the stimulus. However, the accumulation process is inherently noisy due to moment-to-moment Gaussian fluctuations in the nervous system, represented by the</w:t>
      </w:r>
      <w:r>
        <w:t xml:space="preserve"> </w:t>
      </w:r>
      <w:r>
        <w:rPr>
          <w:b/>
          <w:bCs/>
        </w:rPr>
        <w:t xml:space="preserve">diffusion constant (</w:t>
      </w:r>
      <m:oMath>
        <m:r>
          <m:t>σ</m:t>
        </m:r>
      </m:oMath>
      <w:r>
        <w:rPr>
          <w:b/>
          <w:bCs/>
        </w:rPr>
        <w:t xml:space="preserve">)</w:t>
      </w:r>
      <w:r>
        <w:t xml:space="preserve">. This intra-trial noise (</w:t>
      </w:r>
      <m:oMath>
        <m:r>
          <m:t>σ</m:t>
        </m:r>
      </m:oMath>
      <w:r>
        <w:t xml:space="preserve">) is what causes identical stimuli to yield variable reaction times and occasional errors. In the current analysis, models were fit using the</w:t>
      </w:r>
      <w:r>
        <w:t xml:space="preserve"> </w:t>
      </w:r>
      <w:r>
        <w:rPr>
          <w:rStyle w:val="VerbatimChar"/>
        </w:rPr>
        <w:t xml:space="preserve">wiener</w:t>
      </w:r>
      <w:r>
        <w:t xml:space="preserve"> </w:t>
      </w:r>
      <w:r>
        <w:t xml:space="preserve">distribution family via the</w:t>
      </w:r>
      <w:r>
        <w:t xml:space="preserve"> </w:t>
      </w:r>
      <w:r>
        <w:rPr>
          <w:rStyle w:val="VerbatimChar"/>
        </w:rPr>
        <w:t xml:space="preserve">brms</w:t>
      </w:r>
      <w:r>
        <w:t xml:space="preserve"> </w:t>
      </w:r>
      <w:r>
        <w:t xml:space="preserve">package in R. As is standard practice for model identification in this framework, the diffusion constant representing within-trial noise was fixed to</w:t>
      </w:r>
      <w:r>
        <w:t xml:space="preserve"> </w:t>
      </w:r>
      <m:oMath>
        <m:r>
          <m:t>σ</m:t>
        </m:r>
        <m:r>
          <m:rPr>
            <m:sty m:val="p"/>
          </m:rPr>
          <m:t>=</m:t>
        </m:r>
        <m:r>
          <m:t>1</m:t>
        </m:r>
      </m:oMath>
      <w:r>
        <w:t xml:space="preserve">. Consequently, the estimated drift rate (</w:t>
      </w:r>
      <m:oMath>
        <m:r>
          <m:t>v</m:t>
        </m:r>
      </m:oMath>
      <w:r>
        <w:t xml:space="preserve">), boundary separation (</w:t>
      </w:r>
      <m:oMath>
        <m:r>
          <m:t>a</m:t>
        </m:r>
      </m:oMath>
      <w:r>
        <w:t xml:space="preserve">), non-decision time (</w:t>
      </w:r>
      <m:oMath>
        <m:sSub>
          <m:e>
            <m:r>
              <m:t>t</m:t>
            </m:r>
          </m:e>
          <m:sub>
            <m:r>
              <m:t>0</m:t>
            </m:r>
          </m:sub>
        </m:sSub>
      </m:oMath>
      <w:r>
        <w:t xml:space="preserve">), and starting-point bias (</w:t>
      </w:r>
      <m:oMath>
        <m:r>
          <m:t>z</m:t>
        </m:r>
      </m:oMath>
      <w:r>
        <w:t xml:space="preserve">) are all scaled relative to this unit noise variance.</w:t>
      </w:r>
    </w:p>
    <w:p>
      <w:pPr>
        <w:pStyle w:val="BodyText"/>
      </w:pPr>
      <w:r>
        <w:t xml:space="preserve">The Drift Diffusion Model (DDM) decomposes choice RT data into four latent parameters: drift rate (</w:t>
      </w:r>
      <m:oMath>
        <m:r>
          <m:t>v</m:t>
        </m:r>
      </m:oMath>
      <w:r>
        <w:t xml:space="preserve">), reflecting the rate and quality of evidence accumulation; boundary separation (</w:t>
      </w:r>
      <m:oMath>
        <m:r>
          <m:t>a</m:t>
        </m:r>
      </m:oMath>
      <w:r>
        <w:t xml:space="preserve">), reflecting the amount of evidence required before committing to a response (response caution); starting-point bias (</w:t>
      </w:r>
      <m:oMath>
        <m:r>
          <m:t>z</m:t>
        </m:r>
      </m:oMath>
      <w:r>
        <w:t xml:space="preserve">), reflecting any a priori tendency to favor one response over another; and non-decision time (</w:t>
      </w:r>
      <m:oMath>
        <m:sSub>
          <m:e>
            <m:r>
              <m:t>t</m:t>
            </m:r>
          </m:e>
          <m:sub>
            <m:r>
              <m:t>0</m:t>
            </m:r>
          </m:sub>
        </m:sSub>
      </m:oMath>
      <w:r>
        <w:t xml:space="preserve">), capturing perceptual encoding and motor execution processes that fall outside the decision process itself</w:t>
      </w:r>
      <w:r>
        <w:t xml:space="preserve"> </w:t>
      </w:r>
      <w:r>
        <w:t xml:space="preserve">(Ratcliff, 1978; Ratcliff &amp; McKoon, 2008; Voss et al., 2004)</w:t>
      </w:r>
      <w:r>
        <w:t xml:space="preserve">.</w:t>
      </w:r>
    </w:p>
    <w:tbl>
      <w:tblPr>
        <w:tblStyle w:val="Table"/>
        <w:tblW w:type="pct" w:w="5000"/>
        <w:tblLayout w:type="fixed"/>
        <w:tblLook w:firstRow="0" w:lastRow="0" w:firstColumn="0" w:lastColumn="0" w:noHBand="0" w:noVBand="0" w:val="0000"/>
      </w:tblPr>
      <w:tblGrid>
        <w:gridCol w:w="7920"/>
      </w:tblGrid>
      <w:tr>
        <w:tc>
          <w:tcPr/>
          <w:bookmarkStart w:id="22" w:name="fig-ddm-process"/>
          <w:p>
            <w:pPr>
              <w:pStyle w:val="Compact"/>
              <w:jc w:val="center"/>
            </w:pPr>
          </w:p>
          <w:p>
            <w:pPr>
              <w:jc w:val="center"/>
            </w:pPr>
            <w:pPr>
              <w:jc w:val="start"/>
              <w:spacing w:before="200"/>
              <w:pStyle w:val="ImageCaption"/>
            </w:pPr>
            <w:r>
              <w:t xml:space="preserve">Figure 1: Drift Diffusion Model: Evidence Accumulation Process. Evidence accumulates from starting point (</w:t>
            </w:r>
            <m:oMath>
              <m:r>
                <m:t>z</m:t>
              </m:r>
            </m:oMath>
            <w:r>
              <w:t xml:space="preserve">) toward one of two boundaries: the upper boundary (</w:t>
            </w:r>
            <w:r>
              <w:t xml:space="preserve">‘different’</w:t>
            </w:r>
            <w:r>
              <w:t xml:space="preserve"> </w:t>
            </w:r>
            <w:r>
              <w:t xml:space="preserve">response) or the lower boundary (</w:t>
            </w:r>
            <w:r>
              <w:t xml:space="preserve">‘same’</w:t>
            </w:r>
            <w:r>
              <w:t xml:space="preserve"> </w:t>
            </w:r>
            <w:r>
              <w:t xml:space="preserve">response). Drift rate (</w:t>
            </w:r>
            <m:oMath>
              <m:r>
                <m:t>v</m:t>
              </m:r>
            </m:oMath>
            <w:r>
              <w:t xml:space="preserve">) reflects the quality of stimulus evidence; boundary separation (</w:t>
            </w:r>
            <m:oMath>
              <m:r>
                <m:t>a</m:t>
              </m:r>
            </m:oMath>
            <w:r>
              <w:t xml:space="preserve">) reflects response caution; non-decision time (</w:t>
            </w:r>
            <m:oMath>
              <m:sSub>
                <m:e>
                  <m:r>
                    <m:t>t</m:t>
                  </m:r>
                </m:e>
                <m:sub>
                  <m:r>
                    <m:t>0</m:t>
                  </m:r>
                </m:sub>
              </m:sSub>
            </m:oMath>
            <w:r>
              <w:t xml:space="preserve">) captures perceptual encoding and motor execution. Total RT = decision time +</w:t>
            </w:r>
            <w:r>
              <w:t xml:space="preserve"> </w:t>
            </w:r>
            <m:oMath>
              <m:sSub>
                <m:e>
                  <m:r>
                    <m:t>t</m:t>
                  </m:r>
                </m:e>
                <m:sub>
                  <m:r>
                    <m:t>0</m:t>
                  </m:r>
                </m:sub>
              </m:sSub>
            </m:oMath>
            <w:r>
              <w:t xml:space="preserve">.</w:t>
            </w:r>
          </w:p>
          <w:bookmarkEnd w:id="22"/>
        </w:tc>
      </w:tr>
    </w:tbl>
    <w:p>
      <w:pPr>
        <w:pStyle w:val="BodyText"/>
      </w:pPr>
      <w:r>
        <w:t xml:space="preserve">In aging, DDM studies consistently show elevated</w:t>
      </w:r>
      <w:r>
        <w:t xml:space="preserve"> </w:t>
      </w:r>
      <m:oMath>
        <m:r>
          <m:t>a</m:t>
        </m:r>
      </m:oMath>
      <w:r>
        <w:t xml:space="preserve"> </w:t>
      </w:r>
      <w:r>
        <w:t xml:space="preserve">and</w:t>
      </w:r>
      <w:r>
        <w:t xml:space="preserve"> </w:t>
      </w:r>
      <m:oMath>
        <m:sSub>
          <m:e>
            <m:r>
              <m:t>t</m:t>
            </m:r>
          </m:e>
          <m:sub>
            <m:r>
              <m:t>0</m:t>
            </m:r>
          </m:sub>
        </m:sSub>
      </m:oMath>
      <w:r>
        <w:t xml:space="preserve"> </w:t>
      </w:r>
      <w:r>
        <w:t xml:space="preserve">relative to younger adults, with drift rate</w:t>
      </w:r>
      <w:r>
        <w:t xml:space="preserve"> </w:t>
      </w:r>
      <m:oMath>
        <m:r>
          <m:t>v</m:t>
        </m:r>
      </m:oMath>
      <w:r>
        <w:t xml:space="preserve"> </w:t>
      </w:r>
      <w:r>
        <w:t xml:space="preserve">largely preserved for simple perceptual tasks but declining under high cognitive demand</w:t>
      </w:r>
      <w:r>
        <w:t xml:space="preserve"> </w:t>
      </w:r>
      <w:r>
        <w:t xml:space="preserve">(Ratcliff et al., 2004; Ratcliff &amp; McKoon, 2008; Spaniol et al., 2006)</w:t>
      </w:r>
      <w:r>
        <w:t xml:space="preserve">. An open question is whether drift rate and other decision parameters are further modulated by the organism’s physiological arousal state — a question we address by manipulating arousal via physical effort.</w:t>
      </w:r>
    </w:p>
    <w:bookmarkEnd w:id="23"/>
    <w:bookmarkStart w:id="24" w:name="Xb49d50b85949bde2d9d13c52e6874686003578c"/>
    <w:p>
      <w:pPr>
        <w:pStyle w:val="Heading2"/>
      </w:pPr>
      <w:r>
        <w:t xml:space="preserve">1.3 Arousal, Effort, and Decision Performance in Older Adults</w:t>
      </w:r>
    </w:p>
    <w:p>
      <w:pPr>
        <w:pStyle w:val="FirstParagraph"/>
      </w:pPr>
      <w:r>
        <w:t xml:space="preserve">The Yerkes–Dodson law</w:t>
      </w:r>
      <w:r>
        <w:t xml:space="preserve"> </w:t>
      </w:r>
      <w:r>
        <w:t xml:space="preserve">(Yerkes &amp; Dodson, 1908)</w:t>
      </w:r>
      <w:r>
        <w:t xml:space="preserve"> </w:t>
      </w:r>
      <w:r>
        <w:t xml:space="preserve">posits an inverted-U relationship between arousal and performance, with maximal performance at moderate arousal levels. Adaptive Gain Theory (AGT)</w:t>
      </w:r>
      <w:r>
        <w:t xml:space="preserve"> </w:t>
      </w:r>
      <w:r>
        <w:t xml:space="preserve">(Aston-Jones &amp; Cohen, 2005)</w:t>
      </w:r>
      <w:r>
        <w:t xml:space="preserve"> </w:t>
      </w:r>
      <w:r>
        <w:t xml:space="preserve">provides a computational account of this relationship, linking the dynamics of arousal to task engagement and optimal cognitive performance. When extended to aging, this framework predicts a leftward shift or compression of the arousal–performance curve: older adults reach supra-optimal arousal at lower levels of objective demand than younger adults, such that effort levels that are engaging for younger adults may impair performance in older adults</w:t>
      </w:r>
      <w:r>
        <w:t xml:space="preserve"> </w:t>
      </w:r>
      <w:r>
        <w:t xml:space="preserve">(Huang &amp; Clewett, 2024; Mather &amp; Harley, 2016; Mikneviciute et al., 2022)</w:t>
      </w:r>
      <w:r>
        <w:t xml:space="preserve">.</w:t>
      </w:r>
    </w:p>
    <w:p>
      <w:pPr>
        <w:pStyle w:val="BodyText"/>
      </w:pPr>
      <w:r>
        <w:t xml:space="preserve">Empirical evidence supports the view that concurrent effort is more costly for older than younger adults. Hess and Ennis</w:t>
      </w:r>
      <w:r>
        <w:t xml:space="preserve"> </w:t>
      </w:r>
      <w:r>
        <w:t xml:space="preserve">(2012)</w:t>
      </w:r>
      <w:r>
        <w:t xml:space="preserve"> </w:t>
      </w:r>
      <w:r>
        <w:t xml:space="preserve">found that older adults performing continuous arithmetic tasks exhibited significantly larger increases in systolic blood pressure than younger adults, with this physiological cost predicting greater subsequent fatigue. Similarly, Azer et al.</w:t>
      </w:r>
      <w:r>
        <w:t xml:space="preserve"> </w:t>
      </w:r>
      <w:r>
        <w:t xml:space="preserve">(2023)</w:t>
      </w:r>
      <w:r>
        <w:t xml:space="preserve"> </w:t>
      </w:r>
      <w:r>
        <w:t xml:space="preserve">demonstrated that maintaining a concurrent isometric handgrip selectively impaired older adults’ accuracy on a visual working memory task with distractors, while younger adults were unaffected — consistent with age-related depletion of shared processing resources</w:t>
      </w:r>
      <w:r>
        <w:t xml:space="preserve"> </w:t>
      </w:r>
      <w:r>
        <w:t xml:space="preserve">(Verhaeghen et al., 2003; Wickens, 2008)</w:t>
      </w:r>
      <w:r>
        <w:t xml:space="preserve">.</w:t>
      </w:r>
    </w:p>
    <w:p>
      <w:pPr>
        <w:pStyle w:val="BodyText"/>
      </w:pPr>
      <w:r>
        <w:t xml:space="preserve">However, it remains unclear how these effort- and arousal-related costs translate into the latent mechanisms of decision formation. Prior work has established that effort can alter observed performance (accuracy and RT) in aging, but has not directly tested which computational components of the decision process are affected — evidence quality, response caution, or peripheral processes — particularly using a framework that jointly links physiological arousal to diffusion-model parameters.</w:t>
      </w:r>
    </w:p>
    <w:bookmarkEnd w:id="24"/>
    <w:bookmarkStart w:id="26" w:name="pupillometry-as-an-index-of-arousal"/>
    <w:p>
      <w:pPr>
        <w:pStyle w:val="Heading2"/>
      </w:pPr>
      <w:r>
        <w:t xml:space="preserve">1.4 Pupillometry as an Index of Arousal</w:t>
      </w:r>
    </w:p>
    <w:p>
      <w:pPr>
        <w:pStyle w:val="FirstParagraph"/>
      </w:pPr>
      <w:r>
        <w:t xml:space="preserve">Pupillometry provides exactly such a physiological measure — pupil diameter tracks arousal state with high temporal resolution, serving as a non-invasive index of phasic arousal during cognitive tasks</w:t>
      </w:r>
      <w:r>
        <w:t xml:space="preserve"> </w:t>
      </w:r>
      <w:r>
        <w:t xml:space="preserve">(Beatty, 1982; Kahneman &amp; Beatty, 1966)</w:t>
      </w:r>
      <w:r>
        <w:t xml:space="preserve">. Two components are theoretically relevant: baseline pupil diameter, reflecting tonic arousal and sustained alertness, and the task-evoked pupil response (TEPR) — a phasic arousal signal quantified here as the area under the curve (AUC) — which tracks moment-to-moment cognitive effort</w:t>
      </w:r>
      <w:r>
        <w:t xml:space="preserve"> </w:t>
      </w:r>
      <w:r>
        <w:t xml:space="preserve">(Gilzenrat et al., 2010; Van Gerven et al., 2004)</w:t>
      </w:r>
      <w:r>
        <w:t xml:space="preserve">.</w:t>
      </w:r>
    </w:p>
    <w:p>
      <w:pPr>
        <w:pStyle w:val="BodyText"/>
      </w:pPr>
      <w:r>
        <w:t xml:space="preserve">Cavanagh et al.</w:t>
      </w:r>
      <w:r>
        <w:t xml:space="preserve"> </w:t>
      </w:r>
      <w:r>
        <w:t xml:space="preserve">(2014)</w:t>
      </w:r>
      <w:r>
        <w:t xml:space="preserve"> </w:t>
      </w:r>
      <w:r>
        <w:t xml:space="preserve">provided a key demonstration linking pupil-indexed arousal to DDM parameters. Using hierarchical Bayesian DDM in a probabilistic learning task, they found that pupil dilation specifically predicted increases in decision boundary (</w:t>
      </w:r>
      <m:oMath>
        <m:r>
          <m:t>a</m:t>
        </m:r>
      </m:oMath>
      <w:r>
        <w:t xml:space="preserve">) during high-conflict choices — interpreted as a phasic arousal signal prompting greater response caution. The present study extends this pupil-DDM framework to older adults and physical effort as the arousal manipulation.</w:t>
      </w:r>
    </w:p>
    <w:p>
      <w:pPr>
        <w:pStyle w:val="BodyText"/>
      </w:pPr>
      <w:r>
        <w:t xml:space="preserve">While pupil diameter is not exclusively determined by arousal — being also sensitive to luminance, autonomic balance, and motor activity</w:t>
      </w:r>
      <w:r>
        <w:t xml:space="preserve"> </w:t>
      </w:r>
      <w:r>
        <w:t xml:space="preserve">(Beatty, 1982; Loewenfeld &amp; Lowenstein, 1999)</w:t>
      </w:r>
      <w:r>
        <w:t xml:space="preserve"> </w:t>
      </w:r>
      <w:r>
        <w:t xml:space="preserve">— in our controlled MRI setting with constant luminance and fixed viewing distance, TEPR is interpreted as a relative index of phasic arousal, supplementing the primary behavioral DDM analysis. Although pupil dilation has been theoretically linked to LC-NE dynamics</w:t>
      </w:r>
      <w:r>
        <w:t xml:space="preserve"> </w:t>
      </w:r>
      <w:r>
        <w:t xml:space="preserve">(Gilzenrat et al., 2010; Joshi et al., 2016)</w:t>
      </w:r>
      <w:r>
        <w:t xml:space="preserve">, the present study does not directly measure LC integrity or NE release; TEPR is treated here as a behavioral index of phasic arousal state rather than a confirmed biomarker of LC-NE function specifically.</w:t>
      </w:r>
    </w:p>
    <w:bookmarkStart w:id="25" w:name="hypotheses-and-predictions"/>
    <w:p>
      <w:pPr>
        <w:pStyle w:val="Heading3"/>
      </w:pPr>
      <w:r>
        <w:t xml:space="preserve">1.4.1 Hypotheses and Predictions</w:t>
      </w:r>
    </w:p>
    <w:p>
      <w:pPr>
        <w:pStyle w:val="FirstParagraph"/>
      </w:pPr>
      <w:r>
        <w:t xml:space="preserve">We tested four a priori hypotheses. First, we predicted that drift rate (</w:t>
      </w:r>
      <m:oMath>
        <m:r>
          <m:t>v</m:t>
        </m:r>
      </m:oMath>
      <w:r>
        <w:t xml:space="preserve">) would decrease under High effort (40% MVC) relative to Low effort (5% MVC), reflecting degraded evidence accumulation due to resource competition or supra-optimal arousal. Second, we predicted that boundary separation (</w:t>
      </w:r>
      <m:oMath>
        <m:r>
          <m:t>a</m:t>
        </m:r>
      </m:oMath>
      <w:r>
        <w:t xml:space="preserve">) would increase under High effort. This prediction is grounded in Adaptive Gain Theory</w:t>
      </w:r>
      <w:r>
        <w:t xml:space="preserve"> </w:t>
      </w:r>
      <w:r>
        <w:t xml:space="preserve">(Aston-Jones &amp; Cohen, 2005)</w:t>
      </w:r>
      <w:r>
        <w:t xml:space="preserve">, which posits that phasic locus coeruleus–norepinephrine (LC-NE) activation — triggered by effortful task engagement — elevates decision thresholds to prevent premature responding when stakes or demands are high. Empirical support comes from</w:t>
      </w:r>
      <w:r>
        <w:t xml:space="preserve"> </w:t>
      </w:r>
      <w:r>
        <w:t xml:space="preserve">Cavanagh et al. (2014)</w:t>
      </w:r>
      <w:r>
        <w:t xml:space="preserve">, who demonstrated that pupil-indexed arousal during high-conflict choices predicted increased boundary separation in a probabilistic learning task, though their manipulation targeted cognitive conflict rather than physical effort. To the extent that concurrent isometric grip elevates arousal states broadly consistent with the phasic-mode dynamics described by AGT — a mechanism the present study cannot directly verify without neuroimaging of the LC — we predicted this arousal state would manifest as wider boundaries, reflecting compensatory cautiousness under resource competition. Third, as an exploratory aim, we examined whether non-decision time (</w:t>
      </w:r>
      <m:oMath>
        <m:sSub>
          <m:e>
            <m:r>
              <m:t>t</m:t>
            </m:r>
          </m:e>
          <m:sub>
            <m:r>
              <m:t>0</m:t>
            </m:r>
          </m:sub>
        </m:sSub>
      </m:oMath>
      <w:r>
        <w:t xml:space="preserve">) would increase modestly under High effort, reflecting cognitive-motor interference from concurrent grip maintenance. As detailed in Methods Section 2.8.5, model stability constraints in the response-signal paradigm precluded direct testing of this aim; we report exploratory estimates for transparency. Fourth, starting-point bias (</w:t>
      </w:r>
      <m:oMath>
        <m:r>
          <m:t>z</m:t>
        </m:r>
      </m:oMath>
      <w:r>
        <w:t xml:space="preserve">) was expected to shift toward neutrality (</w:t>
      </w:r>
      <m:oMath>
        <m:r>
          <m:t>z</m:t>
        </m:r>
        <m:r>
          <m:rPr>
            <m:sty m:val="p"/>
          </m:rPr>
          <m:t>→</m:t>
        </m:r>
        <m:r>
          <m:t>0.5</m:t>
        </m:r>
      </m:oMath>
      <w:r>
        <w:t xml:space="preserve">) under High effort. This prediction extends the finding of</w:t>
      </w:r>
      <w:r>
        <w:t xml:space="preserve"> </w:t>
      </w:r>
      <w:r>
        <w:t xml:space="preserve">Gee et al. (2020)</w:t>
      </w:r>
      <w:r>
        <w:t xml:space="preserve">, who showed that phasic, within-trial arousal (indexed by pupil dilation) reduced response bias in a detection task. We reasoned that sustained effort-induced arousal — a more tonic state — might similarly attenuate the pre-existing Different bias, though we acknowledge this constitutes a theoretical extension from a phasic to a tonic arousal context.</w:t>
      </w:r>
    </w:p>
    <w:bookmarkEnd w:id="25"/>
    <w:bookmarkEnd w:id="26"/>
    <w:bookmarkStart w:id="27" w:name="the-present-study"/>
    <w:p>
      <w:pPr>
        <w:pStyle w:val="Heading2"/>
      </w:pPr>
      <w:r>
        <w:t xml:space="preserve">1.5 The Present Study</w:t>
      </w:r>
    </w:p>
    <w:p>
      <w:pPr>
        <w:pStyle w:val="FirstParagraph"/>
      </w:pPr>
      <w:r>
        <w:t xml:space="preserve">The present chapter applies hierarchical Bayesian drift-diffusion modeling to examine how physical effort (Low: 5% MVC vs. High: 40% MVC isometric handgrip) modulates latent decision parameters in older adults performing auditory and visual same-different discrimination tasks. Two factors were independently manipulated on every trial:</w:t>
      </w:r>
      <w:r>
        <w:t xml:space="preserve"> </w:t>
      </w:r>
      <w:r>
        <w:rPr>
          <w:b/>
          <w:bCs/>
        </w:rPr>
        <w:t xml:space="preserve">perceptual difficulty</w:t>
      </w:r>
      <w:r>
        <w:t xml:space="preserve"> </w:t>
      </w:r>
      <w:r>
        <w:t xml:space="preserve">(the physical magnitude of the stimulus offset — Easy, Hard, or Standard), which varied the quality of sensory evidence available for discrimination, and</w:t>
      </w:r>
      <w:r>
        <w:t xml:space="preserve"> </w:t>
      </w:r>
      <w:r>
        <w:rPr>
          <w:b/>
          <w:bCs/>
        </w:rPr>
        <w:t xml:space="preserve">physical effort</w:t>
      </w:r>
      <w:r>
        <w:t xml:space="preserve"> </w:t>
      </w:r>
      <w:r>
        <w:t xml:space="preserve">(the force level of a concurrent isometric handgrip — Low 5% MVC vs. High 40% MVC), which varied the physiological arousal state during evidence accumulation. These two factors are conceptually and operationally distinct: difficulty is a bottom-up perceptual manipulation, while effort is a top-down arousal manipulation. Trial-by-trial task-evoked pupil responses (TEPR) serve as an exploratory index of phasic arousal to test whether within-person arousal fluctuations predict changes in evidence accumulation or response bias. Together, these analyses test whether the characteristic slowing and cautiousness of older decision-makers reflect fixed capacity limits or physiological-state-dependent features modulated by effort-induced arousal.</w:t>
      </w:r>
    </w:p>
    <w:bookmarkEnd w:id="27"/>
    <w:bookmarkEnd w:id="28"/>
    <w:bookmarkStart w:id="47" w:name="methods"/>
    <w:p>
      <w:pPr>
        <w:pStyle w:val="Heading1"/>
      </w:pPr>
      <w:r>
        <w:t xml:space="preserve">2. Methods</w:t>
      </w:r>
    </w:p>
    <w:bookmarkStart w:id="30" w:name="participants"/>
    <w:p>
      <w:pPr>
        <w:pStyle w:val="Heading3"/>
      </w:pPr>
      <w:r>
        <w:t xml:space="preserve">2.0.1 Participants</w:t>
      </w:r>
    </w:p>
    <w:p>
      <w:pPr>
        <w:pStyle w:val="FirstParagraph"/>
      </w:pPr>
      <w:r>
        <w:t xml:space="preserve">Participants were recruited from communities surrounding the University of California, Riverside, through multiple channels including direct mail, posted flyers, social media advertisements, and word-of-mouth referrals. Eligibility criteria required participants to be aged 60–90 years, possess normal or corrected-to-normal vision and hearing, demonstrate sufficient English language comprehension to follow experimental instructions, and exhibit right-hand dominance. Exclusion criteria comprised contraindications for magnetic resonance imaging (MRI), current use of psychotropic medications, clinically significant neurological disorders, and major systemic health conditions including diabetes mellitus.</w:t>
      </w:r>
    </w:p>
    <w:p>
      <w:pPr>
        <w:pStyle w:val="BodyText"/>
      </w:pPr>
      <w:r>
        <w:t xml:space="preserve">Sixty-nine individuals initially enrolled in the study. Two participants were excluded following enrollment: one due to suspected mild cognitive impairment (MCI) and another due to possible essential tremor, yielding a final sample of 67 older adults (age</w:t>
      </w:r>
      <w:r>
        <w:t xml:space="preserve"> </w:t>
      </w:r>
      <w:r>
        <w:rPr>
          <w:i/>
          <w:iCs/>
        </w:rPr>
        <w:t xml:space="preserve">M</w:t>
      </w:r>
      <w:r>
        <w:t xml:space="preserve"> </w:t>
      </w:r>
      <w:r>
        <w:t xml:space="preserve">= 69.5 years,</w:t>
      </w:r>
      <w:r>
        <w:t xml:space="preserve"> </w:t>
      </w:r>
      <w:r>
        <w:rPr>
          <w:i/>
          <w:iCs/>
        </w:rPr>
        <w:t xml:space="preserve">SD</w:t>
      </w:r>
      <w:r>
        <w:t xml:space="preserve"> </w:t>
      </w:r>
      <w:r>
        <w:t xml:space="preserve">= 6.4, range = 60–87 years). Table 1 reports task-specific demographics (Auditory:</w:t>
      </w:r>
      <w:r>
        <w:t xml:space="preserve"> </w:t>
      </w:r>
      <w:r>
        <w:rPr>
          <w:i/>
          <w:iCs/>
        </w:rPr>
        <w:t xml:space="preserve">N</w:t>
      </w:r>
      <w:r>
        <w:t xml:space="preserve"> </w:t>
      </w:r>
      <w:r>
        <w:t xml:space="preserve">= 64; Visual:</w:t>
      </w:r>
      <w:r>
        <w:t xml:space="preserve"> </w:t>
      </w:r>
      <w:r>
        <w:rPr>
          <w:i/>
          <w:iCs/>
        </w:rPr>
        <w:t xml:space="preserve">N</w:t>
      </w:r>
      <w:r>
        <w:t xml:space="preserve"> </w:t>
      </w:r>
      <w:r>
        <w:t xml:space="preserve">= 65) for participants with usable data in each task. Three participants contributed data to only one task due to insufficient valid trial counts after applying the RT threshold and quality criteria (fewer than 100 analyzable trials in a given task), yielding N = 64 for ADT and N = 65 for VDT. Sample size was determined via a priori power analysis (G*Power 3.1;</w:t>
      </w:r>
      <w:r>
        <w:t xml:space="preserve"> </w:t>
      </w:r>
      <w:r>
        <w:t xml:space="preserve">(Faul et al., 2007)</w:t>
      </w:r>
      <w:r>
        <w:t xml:space="preserve">). For a repeated-measures ANOVA with two within-subject conditions, medium effect size (</w:t>
      </w:r>
      <m:oMath>
        <m:r>
          <m:t>f</m:t>
        </m:r>
        <m:r>
          <m:rPr>
            <m:sty m:val="p"/>
          </m:rPr>
          <m:t>=</m:t>
        </m:r>
        <m:r>
          <m:t>0.25</m:t>
        </m:r>
      </m:oMath>
      <w:r>
        <w:t xml:space="preserve">),</w:t>
      </w:r>
      <w:r>
        <w:t xml:space="preserve"> </w:t>
      </w:r>
      <m:oMath>
        <m:r>
          <m:t>α</m:t>
        </m:r>
        <m:r>
          <m:rPr>
            <m:sty m:val="p"/>
          </m:rPr>
          <m:t>=</m:t>
        </m:r>
        <m:r>
          <m:t>.05</m:t>
        </m:r>
      </m:oMath>
      <w:r>
        <w:t xml:space="preserve">, and power = .80, a minimum of 34 participants was required. The achieved sample of</w:t>
      </w:r>
      <w:r>
        <w:t xml:space="preserve"> </w:t>
      </w:r>
      <m:oMath>
        <m:r>
          <m:t>N</m:t>
        </m:r>
        <m:r>
          <m:rPr>
            <m:sty m:val="p"/>
          </m:rPr>
          <m:t>=</m:t>
        </m:r>
        <m:r>
          <m:t>67</m:t>
        </m:r>
      </m:oMath>
      <w:r>
        <w:t xml:space="preserve"> </w:t>
      </w:r>
      <w:r>
        <w:t xml:space="preserve">exceeds this threshold by approximately 2</w:t>
      </w:r>
      <m:oMath>
        <m:r>
          <m:rPr>
            <m:sty m:val="p"/>
          </m:rPr>
          <m:t>×</m:t>
        </m:r>
      </m:oMath>
      <w:r>
        <w:t xml:space="preserve"> </w:t>
      </w:r>
      <w:r>
        <w:t xml:space="preserve">and is consistent with published hierarchical DDM studies reliably detecting group-level condition effects with</w:t>
      </w:r>
      <w:r>
        <w:t xml:space="preserve"> </w:t>
      </w:r>
      <m:oMath>
        <m:r>
          <m:t>N</m:t>
        </m:r>
        <m:r>
          <m:rPr>
            <m:sty m:val="p"/>
          </m:rPr>
          <m:t>=</m:t>
        </m:r>
        <m:r>
          <m:t>30</m:t>
        </m:r>
      </m:oMath>
      <w:r>
        <w:t xml:space="preserve">–</w:t>
      </w:r>
      <m:oMath>
        <m:r>
          <m:t>60</m:t>
        </m:r>
      </m:oMath>
      <w:r>
        <w:t xml:space="preserve"> </w:t>
      </w:r>
      <w:r>
        <w:t xml:space="preserve">(Ratcliff et al., 2004; Wiecki et al., 2013)</w:t>
      </w:r>
      <w:r>
        <w:t xml:space="preserve">. Twelve participants performed at or near chance level (</w:t>
      </w:r>
      <m:oMath>
        <m:r>
          <m:rPr>
            <m:sty m:val="p"/>
          </m:rPr>
          <m:t>≤</m:t>
        </m:r>
      </m:oMath>
      <w:r>
        <w:t xml:space="preserve"> </w:t>
      </w:r>
      <w:r>
        <w:t xml:space="preserve">55% accuracy, compared to the 50% two-alternative forced-choice chance baseline) in some experimental conditions but were retained in analyses to maximize sample size, as hierarchical modeling approaches borrow statistical strength across participants to stabilize individual-level parameter estimates.</w:t>
      </w:r>
    </w:p>
    <w:p>
      <w:pPr>
        <w:pStyle w:val="BodyText"/>
      </w:pPr>
      <w:r>
        <w:t xml:space="preserve">All participants provided written informed consent and received either course credit or monetary compensation for their participation. Study procedures were approved by the Institutional Review Board of the University of California, Riverside, and all experimental procedures were conducted in accordance with approved guidelines and regulations.</w:t>
      </w:r>
    </w:p>
    <w:tbl>
      <w:tblPr>
        <w:tblStyle w:val="Table"/>
        <w:tblW w:type="pct" w:w="5000"/>
        <w:tblLayout w:type="fixed"/>
        <w:tblLook w:firstRow="0" w:lastRow="0" w:firstColumn="0" w:lastColumn="0" w:noHBand="0" w:noVBand="0" w:val="0000"/>
      </w:tblPr>
      <w:tblGrid>
        <w:gridCol w:w="7920"/>
      </w:tblGrid>
      <w:tr>
        <w:tc>
          <w:tcPr/>
          <w:bookmarkStart w:id="29" w:name="tbl-demographics"/>
          <w:p>
            <w:pPr>
              <w:jc w:val="center"/>
            </w:pPr>
            <w:pPr>
              <w:jc w:val="start"/>
              <w:spacing w:before="200"/>
              <w:pStyle w:val="ImageCaption"/>
            </w:pPr>
            <w:r>
              <w:t xml:space="preserve">Table 1: Baseline Demographics for Each Task After Data Cleaning</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Auditory</w:t>
                  </w:r>
                </w:p>
              </w:tc>
              <w:tc>
                <w:tcPr/>
                <w:p>
                  <w:pPr>
                    <w:pStyle w:val="Compact"/>
                    <w:jc w:val="right"/>
                    <w:jc w:val="center"/>
                  </w:pPr>
                  <w:r>
                    <w:t xml:space="preserve">Visual</w:t>
                  </w:r>
                </w:p>
              </w:tc>
            </w:tr>
            <w:tr>
              <w:tc>
                <w:tcPr/>
                <w:p>
                  <w:pPr>
                    <w:pStyle w:val="Compact"/>
                    <w:jc w:val="left"/>
                    <w:jc w:val="center"/>
                  </w:pPr>
                  <w:r>
                    <w:t xml:space="preserve">N</w:t>
                  </w:r>
                </w:p>
              </w:tc>
              <w:tc>
                <w:tcPr/>
                <w:p>
                  <w:pPr>
                    <w:pStyle w:val="Compact"/>
                    <w:jc w:val="right"/>
                    <w:jc w:val="center"/>
                  </w:pPr>
                  <w:r>
                    <w:t xml:space="preserve">64</w:t>
                  </w:r>
                </w:p>
              </w:tc>
              <w:tc>
                <w:tcPr/>
                <w:p>
                  <w:pPr>
                    <w:pStyle w:val="Compact"/>
                    <w:jc w:val="right"/>
                    <w:jc w:val="center"/>
                  </w:pPr>
                  <w:r>
                    <w:t xml:space="preserve">65</w:t>
                  </w:r>
                </w:p>
              </w:tc>
            </w:tr>
            <w:tr>
              <w:tc>
                <w:tcPr/>
                <w:p>
                  <w:pPr>
                    <w:pStyle w:val="Compact"/>
                    <w:jc w:val="left"/>
                    <w:jc w:val="center"/>
                  </w:pPr>
                  <w:r>
                    <w:t xml:space="preserve">Age (SD)</w:t>
                  </w:r>
                </w:p>
              </w:tc>
              <w:tc>
                <w:tcPr/>
                <w:p>
                  <w:pPr>
                    <w:pStyle w:val="Compact"/>
                    <w:jc w:val="right"/>
                    <w:jc w:val="center"/>
                  </w:pPr>
                  <w:r>
                    <w:t xml:space="preserve">69.5 (6.5)</w:t>
                  </w:r>
                </w:p>
              </w:tc>
              <w:tc>
                <w:tcPr/>
                <w:p>
                  <w:pPr>
                    <w:pStyle w:val="Compact"/>
                    <w:jc w:val="right"/>
                    <w:jc w:val="center"/>
                  </w:pPr>
                  <w:r>
                    <w:t xml:space="preserve">69.5 (6.4)</w:t>
                  </w:r>
                </w:p>
              </w:tc>
            </w:tr>
            <w:tr>
              <w:tc>
                <w:tcPr/>
                <w:p>
                  <w:pPr>
                    <w:pStyle w:val="Compact"/>
                    <w:jc w:val="left"/>
                    <w:jc w:val="center"/>
                  </w:pPr>
                  <w:r>
                    <w:t xml:space="preserve">Gender, female (%)</w:t>
                  </w:r>
                </w:p>
              </w:tc>
              <w:tc>
                <w:tcPr/>
                <w:p>
                  <w:pPr>
                    <w:pStyle w:val="Compact"/>
                    <w:jc w:val="right"/>
                    <w:jc w:val="center"/>
                  </w:pPr>
                  <w:r>
                    <w:t xml:space="preserve">32 (50.0%)</w:t>
                  </w:r>
                </w:p>
              </w:tc>
              <w:tc>
                <w:tcPr/>
                <w:p>
                  <w:pPr>
                    <w:pStyle w:val="Compact"/>
                    <w:jc w:val="right"/>
                    <w:jc w:val="center"/>
                  </w:pPr>
                  <w:r>
                    <w:t xml:space="preserve">33 (50.8%)</w:t>
                  </w:r>
                </w:p>
              </w:tc>
            </w:tr>
            <w:tr>
              <w:tc>
                <w:tcPr/>
                <w:p>
                  <w:pPr>
                    <w:pStyle w:val="Compact"/>
                    <w:jc w:val="left"/>
                    <w:jc w:val="center"/>
                  </w:pPr>
                  <w:r>
                    <w:t xml:space="preserve">Education, years (SD)</w:t>
                  </w:r>
                </w:p>
              </w:tc>
              <w:tc>
                <w:tcPr/>
                <w:p>
                  <w:pPr>
                    <w:pStyle w:val="Compact"/>
                    <w:jc w:val="right"/>
                    <w:jc w:val="center"/>
                  </w:pPr>
                  <w:r>
                    <w:t xml:space="preserve">15.8 (2.6)</w:t>
                  </w:r>
                </w:p>
              </w:tc>
              <w:tc>
                <w:tcPr/>
                <w:p>
                  <w:pPr>
                    <w:pStyle w:val="Compact"/>
                    <w:jc w:val="right"/>
                    <w:jc w:val="center"/>
                  </w:pPr>
                  <w:r>
                    <w:t xml:space="preserve">15.9 (2.5)</w:t>
                  </w:r>
                </w:p>
              </w:tc>
            </w:tr>
            <w:tr>
              <w:tc>
                <w:tcPr/>
                <w:p>
                  <w:pPr>
                    <w:pStyle w:val="Compact"/>
                    <w:jc w:val="left"/>
                    <w:jc w:val="center"/>
                  </w:pPr>
                  <w:r>
                    <w:t xml:space="preserve">MoCA, score (SD)</w:t>
                  </w:r>
                </w:p>
              </w:tc>
              <w:tc>
                <w:tcPr/>
                <w:p>
                  <w:pPr>
                    <w:pStyle w:val="Compact"/>
                    <w:jc w:val="right"/>
                    <w:jc w:val="center"/>
                  </w:pPr>
                  <w:r>
                    <w:t xml:space="preserve">19.8 (1.5)</w:t>
                  </w:r>
                </w:p>
              </w:tc>
              <w:tc>
                <w:tcPr/>
                <w:p>
                  <w:pPr>
                    <w:pStyle w:val="Compact"/>
                    <w:jc w:val="right"/>
                    <w:jc w:val="center"/>
                  </w:pPr>
                  <w:r>
                    <w:t xml:space="preserve">19.9 (1.5)</w:t>
                  </w:r>
                </w:p>
              </w:tc>
            </w:tr>
            <w:tr>
              <w:tc>
                <w:tcPr/>
                <w:p>
                  <w:pPr>
                    <w:pStyle w:val="Compact"/>
                    <w:jc w:val="left"/>
                    <w:jc w:val="center"/>
                  </w:pPr>
                  <w:r>
                    <w:t xml:space="preserve">Race, count (%)</w:t>
                  </w: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48 (75.0%)</w:t>
                  </w:r>
                </w:p>
              </w:tc>
              <w:tc>
                <w:tcPr/>
                <w:p>
                  <w:pPr>
                    <w:pStyle w:val="Compact"/>
                    <w:jc w:val="right"/>
                    <w:jc w:val="center"/>
                  </w:pPr>
                  <w:r>
                    <w:t xml:space="preserve">50 (76.9%)</w:t>
                  </w:r>
                </w:p>
              </w:tc>
            </w:tr>
            <w:tr>
              <w:tc>
                <w:tcPr/>
                <w:p>
                  <w:pPr>
                    <w:pStyle w:val="Compact"/>
                    <w:jc w:val="left"/>
                    <w:jc w:val="center"/>
                  </w:pPr>
                  <w:r>
                    <w:t xml:space="preserve">Black/African American</w:t>
                  </w:r>
                </w:p>
              </w:tc>
              <w:tc>
                <w:tcPr/>
                <w:p>
                  <w:pPr>
                    <w:pStyle w:val="Compact"/>
                    <w:jc w:val="right"/>
                    <w:jc w:val="center"/>
                  </w:pPr>
                  <w:r>
                    <w:t xml:space="preserve">4 (6.2%)</w:t>
                  </w:r>
                </w:p>
              </w:tc>
              <w:tc>
                <w:tcPr/>
                <w:p>
                  <w:pPr>
                    <w:pStyle w:val="Compact"/>
                    <w:jc w:val="right"/>
                    <w:jc w:val="center"/>
                  </w:pPr>
                  <w:r>
                    <w:t xml:space="preserve">3 (4.6%)</w:t>
                  </w:r>
                </w:p>
              </w:tc>
            </w:tr>
            <w:tr>
              <w:tc>
                <w:tcPr/>
                <w:p>
                  <w:pPr>
                    <w:pStyle w:val="Compact"/>
                    <w:jc w:val="left"/>
                    <w:jc w:val="center"/>
                  </w:pPr>
                  <w:r>
                    <w:t xml:space="preserve">Asian</w:t>
                  </w:r>
                </w:p>
              </w:tc>
              <w:tc>
                <w:tcPr/>
                <w:p>
                  <w:pPr>
                    <w:pStyle w:val="Compact"/>
                    <w:jc w:val="right"/>
                    <w:jc w:val="center"/>
                  </w:pPr>
                  <w:r>
                    <w:t xml:space="preserve">5 (7.8%)</w:t>
                  </w:r>
                </w:p>
              </w:tc>
              <w:tc>
                <w:tcPr/>
                <w:p>
                  <w:pPr>
                    <w:pStyle w:val="Compact"/>
                    <w:jc w:val="right"/>
                    <w:jc w:val="center"/>
                  </w:pPr>
                  <w:r>
                    <w:t xml:space="preserve">5 (7.7%)</w:t>
                  </w:r>
                </w:p>
              </w:tc>
            </w:tr>
            <w:tr>
              <w:tc>
                <w:tcPr/>
                <w:p>
                  <w:pPr>
                    <w:pStyle w:val="Compact"/>
                    <w:jc w:val="left"/>
                    <w:jc w:val="center"/>
                  </w:pPr>
                  <w:r>
                    <w:t xml:space="preserve">Other</w:t>
                  </w:r>
                </w:p>
              </w:tc>
              <w:tc>
                <w:tcPr/>
                <w:p>
                  <w:pPr>
                    <w:pStyle w:val="Compact"/>
                    <w:jc w:val="right"/>
                    <w:jc w:val="center"/>
                  </w:pPr>
                  <w:r>
                    <w:t xml:space="preserve">5 (7.8%)</w:t>
                  </w:r>
                </w:p>
              </w:tc>
              <w:tc>
                <w:tcPr/>
                <w:p>
                  <w:pPr>
                    <w:pStyle w:val="Compact"/>
                    <w:jc w:val="right"/>
                    <w:jc w:val="center"/>
                  </w:pPr>
                  <w:r>
                    <w:t xml:space="preserve">5 (7.7%)</w:t>
                  </w:r>
                </w:p>
              </w:tc>
            </w:tr>
            <w:tr>
              <w:tc>
                <w:tcPr/>
                <w:p>
                  <w:pPr>
                    <w:pStyle w:val="Compact"/>
                    <w:jc w:val="left"/>
                    <w:jc w:val="center"/>
                  </w:pPr>
                  <w:r>
                    <w:t xml:space="preserve">Hispanic/Latino</w:t>
                  </w:r>
                </w:p>
              </w:tc>
              <w:tc>
                <w:tcPr/>
                <w:p>
                  <w:pPr>
                    <w:pStyle w:val="Compact"/>
                    <w:jc w:val="right"/>
                    <w:jc w:val="center"/>
                  </w:pPr>
                  <w:r>
                    <w:t xml:space="preserve">8 (12.5%)</w:t>
                  </w:r>
                </w:p>
              </w:tc>
              <w:tc>
                <w:tcPr/>
                <w:p>
                  <w:pPr>
                    <w:pStyle w:val="Compact"/>
                    <w:jc w:val="right"/>
                    <w:jc w:val="center"/>
                  </w:pPr>
                  <w:r>
                    <w:t xml:space="preserve">9 (13.8%)</w:t>
                  </w:r>
                </w:p>
              </w:tc>
            </w:tr>
            <w:tr>
              <w:tc>
                <w:tcPr/>
                <w:p>
                  <w:pPr>
                    <w:pStyle w:val="Compact"/>
                    <w:jc w:val="left"/>
                    <w:jc w:val="center"/>
                  </w:pPr>
                  <w:r>
                    <w:t xml:space="preserve">Note.</w:t>
                  </w:r>
                  <w:r>
                    <w:t xml:space="preserve"> </w:t>
                  </w:r>
                  <w:r>
                    <w:t xml:space="preserve"> </w:t>
                  </w:r>
                  <w:r>
                    <w:t xml:space="preserve">The telephone MoCA (T-MoCA) provides a brief measure of global cognitive function; scores below 17 out of a possible 22 were taken to reflect mild cognitive impairment.</w:t>
                  </w:r>
                </w:p>
              </w:tc>
              <w:tc>
                <w:tcPr/>
                <w:p>
                  <w:pPr>
                    <w:pStyle w:val="Compact"/>
                  </w:pPr>
                </w:p>
              </w:tc>
              <w:tc>
                <w:tcPr/>
                <w:p>
                  <w:pPr>
                    <w:pStyle w:val="Compact"/>
                  </w:pPr>
                </w:p>
              </w:tc>
            </w:tr>
          </w:tbl>
          <w:bookmarkEnd w:id="29"/>
          <w:p/>
        </w:tc>
      </w:tr>
    </w:tbl>
    <w:bookmarkEnd w:id="30"/>
    <w:bookmarkStart w:id="32" w:name="stimuli-and-task-design"/>
    <w:p>
      <w:pPr>
        <w:pStyle w:val="Heading3"/>
      </w:pPr>
      <w:r>
        <w:t xml:space="preserve">2.0.2 Stimuli and Task Design</w:t>
      </w:r>
    </w:p>
    <w:p>
      <w:pPr>
        <w:pStyle w:val="FirstParagraph"/>
      </w:pPr>
      <w:r>
        <w:rPr>
          <w:b/>
          <w:bCs/>
        </w:rPr>
        <w:t xml:space="preserve">Task overview</w:t>
      </w:r>
      <w:r>
        <w:t xml:space="preserve"> </w:t>
      </w:r>
      <w:r>
        <w:t xml:space="preserve">Participants completed two response-signal same/different discrimination tasks—an Auditory Detection Task (ADT) and a Visual Detection Task (VDT)—each performed under concurrent hand-grip effort manipulation. In both tasks, a standard and probe stimulus were presented in succession, and participants judged whether the stimuli were the same or different using button presses, followed by a confidence rating.</w:t>
      </w:r>
    </w:p>
    <w:p>
      <w:pPr>
        <w:pStyle w:val="BodyText"/>
      </w:pPr>
      <w:r>
        <w:rPr>
          <w:b/>
          <w:bCs/>
        </w:rPr>
        <w:t xml:space="preserve">Trial structure.</w:t>
      </w:r>
      <w:r>
        <w:t xml:space="preserve"> </w:t>
      </w:r>
      <w:r>
        <w:t xml:space="preserve">Both tasks shared the same response-signal timeline (see</w:t>
      </w:r>
      <w:r>
        <w:t xml:space="preserve"> </w:t>
      </w:r>
      <w:hyperlink w:anchor="fig-trial-structure">
        <w:r>
          <w:rPr>
            <w:rStyle w:val="Hyperlink"/>
          </w:rPr>
          <w:t xml:space="preserve">Figure 2</w:t>
        </w:r>
      </w:hyperlink>
      <w:r>
        <w:t xml:space="preserve">). Each trial began with a jittered blank interval (1.5–4.5 s) displaying only a gray background. Participants were then shown a 3-second rectangular grip gauge with a marker positioned at either 5% or 40% from the bottom, indicating the target force level to be maintained using a hand-held dynamometer (left hand) at the corresponding percentage of their maximum voluntary contraction (MVC). MVC was determined during a brief calibration procedure prior to each task. Following the grip period, a 0.25-second blank screen and 0.5-second fixation dot preceded stimulus presentation.</w:t>
      </w:r>
    </w:p>
    <w:p>
      <w:pPr>
        <w:pStyle w:val="BodyText"/>
      </w:pPr>
      <w:r>
        <w:rPr>
          <w:b/>
          <w:bCs/>
        </w:rPr>
        <w:t xml:space="preserve">Auditory Detection Task (ADT).</w:t>
      </w:r>
      <w:r>
        <w:t xml:space="preserve"> </w:t>
      </w:r>
      <w:r>
        <w:t xml:space="preserve">The standard stimulus was a 0.1-second sinusoidal tone at 1000 Hz. After a 0.5-second inter-stimulus interval, the probe stimulus was presented as a 0.1-second tone that was either identical to the standard (</w:t>
      </w:r>
      <m:oMath>
        <m:r>
          <m:t>Δ</m:t>
        </m:r>
        <m:r>
          <m:t>f</m:t>
        </m:r>
        <m:r>
          <m:t>r</m:t>
        </m:r>
        <m:r>
          <m:t>e</m:t>
        </m:r>
        <m:r>
          <m:t>q</m:t>
        </m:r>
        <m:r>
          <m:t>u</m:t>
        </m:r>
        <m:r>
          <m:t>e</m:t>
        </m:r>
        <m:r>
          <m:t>n</m:t>
        </m:r>
        <m:r>
          <m:t>c</m:t>
        </m:r>
        <m:r>
          <m:t>y</m:t>
        </m:r>
      </m:oMath>
      <w:r>
        <w:t xml:space="preserve"> </w:t>
      </w:r>
      <w:r>
        <w:t xml:space="preserve">= 0) or positively offset by</w:t>
      </w:r>
      <w:r>
        <w:t xml:space="preserve"> </w:t>
      </w:r>
      <m:oMath>
        <m:r>
          <m:t>Δ</m:t>
        </m:r>
        <m:r>
          <m:t>f</m:t>
        </m:r>
        <m:r>
          <m:t>r</m:t>
        </m:r>
        <m:r>
          <m:t>e</m:t>
        </m:r>
        <m:r>
          <m:t>q</m:t>
        </m:r>
        <m:r>
          <m:t>u</m:t>
        </m:r>
        <m:r>
          <m:t>e</m:t>
        </m:r>
        <m:r>
          <m:t>n</m:t>
        </m:r>
        <m:r>
          <m:t>c</m:t>
        </m:r>
        <m:r>
          <m:t>y</m:t>
        </m:r>
        <m:r>
          <m:rPr>
            <m:sty m:val="p"/>
          </m:rPr>
          <m:t>∈</m:t>
        </m:r>
        <m:r>
          <m:rPr>
            <m:sty m:val="p"/>
          </m:rPr>
          <m:t>{</m:t>
        </m:r>
        <m:r>
          <m:t>8</m:t>
        </m:r>
        <m:r>
          <m:rPr>
            <m:sty m:val="p"/>
          </m:rPr>
          <m:t>,</m:t>
        </m:r>
        <m:r>
          <m:t>16</m:t>
        </m:r>
        <m:r>
          <m:rPr>
            <m:sty m:val="p"/>
          </m:rPr>
          <m:t>,</m:t>
        </m:r>
        <m:r>
          <m:t>32</m:t>
        </m:r>
        <m:r>
          <m:rPr>
            <m:sty m:val="p"/>
          </m:rPr>
          <m:t>,</m:t>
        </m:r>
        <m:r>
          <m:t>64</m:t>
        </m:r>
        <m:r>
          <m:rPr>
            <m:sty m:val="p"/>
          </m:rPr>
          <m:t>}</m:t>
        </m:r>
        <m:r>
          <m:t> </m:t>
        </m:r>
        <m:r>
          <m:rPr>
            <m:sty m:val="p"/>
          </m:rPr>
          <m:t>H</m:t>
        </m:r>
        <m:r>
          <m:rPr>
            <m:sty m:val="p"/>
          </m:rPr>
          <m:t>z</m:t>
        </m:r>
      </m:oMath>
      <w:r>
        <w:t xml:space="preserve">. For drift-diffusion model (DDM) analyses, the four non-zero offsets were collapsed into two difficulty bins: Hard = {8, 16} Hz and Easy = {32, 64} Hz, with Standard = 0 Hz.</w:t>
      </w:r>
    </w:p>
    <w:p>
      <w:pPr>
        <w:pStyle w:val="BodyText"/>
      </w:pPr>
      <w:r>
        <w:rPr>
          <w:b/>
          <w:bCs/>
        </w:rPr>
        <w:t xml:space="preserve">Visual Detection Task (VDT).</w:t>
      </w:r>
      <w:r>
        <w:t xml:space="preserve"> </w:t>
      </w:r>
      <w:r>
        <w:t xml:space="preserve">The standard stimulus was a centrally presented sinusoidal Gabor patch (spatial frequency 1.5 cycles/degree, Michelson contrast 0.20, diameter 4°, duration 0.1 s). After a 0.5-second inter-stimulus interval, the probe stimulus was presented as a 0.1-second Gabor that was either identical to the standard (</w:t>
      </w:r>
      <m:oMath>
        <m:r>
          <m:t>Δ</m:t>
        </m:r>
        <m:r>
          <m:t>c</m:t>
        </m:r>
        <m:r>
          <m:t>o</m:t>
        </m:r>
        <m:r>
          <m:t>n</m:t>
        </m:r>
        <m:r>
          <m:t>t</m:t>
        </m:r>
        <m:r>
          <m:t>r</m:t>
        </m:r>
        <m:r>
          <m:t>a</m:t>
        </m:r>
        <m:r>
          <m:t>s</m:t>
        </m:r>
        <m:r>
          <m:t>t</m:t>
        </m:r>
      </m:oMath>
      <w:r>
        <w:t xml:space="preserve"> </w:t>
      </w:r>
      <w:r>
        <w:t xml:space="preserve">= 0) or showed a positive contrast increase of</w:t>
      </w:r>
      <w:r>
        <w:t xml:space="preserve"> </w:t>
      </w:r>
      <m:oMath>
        <m:r>
          <m:t>Δ</m:t>
        </m:r>
        <m:r>
          <m:t>c</m:t>
        </m:r>
        <m:r>
          <m:t>o</m:t>
        </m:r>
        <m:r>
          <m:t>n</m:t>
        </m:r>
        <m:r>
          <m:t>t</m:t>
        </m:r>
        <m:r>
          <m:t>r</m:t>
        </m:r>
        <m:r>
          <m:t>a</m:t>
        </m:r>
        <m:r>
          <m:t>s</m:t>
        </m:r>
        <m:r>
          <m:t>t</m:t>
        </m:r>
        <m:r>
          <m:rPr>
            <m:sty m:val="p"/>
          </m:rPr>
          <m:t>∈</m:t>
        </m:r>
        <m:r>
          <m:rPr>
            <m:sty m:val="p"/>
          </m:rPr>
          <m:t>{</m:t>
        </m:r>
        <m:r>
          <m:t>0.06</m:t>
        </m:r>
        <m:r>
          <m:rPr>
            <m:sty m:val="p"/>
          </m:rPr>
          <m:t>,</m:t>
        </m:r>
        <m:r>
          <m:t>0.12</m:t>
        </m:r>
        <m:r>
          <m:rPr>
            <m:sty m:val="p"/>
          </m:rPr>
          <m:t>,</m:t>
        </m:r>
        <m:r>
          <m:t>0.24</m:t>
        </m:r>
        <m:r>
          <m:rPr>
            <m:sty m:val="p"/>
          </m:rPr>
          <m:t>,</m:t>
        </m:r>
        <m:r>
          <m:t>0.48</m:t>
        </m:r>
        <m:r>
          <m:rPr>
            <m:sty m:val="p"/>
          </m:rPr>
          <m:t>}</m:t>
        </m:r>
      </m:oMath>
      <w:r>
        <w:t xml:space="preserve">, with all other parameters held constant. For DDM analyses, offsets were collapsed into Hard = {0.06, 0.12} and Easy = {0.24, 0.48}, with Standard = 0.</w:t>
      </w:r>
    </w:p>
    <w:p>
      <w:pPr>
        <w:pStyle w:val="BodyText"/>
      </w:pPr>
      <w:r>
        <w:rPr>
          <w:b/>
          <w:bCs/>
        </w:rPr>
        <w:t xml:space="preserve">Response collection.</w:t>
      </w:r>
      <w:r>
        <w:t xml:space="preserve"> </w:t>
      </w:r>
      <w:r>
        <w:t xml:space="preserve">Following stimulus offset, participants relaxed their grip and had a 3-second response window to indicate whether the two stimuli were the same or different using their right hand (index finger =</w:t>
      </w:r>
      <w:r>
        <w:t xml:space="preserve"> </w:t>
      </w:r>
      <w:r>
        <w:t xml:space="preserve">“different”</w:t>
      </w:r>
      <w:r>
        <w:t xml:space="preserve">; middle finger =</w:t>
      </w:r>
      <w:r>
        <w:t xml:space="preserve"> </w:t>
      </w:r>
      <w:r>
        <w:t xml:space="preserve">“same”</w:t>
      </w:r>
      <w:r>
        <w:t xml:space="preserve">). This was immediately followed by another 3-second window in which participants provided a confidence rating on a 4-point scale (1 = low confidence, 4 = high confidence).</w:t>
      </w:r>
    </w:p>
    <w:p>
      <w:pPr>
        <w:pStyle w:val="BodyText"/>
      </w:pPr>
      <w:r>
        <w:rPr>
          <w:b/>
          <w:bCs/>
        </w:rPr>
        <w:t xml:space="preserve">Trial counts and monitoring.</w:t>
      </w:r>
      <w:r>
        <w:t xml:space="preserve"> </w:t>
      </w:r>
      <w:r>
        <w:t xml:space="preserve">Each task comprised 150 trials distributed across five blocks of 30 trials each. Within each block, the five stimulus levels (Standard plus four offsets) were crossed with the two effort conditions (5% vs. 40% MVC) and presented in pseudorandom order with equal proportions (three repetitions per stimulus × effort combination). Hand-grip performance was monitored after each block, and participants received corrective feedback if they consistently failed to maintain the dynamometer at the designated force level (near the grip gauge marker) and/or for the correct duration (until offset of the probe stimulus).</w:t>
      </w:r>
    </w:p>
    <w:tbl>
      <w:tblPr>
        <w:tblStyle w:val="Table"/>
        <w:tblW w:type="pct" w:w="5000"/>
        <w:tblLayout w:type="fixed"/>
        <w:tblLook w:firstRow="0" w:lastRow="0" w:firstColumn="0" w:lastColumn="0" w:noHBand="0" w:noVBand="0" w:val="0000"/>
      </w:tblPr>
      <w:tblGrid>
        <w:gridCol w:w="7920"/>
      </w:tblGrid>
      <w:tr>
        <w:tc>
          <w:tcPr/>
          <w:bookmarkStart w:id="31" w:name="fig-trial-structure"/>
          <w:p>
            <w:pPr>
              <w:pStyle w:val="Compact"/>
              <w:jc w:val="center"/>
            </w:pPr>
          </w:p>
          <w:p>
            <w:pPr>
              <w:jc w:val="center"/>
            </w:pPr>
            <w:pPr>
              <w:jc w:val="start"/>
              <w:spacing w:before="200"/>
              <w:pStyle w:val="ImageCaption"/>
            </w:pPr>
            <w:r>
              <w:t xml:space="preserve">Figure 2: Trial structure for both tasks (response-signal design). Each trial includes a jittered pre-cue interval, a 3-s grip-gauge period (Low vs High effort), a two-stimulus sequence (standard → delay → probe), followed by a 3-s same/different response window and a 3-s confidence rating. Full stimulus parameters and difficulty binning are described in the Tasks and Conditions section.</w:t>
            </w:r>
          </w:p>
          <w:bookmarkEnd w:id="31"/>
        </w:tc>
      </w:tr>
    </w:tbl>
    <w:bookmarkEnd w:id="32"/>
    <w:bookmarkStart w:id="33" w:name="equipment"/>
    <w:p>
      <w:pPr>
        <w:pStyle w:val="Heading3"/>
      </w:pPr>
      <w:r>
        <w:t xml:space="preserve">2.0.3 Equipment</w:t>
      </w:r>
    </w:p>
    <w:p>
      <w:pPr>
        <w:pStyle w:val="FirstParagraph"/>
      </w:pPr>
      <w:r>
        <w:t xml:space="preserve">The experimental task was programmed and executed on an Alienware laptop. Visual stimuli were presented via a PROPixx projector (VPixx Technologies, Montreal, Canada; 480 Hz refresh rate, 1920×1080 resolution) and viewed through a head coil-mounted mirror (viewing distance</w:t>
      </w:r>
      <w:r>
        <w:t xml:space="preserve"> </w:t>
      </w:r>
      <m:oMath>
        <m:r>
          <m:rPr>
            <m:sty m:val="p"/>
          </m:rPr>
          <m:t>≈</m:t>
        </m:r>
      </m:oMath>
      <w:r>
        <w:t xml:space="preserve"> </w:t>
      </w:r>
      <w:r>
        <w:t xml:space="preserve">12 cm). Auditory stimuli were delivered via MRI-safe earbuds (Newmatic Medical, Duluth, GA; 30 dB NRR). Behavioral responses were recorded using a RESPONSEpixx fiber-optic response box, hand-grip force via a MRI-compatible dynamometer (Current Designs Inc., Philadelphia, USA; 100 Hz sampling), and pupil diameter via an MRI-compatible TRACKPixx binocular eye tracker (VPixx Technologies, Montreal, Canada; 2000 Hz sampling). Stimuli were generated using Psychophysics Toolbox 3.0.18</w:t>
      </w:r>
      <w:r>
        <w:t xml:space="preserve"> </w:t>
      </w:r>
      <w:r>
        <w:t xml:space="preserve">(Brainard &amp; Vision, 1997; Kleiner et al., 2007)</w:t>
      </w:r>
      <w:r>
        <w:t xml:space="preserve"> </w:t>
      </w:r>
      <w:r>
        <w:t xml:space="preserve">in MATLAB R2022b (The MathWorks, Natick, MA). Data were collected inside an MRI scanner; neuroimaging results are reported elsewhere.</w:t>
      </w:r>
    </w:p>
    <w:bookmarkEnd w:id="33"/>
    <w:bookmarkStart w:id="35" w:name="data-processing-and-quality-control"/>
    <w:p>
      <w:pPr>
        <w:pStyle w:val="Heading3"/>
      </w:pPr>
      <w:r>
        <w:t xml:space="preserve">2.0.4 Data Processing and Quality Control</w:t>
      </w:r>
    </w:p>
    <w:p>
      <w:pPr>
        <w:pStyle w:val="FirstParagraph"/>
      </w:pPr>
      <w:r>
        <w:rPr>
          <w:b/>
          <w:bCs/>
        </w:rPr>
        <w:t xml:space="preserve">Reaction time definition.</w:t>
      </w:r>
      <w:r>
        <w:t xml:space="preserve"> </w:t>
      </w:r>
      <w:r>
        <w:t xml:space="preserve">In this response-signal design, reaction time (RT) was initially recorded as the latency from response-screen onset (</w:t>
      </w:r>
      <w:r>
        <w:t xml:space="preserve">“Same or Different?”</w:t>
      </w:r>
      <w:r>
        <w:t xml:space="preserve"> </w:t>
      </w:r>
      <w:r>
        <w:t xml:space="preserve">prompt) to button press, termed</w:t>
      </w:r>
      <w:r>
        <w:t xml:space="preserve"> </w:t>
      </w:r>
      <w:r>
        <w:rPr>
          <w:b/>
          <w:bCs/>
        </w:rPr>
        <w:t xml:space="preserve">cue-locked RT</w:t>
      </w:r>
      <w:r>
        <w:t xml:space="preserve">. However, perceptual evidence becomes available at probe onset (the second stimulus). To align RT with evidence accumulation onset, we derived</w:t>
      </w:r>
      <w:r>
        <w:t xml:space="preserve"> </w:t>
      </w:r>
      <w:r>
        <w:rPr>
          <w:b/>
          <w:bCs/>
        </w:rPr>
        <w:t xml:space="preserve">probe-onset-locked RT</w:t>
      </w:r>
      <w:r>
        <w:t xml:space="preserve"> </w:t>
      </w:r>
      <w:r>
        <w:t xml:space="preserve">by adding the fixed post-probe delay to cue-locked RT:</w:t>
      </w:r>
    </w:p>
    <w:p>
      <w:pPr>
        <w:pStyle w:val="BodyText"/>
      </w:pPr>
      <w:bookmarkStart w:id="34" w:name="eq-probe"/>
      <m:oMathPara>
        <m:oMathParaPr>
          <m:jc m:val="center"/>
        </m:oMathParaPr>
        <m:oMath>
          <m:r>
            <m:t>R</m:t>
          </m:r>
          <m:sSub>
            <m:e>
              <m:r>
                <m:t>T</m:t>
              </m:r>
            </m:e>
            <m:sub>
              <m:r>
                <m:rPr>
                  <m:nor/>
                  <m:sty m:val="p"/>
                </m:rPr>
                <m:t>probe-onset</m:t>
              </m:r>
            </m:sub>
          </m:sSub>
          <m:r>
            <m:rPr>
              <m:sty m:val="p"/>
            </m:rPr>
            <m:t>=</m:t>
          </m:r>
          <m:r>
            <m:t>R</m:t>
          </m:r>
          <m:sSub>
            <m:e>
              <m:r>
                <m:t>T</m:t>
              </m:r>
            </m:e>
            <m:sub>
              <m:r>
                <m:rPr>
                  <m:nor/>
                  <m:sty m:val="p"/>
                </m:rPr>
                <m:t>cue-locked</m:t>
              </m:r>
            </m:sub>
          </m:sSub>
          <m:r>
            <m:rPr>
              <m:sty m:val="p"/>
            </m:rPr>
            <m:t>+</m:t>
          </m:r>
          <m:r>
            <m:t>0.35</m:t>
          </m:r>
          <m:r>
            <m:rPr>
              <m:nor/>
              <m:sty m:val="p"/>
            </m:rPr>
            <m:t> s</m:t>
          </m:r>
          <m:r>
            <m:rPr>
              <m:sty m:val="p"/>
            </m:rPr>
            <m:t>.</m:t>
          </m:r>
          <m:r>
            <m:t>  </m:t>
          </m:r>
          <m:d>
            <m:dPr>
              <m:begChr m:val="("/>
              <m:sepChr m:val=""/>
              <m:endChr m:val=")"/>
              <m:grow/>
            </m:dPr>
            <m:e>
              <m:r>
                <m:t>1</m:t>
              </m:r>
            </m:e>
          </m:d>
        </m:oMath>
      </m:oMathPara>
      <w:bookmarkEnd w:id="34"/>
    </w:p>
    <w:p>
      <w:pPr>
        <w:pStyle w:val="FirstParagraph"/>
      </w:pPr>
      <w:r>
        <w:t xml:space="preserve">where 0.35 s comprises 0.10 s probe duration plus 0.25 s grip-relaxation period. Probe-onset-locked RT served as the primary timing measure for DDM interpretation, as it aligns the decision process with evidence onset. Under this convention, the DDM non-decision time parameter (</w:t>
      </w:r>
      <m:oMath>
        <m:sSub>
          <m:e>
            <m:r>
              <m:t>t</m:t>
            </m:r>
          </m:e>
          <m:sub>
            <m:r>
              <m:t>0</m:t>
            </m:r>
          </m:sub>
        </m:sSub>
      </m:oMath>
      <w:r>
        <w:t xml:space="preserve">) includes the fixed 0.35 s response-gating delay plus residual encoding and motor components. Cue-locked RT was retained for sensitivity analyses. This probe-onset-locked timing is our chosen convention to align</w:t>
      </w:r>
      <w:r>
        <w:t xml:space="preserve"> </w:t>
      </w:r>
      <m:oMath>
        <m:sSub>
          <m:e>
            <m:r>
              <m:t>t</m:t>
            </m:r>
          </m:e>
          <m:sub>
            <m:r>
              <m:t>0</m:t>
            </m:r>
          </m:sub>
        </m:sSub>
      </m:oMath>
      <w:r>
        <w:t xml:space="preserve"> </w:t>
      </w:r>
      <w:r>
        <w:t xml:space="preserve">with evidence onset; some DDM studies alternatively use cue-locked or response-locked reference points depending on task structure.</w:t>
      </w:r>
    </w:p>
    <w:p>
      <w:pPr>
        <w:pStyle w:val="BodyText"/>
      </w:pPr>
      <w:r>
        <w:rPr>
          <w:b/>
          <w:bCs/>
        </w:rPr>
        <w:t xml:space="preserve">Trial exclusion criteria.</w:t>
      </w:r>
      <w:r>
        <w:t xml:space="preserve"> </w:t>
      </w:r>
      <w:r>
        <w:t xml:space="preserve">To minimize the influence of premature or accidental button presses, trials with cue-locked RT &lt; 0.20 s were excluded from the primary analysis. Sensitivity analyses were conducted using alternative cutoffs of 0.15 s and 0.25 s. Additional exclusions included missed responses, invalid run performance, and trials with non-positive or missing RT values. The same exclusion criteria were applied to both cue-locked and probe-onset-locked RT datasets (which differ only by the fixed 0.35 s offset). For pupil-linked DDM models, trials additionally required valid pupil data (see Pupillometry Preprocessing section). These steps are described above.</w:t>
      </w:r>
    </w:p>
    <w:bookmarkEnd w:id="35"/>
    <w:bookmarkStart w:id="36" w:name="X7bdad3c4230e1bce88edf69d0589575f6f665b6"/>
    <w:p>
      <w:pPr>
        <w:pStyle w:val="Heading3"/>
      </w:pPr>
      <w:r>
        <w:t xml:space="preserve">2.0.5 Experimental Design and Statistical Modeling</w:t>
      </w:r>
    </w:p>
    <w:p>
      <w:pPr>
        <w:pStyle w:val="FirstParagraph"/>
      </w:pPr>
      <w:r>
        <w:rPr>
          <w:b/>
          <w:bCs/>
        </w:rPr>
        <w:t xml:space="preserve">Design.</w:t>
      </w:r>
      <w:r>
        <w:t xml:space="preserve"> </w:t>
      </w:r>
      <w:r>
        <w:t xml:space="preserve">The study employed a 2 (Task: ADT, VDT) × 3 (Difficulty: Standard, Easy, Hard) × 2 (Effort: Low, High) within-subjects factorial design, yielding 12 experimental conditions per participant. Because difficulty is determined by stimulus offset magnitude and thus unknown at trial onset, it was not included as a predictor of starting-point bias in the primary DDM specification.</w:t>
      </w:r>
    </w:p>
    <w:p>
      <w:pPr>
        <w:pStyle w:val="BodyText"/>
      </w:pPr>
      <w:r>
        <w:rPr>
          <w:b/>
          <w:bCs/>
        </w:rPr>
        <w:t xml:space="preserve">Modeling approach.</w:t>
      </w:r>
      <w:r>
        <w:t xml:space="preserve"> </w:t>
      </w:r>
      <w:r>
        <w:t xml:space="preserve">ADT and VDT were modeled</w:t>
      </w:r>
      <w:r>
        <w:t xml:space="preserve"> </w:t>
      </w:r>
      <w:r>
        <w:rPr>
          <w:i/>
          <w:iCs/>
        </w:rPr>
        <w:t xml:space="preserve">jointly</w:t>
      </w:r>
      <w:r>
        <w:t xml:space="preserve"> </w:t>
      </w:r>
      <w:r>
        <w:t xml:space="preserve">in a single hierarchical Bayesian DDM, with Task (ADT vs. VDT) included as a fixed effect on starting-point bias</w:t>
      </w:r>
      <w:r>
        <w:t xml:space="preserve"> </w:t>
      </w:r>
      <m:oMath>
        <m:r>
          <m:t>z</m:t>
        </m:r>
      </m:oMath>
      <w:r>
        <w:t xml:space="preserve">. This joint specification estimates task-specific parameter offsets (i.e., how ADT and VDT differ in bias) while sharing subject-level random-effect variance across tasks, allowing hierarchical shrinkage to stabilize individual-level estimates. Importantly, drift rate</w:t>
      </w:r>
      <w:r>
        <w:t xml:space="preserve"> </w:t>
      </w:r>
      <m:oMath>
        <m:r>
          <m:t>v</m:t>
        </m:r>
      </m:oMath>
      <w:r>
        <w:t xml:space="preserve"> </w:t>
      </w:r>
      <w:r>
        <w:t xml:space="preserve">and boundary separation</w:t>
      </w:r>
      <w:r>
        <w:t xml:space="preserve"> </w:t>
      </w:r>
      <m:oMath>
        <m:r>
          <m:t>a</m:t>
        </m:r>
      </m:oMath>
      <w:r>
        <w:t xml:space="preserve"> </w:t>
      </w:r>
      <w:r>
        <w:t xml:space="preserve">were not modeled as functions of Task in the primary model — instead, task-specific estimates for these parameters are provided as a sensitivity analysis in Appendix A4.3. This choice reflects our primary interest in the pooled effort and difficulty effects, with task-modality differences treated as secondary context.</w:t>
      </w:r>
    </w:p>
    <w:bookmarkEnd w:id="36"/>
    <w:bookmarkStart w:id="37" w:name="sec-stats-overview"/>
    <w:p>
      <w:pPr>
        <w:pStyle w:val="Heading3"/>
      </w:pPr>
      <w:r>
        <w:t xml:space="preserve">2.0.6 Statistical Analysis Overview</w:t>
      </w:r>
    </w:p>
    <w:p>
      <w:pPr>
        <w:pStyle w:val="FirstParagraph"/>
      </w:pPr>
      <w:r>
        <w:t xml:space="preserve">Analyses proceeded in three stages. First,</w:t>
      </w:r>
      <w:r>
        <w:t xml:space="preserve"> </w:t>
      </w:r>
      <w:r>
        <w:rPr>
          <w:b/>
          <w:bCs/>
        </w:rPr>
        <w:t xml:space="preserve">manipulation checks</w:t>
      </w:r>
      <w:r>
        <w:t xml:space="preserve"> </w:t>
      </w:r>
      <w:r>
        <w:t xml:space="preserve">confirmed that difficulty and effort affected behavioral performance (accuracy and RT) as intended, using generalized linear mixed-effects models (GLMM, binomial family) for accuracy and linear mixed-effects models (LMM) for median RT, each with fixed effects for Difficulty, Effort, and Task and random intercepts for participant; these results are reported in Appendix A7. Second, the</w:t>
      </w:r>
      <w:r>
        <w:t xml:space="preserve"> </w:t>
      </w:r>
      <w:r>
        <w:rPr>
          <w:b/>
          <w:bCs/>
        </w:rPr>
        <w:t xml:space="preserve">primary DDM analysis</w:t>
      </w:r>
      <w:r>
        <w:t xml:space="preserve"> </w:t>
      </w:r>
      <w:r>
        <w:t xml:space="preserve">used a hierarchical Bayesian Wiener diffusion model fit via</w:t>
      </w:r>
      <w:r>
        <w:t xml:space="preserve"> </w:t>
      </w:r>
      <w:r>
        <w:rPr>
          <w:rStyle w:val="VerbatimChar"/>
        </w:rPr>
        <w:t xml:space="preserve">brms</w:t>
      </w:r>
      <w:r>
        <w:t xml:space="preserve"> </w:t>
      </w:r>
      <w:r>
        <w:t xml:space="preserve">(Bürkner, 2017)</w:t>
      </w:r>
      <w:r>
        <w:t xml:space="preserve"> </w:t>
      </w:r>
      <w:r>
        <w:t xml:space="preserve">in R</w:t>
      </w:r>
      <w:r>
        <w:t xml:space="preserve"> </w:t>
      </w:r>
      <w:r>
        <w:t xml:space="preserve">(R Core Team, 2025)</w:t>
      </w:r>
      <w:r>
        <w:t xml:space="preserve">, with model comparison via Pareto-smoothed importance sampling LOO cross-validation (PSIS-LOO;</w:t>
      </w:r>
      <w:r>
        <w:t xml:space="preserve"> </w:t>
      </w:r>
      <w:r>
        <w:t xml:space="preserve">(Vehtari et al., 2017)</w:t>
      </w:r>
      <w:r>
        <w:t xml:space="preserve">); full model specification is described in</w:t>
      </w:r>
      <w:r>
        <w:t xml:space="preserve"> </w:t>
      </w:r>
      <w:hyperlink w:anchor="sec-ddm-spec">
        <w:r>
          <w:rPr>
            <w:rStyle w:val="Hyperlink"/>
          </w:rPr>
          <w:t xml:space="preserve">Section 2.0.8.3</w:t>
        </w:r>
      </w:hyperlink>
      <w:r>
        <w:t xml:space="preserve">. Third,</w:t>
      </w:r>
      <w:r>
        <w:t xml:space="preserve"> </w:t>
      </w:r>
      <w:r>
        <w:rPr>
          <w:b/>
          <w:bCs/>
        </w:rPr>
        <w:t xml:space="preserve">pupil-linked DDM extensions</w:t>
      </w:r>
      <w:r>
        <w:t xml:space="preserve"> </w:t>
      </w:r>
      <w:r>
        <w:t xml:space="preserve">tested whether trial-wise task-evoked pupil responses (TEPR) modulated drift rate or response bias, using a nested sequence of pupil-augmented models compared via PSIS-LOO (</w:t>
      </w:r>
      <w:hyperlink w:anchor="sec-pupil-ddm-models">
        <w:r>
          <w:rPr>
            <w:rStyle w:val="Hyperlink"/>
          </w:rPr>
          <w:t xml:space="preserve">Section 2.0.8.4</w:t>
        </w:r>
      </w:hyperlink>
      <w:r>
        <w:t xml:space="preserve">). Sensitivity analyses across RT cutoff thresholds are reported in Appendix A4.2.</w:t>
      </w:r>
    </w:p>
    <w:bookmarkEnd w:id="37"/>
    <w:bookmarkStart w:id="39" w:name="sec-pupil-preprocessing"/>
    <w:p>
      <w:pPr>
        <w:pStyle w:val="Heading3"/>
      </w:pPr>
      <w:r>
        <w:t xml:space="preserve">2.0.7 Pupillometry Preprocessing and AUC Features</w:t>
      </w:r>
    </w:p>
    <w:p>
      <w:pPr>
        <w:pStyle w:val="FirstParagraph"/>
      </w:pPr>
      <w:r>
        <w:rPr>
          <w:b/>
          <w:bCs/>
        </w:rPr>
        <w:t xml:space="preserve">Recording and hardware.</w:t>
      </w:r>
      <w:r>
        <w:t xml:space="preserve"> </w:t>
      </w:r>
      <w:r>
        <w:t xml:space="preserve">Pupil diameter was continuously recorded using an MRI-compatible TRACKPixx binocular eye tracker (VPixx Technologies, Montreal, Canada) sampling at 2000 Hz. Raw eye-tracking data were exported as .mat files and processed through a multi-stage preprocessing pipeline designed to ensure high-quality pupillometry measurements.</w:t>
      </w:r>
    </w:p>
    <w:p>
      <w:pPr>
        <w:pStyle w:val="BodyText"/>
      </w:pPr>
      <w:r>
        <w:rPr>
          <w:b/>
          <w:bCs/>
        </w:rPr>
        <w:t xml:space="preserve">Artifact correction and quality control.</w:t>
      </w:r>
      <w:r>
        <w:t xml:space="preserve"> </w:t>
      </w:r>
      <w:r>
        <w:t xml:space="preserve">Blink artifacts and invalid samples were removed using the ET-remove-artifacts MATLAB toolbox (Huang et al., 2020), which employs a velocity-based detection algorithm configured with a 100th-order low-pass filter (passband: 10 Hz, stopband: 12 Hz) and peak/trough threshold factors of 5 standard deviations above baseline. Artifacts exceeding 2 seconds in duration were replaced with missing values rather than interpolated, following best practices for handling extended periods of signal loss. All recordings then underwent manual inspection using the toolbox’s interactive plot editor to identify and correct any remaining undetected artifacts.</w:t>
      </w:r>
    </w:p>
    <w:p>
      <w:pPr>
        <w:pStyle w:val="BodyText"/>
      </w:pPr>
      <w:r>
        <w:rPr>
          <w:b/>
          <w:bCs/>
        </w:rPr>
        <w:t xml:space="preserve">Trial alignment and downsampling.</w:t>
      </w:r>
      <w:r>
        <w:t xml:space="preserve"> </w:t>
      </w:r>
      <w:r>
        <w:t xml:space="preserve">Cleaned pupil data were trial-aligned using event timestamps synchronized with behavioral event markers, then downsampled from 2000 Hz to 250 Hz using an 8th-order anti-aliasing filter to preserve signal quality while reducing computational demands. Baseline correction was applied by subtracting the mean pupil diameter during the baseline window (-0.5 s to 0 s relative to squeeze onset) from all timepoints in the trial.</w:t>
      </w:r>
    </w:p>
    <w:p>
      <w:pPr>
        <w:pStyle w:val="BodyText"/>
      </w:pPr>
      <w:r>
        <w:rPr>
          <w:b/>
          <w:bCs/>
        </w:rPr>
        <w:t xml:space="preserve">Decision-Phase AUC (W3.0) and rationale.</w:t>
      </w:r>
      <w:r>
        <w:t xml:space="preserve"> </w:t>
      </w:r>
      <w:r>
        <w:t xml:space="preserve">We computed trial-wise cognitive AUC from baseline-corrected pupil diameter in a window anchored to</w:t>
      </w:r>
      <w:r>
        <w:t xml:space="preserve"> </w:t>
      </w:r>
      <w:r>
        <w:rPr>
          <w:b/>
          <w:bCs/>
        </w:rPr>
        <w:t xml:space="preserve">probe onset</w:t>
      </w:r>
      <w:r>
        <w:t xml:space="preserve"> </w:t>
      </w:r>
      <w:r>
        <w:t xml:space="preserve">(the second stimulus; evidence onset). The primary AUC window — hereafter the</w:t>
      </w:r>
      <w:r>
        <w:t xml:space="preserve"> </w:t>
      </w:r>
      <w:r>
        <w:rPr>
          <w:i/>
          <w:iCs/>
        </w:rPr>
        <w:t xml:space="preserve">Decision-Phase AUC</w:t>
      </w:r>
      <w:r>
        <w:t xml:space="preserve"> </w:t>
      </w:r>
      <w:r>
        <w:t xml:space="preserve">(W3.0) — is a 3.0-s window spanning probe + 0.3 s to probe + 3.3 s (4.65 s to 7.65 s relative to squeeze onset), using trapezoidal integration. The +0.3 s offset accounts for pupil latency, and the 3.0 s duration captures the bulk of the task-evoked pupil response (TEPR), which peaks at ~2.95 s after probe onset. Because the response prompt occurs 0.35 s after probe onset, most of the TEPR unfolds during the response period; accordingly, the Decision-Phase AUC should be interpreted as TEPR magnitude during decision/response rather than a strictly pre-response predictor. Notably, because the response prompt appeared at probe-onset + 0.35 s and mean response times were approximately 0.6 s (cue-locked), the Decision-Phase AUC window captures both pre-response (phasic arousal during evidence accumulation) and post-response (motor execution, decision confidence, post-decisional processing) pupil dynamics. To control for this, RT was included as a covariate in all pupil-DDM models (see Section 2.8.4).</w:t>
      </w:r>
    </w:p>
    <w:p>
      <w:pPr>
        <w:pStyle w:val="BodyText"/>
      </w:pPr>
      <w:hyperlink w:anchor="fig-auc-timeline">
        <w:r>
          <w:rPr>
            <w:rStyle w:val="Hyperlink"/>
          </w:rPr>
          <w:t xml:space="preserve">Figure 3</w:t>
        </w:r>
      </w:hyperlink>
      <w:r>
        <w:t xml:space="preserve"> </w:t>
      </w:r>
      <w:r>
        <w:t xml:space="preserve">shows the response-signal timing structure used in analyses.</w:t>
      </w:r>
    </w:p>
    <w:tbl>
      <w:tblPr>
        <w:tblStyle w:val="Table"/>
        <w:tblW w:type="pct" w:w="5000"/>
        <w:tblLayout w:type="fixed"/>
        <w:tblLook w:firstRow="0" w:lastRow="0" w:firstColumn="0" w:lastColumn="0" w:noHBand="0" w:noVBand="0" w:val="0000"/>
      </w:tblPr>
      <w:tblGrid>
        <w:gridCol w:w="7920"/>
      </w:tblGrid>
      <w:tr>
        <w:tc>
          <w:tcPr/>
          <w:bookmarkStart w:id="38" w:name="fig-auc-timeline"/>
          <w:p>
            <w:pPr>
              <w:pStyle w:val="Compact"/>
              <w:jc w:val="center"/>
            </w:pPr>
          </w:p>
          <w:p>
            <w:pPr>
              <w:jc w:val="center"/>
            </w:pPr>
            <w:pPr>
              <w:jc w:val="start"/>
              <w:spacing w:before="200"/>
              <w:pStyle w:val="ImageCaption"/>
            </w:pPr>
            <w:r>
              <w:t xml:space="preserve">Figure 3: Response-signal timing used in analyses. Probe onset (2nd stimulus; evidence onset) precedes the response prompt by a fixed 0.35 s; Decision-Phase AUC (W3.0) is probe-anchored.</w:t>
            </w:r>
          </w:p>
          <w:bookmarkEnd w:id="38"/>
        </w:tc>
      </w:tr>
    </w:tbl>
    <w:p>
      <w:pPr>
        <w:pStyle w:val="BodyText"/>
      </w:pPr>
      <w:r>
        <w:rPr>
          <w:b/>
          <w:bCs/>
        </w:rPr>
        <w:t xml:space="preserve">Confounds and sensitivity checks.</w:t>
      </w:r>
      <w:r>
        <w:t xml:space="preserve"> </w:t>
      </w:r>
      <w:r>
        <w:t xml:space="preserve">Because pupil diameter is sensitive to luminance, autonomic balance, and motor activity in addition to arousal</w:t>
      </w:r>
      <w:r>
        <w:t xml:space="preserve"> </w:t>
      </w:r>
      <w:r>
        <w:t xml:space="preserve">(Beatty, 1982; Loewenfeld &amp; Lowenstein, 1999)</w:t>
      </w:r>
      <w:r>
        <w:t xml:space="preserve">, TEPR is interpreted in this study as a relative index of phasic arousal</w:t>
      </w:r>
      <w:r>
        <w:t xml:space="preserve"> </w:t>
      </w:r>
      <w:r>
        <w:t xml:space="preserve">(Beatty, 1982; Gilzenrat et al., 2010)</w:t>
      </w:r>
      <w:r>
        <w:t xml:space="preserve"> </w:t>
      </w:r>
      <w:r>
        <w:t xml:space="preserve">within our controlled MRI environment — we acknowledge that TEPR reflects a mixture of cognitive, autonomic, and motor-related pupil dynamics (see Discussion for limitations of this interpretation). We addressed potential post-response and motor confounds through multiple approaches. In trial-level pupil–DDM coupling models, RT was included as a covariate to control for decision state and prevent RT-driven pupil confounds. We also defined an optional motor-buffered variant of the Decision-Phase AUC (W3.0) that truncates the window 150 ms before the button press (</w:t>
      </w:r>
      <m:oMath>
        <m:sSub>
          <m:e>
            <m:r>
              <m:t>t</m:t>
            </m:r>
          </m:e>
          <m:sub>
            <m:r>
              <m:rPr>
                <m:sty m:val="p"/>
              </m:rPr>
              <m:t>r</m:t>
            </m:r>
            <m:r>
              <m:rPr>
                <m:sty m:val="p"/>
              </m:rPr>
              <m:t>e</m:t>
            </m:r>
            <m:r>
              <m:rPr>
                <m:sty m:val="p"/>
              </m:rPr>
              <m:t>s</m:t>
            </m:r>
            <m:r>
              <m:rPr>
                <m:sty m:val="p"/>
              </m:rPr>
              <m:t>p</m:t>
            </m:r>
          </m:sub>
        </m:sSub>
        <m:r>
          <m:rPr>
            <m:sty m:val="p"/>
          </m:rPr>
          <m:t>−</m:t>
        </m:r>
        <m:r>
          <m:t>0.15</m:t>
        </m:r>
        <m:r>
          <m:t> </m:t>
        </m:r>
        <m:r>
          <m:rPr>
            <m:sty m:val="p"/>
          </m:rPr>
          <m:t>s</m:t>
        </m:r>
      </m:oMath>
      <w:r>
        <w:t xml:space="preserve">); these buffered AUCs require re-processing the flat files with RT-aligned pupil traces and were computed for sensitivity analyses. Primary analyses use the Decision-Phase AUC (W3.0).</w:t>
      </w:r>
    </w:p>
    <w:bookmarkEnd w:id="39"/>
    <w:bookmarkStart w:id="46" w:name="drift-diffusion-modeling-ddm"/>
    <w:p>
      <w:pPr>
        <w:pStyle w:val="Heading3"/>
      </w:pPr>
      <w:r>
        <w:t xml:space="preserve">2.0.8 Drift Diffusion Modeling (DDM)</w:t>
      </w:r>
    </w:p>
    <w:bookmarkStart w:id="40" w:name="ddm-overview-and-parameter-definitions"/>
    <w:p>
      <w:pPr>
        <w:pStyle w:val="Heading4"/>
      </w:pPr>
      <w:r>
        <w:t xml:space="preserve">2.0.8.1 DDM Overview and Parameter Definitions</w:t>
      </w:r>
    </w:p>
    <w:p>
      <w:pPr>
        <w:pStyle w:val="FirstParagraph"/>
      </w:pPr>
      <w:r>
        <w:t xml:space="preserve">The DDM framework and its four parameters (</w:t>
      </w:r>
      <m:oMath>
        <m:r>
          <m:t>v</m:t>
        </m:r>
      </m:oMath>
      <w:r>
        <w:t xml:space="preserve">,</w:t>
      </w:r>
      <w:r>
        <w:t xml:space="preserve"> </w:t>
      </w:r>
      <m:oMath>
        <m:r>
          <m:t>a</m:t>
        </m:r>
      </m:oMath>
      <w:r>
        <w:t xml:space="preserve">,</w:t>
      </w:r>
      <w:r>
        <w:t xml:space="preserve"> </w:t>
      </w:r>
      <m:oMath>
        <m:r>
          <m:t>z</m:t>
        </m:r>
      </m:oMath>
      <w:r>
        <w:t xml:space="preserve">,</w:t>
      </w:r>
      <w:r>
        <w:t xml:space="preserve"> </w:t>
      </w:r>
      <m:oMath>
        <m:sSub>
          <m:e>
            <m:r>
              <m:t>t</m:t>
            </m:r>
          </m:e>
          <m:sub>
            <m:r>
              <m:t>0</m:t>
            </m:r>
          </m:sub>
        </m:sSub>
      </m:oMath>
      <w:r>
        <w:t xml:space="preserve">) are introduced in Section 1.2; this section describes the implementation-specific decisions for the present study.</w:t>
      </w:r>
    </w:p>
    <w:bookmarkEnd w:id="40"/>
    <w:bookmarkStart w:id="41" w:name="decision-coding-and-parameterization"/>
    <w:p>
      <w:pPr>
        <w:pStyle w:val="Heading4"/>
      </w:pPr>
      <w:r>
        <w:t xml:space="preserve">2.0.8.2 Decision Coding and Parameterization</w:t>
      </w:r>
    </w:p>
    <w:p>
      <w:pPr>
        <w:pStyle w:val="FirstParagraph"/>
      </w:pPr>
      <w:r>
        <w:rPr>
          <w:b/>
          <w:bCs/>
        </w:rPr>
        <w:t xml:space="preserve">Response-side coding rationale.</w:t>
      </w:r>
      <w:r>
        <w:t xml:space="preserve"> </w:t>
      </w:r>
      <w:r>
        <w:t xml:space="preserve">We employed</w:t>
      </w:r>
      <w:r>
        <w:t xml:space="preserve"> </w:t>
      </w:r>
      <w:r>
        <w:rPr>
          <w:b/>
          <w:bCs/>
        </w:rPr>
        <w:t xml:space="preserve">response-side coding</w:t>
      </w:r>
      <w:r>
        <w:t xml:space="preserve"> </w:t>
      </w:r>
      <w:r>
        <w:t xml:space="preserve">(also called</w:t>
      </w:r>
      <w:r>
        <w:t xml:space="preserve"> </w:t>
      </w:r>
      <w:r>
        <w:t xml:space="preserve">“stimulus coding”</w:t>
      </w:r>
      <w:r>
        <w:t xml:space="preserve"> </w:t>
      </w:r>
      <w:r>
        <w:t xml:space="preserve">or</w:t>
      </w:r>
      <w:r>
        <w:t xml:space="preserve"> </w:t>
      </w:r>
      <w:r>
        <w:t xml:space="preserve">“response coding”</w:t>
      </w:r>
      <w:r>
        <w:t xml:space="preserve">) where the upper boundary corresponds to</w:t>
      </w:r>
      <w:r>
        <w:t xml:space="preserve"> </w:t>
      </w:r>
      <w:r>
        <w:t xml:space="preserve">“different”</w:t>
      </w:r>
      <w:r>
        <w:t xml:space="preserve"> </w:t>
      </w:r>
      <w:r>
        <w:t xml:space="preserve">responses and the lower boundary to</w:t>
      </w:r>
      <w:r>
        <w:t xml:space="preserve"> </w:t>
      </w:r>
      <w:r>
        <w:t xml:space="preserve">“same”</w:t>
      </w:r>
      <w:r>
        <w:t xml:space="preserve"> </w:t>
      </w:r>
      <w:r>
        <w:t xml:space="preserve">responses (see</w:t>
      </w:r>
      <w:r>
        <w:t xml:space="preserve"> </w:t>
      </w:r>
      <w:hyperlink w:anchor="fig-ddm-process">
        <w:r>
          <w:rPr>
            <w:rStyle w:val="Hyperlink"/>
          </w:rPr>
          <w:t xml:space="preserve">Figure 1</w:t>
        </w:r>
      </w:hyperlink>
      <w:r>
        <w:t xml:space="preserve">), rather than accuracy-based coding where boundaries represent correct/incorrect responses. This specification is necessary to disentangle</w:t>
      </w:r>
      <w:r>
        <w:t xml:space="preserve"> </w:t>
      </w:r>
      <w:r>
        <w:rPr>
          <w:i/>
          <w:iCs/>
        </w:rPr>
        <w:t xml:space="preserve">response bias</w:t>
      </w:r>
      <w:r>
        <w:t xml:space="preserve"> </w:t>
      </w:r>
      <w:r>
        <w:t xml:space="preserve">(a preference for one response alternative regardless of stimulus truth) from</w:t>
      </w:r>
      <w:r>
        <w:t xml:space="preserve"> </w:t>
      </w:r>
      <w:r>
        <w:rPr>
          <w:i/>
          <w:iCs/>
        </w:rPr>
        <w:t xml:space="preserve">discriminability</w:t>
      </w:r>
      <w:r>
        <w:t xml:space="preserve"> </w:t>
      </w:r>
      <w:r>
        <w:t xml:space="preserve">(drift rate)</w:t>
      </w:r>
      <w:r>
        <w:t xml:space="preserve"> </w:t>
      </w:r>
      <w:r>
        <w:t xml:space="preserve">(Ratcliff &amp; McKoon, 2008; Wiecki et al., 2013)</w:t>
      </w:r>
      <w:r>
        <w:t xml:space="preserve">. In accuracy-based coding, bias would imply a preference for being correct (which is conceptually trivial), whereas response-side coding allows us to model the meaningful response preference for the</w:t>
      </w:r>
      <w:r>
        <w:t xml:space="preserve"> </w:t>
      </w:r>
      <w:r>
        <w:t xml:space="preserve">“same”</w:t>
      </w:r>
      <w:r>
        <w:t xml:space="preserve"> </w:t>
      </w:r>
      <w:r>
        <w:t xml:space="preserve">option commonly observed in detection tasks. This is particularly important for same/different discrimination where participants often exhibit response-specific biases (e.g., a conservative</w:t>
      </w:r>
      <w:r>
        <w:t xml:space="preserve"> </w:t>
      </w:r>
      <w:r>
        <w:t xml:space="preserve">“same”</w:t>
      </w:r>
      <w:r>
        <w:t xml:space="preserve"> </w:t>
      </w:r>
      <w:r>
        <w:t xml:space="preserve">bias) rather than general accuracy biases. Previous work has demonstrated that phasic arousal reduces such response biases in detection tasks</w:t>
      </w:r>
      <w:r>
        <w:t xml:space="preserve"> </w:t>
      </w:r>
      <w:r>
        <w:t xml:space="preserve">(Gee et al., 2020)</w:t>
      </w:r>
      <w:r>
        <w:t xml:space="preserve">, and capturing this effect requires mapping boundaries to response alternatives.</w:t>
      </w:r>
    </w:p>
    <w:p>
      <w:pPr>
        <w:pStyle w:val="BodyText"/>
      </w:pPr>
      <w:r>
        <w:rPr>
          <w:b/>
          <w:bCs/>
        </w:rPr>
        <w:t xml:space="preserve">Implementation and model leverage.</w:t>
      </w:r>
      <w:r>
        <w:t xml:space="preserve"> </w:t>
      </w:r>
      <w:r>
        <w:t xml:space="preserve">Response-side coding was implemented by creating a binary response indicator, coded as 1 for</w:t>
      </w:r>
      <w:r>
        <w:t xml:space="preserve"> </w:t>
      </w:r>
      <w:r>
        <w:t xml:space="preserve">“different”</w:t>
      </w:r>
      <w:r>
        <w:t xml:space="preserve"> </w:t>
      </w:r>
      <w:r>
        <w:t xml:space="preserve">responses and 0 for</w:t>
      </w:r>
      <w:r>
        <w:t xml:space="preserve"> </w:t>
      </w:r>
      <w:r>
        <w:t xml:space="preserve">“same”</w:t>
      </w:r>
      <w:r>
        <w:t xml:space="preserve"> </w:t>
      </w:r>
      <w:r>
        <w:t xml:space="preserve">responses, ensuring accurate mapping to DDM boundary assignments. Standard (Δ=0) trials provide critical leverage for identifying bias under this coding scheme, as they isolate response preference from evidence strength; descriptive choice proportions and model-implied patterns are reported in Results. Crucially, the data were modeled using Stimulus/Response coding via the</w:t>
      </w:r>
      <w:r>
        <w:t xml:space="preserve"> </w:t>
      </w:r>
      <w:r>
        <w:rPr>
          <w:rStyle w:val="VerbatimChar"/>
        </w:rPr>
        <w:t xml:space="preserve">dec(response)</w:t>
      </w:r>
      <w:r>
        <w:t xml:space="preserve"> </w:t>
      </w:r>
      <w:r>
        <w:t xml:space="preserve">argument, where the upper boundary represents a</w:t>
      </w:r>
      <w:r>
        <w:t xml:space="preserve"> </w:t>
      </w:r>
      <w:r>
        <w:t xml:space="preserve">“Different”</w:t>
      </w:r>
      <w:r>
        <w:t xml:space="preserve"> </w:t>
      </w:r>
      <w:r>
        <w:t xml:space="preserve">response and the lower boundary represents a</w:t>
      </w:r>
      <w:r>
        <w:t xml:space="preserve"> </w:t>
      </w:r>
      <w:r>
        <w:t xml:space="preserve">“Same”</w:t>
      </w:r>
      <w:r>
        <w:t xml:space="preserve"> </w:t>
      </w:r>
      <w:r>
        <w:t xml:space="preserve">response. Accuracy coding (Correct vs. Incorrect) was intentionally avoided. Response coding uniquely allows the model to estimate true pre-stimulus starting-point bias (</w:t>
      </w:r>
      <m:oMath>
        <m:r>
          <m:t>z</m:t>
        </m:r>
      </m:oMath>
      <w:r>
        <w:t xml:space="preserve">) toward a specific physical response—a critical strategic shift often observed in cognitive aging. Because of this parameterization, accurate evidence accumulation for</w:t>
      </w:r>
      <w:r>
        <w:t xml:space="preserve"> </w:t>
      </w:r>
      <w:r>
        <w:t xml:space="preserve">“Standard”</w:t>
      </w:r>
      <w:r>
        <w:t xml:space="preserve"> </w:t>
      </w:r>
      <w:r>
        <w:t xml:space="preserve">(Same) trials is mathematically represented as a negative drift rate (moving toward the lower boundary), rather than a deficit in processing.</w:t>
      </w:r>
    </w:p>
    <w:p>
      <w:pPr>
        <w:pStyle w:val="BodyText"/>
      </w:pPr>
      <w:r>
        <w:t xml:space="preserve">Full link function specifications and the Wiener likelihood are provided in Appendix A6.</w:t>
      </w:r>
    </w:p>
    <w:bookmarkEnd w:id="41"/>
    <w:bookmarkStart w:id="43" w:name="sec-ddm-spec"/>
    <w:p>
      <w:pPr>
        <w:pStyle w:val="Heading4"/>
      </w:pPr>
      <w:r>
        <w:t xml:space="preserve">2.0.8.3 Model Specification: Standard-only Calibration and Primary Model</w:t>
      </w:r>
    </w:p>
    <w:p>
      <w:pPr>
        <w:pStyle w:val="FirstParagraph"/>
      </w:pPr>
      <w:r>
        <w:rPr>
          <w:b/>
          <w:bCs/>
        </w:rPr>
        <w:t xml:space="preserve">Standard-only bias calibration model.</w:t>
      </w:r>
      <w:r>
        <w:t xml:space="preserve"> </w:t>
      </w:r>
      <w:r>
        <w:t xml:space="preserve">To isolate starting-point bias from drift-rate estimation, we first fit a hierarchical Wiener DDM to Standard trials only (~3.6k trials under the primary filter). Starting-point bias (</w:t>
      </w:r>
      <m:oMath>
        <m:r>
          <m:t>z</m:t>
        </m:r>
      </m:oMath>
      <w:r>
        <w:t xml:space="preserve">) was allowed to vary by Task and Effort (known pre-trial) but constrained to be constant across Difficulty levels, as trial difficulty was randomized and unknown at decision onset. Full brms formula syntax is provided in Appendix A6.</w:t>
      </w:r>
    </w:p>
    <w:p>
      <w:pPr>
        <w:pStyle w:val="BodyText"/>
      </w:pPr>
      <w:r>
        <w:rPr>
          <w:b/>
          <w:bCs/>
        </w:rPr>
        <w:t xml:space="preserve">Primary analysis model (behavioral DDM; no pupil).</w:t>
      </w:r>
      <w:r>
        <w:t xml:space="preserve"> </w:t>
      </w:r>
      <w:r>
        <w:t xml:space="preserve">Drift rate (</w:t>
      </w:r>
      <m:oMath>
        <m:r>
          <m:t>v</m:t>
        </m:r>
      </m:oMath>
      <w:r>
        <w:t xml:space="preserve">) and boundary separation (</w:t>
      </w:r>
      <m:oMath>
        <m:r>
          <m:t>a</m:t>
        </m:r>
      </m:oMath>
      <w:r>
        <w:t xml:space="preserve">) were each modeled as additive functions of difficulty (treatment-coded, Standard as reference) and effort condition (treatment-coded, Low as reference). Starting-point bias (</w:t>
      </w:r>
      <m:oMath>
        <m:r>
          <m:t>z</m:t>
        </m:r>
      </m:oMath>
      <w:r>
        <w:t xml:space="preserve">) was modeled as a function of task and effort but not difficulty, because trial difficulty is randomized and unknown before evidence accumulation begins</w:t>
      </w:r>
      <w:r>
        <w:t xml:space="preserve"> </w:t>
      </w:r>
      <w:hyperlink w:anchor="fig-model-matrix">
        <w:r>
          <w:rPr>
            <w:rStyle w:val="Hyperlink"/>
          </w:rPr>
          <w:t xml:space="preserve">Figure 4</w:t>
        </w:r>
      </w:hyperlink>
      <w:r>
        <w:t xml:space="preserve">. Non-decision time (</w:t>
      </w:r>
      <m:oMath>
        <m:sSub>
          <m:e>
            <m:r>
              <m:t>t</m:t>
            </m:r>
          </m:e>
          <m:sub>
            <m:r>
              <m:t>0</m:t>
            </m:r>
          </m:sub>
        </m:sSub>
      </m:oMath>
      <w:r>
        <w:t xml:space="preserve">) was constrained to an intercept-only specification based on pilot analyses indicating poor identification of condition-specific estimates in the response-signal paradigm (see Results Section 3.5 for justification). Random intercepts by participant were included for</w:t>
      </w:r>
      <w:r>
        <w:t xml:space="preserve"> </w:t>
      </w:r>
      <m:oMath>
        <m:r>
          <m:t>v</m:t>
        </m:r>
      </m:oMath>
      <w:r>
        <w:t xml:space="preserve">,</w:t>
      </w:r>
      <w:r>
        <w:t xml:space="preserve"> </w:t>
      </w:r>
      <m:oMath>
        <m:r>
          <m:t>a</m:t>
        </m:r>
      </m:oMath>
      <w:r>
        <w:t xml:space="preserve">, and</w:t>
      </w:r>
      <w:r>
        <w:t xml:space="preserve"> </w:t>
      </w:r>
      <m:oMath>
        <m:r>
          <m:t>z</m:t>
        </m:r>
      </m:oMath>
      <w:r>
        <w:t xml:space="preserve">;</w:t>
      </w:r>
      <w:r>
        <w:t xml:space="preserve"> </w:t>
      </w:r>
      <m:oMath>
        <m:sSub>
          <m:e>
            <m:r>
              <m:t>t</m:t>
            </m:r>
          </m:e>
          <m:sub>
            <m:r>
              <m:t>0</m:t>
            </m:r>
          </m:sub>
        </m:sSub>
      </m:oMath>
      <w:r>
        <w:t xml:space="preserve"> </w:t>
      </w:r>
      <w:r>
        <w:t xml:space="preserve">was modeled as fixed-only to improve identifiability. Full brms formula syntax and hierarchical model structure are provided in Appendix A6.</w:t>
      </w:r>
    </w:p>
    <w:p>
      <w:pPr>
        <w:pStyle w:val="BodyText"/>
      </w:pPr>
      <w:r>
        <w:rPr>
          <w:b/>
          <w:bCs/>
        </w:rPr>
        <w:t xml:space="preserve">RT timing convention.</w:t>
      </w:r>
      <w:r>
        <w:t xml:space="preserve"> </w:t>
      </w:r>
      <w:r>
        <w:t xml:space="preserve">RT was defined as the latency from response-screen onset to button press; probe-onset-locked RT was derived by adding the fixed 0.35-s post-probe delay to cue-locked RT, so that the accumulation window aligns with evidence onset at the probe stimulus. Probe-onset-locked RT was selected as the primary timing convention as it aligns non-decision time (</w:t>
      </w:r>
      <m:oMath>
        <m:sSub>
          <m:e>
            <m:r>
              <m:t>t</m:t>
            </m:r>
          </m:e>
          <m:sub>
            <m:r>
              <m:t>0</m:t>
            </m:r>
          </m:sub>
        </m:sSub>
      </m:oMath>
      <w:r>
        <w:t xml:space="preserve">) with the onset of evidence accumulation at the probe stimulus. The expected 0.35-s rightward shift of the probe-onset distribution relative to cue-locked RT (</w:t>
      </w:r>
      <w:hyperlink w:anchor="fig-rt-distributions">
        <w:r>
          <w:rPr>
            <w:rStyle w:val="Hyperlink"/>
          </w:rPr>
          <w:t xml:space="preserve">Figure 31</w:t>
        </w:r>
      </w:hyperlink>
      <w:r>
        <w:t xml:space="preserve">) validates correct implementation of the timing transformation.</w:t>
      </w:r>
    </w:p>
    <w:p>
      <w:pPr>
        <w:pStyle w:val="BodyText"/>
      </w:pPr>
      <w:r>
        <w:t xml:space="preserve">Sensitivity analyses using cue-locked RT and alternative lower-bound cutoffs (0.15 s and 0.25 s) are reported in Appendix A4.</w:t>
      </w:r>
    </w:p>
    <w:p>
      <w:pPr>
        <w:pStyle w:val="BodyText"/>
      </w:pPr>
      <w:hyperlink w:anchor="fig-model-matrix">
        <w:r>
          <w:rPr>
            <w:rStyle w:val="Hyperlink"/>
          </w:rPr>
          <w:t xml:space="preserve">Figure 4</w:t>
        </w:r>
      </w:hyperlink>
      <w:r>
        <w:t xml:space="preserve"> </w:t>
      </w:r>
      <w:r>
        <w:t xml:space="preserve">provides a visual summary of how experimental predictors map onto each DDM parameter in the primary model, highlighting the key constraint that starting-point bias (</w:t>
      </w:r>
      <m:oMath>
        <m:r>
          <m:t>z</m:t>
        </m:r>
      </m:oMath>
      <w:r>
        <w:t xml:space="preserve">) does not vary by difficulty because trial difficulty is randomized and unknown before evidence accumulation begins.</w:t>
      </w:r>
    </w:p>
    <w:tbl>
      <w:tblPr>
        <w:tblStyle w:val="Table"/>
        <w:tblW w:type="pct" w:w="5000"/>
        <w:tblLayout w:type="fixed"/>
        <w:tblLook w:firstRow="0" w:lastRow="0" w:firstColumn="0" w:lastColumn="0" w:noHBand="0" w:noVBand="0" w:val="0000"/>
      </w:tblPr>
      <w:tblGrid>
        <w:gridCol w:w="7920"/>
      </w:tblGrid>
      <w:tr>
        <w:tc>
          <w:tcPr/>
          <w:bookmarkStart w:id="42" w:name="fig-model-matrix"/>
          <w:p>
            <w:pPr>
              <w:pStyle w:val="Compact"/>
              <w:jc w:val="center"/>
            </w:pPr>
          </w:p>
          <w:p>
            <w:pPr>
              <w:jc w:val="center"/>
            </w:pPr>
            <w:pPr>
              <w:jc w:val="start"/>
              <w:spacing w:before="200"/>
              <w:pStyle w:val="ImageCaption"/>
            </w:pPr>
            <w:r>
              <w:t xml:space="preserve">Figure 4: Predictor-to-parameter mapping for the primary DDM. Checkmarks indicate included predictors; dashes indicate excluded predictors. Difficulty is excluded from the bias formula because trial difficulty is randomized and unknown at decision onset, preventing participants from adjusting their starting point based on difficulty. Task and Effort are included in bias because these conditions are known pre-stimulus. Complete brms formulas are shown for each parameter.</w:t>
            </w:r>
          </w:p>
          <w:bookmarkEnd w:id="42"/>
        </w:tc>
      </w:tr>
    </w:tbl>
    <w:p>
      <w:pPr>
        <w:pStyle w:val="BodyText"/>
      </w:pPr>
      <w:r>
        <w:t xml:space="preserve">To confirm that the difficulty and effort manipulations affected behavioral performance as intended — independent of DDM assumptions — we conducted mixed-effects models for accuracy (GLMM, binomial) and median reaction time (LMM), each including fixed effects for difficulty, effort, and task, with random intercepts for participant. Analyses were restricted to Easy and Hard trials; full model details and results are reported in Appendix A7.</w:t>
      </w:r>
    </w:p>
    <w:bookmarkEnd w:id="43"/>
    <w:bookmarkStart w:id="44" w:name="sec-pupil-ddm-models"/>
    <w:p>
      <w:pPr>
        <w:pStyle w:val="Heading4"/>
      </w:pPr>
      <w:r>
        <w:t xml:space="preserve">2.0.8.4 Pupil-Linked DDM Extensions</w:t>
      </w:r>
    </w:p>
    <w:p>
      <w:pPr>
        <w:pStyle w:val="FirstParagraph"/>
      </w:pPr>
      <w:r>
        <w:rPr>
          <w:b/>
          <w:bCs/>
        </w:rPr>
        <w:t xml:space="preserve">Pupil-linked DDM extensions (trial-level phasic arousal).</w:t>
      </w:r>
      <w:r>
        <w:t xml:space="preserve"> </w:t>
      </w:r>
      <w:r>
        <w:t xml:space="preserve">To test whether momentary arousal modulates evidence accumulation or response bias, we extended the behavioral DDM by adding a trial-level pupil predictor interpreted as an index of phasic arousal. The primary pupil metric was a cleaned, baseline-corrected, and participant-standardized response (interpreted here as a phasic arousal signal) summarized per trial and z-scored within participant (</w:t>
      </w:r>
      <w:r>
        <w:rPr>
          <w:rStyle w:val="VerbatimChar"/>
        </w:rPr>
        <w:t xml:space="preserve">pupil_scaled</w:t>
      </w:r>
      <w:r>
        <w:t xml:space="preserve">). We evaluated a nested sequence of pupil-linked models: (i) behavioral baseline (no pupil predictor), (ii) pupil predicting starting-point bias, and (iii) pupil predicting both drift and bias. Competing pupil models were compared using Pareto-smoothed importance sampling leave-one-out cross-validation (PSIS‑LOO; an efficient approximation to standard LOO-CV), and inference focused on posterior distributions of pupil coefficients on the link scale as well as condition-level posterior predictions. Results from these pupil-linked models are reported in the Results section.</w:t>
      </w:r>
    </w:p>
    <w:p>
      <w:pPr>
        <w:pStyle w:val="BodyText"/>
      </w:pPr>
      <w:r>
        <w:rPr>
          <w:b/>
          <w:bCs/>
        </w:rPr>
        <w:t xml:space="preserve">Pupil × Difficulty interaction model.</w:t>
      </w:r>
      <w:r>
        <w:t xml:space="preserve"> </w:t>
      </w:r>
      <w:r>
        <w:t xml:space="preserve">To evaluate the Yerkes–Dodson prediction that arousal effects on decision-making should diverge by difficulty — with optimal arousal shifting as a function of task demands —</w:t>
      </w:r>
      <w:r>
        <w:t xml:space="preserve"> </w:t>
      </w:r>
      <w:r>
        <w:rPr>
          <w:rStyle w:val="VerbatimChar"/>
        </w:rPr>
        <w:t xml:space="preserve">pupil_scaled</w:t>
      </w:r>
      <w:r>
        <w:t xml:space="preserve"> </w:t>
      </w:r>
      <w:r>
        <w:t xml:space="preserve">was additionally entered as an interaction with task</w:t>
      </w:r>
      <w:r>
        <w:t xml:space="preserve"> </w:t>
      </w:r>
      <w:r>
        <w:rPr>
          <w:rStyle w:val="VerbatimChar"/>
        </w:rPr>
        <w:t xml:space="preserve">difficulty</w:t>
      </w:r>
      <w:r>
        <w:t xml:space="preserve"> </w:t>
      </w:r>
      <w:r>
        <w:t xml:space="preserve">for both drift rate (</w:t>
      </w:r>
      <m:oMath>
        <m:r>
          <m:t>v</m:t>
        </m:r>
      </m:oMath>
      <w:r>
        <w:t xml:space="preserve">) and boundary separation (</w:t>
      </w:r>
      <m:oMath>
        <m:r>
          <m:t>a</m:t>
        </m:r>
      </m:oMath>
      <w:r>
        <w:t xml:space="preserve">):</w:t>
      </w:r>
      <w:r>
        <w:t xml:space="preserve"> </w:t>
      </w:r>
      <w:r>
        <w:rPr>
          <w:rStyle w:val="VerbatimChar"/>
        </w:rPr>
        <w:t xml:space="preserve">pupil_scaled * difficulty_3</w:t>
      </w:r>
      <w:r>
        <w:t xml:space="preserve">. This specification allows the model to test whether momentary arousal differentially predicts evidence accumulation across difficulty levels — for example, providing a performance boost on Easy trials (where arousal may elevate an already positive drift) while causing overload on Hard or Standard trials (where supra-optimal arousal may further degrade a low or negative drift). Subject-level variability in the arousal–difficulty coupling was captured by including the full interaction in the random-effects structure:</w:t>
      </w:r>
      <w:r>
        <w:t xml:space="preserve"> </w:t>
      </w:r>
      <w:r>
        <w:rPr>
          <w:rStyle w:val="VerbatimChar"/>
        </w:rPr>
        <w:t xml:space="preserve">(1 + pupil_scaled * difficulty_3 | subject_id)</w:t>
      </w:r>
      <w:r>
        <w:t xml:space="preserve">. Non-decision time and starting-point bias formulas were held constant across difficulty, consistent with the primary model.</w:t>
      </w:r>
    </w:p>
    <w:bookmarkEnd w:id="44"/>
    <w:bookmarkStart w:id="45" w:name="priors-computation-and-diagnostics"/>
    <w:p>
      <w:pPr>
        <w:pStyle w:val="Heading4"/>
      </w:pPr>
      <w:r>
        <w:t xml:space="preserve">2.0.8.5 Priors, Computation, and Diagnostics</w:t>
      </w:r>
    </w:p>
    <w:p>
      <w:pPr>
        <w:pStyle w:val="FirstParagraph"/>
      </w:pPr>
      <w:r>
        <w:t xml:space="preserve">Priors were weakly informative and specified on the link scale. The boundary separation intercept used</w:t>
      </w:r>
      <w:r>
        <w:t xml:space="preserve"> </w:t>
      </w:r>
      <m:oMath>
        <m:r>
          <m:rPr>
            <m:sty m:val="p"/>
            <m:scr m:val="script"/>
          </m:rPr>
          <m:t>N</m:t>
        </m:r>
        <m:d>
          <m:dPr>
            <m:begChr m:val="("/>
            <m:sepChr m:val=""/>
            <m:endChr m:val=")"/>
            <m:grow/>
          </m:dPr>
          <m:e>
            <m:r>
              <m:rPr>
                <m:sty m:val="p"/>
              </m:rPr>
              <m:t>log</m:t>
            </m:r>
            <m:r>
              <m:t>1.3</m:t>
            </m:r>
            <m:r>
              <m:rPr>
                <m:sty m:val="p"/>
              </m:rPr>
              <m:t>,</m:t>
            </m:r>
            <m:r>
              <m:t> </m:t>
            </m:r>
            <m:r>
              <m:t>0.25</m:t>
            </m:r>
          </m:e>
        </m:d>
      </m:oMath>
      <w:r>
        <w:t xml:space="preserve"> </w:t>
      </w:r>
      <w:r>
        <w:t xml:space="preserve">(corresponding to</w:t>
      </w:r>
      <w:r>
        <w:t xml:space="preserve"> </w:t>
      </w:r>
      <m:oMath>
        <m:r>
          <m:t>a</m:t>
        </m:r>
        <m:r>
          <m:rPr>
            <m:sty m:val="p"/>
          </m:rPr>
          <m:t>≈</m:t>
        </m:r>
        <m:r>
          <m:t>1.3</m:t>
        </m:r>
      </m:oMath>
      <w:r>
        <w:t xml:space="preserve"> </w:t>
      </w:r>
      <w:r>
        <w:t xml:space="preserve">at baseline), the non-decision time intercept used</w:t>
      </w:r>
      <w:r>
        <w:t xml:space="preserve"> </w:t>
      </w:r>
      <m:oMath>
        <m:r>
          <m:rPr>
            <m:sty m:val="p"/>
            <m:scr m:val="script"/>
          </m:rPr>
          <m:t>N</m:t>
        </m:r>
        <m:d>
          <m:dPr>
            <m:begChr m:val="("/>
            <m:sepChr m:val=""/>
            <m:endChr m:val=")"/>
            <m:grow/>
          </m:dPr>
          <m:e>
            <m:r>
              <m:rPr>
                <m:sty m:val="p"/>
              </m:rPr>
              <m:t>log</m:t>
            </m:r>
            <m:r>
              <m:t>0.35</m:t>
            </m:r>
            <m:r>
              <m:rPr>
                <m:sty m:val="p"/>
              </m:rPr>
              <m:t>,</m:t>
            </m:r>
            <m:r>
              <m:t> </m:t>
            </m:r>
            <m:r>
              <m:t>0.15</m:t>
            </m:r>
          </m:e>
        </m:d>
      </m:oMath>
      <w:r>
        <w:t xml:space="preserve"> </w:t>
      </w:r>
      <w:r>
        <w:t xml:space="preserve">(</w:t>
      </w:r>
      <m:oMath>
        <m:sSub>
          <m:e>
            <m:r>
              <m:t>t</m:t>
            </m:r>
          </m:e>
          <m:sub>
            <m:r>
              <m:t>0</m:t>
            </m:r>
          </m:sub>
        </m:sSub>
        <m:r>
          <m:rPr>
            <m:sty m:val="p"/>
          </m:rPr>
          <m:t>≈</m:t>
        </m:r>
        <m:r>
          <m:t>0.35</m:t>
        </m:r>
      </m:oMath>
      <w:r>
        <w:t xml:space="preserve"> </w:t>
      </w:r>
      <w:r>
        <w:t xml:space="preserve">s, probe-onset-locked), the drift rate intercept used</w:t>
      </w:r>
      <w:r>
        <w:t xml:space="preserve"> </w:t>
      </w:r>
      <m:oMath>
        <m:r>
          <m:rPr>
            <m:sty m:val="p"/>
            <m:scr m:val="script"/>
          </m:rPr>
          <m:t>N</m:t>
        </m:r>
        <m:d>
          <m:dPr>
            <m:begChr m:val="("/>
            <m:sepChr m:val=""/>
            <m:endChr m:val=")"/>
            <m:grow/>
          </m:dPr>
          <m:e>
            <m:r>
              <m:t>0</m:t>
            </m:r>
            <m:r>
              <m:rPr>
                <m:sty m:val="p"/>
              </m:rPr>
              <m:t>,</m:t>
            </m:r>
            <m:r>
              <m:t>1</m:t>
            </m:r>
          </m:e>
        </m:d>
      </m:oMath>
      <w:r>
        <w:t xml:space="preserve">, and the starting-point bias intercept used</w:t>
      </w:r>
      <w:r>
        <w:t xml:space="preserve"> </w:t>
      </w:r>
      <m:oMath>
        <m:r>
          <m:rPr>
            <m:sty m:val="p"/>
            <m:scr m:val="script"/>
          </m:rPr>
          <m:t>N</m:t>
        </m:r>
        <m:d>
          <m:dPr>
            <m:begChr m:val="("/>
            <m:sepChr m:val=""/>
            <m:endChr m:val=")"/>
            <m:grow/>
          </m:dPr>
          <m:e>
            <m:r>
              <m:t>0</m:t>
            </m:r>
            <m:r>
              <m:rPr>
                <m:sty m:val="p"/>
              </m:rPr>
              <m:t>,</m:t>
            </m:r>
            <m:r>
              <m:t>0.5</m:t>
            </m:r>
          </m:e>
        </m:d>
      </m:oMath>
      <w:r>
        <w:t xml:space="preserve"> </w:t>
      </w:r>
      <w:r>
        <w:t xml:space="preserve">(</w:t>
      </w:r>
      <m:oMath>
        <m:r>
          <m:t>z</m:t>
        </m:r>
        <m:r>
          <m:rPr>
            <m:sty m:val="p"/>
          </m:rPr>
          <m:t>≈</m:t>
        </m:r>
        <m:r>
          <m:t>0.5</m:t>
        </m:r>
      </m:oMath>
      <w:r>
        <w:t xml:space="preserve">, no bias). Full prior specifications for slopes and random effects are provided in Appendix A6.</w:t>
      </w:r>
    </w:p>
    <w:p>
      <w:pPr>
        <w:pStyle w:val="BodyText"/>
      </w:pPr>
      <w:r>
        <w:t xml:space="preserve">Convergence was assessed using</w:t>
      </w:r>
      <w:r>
        <w:t xml:space="preserve"> </w:t>
      </w:r>
      <m:oMath>
        <m:acc>
          <m:accPr>
            <m:chr m:val="̂"/>
          </m:accPr>
          <m:e>
            <m:r>
              <m:t>R</m:t>
            </m:r>
          </m:e>
        </m:acc>
        <m:r>
          <m:rPr>
            <m:sty m:val="p"/>
          </m:rPr>
          <m:t>&lt;</m:t>
        </m:r>
        <m:r>
          <m:t>1.01</m:t>
        </m:r>
      </m:oMath>
      <w:r>
        <w:t xml:space="preserve"> </w:t>
      </w:r>
      <w:r>
        <w:t xml:space="preserve">and minimum bulk ESS</w:t>
      </w:r>
      <w:r>
        <w:t xml:space="preserve"> </w:t>
      </w:r>
      <m:oMath>
        <m:r>
          <m:rPr>
            <m:sty m:val="p"/>
          </m:rPr>
          <m:t>&gt;</m:t>
        </m:r>
        <m:r>
          <m:t>400</m:t>
        </m:r>
      </m:oMath>
      <w:r>
        <w:t xml:space="preserve">; all reported models satisfied these criteria. Model comparison used Pareto-smoothed importance sampling LOO cross-validation (PSIS-LOO;</w:t>
      </w:r>
      <w:r>
        <w:t xml:space="preserve"> </w:t>
      </w:r>
      <w:r>
        <w:t xml:space="preserve">Vehtari et al. (2017)</w:t>
      </w:r>
      <w:r>
        <w:t xml:space="preserve">), with ELPD differences exceeding 4 considered meaningful; results are in Section 3.3.</w:t>
      </w:r>
    </w:p>
    <w:p>
      <w:pPr>
        <w:pStyle w:val="BodyText"/>
      </w:pPr>
      <w:r>
        <w:t xml:space="preserve">Model fit was evaluated using posterior predictive checks (PPC), including subject-level quantile-probability plots, Kolmogorov-Smirnov statistics, and residual heatmaps (full PPC diagnostics in Appendix A3). PPC deviations in fast-tail regions — a known limitation of standard Wiener DDM — did not affect inference on key parameter contrasts.</w:t>
      </w:r>
    </w:p>
    <w:p>
      <w:r>
        <w:br w:type="page"/>
      </w:r>
    </w:p>
    <w:bookmarkEnd w:id="45"/>
    <w:bookmarkEnd w:id="46"/>
    <w:bookmarkEnd w:id="47"/>
    <w:bookmarkStart w:id="90" w:name="results"/>
    <w:p>
      <w:pPr>
        <w:pStyle w:val="Heading1"/>
      </w:pPr>
      <w:r>
        <w:t xml:space="preserve">3. Results</w:t>
      </w:r>
    </w:p>
    <w:bookmarkStart w:id="49" w:name="data-inclusion-and-preprocessing-summary"/>
    <w:p>
      <w:pPr>
        <w:pStyle w:val="Heading2"/>
      </w:pPr>
      <w:r>
        <w:t xml:space="preserve">3.1 Data inclusion and preprocessing summary</w:t>
      </w:r>
    </w:p>
    <w:p>
      <w:pPr>
        <w:pStyle w:val="FirstParagraph"/>
      </w:pPr>
      <w:r>
        <w:t xml:space="preserve">The DDM analysis included 67 older adults (</w:t>
      </w:r>
      <m:oMath>
        <m:sSub>
          <m:e>
            <m:r>
              <m:t>N</m:t>
            </m:r>
          </m:e>
          <m:sub>
            <m:r>
              <m:t>A</m:t>
            </m:r>
            <m:r>
              <m:t>D</m:t>
            </m:r>
            <m:r>
              <m:t>T</m:t>
            </m:r>
          </m:sub>
        </m:sSub>
      </m:oMath>
      <w:r>
        <w:t xml:space="preserve"> </w:t>
      </w:r>
      <w:r>
        <w:t xml:space="preserve">= 64,</w:t>
      </w:r>
      <w:r>
        <w:t xml:space="preserve"> </w:t>
      </w:r>
      <m:oMath>
        <m:sSub>
          <m:e>
            <m:r>
              <m:t>N</m:t>
            </m:r>
          </m:e>
          <m:sub>
            <m:r>
              <m:t>V</m:t>
            </m:r>
            <m:r>
              <m:t>D</m:t>
            </m:r>
            <m:r>
              <m:t>T</m:t>
            </m:r>
          </m:sub>
        </m:sSub>
      </m:oMath>
      <w:r>
        <w:t xml:space="preserve"> </w:t>
      </w:r>
      <w:r>
        <w:t xml:space="preserve">= 65 after task-specific exclusions). Task-specific exclusions resulted from insufficient valid trial counts after applying the RT threshold and quality criteria (fewer than 100 analyzable trials in a given task), yielding three participants who contributed data to only one of the two tasks. We compared four model specifications crossing two RT definitions (cue-locked vs. probe-onset-locked) and two model structures (baseline vs. additive). The primary additive model with probe-onset-locked RT retained 18,097 trials after applying the 0.20 s RT threshold (</w:t>
      </w:r>
      <w:hyperlink w:anchor="tbl-trial-counts">
        <w:r>
          <w:rPr>
            <w:rStyle w:val="Hyperlink"/>
          </w:rPr>
          <w:t xml:space="preserve">Table 2</w:t>
        </w:r>
      </w:hyperlink>
      <w:r>
        <w:t xml:space="preserve">). All models showed excellent convergence (max</w:t>
      </w:r>
      <w:r>
        <w:t xml:space="preserve"> </w:t>
      </w:r>
      <m:oMath>
        <m:acc>
          <m:accPr>
            <m:chr m:val="̂"/>
          </m:accPr>
          <m:e>
            <m:r>
              <m:t>R</m:t>
            </m:r>
          </m:e>
        </m:acc>
      </m:oMath>
      <w:r>
        <w:t xml:space="preserve"> </w:t>
      </w:r>
      <w:r>
        <w:t xml:space="preserve">&lt; 1.01, all divergent transitions = 0, minimum bulk ESS &gt; 1200), with the additive probe-onset-locked model selected based on LOO cross-validation (Section 3.3).</w:t>
      </w:r>
    </w:p>
    <w:tbl>
      <w:tblPr>
        <w:tblStyle w:val="Table"/>
        <w:tblW w:type="pct" w:w="5000"/>
        <w:tblLayout w:type="fixed"/>
        <w:tblLook w:firstRow="0" w:lastRow="0" w:firstColumn="0" w:lastColumn="0" w:noHBand="0" w:noVBand="0" w:val="0000"/>
      </w:tblPr>
      <w:tblGrid>
        <w:gridCol w:w="7920"/>
      </w:tblGrid>
      <w:tr>
        <w:tc>
          <w:tcPr/>
          <w:bookmarkStart w:id="48" w:name="tbl-trial-counts"/>
          <w:p>
            <w:pPr>
              <w:jc w:val="center"/>
            </w:pPr>
            <w:pPr>
              <w:jc w:val="start"/>
              <w:spacing w:before="200"/>
              <w:pStyle w:val="ImageCaption"/>
            </w:pPr>
            <w:r>
              <w:t xml:space="preserve">Table 2: Trial Counts by Condition.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Difficulty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Total Trials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Trials/Subject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i/>
                      <w:b w:val="true"/>
                    </w:rPr>
                    <w:t xml:space="default">ADT (N = 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i/>
                      <w:b w:val="true"/>
                    </w:rPr>
                    <w:t xml:space="default">VDT (N = 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w:t>
                  </w:r>
                </w:p>
              </w:tc>
            </w:tr>
          </w:tbl>
          <w:bookmarkEnd w:id="48"/>
        </w:tc>
      </w:tr>
    </w:tbl>
    <w:p>
      <w:pPr>
        <w:pStyle w:val="BodyText"/>
      </w:pPr>
      <w:r>
        <w:t xml:space="preserve">Behavioral manipulation checks confirmed that difficulty and effort affected accuracy and RT as intended, consistent with successful experimental manipulation; full GLMM and LMM results are reported in Appendix A7.</w:t>
      </w:r>
    </w:p>
    <w:bookmarkEnd w:id="49"/>
    <w:bookmarkStart w:id="50" w:name="convergence-and-model-fit-diagnostics"/>
    <w:p>
      <w:pPr>
        <w:pStyle w:val="Heading2"/>
      </w:pPr>
      <w:r>
        <w:t xml:space="preserve">3.2 Convergence and model fit diagnostics</w:t>
      </w:r>
    </w:p>
    <w:p>
      <w:pPr>
        <w:pStyle w:val="FirstParagraph"/>
      </w:pPr>
      <w:r>
        <w:t xml:space="preserve">All models met standard convergence criteria (</w:t>
      </w:r>
      <m:oMath>
        <m:acc>
          <m:accPr>
            <m:chr m:val="̂"/>
          </m:accPr>
          <m:e>
            <m:r>
              <m:t>R</m:t>
            </m:r>
          </m:e>
        </m:acc>
      </m:oMath>
      <w:r>
        <w:t xml:space="preserve"> </w:t>
      </w:r>
      <w:r>
        <w:t xml:space="preserve">&lt; 1.01, bulk ESS &gt; 400, zero divergent transitions; full chain diagnostics, trace plots, and ESS summaries are provided in Table 12, Appendix A1). Posterior predictive checks revealed localized fast-tail misfit — a known limitation of the standard Wiener DDM without a contaminant process — concentrated in Easy VDT conditions; mid-body quantile fit was adequate across all effort and difficulty cells, and key parameter contrasts were robust to this misfit (full PPC diagnostics and visual inspection figures in Appendix A3).</w:t>
      </w:r>
    </w:p>
    <w:bookmarkEnd w:id="50"/>
    <w:bookmarkStart w:id="52" w:name="Xdfe6291765e4c3ae6f90e1098d2fb285b9adba9"/>
    <w:p>
      <w:pPr>
        <w:pStyle w:val="Heading2"/>
      </w:pPr>
      <w:r>
        <w:t xml:space="preserve">3.3 Model comparison: Baseline vs. additive specification</w:t>
      </w:r>
    </w:p>
    <w:p>
      <w:pPr>
        <w:pStyle w:val="FirstParagraph"/>
      </w:pPr>
      <w:r>
        <w:t xml:space="preserve">We compared nested model specifications using Pareto-smoothed importance sampling LOO cross-validation (PSIS-LOO;</w:t>
      </w:r>
      <w:r>
        <w:t xml:space="preserve"> </w:t>
      </w:r>
      <w:r>
        <w:t xml:space="preserve">Vehtari et al. (2017)</w:t>
      </w:r>
      <w:r>
        <w:t xml:space="preserve">). The primary</w:t>
      </w:r>
      <w:r>
        <w:t xml:space="preserve"> </w:t>
      </w:r>
      <w:r>
        <w:rPr>
          <w:i/>
          <w:iCs/>
        </w:rPr>
        <w:t xml:space="preserve">additive</w:t>
      </w:r>
      <w:r>
        <w:t xml:space="preserve"> </w:t>
      </w:r>
      <w:r>
        <w:t xml:space="preserve">model — in which difficulty (perceptual: Easy, Hard, Standard stimulus offsets) and effort (physical: 5% vs. 40% MVC handgrip) contribute independent, non-interacting effects on drift rate and boundary separation — showed superior out-of-sample predictive accuracy compared to a difficulty-only baseline (</w:t>
      </w:r>
      <m:oMath>
        <m:r>
          <m:t>Δ</m:t>
        </m:r>
      </m:oMath>
      <w:r>
        <w:t xml:space="preserve">ELPD</w:t>
      </w:r>
      <w:r>
        <w:t xml:space="preserve"> </w:t>
      </w:r>
      <m:oMath>
        <m:r>
          <m:rPr>
            <m:sty m:val="p"/>
          </m:rPr>
          <m:t>&gt;</m:t>
        </m:r>
      </m:oMath>
      <w:r>
        <w:t xml:space="preserve"> </w:t>
      </w:r>
      <w:r>
        <w:t xml:space="preserve">4;</w:t>
      </w:r>
      <w:r>
        <w:t xml:space="preserve"> </w:t>
      </w:r>
      <w:hyperlink w:anchor="tbl-loo-comparison">
        <w:r>
          <w:rPr>
            <w:rStyle w:val="Hyperlink"/>
          </w:rPr>
          <w:t xml:space="preserve">Table 3</w:t>
        </w:r>
      </w:hyperlink>
      <w:r>
        <w:t xml:space="preserve">). An interaction model (difficulty × effort) did not meaningfully improve fit over the additive specification (</w:t>
      </w:r>
      <m:oMath>
        <m:r>
          <m:rPr>
            <m:sty m:val="p"/>
          </m:rPr>
          <m:t>|</m:t>
        </m:r>
        <m:r>
          <m:t>Δ</m:t>
        </m:r>
      </m:oMath>
      <w:r>
        <w:t xml:space="preserve">ELPD</w:t>
      </w:r>
      <m:oMath>
        <m:r>
          <m:rPr>
            <m:sty m:val="p"/>
          </m:rPr>
          <m:t>|</m:t>
        </m:r>
      </m:oMath>
      <w:r>
        <w:t xml:space="preserve"> </w:t>
      </w:r>
      <m:oMath>
        <m:r>
          <m:rPr>
            <m:sty m:val="p"/>
          </m:rPr>
          <m:t>&lt;</m:t>
        </m:r>
      </m:oMath>
      <w:r>
        <w:t xml:space="preserve"> </w:t>
      </w:r>
      <w:r>
        <w:t xml:space="preserve">4), justifying the more parsimonious additive parameterization for primary inference. Full ELPD values, standard errors, and Pareto-</w:t>
      </w:r>
      <m:oMath>
        <m:r>
          <m:t>k</m:t>
        </m:r>
      </m:oMath>
      <w:r>
        <w:t xml:space="preserve"> </w:t>
      </w:r>
      <w:r>
        <w:t xml:space="preserve">diagnostics are in</w:t>
      </w:r>
      <w:r>
        <w:t xml:space="preserve"> </w:t>
      </w:r>
      <w:hyperlink w:anchor="tbl-loo-comparison">
        <w:r>
          <w:rPr>
            <w:rStyle w:val="Hyperlink"/>
          </w:rPr>
          <w:t xml:space="preserve">Table 3</w:t>
        </w:r>
      </w:hyperlink>
      <w:r>
        <w:t xml:space="preserve">. The near-parallel effort shift across difficulty levels is visualized in Appendix A4.3.</w:t>
      </w:r>
    </w:p>
    <w:p>
      <w:pPr>
        <w:pStyle w:val="BodyText"/>
      </w:pPr>
      <w:r>
        <w:t xml:space="preserve">The selected additive model was also compared against pupil-augmented specifications in a separate LOO analysis (Section 3.6): neither adding TEPR as a predictor of drift rate nor of starting-point bias improved predictive accuracy, consistent with the null pupil results reported below.</w:t>
      </w:r>
    </w:p>
    <w:tbl>
      <w:tblPr>
        <w:tblStyle w:val="Table"/>
        <w:tblW w:type="pct" w:w="5000"/>
        <w:tblLayout w:type="fixed"/>
        <w:tblLook w:firstRow="0" w:lastRow="0" w:firstColumn="0" w:lastColumn="0" w:noHBand="0" w:noVBand="0" w:val="0000"/>
      </w:tblPr>
      <w:tblGrid>
        <w:gridCol w:w="7920"/>
      </w:tblGrid>
      <w:tr>
        <w:tc>
          <w:tcPr/>
          <w:bookmarkStart w:id="51" w:name="tbl-loo-comparison"/>
          <w:p>
            <w:pPr>
              <w:jc w:val="center"/>
            </w:pPr>
            <w:pPr>
              <w:jc w:val="start"/>
              <w:spacing w:before="200"/>
              <w:pStyle w:val="ImageCaption"/>
            </w:pPr>
            <w:r>
              <w:t xml:space="preserve">Table 3: Model Comparison via Leave-One-Out Cross-Validation. Comparison of baseline (intercept-only) and additive (difficulty + effort) DDM specifications fitted to 18,097 trials. The additive model is strongly favored.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Model</w:t>
                  </w:r>
                </w:p>
              </w:tc>
              <w:tc>
                <w:tcPr/>
                <w:p>
                  <w:pPr>
                    <w:pStyle w:val="Compact"/>
                    <w:jc w:val="right"/>
                    <w:jc w:val="center"/>
                  </w:pPr>
                  <w:r>
                    <w:t xml:space="preserve">ELPD LOO</w:t>
                  </w:r>
                </w:p>
              </w:tc>
              <w:tc>
                <w:tcPr/>
                <w:p>
                  <w:pPr>
                    <w:pStyle w:val="Compact"/>
                    <w:jc w:val="right"/>
                    <w:jc w:val="center"/>
                  </w:pPr>
                  <w:r>
                    <w:t xml:space="preserve">SE(ELPD)</w:t>
                  </w:r>
                </w:p>
              </w:tc>
              <w:tc>
                <w:tcPr/>
                <w:p>
                  <w:pPr>
                    <w:pStyle w:val="Compact"/>
                    <w:jc w:val="right"/>
                    <w:jc w:val="center"/>
                  </w:pPr>
                  <w:r>
                    <w:t xml:space="preserve">Δ ELPD</w:t>
                  </w:r>
                </w:p>
              </w:tc>
              <w:tc>
                <w:tcPr/>
                <w:p>
                  <w:pPr>
                    <w:pStyle w:val="Compact"/>
                    <w:jc w:val="right"/>
                    <w:jc w:val="center"/>
                  </w:pPr>
                  <w:r>
                    <w:t xml:space="preserve">SE(Δ)</w:t>
                  </w:r>
                </w:p>
              </w:tc>
              <w:tc>
                <w:tcPr/>
                <w:p>
                  <w:pPr>
                    <w:pStyle w:val="Compact"/>
                    <w:jc w:val="right"/>
                    <w:jc w:val="center"/>
                  </w:pPr>
                  <w:r>
                    <w:t xml:space="preserve">LOOIC</w:t>
                  </w:r>
                </w:p>
              </w:tc>
            </w:tr>
            <w:tr>
              <w:tc>
                <w:tcPr/>
                <w:p>
                  <w:pPr>
                    <w:pStyle w:val="Compact"/>
                    <w:jc w:val="left"/>
                    <w:jc w:val="center"/>
                  </w:pPr>
                  <w:r>
                    <w:t xml:space="preserve">Additive (difficulty + effort)</w:t>
                  </w:r>
                </w:p>
              </w:tc>
              <w:tc>
                <w:tcPr/>
                <w:p>
                  <w:pPr>
                    <w:pStyle w:val="Compact"/>
                    <w:jc w:val="right"/>
                    <w:jc w:val="center"/>
                  </w:pPr>
                  <w:r>
                    <w:t xml:space="preserve">-21428.7</w:t>
                  </w:r>
                </w:p>
              </w:tc>
              <w:tc>
                <w:tcPr/>
                <w:p>
                  <w:pPr>
                    <w:pStyle w:val="Compact"/>
                    <w:jc w:val="right"/>
                    <w:jc w:val="center"/>
                  </w:pPr>
                  <w:r>
                    <w:t xml:space="preserve">143.0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42857.5</w:t>
                  </w:r>
                </w:p>
              </w:tc>
            </w:tr>
            <w:tr>
              <w:tc>
                <w:tcPr/>
                <w:p>
                  <w:pPr>
                    <w:pStyle w:val="Compact"/>
                    <w:jc w:val="left"/>
                    <w:jc w:val="center"/>
                  </w:pPr>
                  <w:r>
                    <w:t xml:space="preserve">Baseline (intercept-only)</w:t>
                  </w:r>
                </w:p>
              </w:tc>
              <w:tc>
                <w:tcPr/>
                <w:p>
                  <w:pPr>
                    <w:pStyle w:val="Compact"/>
                    <w:jc w:val="right"/>
                    <w:jc w:val="center"/>
                  </w:pPr>
                  <w:r>
                    <w:t xml:space="preserve">-26579.7</w:t>
                  </w:r>
                </w:p>
              </w:tc>
              <w:tc>
                <w:tcPr/>
                <w:p>
                  <w:pPr>
                    <w:pStyle w:val="Compact"/>
                    <w:jc w:val="right"/>
                    <w:jc w:val="center"/>
                  </w:pPr>
                  <w:r>
                    <w:t xml:space="preserve">90.1</w:t>
                  </w:r>
                </w:p>
              </w:tc>
              <w:tc>
                <w:tcPr/>
                <w:p>
                  <w:pPr>
                    <w:pStyle w:val="Compact"/>
                    <w:jc w:val="right"/>
                    <w:jc w:val="center"/>
                  </w:pPr>
                  <w:r>
                    <w:t xml:space="preserve">-5151</w:t>
                  </w:r>
                </w:p>
              </w:tc>
              <w:tc>
                <w:tcPr/>
                <w:p>
                  <w:pPr>
                    <w:pStyle w:val="Compact"/>
                    <w:jc w:val="right"/>
                    <w:jc w:val="center"/>
                  </w:pPr>
                  <w:r>
                    <w:t xml:space="preserve">169</w:t>
                  </w:r>
                </w:p>
              </w:tc>
              <w:tc>
                <w:tcPr/>
                <w:p>
                  <w:pPr>
                    <w:pStyle w:val="Compact"/>
                    <w:jc w:val="right"/>
                    <w:jc w:val="center"/>
                  </w:pPr>
                  <w:r>
                    <w:t xml:space="preserve">53159.4</w:t>
                  </w:r>
                </w:p>
              </w:tc>
            </w:tr>
          </w:tbl>
          <w:bookmarkEnd w:id="51"/>
          <w:p/>
        </w:tc>
      </w:tr>
    </w:tbl>
    <w:p>
      <w:pPr>
        <w:pStyle w:val="BodyText"/>
      </w:pPr>
      <w:r>
        <w:rPr>
          <w:i/>
          <w:iCs/>
        </w:rPr>
        <w:t xml:space="preserve">Note.</w:t>
      </w:r>
      <w:r>
        <w:t xml:space="preserve"> </w:t>
      </w:r>
      <w:r>
        <w:t xml:space="preserve">ELPD = expected log predictive density; LOOIC = −2 × ELPD; SE(Δ) = SE of difference. Observed Δ ELPD = 5,151 (~30 SEs) strongly favors additive model. A difficulty-only model (not shown) was compared to the additive specification during model development; the additive model showed superior predictive performance (ΔELPD &gt; 10), indicating effort adds meaningful predictive value beyond difficulty alone. All subsequent analyses use the additive specification.</w:t>
      </w:r>
    </w:p>
    <w:bookmarkEnd w:id="52"/>
    <w:bookmarkStart w:id="69" w:name="behavioral-ddm-parameter-estimates"/>
    <w:p>
      <w:pPr>
        <w:pStyle w:val="Heading2"/>
      </w:pPr>
      <w:r>
        <w:t xml:space="preserve">3.4 Behavioral DDM parameter estimates</w:t>
      </w:r>
    </w:p>
    <w:p>
      <w:pPr>
        <w:pStyle w:val="FirstParagraph"/>
      </w:pPr>
      <w:r>
        <w:t xml:space="preserve">This section presents posterior estimates of the four DDM parameters across conditions. Section 3.4.1 directly addresses the four a priori hypotheses (H1–H4) through effort- and difficulty-related contrasts. Section 3.4.2 describes task-modality differences (ADT vs. VDT) as secondary context for interpreting parameter estimates. Condition-level predictions are summarized in</w:t>
      </w:r>
      <w:r>
        <w:t xml:space="preserve"> </w:t>
      </w:r>
      <w:hyperlink w:anchor="tbl-ddm-core-by-difficulty-effort">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 w:name="tbl-ddm-core-by-difficulty-effort"/>
          <w:p>
            <w:pPr>
              <w:jc w:val="center"/>
            </w:pPr>
            <w:pPr>
              <w:jc w:val="start"/>
              <w:spacing w:before="200"/>
              <w:pStyle w:val="ImageCaption"/>
            </w:pPr>
            <w:r>
              <w:t xml:space="preserve">Table 4: Core DDM parameters</w:t>
            </w:r>
            <w:r>
              <w:t xml:space="preserve"> </w:t>
            </w:r>
            <m:oMath>
              <m:r>
                <m:t>v</m:t>
              </m:r>
            </m:oMath>
            <w:r>
              <w:t xml:space="preserve">,</w:t>
            </w:r>
            <w:r>
              <w:t xml:space="preserve"> </w:t>
            </w:r>
            <m:oMath>
              <m:r>
                <m:t>a</m:t>
              </m:r>
            </m:oMath>
            <w:r>
              <w:t xml:space="preserve">, and</w:t>
            </w:r>
            <w:r>
              <w:t xml:space="preserve"> </w:t>
            </w:r>
            <m:oMath>
              <m:sSub>
                <m:e>
                  <m:r>
                    <m:t>t</m:t>
                  </m:r>
                </m:e>
                <m:sub>
                  <m:r>
                    <m:t>0</m:t>
                  </m:r>
                </m:sub>
              </m:sSub>
            </m:oMath>
            <w:r>
              <w:t xml:space="preserve"> </w:t>
            </w:r>
            <w:r>
              <w:t xml:space="preserve">by Difficulty</w:t>
            </w:r>
            <w:r>
              <w:t xml:space="preserve"> </w:t>
            </w:r>
            <m:oMath>
              <m:r>
                <m:rPr>
                  <m:sty m:val="p"/>
                </m:rPr>
                <m:t>×</m:t>
              </m:r>
            </m:oMath>
            <w:r>
              <w:t xml:space="preserve"> </w:t>
            </w:r>
            <w:r>
              <w:t xml:space="preserve">Effort. Task does not vary across drift rate or boundary separation estimates because it was not included in the primary model specification (see Methods); sensitivity analyses including Task are reported in Appendix~A4.3. Values are posterior medians with 95% credible intervals.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Difficulty</w:t>
                  </w:r>
                </w:p>
              </w:tc>
              <w:tc>
                <w:tcPr/>
                <w:p>
                  <w:pPr>
                    <w:pStyle w:val="Compact"/>
                    <w:jc w:val="left"/>
                    <w:jc w:val="center"/>
                  </w:pPr>
                  <w:r>
                    <w:t xml:space="preserve">Effort</w:t>
                  </w:r>
                </w:p>
              </w:tc>
              <w:tc>
                <w:tcPr/>
                <w:p>
                  <w:pPr>
                    <w:pStyle w:val="Compact"/>
                    <w:jc w:val="right"/>
                    <w:jc w:val="center"/>
                  </w:pPr>
                  <w:r>
                    <w:t xml:space="preserve">Drift (v)</w:t>
                  </w:r>
                </w:p>
              </w:tc>
              <w:tc>
                <w:tcPr/>
                <w:p>
                  <w:pPr>
                    <w:pStyle w:val="Compact"/>
                    <w:jc w:val="right"/>
                    <w:jc w:val="center"/>
                  </w:pPr>
                  <w:r>
                    <w:t xml:space="preserve">Boundary (a)</w:t>
                  </w:r>
                </w:p>
              </w:tc>
              <w:tc>
                <w:tcPr/>
                <w:p>
                  <w:pPr>
                    <w:pStyle w:val="Compact"/>
                    <w:jc w:val="right"/>
                    <w:jc w:val="center"/>
                  </w:pPr>
                  <w:r>
                    <w:t xml:space="preserve">Non-decision time ($t_{0}$)</w:t>
                  </w:r>
                </w:p>
              </w:tc>
            </w:tr>
            <w:tr>
              <w:tc>
                <w:tcPr/>
                <w:p>
                  <w:pPr>
                    <w:pStyle w:val="Compact"/>
                    <w:jc w:val="left"/>
                    <w:jc w:val="center"/>
                  </w:pPr>
                  <w:r>
                    <w:t xml:space="preserve">Standard</w:t>
                  </w:r>
                </w:p>
              </w:tc>
              <w:tc>
                <w:tcPr/>
                <w:p>
                  <w:pPr>
                    <w:pStyle w:val="Compact"/>
                    <w:jc w:val="left"/>
                    <w:jc w:val="center"/>
                  </w:pPr>
                  <w:r>
                    <w:t xml:space="preserve">Low</w:t>
                  </w:r>
                </w:p>
              </w:tc>
              <w:tc>
                <w:tcPr/>
                <w:p>
                  <w:pPr>
                    <w:pStyle w:val="Compact"/>
                    <w:jc w:val="right"/>
                    <w:jc w:val="center"/>
                  </w:pPr>
                  <w:r>
                    <w:t xml:space="preserve">-1.082 [-1.191, -0.973]</w:t>
                  </w:r>
                </w:p>
              </w:tc>
              <w:tc>
                <w:tcPr/>
                <w:p>
                  <w:pPr>
                    <w:pStyle w:val="Compact"/>
                    <w:jc w:val="right"/>
                    <w:jc w:val="center"/>
                  </w:pPr>
                  <w:r>
                    <w:t xml:space="preserve">2.637 [2.586, 2.686]</w:t>
                  </w:r>
                </w:p>
              </w:tc>
              <w:tc>
                <w:tcPr/>
                <w:p>
                  <w:pPr>
                    <w:pStyle w:val="Compact"/>
                    <w:jc w:val="right"/>
                    <w:jc w:val="center"/>
                  </w:pPr>
                  <w:r>
                    <w:t xml:space="preserve">0.347 [0.346, 0.347]</w:t>
                  </w:r>
                </w:p>
              </w:tc>
            </w:tr>
            <w:tr>
              <w:tc>
                <w:tcPr/>
                <w:p>
                  <w:pPr>
                    <w:pStyle w:val="Compact"/>
                    <w:jc w:val="left"/>
                    <w:jc w:val="center"/>
                  </w:pPr>
                  <w:r>
                    <w:t xml:space="preserve">Standard</w:t>
                  </w:r>
                </w:p>
              </w:tc>
              <w:tc>
                <w:tcPr/>
                <w:p>
                  <w:pPr>
                    <w:pStyle w:val="Compact"/>
                    <w:jc w:val="left"/>
                    <w:jc w:val="center"/>
                  </w:pPr>
                  <w:r>
                    <w:t xml:space="preserve">High</w:t>
                  </w:r>
                </w:p>
              </w:tc>
              <w:tc>
                <w:tcPr/>
                <w:p>
                  <w:pPr>
                    <w:pStyle w:val="Compact"/>
                    <w:jc w:val="right"/>
                    <w:jc w:val="center"/>
                  </w:pPr>
                  <w:r>
                    <w:t xml:space="preserve">-1.152 [-1.259, -1.042]</w:t>
                  </w:r>
                </w:p>
              </w:tc>
              <w:tc>
                <w:tcPr/>
                <w:p>
                  <w:pPr>
                    <w:pStyle w:val="Compact"/>
                    <w:jc w:val="right"/>
                    <w:jc w:val="center"/>
                  </w:pPr>
                  <w:r>
                    <w:t xml:space="preserve">2.657 [2.608, 2.709]</w:t>
                  </w:r>
                </w:p>
              </w:tc>
              <w:tc>
                <w:tcPr/>
                <w:p>
                  <w:pPr>
                    <w:pStyle w:val="Compact"/>
                    <w:jc w:val="right"/>
                    <w:jc w:val="center"/>
                  </w:pPr>
                  <w:r>
                    <w:t xml:space="preserve">0.347 [0.346, 0.347]</w:t>
                  </w:r>
                </w:p>
              </w:tc>
            </w:tr>
            <w:tr>
              <w:tc>
                <w:tcPr/>
                <w:p>
                  <w:pPr>
                    <w:pStyle w:val="Compact"/>
                    <w:jc w:val="left"/>
                    <w:jc w:val="center"/>
                  </w:pPr>
                  <w:r>
                    <w:t xml:space="preserve">Easy</w:t>
                  </w:r>
                </w:p>
              </w:tc>
              <w:tc>
                <w:tcPr/>
                <w:p>
                  <w:pPr>
                    <w:pStyle w:val="Compact"/>
                    <w:jc w:val="left"/>
                    <w:jc w:val="center"/>
                  </w:pPr>
                  <w:r>
                    <w:t xml:space="preserve">Low</w:t>
                  </w:r>
                </w:p>
              </w:tc>
              <w:tc>
                <w:tcPr/>
                <w:p>
                  <w:pPr>
                    <w:pStyle w:val="Compact"/>
                    <w:jc w:val="right"/>
                    <w:jc w:val="center"/>
                  </w:pPr>
                  <w:r>
                    <w:t xml:space="preserve">0.960 [0.856, 1.067]</w:t>
                  </w:r>
                </w:p>
              </w:tc>
              <w:tc>
                <w:tcPr/>
                <w:p>
                  <w:pPr>
                    <w:pStyle w:val="Compact"/>
                    <w:jc w:val="right"/>
                    <w:jc w:val="center"/>
                  </w:pPr>
                  <w:r>
                    <w:t xml:space="preserve">2.406 [2.371, 2.442]</w:t>
                  </w:r>
                </w:p>
              </w:tc>
              <w:tc>
                <w:tcPr/>
                <w:p>
                  <w:pPr>
                    <w:pStyle w:val="Compact"/>
                    <w:jc w:val="right"/>
                    <w:jc w:val="center"/>
                  </w:pPr>
                  <w:r>
                    <w:t xml:space="preserve">0.347 [0.346, 0.347]</w:t>
                  </w:r>
                </w:p>
              </w:tc>
            </w:tr>
            <w:tr>
              <w:tc>
                <w:tcPr/>
                <w:p>
                  <w:pPr>
                    <w:pStyle w:val="Compact"/>
                    <w:jc w:val="left"/>
                    <w:jc w:val="center"/>
                  </w:pPr>
                  <w:r>
                    <w:t xml:space="preserve">Easy</w:t>
                  </w:r>
                </w:p>
              </w:tc>
              <w:tc>
                <w:tcPr/>
                <w:p>
                  <w:pPr>
                    <w:pStyle w:val="Compact"/>
                    <w:jc w:val="left"/>
                    <w:jc w:val="center"/>
                  </w:pPr>
                  <w:r>
                    <w:t xml:space="preserve">High</w:t>
                  </w:r>
                </w:p>
              </w:tc>
              <w:tc>
                <w:tcPr/>
                <w:p>
                  <w:pPr>
                    <w:pStyle w:val="Compact"/>
                    <w:jc w:val="right"/>
                    <w:jc w:val="center"/>
                  </w:pPr>
                  <w:r>
                    <w:t xml:space="preserve">0.889 [0.787, 0.997]</w:t>
                  </w:r>
                </w:p>
              </w:tc>
              <w:tc>
                <w:tcPr/>
                <w:p>
                  <w:pPr>
                    <w:pStyle w:val="Compact"/>
                    <w:jc w:val="right"/>
                    <w:jc w:val="center"/>
                  </w:pPr>
                  <w:r>
                    <w:t xml:space="preserve">2.425 [2.389, 2.460]</w:t>
                  </w:r>
                </w:p>
              </w:tc>
              <w:tc>
                <w:tcPr/>
                <w:p>
                  <w:pPr>
                    <w:pStyle w:val="Compact"/>
                    <w:jc w:val="right"/>
                    <w:jc w:val="center"/>
                  </w:pPr>
                  <w:r>
                    <w:t xml:space="preserve">0.347 [0.346, 0.347]</w:t>
                  </w:r>
                </w:p>
              </w:tc>
            </w:tr>
            <w:tr>
              <w:tc>
                <w:tcPr/>
                <w:p>
                  <w:pPr>
                    <w:pStyle w:val="Compact"/>
                    <w:jc w:val="left"/>
                    <w:jc w:val="center"/>
                  </w:pPr>
                  <w:r>
                    <w:t xml:space="preserve">Hard</w:t>
                  </w:r>
                </w:p>
              </w:tc>
              <w:tc>
                <w:tcPr/>
                <w:p>
                  <w:pPr>
                    <w:pStyle w:val="Compact"/>
                    <w:jc w:val="left"/>
                    <w:jc w:val="center"/>
                  </w:pPr>
                  <w:r>
                    <w:t xml:space="preserve">Low</w:t>
                  </w:r>
                </w:p>
              </w:tc>
              <w:tc>
                <w:tcPr/>
                <w:p>
                  <w:pPr>
                    <w:pStyle w:val="Compact"/>
                    <w:jc w:val="right"/>
                    <w:jc w:val="center"/>
                  </w:pPr>
                  <w:r>
                    <w:t xml:space="preserve">-0.503 [-0.606, -0.398]</w:t>
                  </w:r>
                </w:p>
              </w:tc>
              <w:tc>
                <w:tcPr/>
                <w:p>
                  <w:pPr>
                    <w:pStyle w:val="Compact"/>
                    <w:jc w:val="right"/>
                    <w:jc w:val="center"/>
                  </w:pPr>
                  <w:r>
                    <w:t xml:space="preserve">2.364 [2.335, 2.394]</w:t>
                  </w:r>
                </w:p>
              </w:tc>
              <w:tc>
                <w:tcPr/>
                <w:p>
                  <w:pPr>
                    <w:pStyle w:val="Compact"/>
                    <w:jc w:val="right"/>
                    <w:jc w:val="center"/>
                  </w:pPr>
                  <w:r>
                    <w:t xml:space="preserve">0.347 [0.346, 0.347]</w:t>
                  </w:r>
                </w:p>
              </w:tc>
            </w:tr>
            <w:tr>
              <w:tc>
                <w:tcPr/>
                <w:p>
                  <w:pPr>
                    <w:pStyle w:val="Compact"/>
                    <w:jc w:val="left"/>
                    <w:jc w:val="center"/>
                  </w:pPr>
                  <w:r>
                    <w:t xml:space="preserve">Hard</w:t>
                  </w:r>
                </w:p>
              </w:tc>
              <w:tc>
                <w:tcPr/>
                <w:p>
                  <w:pPr>
                    <w:pStyle w:val="Compact"/>
                    <w:jc w:val="left"/>
                    <w:jc w:val="center"/>
                  </w:pPr>
                  <w:r>
                    <w:t xml:space="preserve">High</w:t>
                  </w:r>
                </w:p>
              </w:tc>
              <w:tc>
                <w:tcPr/>
                <w:p>
                  <w:pPr>
                    <w:pStyle w:val="Compact"/>
                    <w:jc w:val="right"/>
                    <w:jc w:val="center"/>
                  </w:pPr>
                  <w:r>
                    <w:t xml:space="preserve">-0.574 [-0.677, -0.468]</w:t>
                  </w:r>
                </w:p>
              </w:tc>
              <w:tc>
                <w:tcPr/>
                <w:p>
                  <w:pPr>
                    <w:pStyle w:val="Compact"/>
                    <w:jc w:val="right"/>
                    <w:jc w:val="center"/>
                  </w:pPr>
                  <w:r>
                    <w:t xml:space="preserve">2.383 [2.354, 2.413]</w:t>
                  </w:r>
                </w:p>
              </w:tc>
              <w:tc>
                <w:tcPr/>
                <w:p>
                  <w:pPr>
                    <w:pStyle w:val="Compact"/>
                    <w:jc w:val="right"/>
                    <w:jc w:val="center"/>
                  </w:pPr>
                  <w:r>
                    <w:t xml:space="preserve">0.347 [0.346, 0.347]</w:t>
                  </w:r>
                </w:p>
              </w:tc>
            </w:tr>
          </w:tbl>
          <w:bookmarkEnd w:id="53"/>
          <w:p/>
        </w:tc>
      </w:tr>
    </w:tbl>
    <w:p>
      <w:pPr>
        <w:pStyle w:val="BodyText"/>
      </w:pPr>
      <w:r>
        <w:rPr>
          <w:i/>
          <w:iCs/>
        </w:rPr>
        <w:t xml:space="preserve">Note</w:t>
      </w:r>
      <w:r>
        <w:t xml:space="preserve">: Coding convention: Positive</w:t>
      </w:r>
      <w:r>
        <w:t xml:space="preserve"> </w:t>
      </w:r>
      <m:oMath>
        <m:r>
          <m:t>v</m:t>
        </m:r>
      </m:oMath>
      <w:r>
        <w:t xml:space="preserve"> </w:t>
      </w:r>
      <w:r>
        <w:t xml:space="preserve">indicates drift toward the upper (</w:t>
      </w:r>
      <w:r>
        <w:t xml:space="preserve">“different”</w:t>
      </w:r>
      <w:r>
        <w:t xml:space="preserve">) boundary; negative</w:t>
      </w:r>
      <w:r>
        <w:t xml:space="preserve"> </w:t>
      </w:r>
      <m:oMath>
        <m:r>
          <m:t>v</m:t>
        </m:r>
      </m:oMath>
      <w:r>
        <w:t xml:space="preserve"> </w:t>
      </w:r>
      <w:r>
        <w:t xml:space="preserve">indicates drift toward the lower (</w:t>
      </w:r>
      <w:r>
        <w:t xml:space="preserve">“same”</w:t>
      </w:r>
      <w:r>
        <w:t xml:space="preserve">) boundary. Boundary separation (</w:t>
      </w:r>
      <m:oMath>
        <m:r>
          <m:t>a</m:t>
        </m:r>
      </m:oMath>
      <w:r>
        <w:t xml:space="preserve">) is reported on the natural scale (evidence units). Non-decision time (</w:t>
      </w:r>
      <m:oMath>
        <m:sSub>
          <m:e>
            <m:r>
              <m:t>t</m:t>
            </m:r>
          </m:e>
          <m:sub>
            <m:r>
              <m:t>0</m:t>
            </m:r>
          </m:sub>
        </m:sSub>
      </m:oMath>
      <w:r>
        <w:t xml:space="preserve">) was modeled as intercept-only (constant across all conditions at 0.347 s) for model stability in the response-signal design (see text). Empirical pattern: Negative drift estimates on Standard and Hard trials reflect systematic bias toward</w:t>
      </w:r>
      <w:r>
        <w:t xml:space="preserve"> </w:t>
      </w:r>
      <w:r>
        <w:t xml:space="preserve">“same”</w:t>
      </w:r>
      <w:r>
        <w:t xml:space="preserve"> </w:t>
      </w:r>
      <w:r>
        <w:t xml:space="preserve">responses, consistent with participants treating small/absent stimulus offsets as evidence of similarity.</w:t>
      </w:r>
    </w:p>
    <w:p>
      <w:pPr>
        <w:pStyle w:val="BodyText"/>
      </w:pPr>
      <w:r>
        <w:rPr>
          <w:i/>
          <w:iCs/>
        </w:rPr>
        <w:t xml:space="preserve">Note on non-decision time precision:</w:t>
      </w:r>
      <w:r>
        <w:t xml:space="preserve"> </w:t>
      </w:r>
      <w:r>
        <w:t xml:space="preserve">The extremely narrow posterior credible interval for</w:t>
      </w:r>
      <w:r>
        <w:t xml:space="preserve"> </w:t>
      </w:r>
      <m:oMath>
        <m:sSub>
          <m:e>
            <m:r>
              <m:t>t</m:t>
            </m:r>
          </m:e>
          <m:sub>
            <m:r>
              <m:t>0</m:t>
            </m:r>
          </m:sub>
        </m:sSub>
      </m:oMath>
      <w:r>
        <w:t xml:space="preserve"> </w:t>
      </w:r>
      <w:r>
        <w:t xml:space="preserve">(95% CrI width</w:t>
      </w:r>
      <w:r>
        <w:t xml:space="preserve"> </w:t>
      </w:r>
      <m:oMath>
        <m:r>
          <m:rPr>
            <m:sty m:val="p"/>
          </m:rPr>
          <m:t>≈</m:t>
        </m:r>
      </m:oMath>
      <w:r>
        <w:t xml:space="preserve"> </w:t>
      </w:r>
      <w:r>
        <w:t xml:space="preserve">1 ms) is an expected consequence of the modeling constraints, not a failure of inference. Non-decision time was specified as intercept-only with no random effects and no condition-level predictors, effectively estimating a single global</w:t>
      </w:r>
      <w:r>
        <w:t xml:space="preserve"> </w:t>
      </w:r>
      <m:oMath>
        <m:sSub>
          <m:e>
            <m:r>
              <m:t>t</m:t>
            </m:r>
          </m:e>
          <m:sub>
            <m:r>
              <m:t>0</m:t>
            </m:r>
          </m:sub>
        </m:sSub>
      </m:oMath>
      <w:r>
        <w:t xml:space="preserve"> </w:t>
      </w:r>
      <w:r>
        <w:t xml:space="preserve">parameter across 18,097 trials. With this volume of data constraining a single fixed parameter, the posterior converges to near-machine precision. Critically, because</w:t>
      </w:r>
      <w:r>
        <w:t xml:space="preserve"> </w:t>
      </w:r>
      <m:oMath>
        <m:sSub>
          <m:e>
            <m:r>
              <m:t>t</m:t>
            </m:r>
          </m:e>
          <m:sub>
            <m:r>
              <m:t>0</m:t>
            </m:r>
          </m:sub>
        </m:sSub>
      </m:oMath>
      <w:r>
        <w:t xml:space="preserve"> </w:t>
      </w:r>
      <w:r>
        <w:t xml:space="preserve">is modeled independently of drift rate (</w:t>
      </w:r>
      <m:oMath>
        <m:r>
          <m:t>v</m:t>
        </m:r>
      </m:oMath>
      <w:r>
        <w:t xml:space="preserve">) and boundary separation (</w:t>
      </w:r>
      <m:oMath>
        <m:r>
          <m:t>a</m:t>
        </m:r>
      </m:oMath>
      <w:r>
        <w:t xml:space="preserve">) via separate link functions in the Wiener likelihood, this precision does not propagate uncertainty to other parameters and has no bearing on the hypothesis tests for H1–H4. The intercept-only constraint was imposed deliberately to improve model identifiability in the response-signal paradigm (see Section 2.8.3).</w:t>
      </w:r>
    </w:p>
    <w:tbl>
      <w:tblPr>
        <w:tblStyle w:val="Table"/>
        <w:tblW w:type="pct" w:w="5000"/>
        <w:tblLayout w:type="fixed"/>
        <w:tblLook w:firstRow="0" w:lastRow="0" w:firstColumn="0" w:lastColumn="0" w:noHBand="0" w:noVBand="0" w:val="0000"/>
      </w:tblPr>
      <w:tblGrid>
        <w:gridCol w:w="7920"/>
      </w:tblGrid>
      <w:tr>
        <w:tc>
          <w:tcPr/>
          <w:bookmarkStart w:id="57" w:name="fig-ddm-parameters-combined"/>
          <w:p>
            <w:pPr>
              <w:pStyle w:val="Compact"/>
              <w:jc w:val="center"/>
            </w:pPr>
            <w:r>
              <w:drawing>
                <wp:inline>
                  <wp:extent cx="4800600" cy="2000250"/>
                  <wp:effectExtent b="0" l="0" r="0" t="0"/>
                  <wp:docPr descr="" title="" id="55" name="Picture"/>
                  <a:graphic>
                    <a:graphicData uri="http://schemas.openxmlformats.org/drawingml/2006/picture">
                      <pic:pic>
                        <pic:nvPicPr>
                          <pic:cNvPr descr="chap3_ddm_results_files/figure-docx/fig-ddm-parameters-combined-1.png" id="56" name="Picture"/>
                          <pic:cNvPicPr>
                            <a:picLocks noChangeArrowheads="1" noChangeAspect="1"/>
                          </pic:cNvPicPr>
                        </pic:nvPicPr>
                        <pic:blipFill>
                          <a:blip r:embed="rId54"/>
                          <a:stretch>
                            <a:fillRect/>
                          </a:stretch>
                        </pic:blipFill>
                        <pic:spPr bwMode="auto">
                          <a:xfrm>
                            <a:off x="0" y="0"/>
                            <a:ext cx="4800600" cy="2000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Drift rate (</w:t>
            </w:r>
            <m:oMath>
              <m:r>
                <m:t>v</m:t>
              </m:r>
            </m:oMath>
            <w:r>
              <w:t xml:space="preserve">) and boundary separation (</w:t>
            </w:r>
            <m:oMath>
              <m:r>
                <m:t>a</m:t>
              </m:r>
            </m:oMath>
            <w:r>
              <w:t xml:space="preserve">) by Difficulty</w:t>
            </w:r>
            <w:r>
              <w:t xml:space="preserve"> </w:t>
            </w:r>
            <m:oMath>
              <m:r>
                <m:rPr>
                  <m:sty m:val="p"/>
                </m:rPr>
                <m:t>×</m:t>
              </m:r>
            </m:oMath>
            <w:r>
              <w:t xml:space="preserve"> </w:t>
            </w:r>
            <w:r>
              <w:t xml:space="preserve">Effort. (A) Drift rate and (B) Boundary separation, pooled across tasks (ADT + VDT). Points show posterior medians with 95% credible intervals. Blue = Low effort; magenta = High effort. Task modality was not included as a predictor for</w:t>
            </w:r>
            <w:r>
              <w:t xml:space="preserve"> </w:t>
            </w:r>
            <m:oMath>
              <m:r>
                <m:t>v</m:t>
              </m:r>
            </m:oMath>
            <w:r>
              <w:t xml:space="preserve"> </w:t>
            </w:r>
            <w:r>
              <w:t xml:space="preserve">or</w:t>
            </w:r>
            <w:r>
              <w:t xml:space="preserve"> </w:t>
            </w:r>
            <m:oMath>
              <m:r>
                <m:t>a</m:t>
              </m:r>
            </m:oMath>
            <w:r>
              <w:t xml:space="preserve"> </w:t>
            </w:r>
            <w:r>
              <w:t xml:space="preserve">in the primary model (see Section 2.8.3); task-specific estimates are in Appendix A4.3.</w:t>
            </w:r>
            <w:r>
              <w:t xml:space="preserve"> </w:t>
            </w:r>
            <w:r>
              <w:rPr>
                <w:i/>
                <w:iCs/>
              </w:rPr>
              <w:t xml:space="preserve">Note: Drift rates (</w:t>
            </w:r>
            <m:oMath>
              <m:r>
                <m:t>v</m:t>
              </m:r>
            </m:oMath>
            <w:r>
              <w:rPr>
                <w:i/>
                <w:iCs/>
              </w:rPr>
              <w:t xml:space="preserve">) were estimated using Response Coding. Positive values indicate evidence accumulation toward the</w:t>
            </w:r>
            <w:r>
              <w:rPr>
                <w:i/>
                <w:iCs/>
              </w:rPr>
              <w:t xml:space="preserve"> </w:t>
            </w:r>
            <w:r>
              <w:rPr>
                <w:i/>
                <w:iCs/>
              </w:rPr>
              <w:t xml:space="preserve">‘Different’</w:t>
            </w:r>
            <w:r>
              <w:rPr>
                <w:i/>
                <w:iCs/>
              </w:rPr>
              <w:t xml:space="preserve"> </w:t>
            </w:r>
            <w:r>
              <w:rPr>
                <w:i/>
                <w:iCs/>
              </w:rPr>
              <w:t xml:space="preserve">boundary; negative values indicate accumulation toward the</w:t>
            </w:r>
            <w:r>
              <w:rPr>
                <w:i/>
                <w:iCs/>
              </w:rPr>
              <w:t xml:space="preserve"> </w:t>
            </w:r>
            <w:r>
              <w:rPr>
                <w:i/>
                <w:iCs/>
              </w:rPr>
              <w:t xml:space="preserve">‘Same’</w:t>
            </w:r>
            <w:r>
              <w:rPr>
                <w:i/>
                <w:iCs/>
              </w:rPr>
              <w:t xml:space="preserve"> </w:t>
            </w:r>
            <w:r>
              <w:rPr>
                <w:i/>
                <w:iCs/>
              </w:rPr>
              <w:t xml:space="preserve">boundary.</w:t>
            </w:r>
          </w:p>
          <w:bookmarkEnd w:id="57"/>
        </w:tc>
      </w:tr>
    </w:tbl>
    <w:p>
      <w:pPr>
        <w:pStyle w:val="BodyText"/>
      </w:pPr>
      <w:r>
        <w:t xml:space="preserve">Because Effort is a within-subject manipulation, visual overlap in marginal means is misleading. Plotting the posterior distribution of the difference score (High</w:t>
      </w:r>
      <w:r>
        <w:t xml:space="preserve"> </w:t>
      </w:r>
      <m:oMath>
        <m:r>
          <m:rPr>
            <m:sty m:val="p"/>
          </m:rPr>
          <m:t>−</m:t>
        </m:r>
      </m:oMath>
      <w:r>
        <w:t xml:space="preserve"> </w:t>
      </w:r>
      <w:r>
        <w:t xml:space="preserve">Low Effort) explicitly demonstrates that the 95% HDI does not cross zero, confirming a highly credible reduction in drift rate (</w:t>
      </w:r>
      <w:hyperlink w:anchor="fig-effort-drift-posterior-diff">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effort-drift-posterior-diff"/>
          <w:p>
            <w:pPr>
              <w:pStyle w:val="Compact"/>
              <w:jc w:val="center"/>
            </w:pPr>
            <w:r>
              <w:drawing>
                <wp:inline>
                  <wp:extent cx="2933700" cy="1760220"/>
                  <wp:effectExtent b="0" l="0" r="0" t="0"/>
                  <wp:docPr descr="" title="" id="59" name="Picture"/>
                  <a:graphic>
                    <a:graphicData uri="http://schemas.openxmlformats.org/drawingml/2006/picture">
                      <pic:pic>
                        <pic:nvPicPr>
                          <pic:cNvPr descr="chap3_ddm_results_files/figure-docx/fig-effort-drift-posterior-diff-1.png" id="60" name="Picture"/>
                          <pic:cNvPicPr>
                            <a:picLocks noChangeArrowheads="1" noChangeAspect="1"/>
                          </pic:cNvPicPr>
                        </pic:nvPicPr>
                        <pic:blipFill>
                          <a:blip r:embed="rId58"/>
                          <a:stretch>
                            <a:fillRect/>
                          </a:stretch>
                        </pic:blipFill>
                        <pic:spPr bwMode="auto">
                          <a:xfrm>
                            <a:off x="0" y="0"/>
                            <a:ext cx="2933700" cy="17602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Bayesian Hypothesis Test: Effort Effect on Drift Rate (H1). Posterior distribution of the High</w:t>
            </w:r>
            <w:r>
              <w:t xml:space="preserve"> </w:t>
            </w:r>
            <m:oMath>
              <m:r>
                <m:rPr>
                  <m:sty m:val="p"/>
                </m:rPr>
                <m:t>−</m:t>
              </m:r>
            </m:oMath>
            <w:r>
              <w:t xml:space="preserve"> </w:t>
            </w:r>
            <w:r>
              <w:t xml:space="preserve">Low effort contrast on drift rate (</w:t>
            </w:r>
            <m:oMath>
              <m:r>
                <m:t>v</m:t>
              </m:r>
            </m:oMath>
            <w:r>
              <w:t xml:space="preserve">), extracted from the primary model. The 95% credible interval (CrI; shaded region) falls entirely below zero, supporting H1 (</w:t>
            </w:r>
            <m:oMath>
              <m:r>
                <m:t>δ</m:t>
              </m:r>
            </m:oMath>
            <w:r>
              <w:t xml:space="preserve"> </w:t>
            </w:r>
            <w:r>
              <w:t xml:space="preserve">= −0.07, 95% CrI [−0.11, −0.03],</w:t>
            </w:r>
            <w:r>
              <w:t xml:space="preserve"> </w:t>
            </w:r>
            <m:oMath>
              <m:r>
                <m:t>P</m:t>
              </m:r>
              <m:d>
                <m:dPr>
                  <m:begChr m:val="("/>
                  <m:sepChr m:val=""/>
                  <m:endChr m:val=")"/>
                  <m:grow/>
                </m:dPr>
                <m:e>
                  <m:r>
                    <m:t>δ</m:t>
                  </m:r>
                  <m:r>
                    <m:rPr>
                      <m:sty m:val="p"/>
                    </m:rPr>
                    <m:t>&lt;</m:t>
                  </m:r>
                  <m:r>
                    <m:t>0</m:t>
                  </m:r>
                </m:e>
              </m:d>
              <m:r>
                <m:rPr>
                  <m:sty m:val="p"/>
                </m:rPr>
                <m:t>&gt;</m:t>
              </m:r>
              <m:r>
                <m:t>.999</m:t>
              </m:r>
            </m:oMath>
            <w:r>
              <w:t xml:space="preserve">).</w:t>
            </w:r>
          </w:p>
          <w:bookmarkEnd w:id="61"/>
        </w:tc>
      </w:tr>
    </w:tbl>
    <w:tbl>
      <w:tblPr>
        <w:tblStyle w:val="Table"/>
        <w:tblW w:type="pct" w:w="5000"/>
        <w:tblLayout w:type="fixed"/>
        <w:tblLook w:firstRow="0" w:lastRow="0" w:firstColumn="0" w:lastColumn="0" w:noHBand="0" w:noVBand="0" w:val="0000"/>
      </w:tblPr>
      <w:tblGrid>
        <w:gridCol w:w="7920"/>
      </w:tblGrid>
      <w:tr>
        <w:tc>
          <w:tcPr/>
          <w:bookmarkStart w:id="65" w:name="fig-difficulty-contrasts"/>
          <w:p>
            <w:pPr>
              <w:pStyle w:val="Compact"/>
              <w:jc w:val="center"/>
            </w:pPr>
            <w:r>
              <w:drawing>
                <wp:inline>
                  <wp:extent cx="4800600" cy="3840480"/>
                  <wp:effectExtent b="0" l="0" r="0" t="0"/>
                  <wp:docPr descr="" title="" id="63" name="Picture"/>
                  <a:graphic>
                    <a:graphicData uri="http://schemas.openxmlformats.org/drawingml/2006/picture">
                      <pic:pic>
                        <pic:nvPicPr>
                          <pic:cNvPr descr="chap3_ddm_results_files/figure-docx/fig-difficulty-contrasts-1.png" id="64" name="Picture"/>
                          <pic:cNvPicPr>
                            <a:picLocks noChangeArrowheads="1" noChangeAspect="1"/>
                          </pic:cNvPicPr>
                        </pic:nvPicPr>
                        <pic:blipFill>
                          <a:blip r:embed="rId62"/>
                          <a:stretch>
                            <a:fillRect/>
                          </a:stretch>
                        </pic:blipFill>
                        <pic:spPr bwMode="auto">
                          <a:xfrm>
                            <a:off x="0" y="0"/>
                            <a:ext cx="4800600" cy="3840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w:t>
            </w:r>
            <w:r>
              <w:t xml:space="preserve"> </w:t>
            </w:r>
            <w:r>
              <w:rPr>
                <w:b/>
                <w:bCs/>
              </w:rPr>
              <w:t xml:space="preserve">Bayesian Hypothesis Tests: Pairwise Difficulty Contrasts on Drift Rate (left) and Boundary Separation (right).</w:t>
            </w:r>
            <w:r>
              <w:t xml:space="preserve"> </w:t>
            </w:r>
            <w:r>
              <w:t xml:space="preserve">Each panel shows the posterior density of the named difference score extracted from the primary model. Vertical dashed lines mark zero; shaded bands show the 95% credible interval. No contrast crosses zero, confirming statistically credible effects of difficulty on both parameters. These posterior distributions serve as the formal Bayesian tests for the difficulty manipulation.</w:t>
            </w:r>
          </w:p>
          <w:bookmarkEnd w:id="65"/>
        </w:tc>
      </w:tr>
    </w:tbl>
    <w:tbl>
      <w:tblPr>
        <w:tblStyle w:val="Table"/>
        <w:tblW w:type="pct" w:w="5000"/>
        <w:tblLayout w:type="fixed"/>
        <w:tblLook w:firstRow="0" w:lastRow="0" w:firstColumn="0" w:lastColumn="0" w:noHBand="0" w:noVBand="0" w:val="0000"/>
      </w:tblPr>
      <w:tblGrid>
        <w:gridCol w:w="7920"/>
      </w:tblGrid>
      <w:tr>
        <w:tc>
          <w:tcPr/>
          <w:bookmarkStart w:id="66" w:name="tbl-ddm-bias-by-task-effort"/>
          <w:p>
            <w:pPr>
              <w:jc w:val="center"/>
            </w:pPr>
            <w:pPr>
              <w:jc w:val="start"/>
              <w:spacing w:before="200"/>
              <w:pStyle w:val="ImageCaption"/>
            </w:pPr>
            <w:r>
              <w:t xml:space="preserve">Table 5: Starting-point bias (</w:t>
            </w:r>
            <m:oMath>
              <m:r>
                <m:t>z</m:t>
              </m:r>
            </m:oMath>
            <w:r>
              <w:t xml:space="preserve">) by Task</w:t>
            </w:r>
            <w:r>
              <w:t xml:space="preserve"> </w:t>
            </w:r>
            <m:oMath>
              <m:r>
                <m:rPr>
                  <m:sty m:val="p"/>
                </m:rPr>
                <m:t>×</m:t>
              </m:r>
            </m:oMath>
            <w:r>
              <w:t xml:space="preserve"> </w:t>
            </w:r>
            <w:r>
              <w:t xml:space="preserve">Effort. Bias is constrained to be constant across difficulty levels (as trials are randomized). Values shown are collapsed across difficulty (median of medians). Values are posterior medians with 95% credible intervals.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Task</w:t>
                  </w:r>
                </w:p>
              </w:tc>
              <w:tc>
                <w:tcPr/>
                <w:p>
                  <w:pPr>
                    <w:pStyle w:val="Compact"/>
                    <w:jc w:val="left"/>
                    <w:jc w:val="center"/>
                  </w:pPr>
                  <w:r>
                    <w:t xml:space="preserve">Effort</w:t>
                  </w:r>
                </w:p>
              </w:tc>
              <w:tc>
                <w:tcPr/>
                <w:p>
                  <w:pPr>
                    <w:pStyle w:val="Compact"/>
                    <w:jc w:val="right"/>
                    <w:jc w:val="center"/>
                  </w:pPr>
                  <w:r>
                    <w:t xml:space="preserve">Bias (z)</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right"/>
                    <w:jc w:val="center"/>
                  </w:pPr>
                  <w:r>
                    <w:t xml:space="preserve">0.523 [0.505, 0.541]</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right"/>
                    <w:jc w:val="center"/>
                  </w:pPr>
                  <w:r>
                    <w:t xml:space="preserve">0.528 [0.509, 0.546]</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right"/>
                    <w:jc w:val="center"/>
                  </w:pPr>
                  <w:r>
                    <w:t xml:space="preserve">0.544 [0.526, 0.562]</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right"/>
                    <w:jc w:val="center"/>
                  </w:pPr>
                  <w:r>
                    <w:t xml:space="preserve">0.549 [0.531, 0.567]</w:t>
                  </w:r>
                </w:p>
              </w:tc>
            </w:tr>
          </w:tbl>
          <w:bookmarkEnd w:id="66"/>
          <w:p/>
        </w:tc>
      </w:tr>
    </w:tbl>
    <w:p>
      <w:pPr>
        <w:pStyle w:val="BodyText"/>
      </w:pPr>
      <w:r>
        <w:t xml:space="preserve">Together, these patterns show that task difficulty strongly modulates evidence accumulation (</w:t>
      </w:r>
      <m:oMath>
        <m:r>
          <m:t>v</m:t>
        </m:r>
      </m:oMath>
      <w:r>
        <w:t xml:space="preserve">) and caution (</w:t>
      </w:r>
      <m:oMath>
        <m:r>
          <m:t>a</m:t>
        </m:r>
      </m:oMath>
      <w:r>
        <w:t xml:space="preserve">), while bias (</w:t>
      </w:r>
      <m:oMath>
        <m:r>
          <m:t>z</m:t>
        </m:r>
      </m:oMath>
      <w:r>
        <w:t xml:space="preserve">) varies by task with minimal effort effects.</w:t>
      </w:r>
    </w:p>
    <w:p>
      <w:pPr>
        <w:pStyle w:val="BodyText"/>
      </w:pPr>
      <w:r>
        <w:t xml:space="preserve">Of 63 subjects with usable pupil data, 14,586 total trials had valid pupil recordings (mean 232 trials per subject). Baseline pupil descriptives by condition are reported in Appendix A2 (Table 7). TEPR descriptives by condition are shown in Table 8 (Section 3.6).</w:t>
      </w:r>
    </w:p>
    <w:bookmarkStart w:id="67" w:name="sec-key-contrasts"/>
    <w:p>
      <w:pPr>
        <w:pStyle w:val="Heading3"/>
      </w:pPr>
      <w:r>
        <w:t xml:space="preserve">3.4.1 Key Contrasts: Hypothesis Tests</w:t>
      </w:r>
    </w:p>
    <w:p>
      <w:pPr>
        <w:pStyle w:val="FirstParagraph"/>
      </w:pPr>
      <w:r>
        <w:t xml:space="preserve">To evaluate our a priori predictions about how effort and difficulty modulate decision parameters, we examined posterior contrasts on the link scale.</w:t>
      </w:r>
    </w:p>
    <w:p>
      <w:pPr>
        <w:pStyle w:val="BodyText"/>
      </w:pPr>
      <w:r>
        <w:t xml:space="preserve">Contrasts on the link scale confirmed large effects of difficulty on drift rate (</w:t>
      </w:r>
      <m:oMath>
        <m:r>
          <m:t>v</m:t>
        </m:r>
      </m:oMath>
      <w:r>
        <w:t xml:space="preserve">), with Easy</w:t>
      </w:r>
      <w:r>
        <w:t xml:space="preserve"> </w:t>
      </w:r>
      <m:oMath>
        <m:r>
          <m:rPr>
            <m:sty m:val="p"/>
          </m:rPr>
          <m:t>&gt;</m:t>
        </m:r>
      </m:oMath>
      <w:r>
        <w:t xml:space="preserve"> </w:t>
      </w:r>
      <w:r>
        <w:t xml:space="preserve">Hard</w:t>
      </w:r>
      <w:r>
        <w:t xml:space="preserve"> </w:t>
      </w:r>
      <m:oMath>
        <m:r>
          <m:rPr>
            <m:sty m:val="p"/>
          </m:rPr>
          <m:t>&gt;</m:t>
        </m:r>
      </m:oMath>
      <w:r>
        <w:t xml:space="preserve"> </w:t>
      </w:r>
      <w:r>
        <w:t xml:space="preserve">Standard, and consistent effects of effort on</w:t>
      </w:r>
      <w:r>
        <w:t xml:space="preserve"> </w:t>
      </w:r>
      <m:oMath>
        <m:r>
          <m:t>v</m:t>
        </m:r>
      </m:oMath>
      <w:r>
        <w:t xml:space="preserve">. Boundary separation (</w:t>
      </w:r>
      <m:oMath>
        <m:r>
          <m:t>a</m:t>
        </m:r>
      </m:oMath>
      <w:r>
        <w:t xml:space="preserve">) and starting-point bias (</w:t>
      </w:r>
      <m:oMath>
        <m:r>
          <m:t>z</m:t>
        </m:r>
      </m:oMath>
      <w:r>
        <w:t xml:space="preserve">) showed more modest modulation by difficulty and effort.</w:t>
      </w:r>
    </w:p>
    <w:p>
      <w:pPr>
        <w:pStyle w:val="BodyText"/>
      </w:pPr>
      <w:r>
        <w:rPr>
          <w:b/>
          <w:bCs/>
        </w:rPr>
        <w:t xml:space="preserve">Bayesian inference as hypothesis testing.</w:t>
      </w:r>
      <w:r>
        <w:t xml:space="preserve"> </w:t>
      </w:r>
      <w:r>
        <w:t xml:space="preserve">In a hierarchical Bayesian framework, the role of traditional null-hypothesis significance tests is fulfilled by</w:t>
      </w:r>
      <w:r>
        <w:t xml:space="preserve"> </w:t>
      </w:r>
      <w:r>
        <w:rPr>
          <w:b/>
          <w:bCs/>
        </w:rPr>
        <w:t xml:space="preserve">posterior contrasts</w:t>
      </w:r>
      <w:r>
        <w:t xml:space="preserve"> </w:t>
      </w:r>
      <w:r>
        <w:t xml:space="preserve">— the full posterior distribution of the difference between two conditions, extracted from the fitted model</w:t>
      </w:r>
      <w:r>
        <w:t xml:space="preserve"> </w:t>
      </w:r>
      <w:r>
        <w:t xml:space="preserve">(Bürkner, 2017; Ratcliff &amp; McKoon, 2008)</w:t>
      </w:r>
      <w:r>
        <w:t xml:space="preserve">. Specifically, for each hypothesis, we compute</w:t>
      </w:r>
      <w:r>
        <w:t xml:space="preserve"> </w:t>
      </w:r>
      <m:oMath>
        <m:r>
          <m:t>δ</m:t>
        </m:r>
        <m:r>
          <m:rPr>
            <m:sty m:val="p"/>
          </m:rPr>
          <m:t>=</m:t>
        </m:r>
        <m:sSub>
          <m:e>
            <m:acc>
              <m:accPr>
                <m:chr m:val="̂"/>
              </m:accPr>
              <m:e>
                <m:r>
                  <m:t>θ</m:t>
                </m:r>
              </m:e>
            </m:acc>
          </m:e>
          <m:sub>
            <m:r>
              <m:rPr>
                <m:nor/>
                <m:sty m:val="p"/>
              </m:rPr>
              <m:t>High</m:t>
            </m:r>
          </m:sub>
        </m:sSub>
        <m:r>
          <m:rPr>
            <m:sty m:val="p"/>
          </m:rPr>
          <m:t>−</m:t>
        </m:r>
        <m:sSub>
          <m:e>
            <m:acc>
              <m:accPr>
                <m:chr m:val="̂"/>
              </m:accPr>
              <m:e>
                <m:r>
                  <m:t>θ</m:t>
                </m:r>
              </m:e>
            </m:acc>
          </m:e>
          <m:sub>
            <m:r>
              <m:rPr>
                <m:nor/>
                <m:sty m:val="p"/>
              </m:rPr>
              <m:t>Low</m:t>
            </m:r>
          </m:sub>
        </m:sSub>
      </m:oMath>
      <w:r>
        <w:t xml:space="preserve"> </w:t>
      </w:r>
      <w:r>
        <w:t xml:space="preserve">directly from the posterior draws and report (1) the posterior median of</w:t>
      </w:r>
      <w:r>
        <w:t xml:space="preserve"> </w:t>
      </w:r>
      <m:oMath>
        <m:r>
          <m:t>δ</m:t>
        </m:r>
      </m:oMath>
      <w:r>
        <w:t xml:space="preserve">, (2) the 95% Highest Density Interval (HDI), and (3) the posterior probability</w:t>
      </w:r>
      <w:r>
        <w:t xml:space="preserve"> </w:t>
      </w:r>
      <m:oMath>
        <m:r>
          <m:t>P</m:t>
        </m:r>
        <m:d>
          <m:dPr>
            <m:begChr m:val="("/>
            <m:sepChr m:val=""/>
            <m:endChr m:val=")"/>
            <m:grow/>
          </m:dPr>
          <m:e>
            <m:r>
              <m:t>δ</m:t>
            </m:r>
            <m:r>
              <m:rPr>
                <m:sty m:val="p"/>
              </m:rPr>
              <m:t>&lt;</m:t>
            </m:r>
            <m:r>
              <m:t>0</m:t>
            </m:r>
          </m:e>
        </m:d>
      </m:oMath>
      <w:r>
        <w:t xml:space="preserve"> </w:t>
      </w:r>
      <w:r>
        <w:t xml:space="preserve">— the proportion of posterior mass below zero, directly analogous to a one-tailed p-value for the directional prediction. A 95% CrI that excludes zero corresponds to</w:t>
      </w:r>
      <w:r>
        <w:t xml:space="preserve"> </w:t>
      </w:r>
      <m:oMath>
        <m:r>
          <m:t>P</m:t>
        </m:r>
        <m:d>
          <m:dPr>
            <m:begChr m:val="("/>
            <m:sepChr m:val=""/>
            <m:endChr m:val=")"/>
            <m:grow/>
          </m:dPr>
          <m:e>
            <m:r>
              <m:t>δ</m:t>
            </m:r>
            <m:r>
              <m:rPr>
                <m:sty m:val="p"/>
              </m:rPr>
              <m:t>&lt;</m:t>
            </m:r>
            <m:r>
              <m:t>0</m:t>
            </m:r>
          </m:e>
        </m:d>
        <m:r>
          <m:rPr>
            <m:sty m:val="p"/>
          </m:rPr>
          <m:t>&gt;</m:t>
        </m:r>
        <m:r>
          <m:t>0.975</m:t>
        </m:r>
      </m:oMath>
      <w:r>
        <w:t xml:space="preserve">, satisfying the conventional Type-I error threshold.</w:t>
      </w:r>
      <w:r>
        <w:t xml:space="preserve"> </w:t>
      </w:r>
      <w:r>
        <w:rPr>
          <w:b/>
          <w:bCs/>
        </w:rPr>
        <w:t xml:space="preserve">This framework provides strictly stronger evidence than a point-estimate t-test</w:t>
      </w:r>
      <w:r>
        <w:t xml:space="preserve">: rather than asking only whether an effect exists, it quantifies</w:t>
      </w:r>
      <w:r>
        <w:t xml:space="preserve"> </w:t>
      </w:r>
      <w:r>
        <w:rPr>
          <w:i/>
          <w:iCs/>
        </w:rPr>
        <w:t xml:space="preserve">how much</w:t>
      </w:r>
      <w:r>
        <w:t xml:space="preserve"> </w:t>
      </w:r>
      <w:r>
        <w:t xml:space="preserve">of the posterior is consistent with our directional prediction. The posterior distributions of all key contrasts are visualized in</w:t>
      </w:r>
      <w:r>
        <w:t xml:space="preserve"> </w:t>
      </w:r>
      <w:hyperlink w:anchor="fig-effort-drift-posterior-diff">
        <w:r>
          <w:rPr>
            <w:rStyle w:val="Hyperlink"/>
          </w:rPr>
          <w:t xml:space="preserve">Figure 6</w:t>
        </w:r>
      </w:hyperlink>
      <w:r>
        <w:t xml:space="preserve"> </w:t>
      </w:r>
      <w:r>
        <w:t xml:space="preserve">and</w:t>
      </w:r>
      <w:r>
        <w:t xml:space="preserve"> </w:t>
      </w:r>
      <w:hyperlink w:anchor="fig-difficulty-contrasts">
        <w:r>
          <w:rPr>
            <w:rStyle w:val="Hyperlink"/>
          </w:rPr>
          <w:t xml:space="preserve">Figure 7</w:t>
        </w:r>
      </w:hyperlink>
      <w:r>
        <w:t xml:space="preserve">, which serve as the primary inferential figures for H1–H4, analogous to presenting test statistics and confidence intervals in a frequentist report.</w:t>
      </w:r>
    </w:p>
    <w:p>
      <w:pPr>
        <w:pStyle w:val="BodyText"/>
      </w:pPr>
      <w:r>
        <w:t xml:space="preserve">Relative to the hypotheses in Section 1.4.1: Consistent with H1, High effort (40% MVC) produced reliably lower drift rates than Low effort (5% MVC;</w:t>
      </w:r>
      <w:r>
        <w:t xml:space="preserve"> </w:t>
      </w:r>
      <m:oMath>
        <m:r>
          <m:t>β</m:t>
        </m:r>
        <m:r>
          <m:rPr>
            <m:sty m:val="p"/>
          </m:rPr>
          <m:t>=</m:t>
        </m:r>
        <m:r>
          <m:rPr>
            <m:sty m:val="p"/>
          </m:rPr>
          <m:t>−</m:t>
        </m:r>
        <m:r>
          <m:t>0.07</m:t>
        </m:r>
      </m:oMath>
      <w:r>
        <w:t xml:space="preserve">, 95% CrI</w:t>
      </w:r>
      <w:r>
        <w:t xml:space="preserve"> </w:t>
      </w:r>
      <m:oMath>
        <m:d>
          <m:dPr>
            <m:begChr m:val="["/>
            <m:sepChr m:val=""/>
            <m:endChr m:val="]"/>
            <m:grow/>
          </m:dPr>
          <m:e>
            <m:r>
              <m:rPr>
                <m:sty m:val="p"/>
              </m:rPr>
              <m:t>−</m:t>
            </m:r>
            <m:r>
              <m:t>0.11</m:t>
            </m:r>
            <m:r>
              <m:rPr>
                <m:sty m:val="p"/>
              </m:rPr>
              <m:t>,</m:t>
            </m:r>
            <m:r>
              <m:t> </m:t>
            </m:r>
            <m:r>
              <m:rPr>
                <m:sty m:val="p"/>
              </m:rPr>
              <m:t>−</m:t>
            </m:r>
            <m:r>
              <m:t>0.03</m:t>
            </m:r>
          </m:e>
        </m:d>
      </m:oMath>
      <w:r>
        <w:t xml:space="preserve">;</w:t>
      </w:r>
      <w:r>
        <w:t xml:space="preserve"> </w:t>
      </w:r>
      <m:oMath>
        <m:r>
          <m:t>P</m:t>
        </m:r>
        <m:d>
          <m:dPr>
            <m:begChr m:val="("/>
            <m:sepChr m:val=""/>
            <m:endChr m:val=")"/>
            <m:grow/>
          </m:dPr>
          <m:e>
            <m:r>
              <m:t>β</m:t>
            </m:r>
            <m:r>
              <m:rPr>
                <m:sty m:val="p"/>
              </m:rPr>
              <m:t>&lt;</m:t>
            </m:r>
            <m:r>
              <m:t>0</m:t>
            </m:r>
          </m:e>
        </m:d>
        <m:r>
          <m:rPr>
            <m:sty m:val="p"/>
          </m:rPr>
          <m:t>&gt;</m:t>
        </m:r>
        <m:r>
          <m:t>.999</m:t>
        </m:r>
      </m:oMath>
      <w:r>
        <w:t xml:space="preserve">), indicating that concurrent grip maintenance degraded the quality of evidence accumulation. Contrary to H2, boundary separation did not reliably increase under High effort (</w:t>
      </w:r>
      <m:oMath>
        <m:r>
          <m:t>β</m:t>
        </m:r>
        <m:r>
          <m:rPr>
            <m:sty m:val="p"/>
          </m:rPr>
          <m:t>=</m:t>
        </m:r>
        <m:r>
          <m:t>0.01</m:t>
        </m:r>
      </m:oMath>
      <w:r>
        <w:t xml:space="preserve">, 95% CrI</w:t>
      </w:r>
      <w:r>
        <w:t xml:space="preserve"> </w:t>
      </w:r>
      <m:oMath>
        <m:d>
          <m:dPr>
            <m:begChr m:val="["/>
            <m:sepChr m:val=""/>
            <m:endChr m:val="]"/>
            <m:grow/>
          </m:dPr>
          <m:e>
            <m:r>
              <m:rPr>
                <m:sty m:val="p"/>
              </m:rPr>
              <m:t>−</m:t>
            </m:r>
            <m:r>
              <m:t>0.01</m:t>
            </m:r>
            <m:r>
              <m:rPr>
                <m:sty m:val="p"/>
              </m:rPr>
              <m:t>,</m:t>
            </m:r>
            <m:r>
              <m:t> </m:t>
            </m:r>
            <m:r>
              <m:t>0.02</m:t>
            </m:r>
          </m:e>
        </m:d>
      </m:oMath>
      <w:r>
        <w:t xml:space="preserve">; credible interval includes zero), indicating no compensatory widening of the decision criterion. H3 (non-decision time) could not be directly tested because</w:t>
      </w:r>
      <w:r>
        <w:t xml:space="preserve"> </w:t>
      </w:r>
      <m:oMath>
        <m:sSub>
          <m:e>
            <m:r>
              <m:t>t</m:t>
            </m:r>
          </m:e>
          <m:sub>
            <m:r>
              <m:t>0</m:t>
            </m:r>
          </m:sub>
        </m:sSub>
      </m:oMath>
      <w:r>
        <w:t xml:space="preserve"> </w:t>
      </w:r>
      <w:r>
        <w:t xml:space="preserve">was constrained to be constant across conditions for model stability in the response-signal design (see Section 2.8.3 and Section 3.5). An exploratory specification yielded a negligible and highly uncertain effort effect (</w:t>
      </w:r>
      <m:oMath>
        <m:r>
          <m:t>β</m:t>
        </m:r>
        <m:r>
          <m:rPr>
            <m:sty m:val="p"/>
          </m:rPr>
          <m:t>=</m:t>
        </m:r>
        <m:r>
          <m:t>0.02</m:t>
        </m:r>
      </m:oMath>
      <w:r>
        <w:t xml:space="preserve"> </w:t>
      </w:r>
      <w:r>
        <w:t xml:space="preserve">s, 95% CrI</w:t>
      </w:r>
      <w:r>
        <w:t xml:space="preserve"> </w:t>
      </w:r>
      <m:oMath>
        <m:d>
          <m:dPr>
            <m:begChr m:val="["/>
            <m:sepChr m:val=""/>
            <m:endChr m:val="]"/>
            <m:grow/>
          </m:dPr>
          <m:e>
            <m:r>
              <m:rPr>
                <m:sty m:val="p"/>
              </m:rPr>
              <m:t>−</m:t>
            </m:r>
            <m:r>
              <m:t>0.05</m:t>
            </m:r>
            <m:r>
              <m:rPr>
                <m:sty m:val="p"/>
              </m:rPr>
              <m:t>,</m:t>
            </m:r>
            <m:r>
              <m:t> </m:t>
            </m:r>
            <m:r>
              <m:t>0.09</m:t>
            </m:r>
          </m:e>
        </m:d>
      </m:oMath>
      <w:r>
        <w:t xml:space="preserve"> </w:t>
      </w:r>
      <w:r>
        <w:t xml:space="preserve">(log scale), corresponding to</w:t>
      </w:r>
      <w:r>
        <w:t xml:space="preserve"> </w:t>
      </w:r>
      <m:oMath>
        <m:sSub>
          <m:e>
            <m:r>
              <m:t>t</m:t>
            </m:r>
          </m:e>
          <m:sub>
            <m:r>
              <m:t>0</m:t>
            </m:r>
          </m:sub>
        </m:sSub>
        <m:r>
          <m:rPr>
            <m:sty m:val="p"/>
          </m:rPr>
          <m:t>&lt;</m:t>
        </m:r>
        <m:r>
          <m:t>10</m:t>
        </m:r>
      </m:oMath>
      <w:r>
        <w:t xml:space="preserve"> </w:t>
      </w:r>
      <w:r>
        <w:t xml:space="preserve">ms), suggesting peripheral encoding and motor execution were minimally affected by the grip manipulation. Contrary to H4, starting-point bias showed no reliable shift toward neutrality under High effort (</w:t>
      </w:r>
      <m:oMath>
        <m:r>
          <m:t>Δ</m:t>
        </m:r>
        <m:r>
          <m:t>z</m:t>
        </m:r>
        <m:r>
          <m:rPr>
            <m:sty m:val="p"/>
          </m:rPr>
          <m:t>=</m:t>
        </m:r>
        <m:r>
          <m:rPr>
            <m:sty m:val="p"/>
          </m:rPr>
          <m:t>−</m:t>
        </m:r>
        <m:r>
          <m:t>0.005</m:t>
        </m:r>
      </m:oMath>
      <w:r>
        <w:t xml:space="preserve">, 95% CrI</w:t>
      </w:r>
      <w:r>
        <w:t xml:space="preserve"> </w:t>
      </w:r>
      <m:oMath>
        <m:d>
          <m:dPr>
            <m:begChr m:val="["/>
            <m:sepChr m:val=""/>
            <m:endChr m:val="]"/>
            <m:grow/>
          </m:dPr>
          <m:e>
            <m:r>
              <m:rPr>
                <m:sty m:val="p"/>
              </m:rPr>
              <m:t>−</m:t>
            </m:r>
            <m:r>
              <m:t>0.023</m:t>
            </m:r>
            <m:r>
              <m:rPr>
                <m:sty m:val="p"/>
              </m:rPr>
              <m:t>,</m:t>
            </m:r>
            <m:r>
              <m:t> </m:t>
            </m:r>
            <m:r>
              <m:t>0.012</m:t>
            </m:r>
          </m:e>
        </m:d>
      </m:oMath>
      <w:r>
        <w:t xml:space="preserve">;</w:t>
      </w:r>
      <w:r>
        <w:t xml:space="preserve"> </w:t>
      </w:r>
      <m:oMath>
        <m:r>
          <m:t>P</m:t>
        </m:r>
        <m:d>
          <m:dPr>
            <m:begChr m:val="("/>
            <m:sepChr m:val=""/>
            <m:endChr m:val=")"/>
            <m:grow/>
          </m:dPr>
          <m:e>
            <m:r>
              <m:t>Δ</m:t>
            </m:r>
            <m:r>
              <m:t>z</m:t>
            </m:r>
            <m:r>
              <m:rPr>
                <m:sty m:val="p"/>
              </m:rPr>
              <m:t>&gt;</m:t>
            </m:r>
            <m:r>
              <m:t>0</m:t>
            </m:r>
          </m:e>
        </m:d>
        <m:r>
          <m:rPr>
            <m:sty m:val="p"/>
          </m:rPr>
          <m:t>=</m:t>
        </m:r>
        <m:r>
          <m:t>0.28</m:t>
        </m:r>
      </m:oMath>
      <w:r>
        <w:t xml:space="preserve">). A robust task difference was observed, however: ADT showed higher bias toward</w:t>
      </w:r>
      <w:r>
        <w:t xml:space="preserve"> </w:t>
      </w:r>
      <w:r>
        <w:rPr>
          <w:i/>
          <w:iCs/>
        </w:rPr>
        <w:t xml:space="preserve">different</w:t>
      </w:r>
      <w:r>
        <w:t xml:space="preserve"> </w:t>
      </w:r>
      <w:r>
        <w:t xml:space="preserve">responses than VDT (</w:t>
      </w:r>
      <m:oMath>
        <m:r>
          <m:t>Δ</m:t>
        </m:r>
        <m:r>
          <m:t>z</m:t>
        </m:r>
        <m:r>
          <m:rPr>
            <m:sty m:val="p"/>
          </m:rPr>
          <m:t>=</m:t>
        </m:r>
        <m:r>
          <m:rPr>
            <m:sty m:val="p"/>
          </m:rPr>
          <m:t>−</m:t>
        </m:r>
        <m:r>
          <m:t>0.039</m:t>
        </m:r>
      </m:oMath>
      <w:r>
        <w:t xml:space="preserve">, 95% CrI</w:t>
      </w:r>
      <w:r>
        <w:t xml:space="preserve"> </w:t>
      </w:r>
      <m:oMath>
        <m:d>
          <m:dPr>
            <m:begChr m:val="["/>
            <m:sepChr m:val=""/>
            <m:endChr m:val="]"/>
            <m:grow/>
          </m:dPr>
          <m:e>
            <m:r>
              <m:rPr>
                <m:sty m:val="p"/>
              </m:rPr>
              <m:t>−</m:t>
            </m:r>
            <m:r>
              <m:t>0.057</m:t>
            </m:r>
            <m:r>
              <m:rPr>
                <m:sty m:val="p"/>
              </m:rPr>
              <m:t>,</m:t>
            </m:r>
            <m:r>
              <m:t> </m:t>
            </m:r>
            <m:r>
              <m:rPr>
                <m:sty m:val="p"/>
              </m:rPr>
              <m:t>−</m:t>
            </m:r>
            <m:r>
              <m:t>0.020</m:t>
            </m:r>
          </m:e>
        </m:d>
      </m:oMath>
      <w:r>
        <w:t xml:space="preserve">;</w:t>
      </w:r>
      <w:r>
        <w:t xml:space="preserve"> </w:t>
      </w:r>
      <m:oMath>
        <m:r>
          <m:t>P</m:t>
        </m:r>
        <m:d>
          <m:dPr>
            <m:begChr m:val="("/>
            <m:sepChr m:val=""/>
            <m:endChr m:val=")"/>
            <m:grow/>
          </m:dPr>
          <m:e>
            <m:r>
              <m:t>Δ</m:t>
            </m:r>
            <m:sSub>
              <m:e>
                <m:r>
                  <m:t>z</m:t>
                </m:r>
              </m:e>
              <m:sub>
                <m:r>
                  <m:rPr>
                    <m:nor/>
                    <m:sty m:val="p"/>
                  </m:rPr>
                  <m:t>ADT</m:t>
                </m:r>
                <m:r>
                  <m:rPr>
                    <m:sty m:val="p"/>
                  </m:rPr>
                  <m:t>−</m:t>
                </m:r>
                <m:r>
                  <m:rPr>
                    <m:nor/>
                    <m:sty m:val="p"/>
                  </m:rPr>
                  <m:t>VDT</m:t>
                </m:r>
              </m:sub>
            </m:sSub>
            <m:r>
              <m:rPr>
                <m:sty m:val="p"/>
              </m:rPr>
              <m:t>&gt;</m:t>
            </m:r>
            <m:r>
              <m:t>0</m:t>
            </m:r>
          </m:e>
        </m:d>
        <m:r>
          <m:rPr>
            <m:sty m:val="p"/>
          </m:rPr>
          <m:t>&gt;</m:t>
        </m:r>
        <m:r>
          <m:t>.999</m:t>
        </m:r>
      </m:oMath>
      <w:r>
        <w:t xml:space="preserve">). Starting-point bias showed no reliable effort effect in either task (</w:t>
      </w:r>
      <w:hyperlink w:anchor="tbl-ddm-bias-by-task-effort">
        <w:r>
          <w:rPr>
            <w:rStyle w:val="Hyperlink"/>
          </w:rPr>
          <w:t xml:space="preserve">Table 5</w:t>
        </w:r>
      </w:hyperlink>
      <w:r>
        <w:t xml:space="preserve">; see Appendix A2 for the full primary-model bias plot). The standard-only calibration estimates, which provide the cleanest measure of pre-stimulus bias, are reported in Section 3.5.</w:t>
      </w:r>
    </w:p>
    <w:p>
      <w:pPr>
        <w:pStyle w:val="BodyText"/>
      </w:pPr>
      <w:r>
        <w:t xml:space="preserve">We next examine starting-point bias in isolation through a standard-only calibration model that separates bias from drift rate.</w:t>
      </w:r>
    </w:p>
    <w:bookmarkEnd w:id="67"/>
    <w:bookmarkStart w:id="68" w:name="sec-task-modality"/>
    <w:p>
      <w:pPr>
        <w:pStyle w:val="Heading3"/>
      </w:pPr>
      <w:r>
        <w:t xml:space="preserve">3.4.2 Task Modality Effects</w:t>
      </w:r>
    </w:p>
    <w:p>
      <w:pPr>
        <w:pStyle w:val="FirstParagraph"/>
      </w:pPr>
      <w:r>
        <w:t xml:space="preserve">Sensitivity analyses confirmed that the Effort → Drift effect was robust to Task inclusion (Appendix~A4.3). Although auditory and visual tasks differed in absolute drift rates (Task main effect</w:t>
      </w:r>
      <w:r>
        <w:t xml:space="preserve"> </w:t>
      </w:r>
      <m:oMath>
        <m:r>
          <m:t>β</m:t>
        </m:r>
        <m:r>
          <m:rPr>
            <m:sty m:val="p"/>
          </m:rPr>
          <m:t>≈</m:t>
        </m:r>
        <m:r>
          <m:t>0.07</m:t>
        </m:r>
      </m:oMath>
      <w:r>
        <w:t xml:space="preserve">, 95% CrI [0.02, 0.12]), the Effort × Task interaction was not significant (</w:t>
      </w:r>
      <m:oMath>
        <m:r>
          <m:t>β</m:t>
        </m:r>
        <m:r>
          <m:rPr>
            <m:sty m:val="p"/>
          </m:rPr>
          <m:t>≈</m:t>
        </m:r>
        <m:r>
          <m:t>0.03</m:t>
        </m:r>
      </m:oMath>
      <w:r>
        <w:t xml:space="preserve">, 95% CrI [−0.03, 0.09], includes zero), indicating that High effort reduced drift rate similarly in both modalities.</w:t>
      </w:r>
      <w:r>
        <w:t xml:space="preserve"> </w:t>
      </w:r>
      <w:hyperlink w:anchor="fig-suppl-drift-by-task">
        <w:r>
          <w:rPr>
            <w:rStyle w:val="Hyperlink"/>
          </w:rPr>
          <w:t xml:space="preserve">Figure 25</w:t>
        </w:r>
      </w:hyperlink>
      <w:r>
        <w:t xml:space="preserve"> </w:t>
      </w:r>
      <w:r>
        <w:t xml:space="preserve">and</w:t>
      </w:r>
      <w:r>
        <w:t xml:space="preserve"> </w:t>
      </w:r>
      <w:hyperlink w:anchor="fig-suppl-boundary-by-task">
        <w:r>
          <w:rPr>
            <w:rStyle w:val="Hyperlink"/>
          </w:rPr>
          <w:t xml:space="preserve">Figure 26</w:t>
        </w:r>
      </w:hyperlink>
      <w:r>
        <w:t xml:space="preserve"> </w:t>
      </w:r>
      <w:r>
        <w:t xml:space="preserve">(Appendix~A4.3) show drift rate and boundary separation estimates separately for ADT and VDT across all difficulty and effort conditions. The difficulty gradient (Standard</w:t>
      </w:r>
      <w:r>
        <w:t xml:space="preserve"> </w:t>
      </w:r>
      <m:oMath>
        <m:r>
          <m:rPr>
            <m:sty m:val="p"/>
          </m:rPr>
          <m:t>&lt;</m:t>
        </m:r>
      </m:oMath>
      <w:r>
        <w:t xml:space="preserve"> </w:t>
      </w:r>
      <w:r>
        <w:t xml:space="preserve">Hard</w:t>
      </w:r>
      <w:r>
        <w:t xml:space="preserve"> </w:t>
      </w:r>
      <m:oMath>
        <m:r>
          <m:rPr>
            <m:sty m:val="p"/>
          </m:rPr>
          <m:t>&lt;</m:t>
        </m:r>
      </m:oMath>
      <w:r>
        <w:t xml:space="preserve"> </w:t>
      </w:r>
      <w:r>
        <w:t xml:space="preserve">Easy) is consistent across both modalities, with VDT showing slightly lower absolute drift rates than ADT. Critically, the effort effect (reduction in drift under High effort) manifests similarly in both tasks, confirming that the cognitive-motor interference effect generalizes across sensory modalities. Difficulty strongly modulates caution (Easy</w:t>
      </w:r>
      <w:r>
        <w:t xml:space="preserve"> </w:t>
      </w:r>
      <m:oMath>
        <m:r>
          <m:rPr>
            <m:sty m:val="p"/>
          </m:rPr>
          <m:t>&lt;</m:t>
        </m:r>
      </m:oMath>
      <w:r>
        <w:t xml:space="preserve"> </w:t>
      </w:r>
      <w:r>
        <w:t xml:space="preserve">Standard</w:t>
      </w:r>
      <w:r>
        <w:t xml:space="preserve"> </w:t>
      </w:r>
      <m:oMath>
        <m:r>
          <m:rPr>
            <m:sty m:val="p"/>
          </m:rPr>
          <m:t>&lt;</m:t>
        </m:r>
      </m:oMath>
      <w:r>
        <w:t xml:space="preserve"> </w:t>
      </w:r>
      <w:r>
        <w:t xml:space="preserve">Hard) in both tasks, with minimal effort effects. The lack of an effort effect on boundary separation (discussed in Section 3.5.2) is consistent across both ADT and VDT, suggesting that older adults do not strategically adjust response caution under increased physical effort, regardless of sensory modality.</w:t>
      </w:r>
    </w:p>
    <w:p>
      <w:pPr>
        <w:pStyle w:val="BodyText"/>
      </w:pPr>
      <w:r>
        <w:t xml:space="preserve">Full statistical results including parameter estimates and contrasts are reported in Appendix~A4.3, Table 22.</w:t>
      </w:r>
      <w:r>
        <w:t xml:space="preserve"> </w:t>
      </w:r>
    </w:p>
    <w:bookmarkEnd w:id="68"/>
    <w:bookmarkEnd w:id="69"/>
    <w:bookmarkStart w:id="81" w:name="Xfd9a3b695f342bc3f87a3227f5ba1acd4951c8f"/>
    <w:p>
      <w:pPr>
        <w:pStyle w:val="Heading2"/>
      </w:pPr>
      <w:r>
        <w:t xml:space="preserve">3.5 Starting-Point Bias and H4: Standard-Only Calibration</w:t>
      </w:r>
    </w:p>
    <w:p>
      <w:pPr>
        <w:pStyle w:val="FirstParagraph"/>
      </w:pPr>
      <w:r>
        <w:t xml:space="preserve">In a separate calibration model fit to Standard trials only, starting-point bias (</w:t>
      </w:r>
      <m:oMath>
        <m:r>
          <m:t>z</m:t>
        </m:r>
      </m:oMath>
      <w:r>
        <w:t xml:space="preserve">) was estimated independently of drift rate (</w:t>
      </w:r>
      <m:oMath>
        <m:r>
          <m:t>v</m:t>
        </m:r>
      </m:oMath>
      <w:r>
        <w:t xml:space="preserve">). Bias values were consistently above 0.5, indicating a tendency toward</w:t>
      </w:r>
      <w:r>
        <w:t xml:space="preserve"> </w:t>
      </w:r>
      <w:r>
        <w:t xml:space="preserve">“different”</w:t>
      </w:r>
      <w:r>
        <w:t xml:space="preserve"> </w:t>
      </w:r>
      <w:r>
        <w:t xml:space="preserve">responses. The task contrast (VDT−ADT) was</w:t>
      </w:r>
      <w:r>
        <w:t xml:space="preserve"> </w:t>
      </w:r>
      <m:oMath>
        <m:r>
          <m:t>Δ</m:t>
        </m:r>
        <m:r>
          <m:t>z</m:t>
        </m:r>
        <m:r>
          <m:rPr>
            <m:sty m:val="p"/>
          </m:rPr>
          <m:t>=</m:t>
        </m:r>
        <m:r>
          <m:rPr>
            <m:sty m:val="p"/>
          </m:rPr>
          <m:t>−</m:t>
        </m:r>
        <m:r>
          <m:t>0.04</m:t>
        </m:r>
      </m:oMath>
      <w:r>
        <w:t xml:space="preserve">, 95% CrI [−0.06, −0.02], with VDT showing</w:t>
      </w:r>
      <w:r>
        <w:t xml:space="preserve"> </w:t>
      </w:r>
      <w:r>
        <w:rPr>
          <w:i/>
          <w:iCs/>
        </w:rPr>
        <w:t xml:space="preserve">lower</w:t>
      </w:r>
      <w:r>
        <w:t xml:space="preserve"> </w:t>
      </w:r>
      <w:r>
        <w:t xml:space="preserve">bias toward</w:t>
      </w:r>
      <w:r>
        <w:t xml:space="preserve"> </w:t>
      </w:r>
      <w:r>
        <w:t xml:space="preserve">“different”</w:t>
      </w:r>
      <w:r>
        <w:t xml:space="preserve"> </w:t>
      </w:r>
      <w:r>
        <w:t xml:space="preserve">responses than ADT, and minimal effort effect (Low−High:</w:t>
      </w:r>
      <w:r>
        <w:t xml:space="preserve"> </w:t>
      </w:r>
      <m:oMath>
        <m:r>
          <m:t>Δ</m:t>
        </m:r>
        <m:r>
          <m:t>z</m:t>
        </m:r>
        <m:r>
          <m:rPr>
            <m:sty m:val="p"/>
          </m:rPr>
          <m:t>=</m:t>
        </m:r>
        <m:r>
          <m:rPr>
            <m:sty m:val="p"/>
          </m:rPr>
          <m:t>−</m:t>
        </m:r>
        <m:r>
          <m:t>0.005</m:t>
        </m:r>
      </m:oMath>
      <w:r>
        <w:t xml:space="preserve">, 95% CrI</w:t>
      </w:r>
      <w:r>
        <w:t xml:space="preserve"> </w:t>
      </w:r>
      <m:oMath>
        <m:d>
          <m:dPr>
            <m:begChr m:val="["/>
            <m:sepChr m:val=""/>
            <m:endChr m:val="]"/>
            <m:grow/>
          </m:dPr>
          <m:e>
            <m:r>
              <m:rPr>
                <m:sty m:val="p"/>
              </m:rPr>
              <m:t>−</m:t>
            </m:r>
            <m:r>
              <m:t>0.023</m:t>
            </m:r>
            <m:r>
              <m:rPr>
                <m:sty m:val="p"/>
              </m:rPr>
              <m:t>,</m:t>
            </m:r>
            <m:r>
              <m:t> </m:t>
            </m:r>
            <m:r>
              <m:t>0.012</m:t>
            </m:r>
          </m:e>
        </m:d>
      </m:oMath>
      <w:r>
        <w:t xml:space="preserve">;</w:t>
      </w:r>
      <w:r>
        <w:t xml:space="preserve"> </w:t>
      </w:r>
      <m:oMath>
        <m:r>
          <m:t>P</m:t>
        </m:r>
        <m:d>
          <m:dPr>
            <m:begChr m:val="("/>
            <m:sepChr m:val=""/>
            <m:endChr m:val=")"/>
            <m:grow/>
          </m:dPr>
          <m:e>
            <m:r>
              <m:t>Δ</m:t>
            </m:r>
            <m:r>
              <m:t>z</m:t>
            </m:r>
            <m:r>
              <m:rPr>
                <m:sty m:val="p"/>
              </m:rPr>
              <m:t>&gt;</m:t>
            </m:r>
            <m:r>
              <m:t>0</m:t>
            </m:r>
          </m:e>
        </m:d>
        <m:r>
          <m:rPr>
            <m:sty m:val="p"/>
          </m:rPr>
          <m:t>=</m:t>
        </m:r>
        <m:r>
          <m:t>0.28</m:t>
        </m:r>
      </m:oMath>
      <w:r>
        <w:t xml:space="preserve">;</w:t>
      </w:r>
      <w:r>
        <w:t xml:space="preserve"> </w:t>
      </w:r>
      <w:hyperlink w:anchor="tbl-standard-only-bias-contrasts">
        <w:r>
          <w:rPr>
            <w:rStyle w:val="Hyperlink"/>
          </w:rPr>
          <w:t xml:space="preserve">Table 6</w:t>
        </w:r>
      </w:hyperlink>
      <w:r>
        <w:t xml:space="preserve">,</w:t>
      </w:r>
      <w:r>
        <w:t xml:space="preserve"> </w:t>
      </w:r>
      <w:hyperlink w:anchor="fig-bias-by-task">
        <w:r>
          <w:rPr>
            <w:rStyle w:val="Hyperlink"/>
          </w:rPr>
          <w:t xml:space="preserve">Figure 8</w:t>
        </w:r>
      </w:hyperlink>
      <w:r>
        <w:t xml:space="preserve">).</w:t>
      </w:r>
    </w:p>
    <w:p>
      <w:pPr>
        <w:pStyle w:val="BodyText"/>
      </w:pPr>
      <w:r>
        <w:t xml:space="preserve">Starting-point bias (</w:t>
      </w:r>
      <m:oMath>
        <m:r>
          <m:t>z</m:t>
        </m:r>
      </m:oMath>
      <w:r>
        <w:t xml:space="preserve">) represents the participant’s pre-stimulus expectation before any sensory information is gathered. Crucially, as specified in our hierarchical model (</w:t>
      </w:r>
      <w:r>
        <w:rPr>
          <w:rStyle w:val="VerbatimChar"/>
        </w:rPr>
        <w:t xml:space="preserve">z ~ task + effort</w:t>
      </w:r>
      <w:r>
        <w:t xml:space="preserve">), bias was estimated independently of trial difficulty because participants did not know whether an upcoming trial would be Standard, Easy, or Hard. Therefore, the estimated bias reflects a global task strategy rather than a trial-specific reaction. Across tasks, older adults exhibited a systematic pre-stimulus bias toward the</w:t>
      </w:r>
      <w:r>
        <w:t xml:space="preserve"> </w:t>
      </w:r>
      <w:r>
        <w:t xml:space="preserve">“Different”</w:t>
      </w:r>
      <w:r>
        <w:t xml:space="preserve"> </w:t>
      </w:r>
      <w:r>
        <w:t xml:space="preserve">boundary (</w:t>
      </w:r>
      <m:oMath>
        <m:r>
          <m:t>z</m:t>
        </m:r>
        <m:r>
          <m:rPr>
            <m:sty m:val="p"/>
          </m:rPr>
          <m:t>&gt;</m:t>
        </m:r>
        <m:r>
          <m:t>0.5</m:t>
        </m:r>
      </m:oMath>
      <w:r>
        <w:t xml:space="preserve">). In Signal Detection Theory terms, this reflects a</w:t>
      </w:r>
      <w:r>
        <w:t xml:space="preserve"> </w:t>
      </w:r>
      <w:r>
        <w:rPr>
          <w:b/>
          <w:bCs/>
        </w:rPr>
        <w:t xml:space="preserve">liberal</w:t>
      </w:r>
      <w:r>
        <w:t xml:space="preserve"> </w:t>
      </w:r>
      <w:r>
        <w:t xml:space="preserve">detection criterion — participants were predisposed to report</w:t>
      </w:r>
      <w:r>
        <w:t xml:space="preserve"> </w:t>
      </w:r>
      <w:r>
        <w:t xml:space="preserve">“Different”</w:t>
      </w:r>
      <w:r>
        <w:t xml:space="preserve"> </w:t>
      </w:r>
      <w:r>
        <w:t xml:space="preserve">with relatively low evidentiary thresholds, not a conservative one. This pattern is consistent with the</w:t>
      </w:r>
      <w:r>
        <w:t xml:space="preserve"> </w:t>
      </w:r>
      <w:r>
        <w:t xml:space="preserve">“Different-as-default heuristic”</w:t>
      </w:r>
      <w:r>
        <w:t xml:space="preserve"> </w:t>
      </w:r>
      <w:r>
        <w:t xml:space="preserve">documented in same-different paradigms</w:t>
      </w:r>
      <w:r>
        <w:t xml:space="preserve"> </w:t>
      </w:r>
      <w:r>
        <w:t xml:space="preserve">(Farell, 1985; Nosofsky &amp; Palmeri, 1997)</w:t>
      </w:r>
      <w:r>
        <w:t xml:space="preserve">, discussed further in relation to boundary separation in Section 3.5.1. By adopting a starting point biased toward the</w:t>
      </w:r>
      <w:r>
        <w:t xml:space="preserve"> </w:t>
      </w:r>
      <w:r>
        <w:t xml:space="preserve">“Different”</w:t>
      </w:r>
      <w:r>
        <w:t xml:space="preserve"> </w:t>
      </w:r>
      <w:r>
        <w:t xml:space="preserve">boundary, older adults reduced the cognitive demands of Standard (Same) trials — at the cost of elevated false alarm rates on trials where stimuli were in fact identical.</w:t>
      </w:r>
    </w:p>
    <w:tbl>
      <w:tblPr>
        <w:tblStyle w:val="Table"/>
        <w:tblW w:type="pct" w:w="5000"/>
        <w:tblLayout w:type="fixed"/>
        <w:tblLook w:firstRow="0" w:lastRow="0" w:firstColumn="0" w:lastColumn="0" w:noHBand="0" w:noVBand="0" w:val="0000"/>
      </w:tblPr>
      <w:tblGrid>
        <w:gridCol w:w="7920"/>
      </w:tblGrid>
      <w:tr>
        <w:tc>
          <w:tcPr/>
          <w:bookmarkStart w:id="70" w:name="tbl-standard-only-bias-contrasts"/>
          <w:p>
            <w:pPr>
              <w:jc w:val="center"/>
            </w:pPr>
            <w:pPr>
              <w:jc w:val="start"/>
              <w:spacing w:before="200"/>
              <w:pStyle w:val="ImageCaption"/>
            </w:pPr>
            <w:r>
              <w:t xml:space="preserve">Table 6: Standard-only bias contrasts (posterior differences in</w:t>
            </w:r>
            <w:r>
              <w:t xml:space="preserve"> </w:t>
            </w:r>
            <m:oMath>
              <m:r>
                <m:t>z</m:t>
              </m:r>
            </m:oMath>
            <w:r>
              <w:t xml:space="preserve">;</w:t>
            </w:r>
            <w:r>
              <w:t xml:space="preserve"> </w:t>
            </w:r>
            <m:oMath>
              <m:sSub>
                <m:e>
                  <m:r>
                    <m:t>p</m:t>
                  </m:r>
                </m:e>
                <m:sub>
                  <m:r>
                    <m:rPr>
                      <m:sty m:val="p"/>
                    </m:rPr>
                    <m:t>&gt;</m:t>
                  </m:r>
                  <m:r>
                    <m:t>0</m:t>
                  </m:r>
                </m:sub>
              </m:sSub>
              <m:r>
                <m:rPr>
                  <m:sty m:val="p"/>
                </m:rPr>
                <m:t>=</m:t>
              </m:r>
              <m:r>
                <m:t>P</m:t>
              </m:r>
              <m:d>
                <m:dPr>
                  <m:begChr m:val="("/>
                  <m:sepChr m:val=""/>
                  <m:endChr m:val=")"/>
                  <m:grow/>
                </m:dPr>
                <m:e>
                  <m:r>
                    <m:t>Δ</m:t>
                  </m:r>
                  <m:r>
                    <m:t>z</m:t>
                  </m:r>
                  <m:r>
                    <m:rPr>
                      <m:sty m:val="p"/>
                    </m:rPr>
                    <m:t>&gt;</m:t>
                  </m:r>
                  <m:r>
                    <m:t>0</m:t>
                  </m:r>
                </m:e>
              </m:d>
            </m:oMath>
            <w:r>
              <w:t xml:space="preserve">). Includes both task contrast (Visual − Auditory) and effort contrast (Low − High).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right"/>
                    <w:jc w:val="center"/>
                  </w:pPr>
                  <w:r>
                    <w:t xml:space="preserve">Δz</w:t>
                  </w:r>
                </w:p>
              </w:tc>
              <w:tc>
                <w:tcPr/>
                <w:p>
                  <w:pPr>
                    <w:pStyle w:val="Compact"/>
                    <w:jc w:val="left"/>
                    <w:jc w:val="center"/>
                  </w:pPr>
                  <w:r>
                    <w:t xml:space="preserve">95% CrI</w:t>
                  </w:r>
                </w:p>
              </w:tc>
              <w:tc>
                <w:tcPr/>
                <w:p>
                  <w:pPr>
                    <w:pStyle w:val="Compact"/>
                    <w:jc w:val="right"/>
                    <w:jc w:val="center"/>
                  </w:pPr>
                  <w:r>
                    <w:t xml:space="preserve">P(Δz &gt; 0)</w:t>
                  </w:r>
                </w:p>
              </w:tc>
            </w:tr>
            <w:tr>
              <w:tc>
                <w:tcPr/>
                <w:p>
                  <w:pPr>
                    <w:pStyle w:val="Compact"/>
                    <w:jc w:val="left"/>
                    <w:jc w:val="center"/>
                  </w:pPr>
                  <w:r>
                    <w:t xml:space="preserve">Visual − Auditory</w:t>
                  </w:r>
                </w:p>
              </w:tc>
              <w:tc>
                <w:tcPr/>
                <w:p>
                  <w:pPr>
                    <w:pStyle w:val="Compact"/>
                    <w:jc w:val="right"/>
                    <w:jc w:val="center"/>
                  </w:pPr>
                  <w:r>
                    <w:t xml:space="preserve">-0.039</w:t>
                  </w:r>
                </w:p>
              </w:tc>
              <w:tc>
                <w:tcPr/>
                <w:p>
                  <w:pPr>
                    <w:pStyle w:val="Compact"/>
                    <w:jc w:val="left"/>
                    <w:jc w:val="center"/>
                  </w:pPr>
                  <w:r>
                    <w:t xml:space="preserve">[-0.057, -0.02]</w:t>
                  </w:r>
                </w:p>
              </w:tc>
              <w:tc>
                <w:tcPr/>
                <w:p>
                  <w:pPr>
                    <w:pStyle w:val="Compact"/>
                    <w:jc w:val="right"/>
                    <w:jc w:val="center"/>
                  </w:pPr>
                  <w:r>
                    <w:t xml:space="preserve">&lt; .001</w:t>
                  </w:r>
                </w:p>
              </w:tc>
            </w:tr>
            <w:tr>
              <w:tc>
                <w:tcPr/>
                <w:p>
                  <w:pPr>
                    <w:pStyle w:val="Compact"/>
                    <w:jc w:val="left"/>
                    <w:jc w:val="center"/>
                  </w:pPr>
                  <w:r>
                    <w:t xml:space="preserve">Low − High</w:t>
                  </w:r>
                </w:p>
              </w:tc>
              <w:tc>
                <w:tcPr/>
                <w:p>
                  <w:pPr>
                    <w:pStyle w:val="Compact"/>
                    <w:jc w:val="right"/>
                    <w:jc w:val="center"/>
                  </w:pPr>
                  <w:r>
                    <w:t xml:space="preserve">-0.005</w:t>
                  </w:r>
                </w:p>
              </w:tc>
              <w:tc>
                <w:tcPr/>
                <w:p>
                  <w:pPr>
                    <w:pStyle w:val="Compact"/>
                    <w:jc w:val="left"/>
                    <w:jc w:val="center"/>
                  </w:pPr>
                  <w:r>
                    <w:t xml:space="preserve">[-0.023, 0.012]</w:t>
                  </w:r>
                </w:p>
              </w:tc>
              <w:tc>
                <w:tcPr/>
                <w:p>
                  <w:pPr>
                    <w:pStyle w:val="Compact"/>
                    <w:jc w:val="right"/>
                    <w:jc w:val="center"/>
                  </w:pPr>
                  <w:r>
                    <w:t xml:space="preserve">0.275</w:t>
                  </w:r>
                </w:p>
              </w:tc>
            </w:tr>
          </w:tbl>
          <w:bookmarkEnd w:id="70"/>
          <w:p/>
        </w:tc>
      </w:tr>
    </w:tbl>
    <w:tbl>
      <w:tblPr>
        <w:tblStyle w:val="Table"/>
        <w:tblW w:type="pct" w:w="5000"/>
        <w:tblLayout w:type="fixed"/>
        <w:tblLook w:firstRow="0" w:lastRow="0" w:firstColumn="0" w:lastColumn="0" w:noHBand="0" w:noVBand="0" w:val="0000"/>
      </w:tblPr>
      <w:tblGrid>
        <w:gridCol w:w="7920"/>
      </w:tblGrid>
      <w:tr>
        <w:tc>
          <w:tcPr/>
          <w:bookmarkStart w:id="74" w:name="fig-bias-by-task"/>
          <w:p>
            <w:pPr>
              <w:pStyle w:val="Compact"/>
              <w:jc w:val="center"/>
            </w:pPr>
            <w:r>
              <w:drawing>
                <wp:inline>
                  <wp:extent cx="3733800" cy="2987040"/>
                  <wp:effectExtent b="0" l="0" r="0" t="0"/>
                  <wp:docPr descr="" title="" id="72" name="Picture"/>
                  <a:graphic>
                    <a:graphicData uri="http://schemas.openxmlformats.org/drawingml/2006/picture">
                      <pic:pic>
                        <pic:nvPicPr>
                          <pic:cNvPr descr="chap3_ddm_results_files/figure-docx/fig-bias-by-task-1.png" id="73" name="Picture"/>
                          <pic:cNvPicPr>
                            <a:picLocks noChangeArrowheads="1" noChangeAspect="1"/>
                          </pic:cNvPicPr>
                        </pic:nvPicPr>
                        <pic:blipFill>
                          <a:blip r:embed="rId71"/>
                          <a:stretch>
                            <a:fillRect/>
                          </a:stretch>
                        </pic:blipFill>
                        <pic:spPr bwMode="auto">
                          <a:xfrm>
                            <a:off x="0" y="0"/>
                            <a:ext cx="3733800" cy="29870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Starting-point bias (</w:t>
            </w:r>
            <m:oMath>
              <m:r>
                <m:t>z</m:t>
              </m:r>
            </m:oMath>
            <w:r>
              <w:t xml:space="preserve">) by Task Modality. Bar plot showing mean bias estimates with 95% credible intervals (error bars) for ADT and VDT tasks. Values above 0.5 indicate bias toward</w:t>
            </w:r>
            <w:r>
              <w:t xml:space="preserve"> </w:t>
            </w:r>
            <w:r>
              <w:t xml:space="preserve">‘different’</w:t>
            </w:r>
            <w:r>
              <w:t xml:space="preserve"> </w:t>
            </w:r>
            <w:r>
              <w:t xml:space="preserve">responses (upper boundary).</w:t>
            </w:r>
          </w:p>
          <w:bookmarkEnd w:id="74"/>
        </w:tc>
      </w:tr>
    </w:tbl>
    <w:bookmarkStart w:id="79" w:name="integrated-condition-effects"/>
    <w:p>
      <w:pPr>
        <w:pStyle w:val="Heading3"/>
      </w:pPr>
      <w:r>
        <w:t xml:space="preserve">3.5.1 Integrated Condition Effects</w:t>
      </w:r>
    </w:p>
    <w:p>
      <w:pPr>
        <w:pStyle w:val="FirstParagraph"/>
      </w:pPr>
      <w:r>
        <w:t xml:space="preserve">To summarize how difficulty and effort jointly influenced all DDM parameters,</w:t>
      </w:r>
      <w:r>
        <w:t xml:space="preserve"> </w:t>
      </w:r>
      <w:hyperlink w:anchor="fig-integrated-condition-effects">
        <w:r>
          <w:rPr>
            <w:rStyle w:val="Hyperlink"/>
          </w:rPr>
          <w:t xml:space="preserve">Figure 9</w:t>
        </w:r>
      </w:hyperlink>
      <w:r>
        <w:t xml:space="preserve"> </w:t>
      </w:r>
      <w:r>
        <w:t xml:space="preserve">shows integrated condition effects on</w:t>
      </w:r>
      <w:r>
        <w:t xml:space="preserve"> </w:t>
      </w:r>
      <m:oMath>
        <m:r>
          <m:t>v</m:t>
        </m:r>
      </m:oMath>
      <w:r>
        <w:t xml:space="preserve">,</w:t>
      </w:r>
      <w:r>
        <w:t xml:space="preserve"> </w:t>
      </w:r>
      <m:oMath>
        <m:r>
          <m:t>a</m:t>
        </m:r>
      </m:oMath>
      <w:r>
        <w:t xml:space="preserve">, and</w:t>
      </w:r>
      <w:r>
        <w:t xml:space="preserve"> </w:t>
      </w:r>
      <m:oMath>
        <m:r>
          <m:t>z</m:t>
        </m:r>
      </m:oMath>
      <w:r>
        <w:t xml:space="preserve">. Difficulty effects were strongest for boundary separation (</w:t>
      </w:r>
      <m:oMath>
        <m:r>
          <m:t>a</m:t>
        </m:r>
      </m:oMath>
      <w:r>
        <w:t xml:space="preserve">), with Easy trials showing reduced caution relative to Hard trials. The structural asymmetry in boundary separation and reaction time distributions between</w:t>
      </w:r>
      <w:r>
        <w:t xml:space="preserve"> </w:t>
      </w:r>
      <w:r>
        <w:t xml:space="preserve">“Standard”</w:t>
      </w:r>
      <w:r>
        <w:t xml:space="preserve"> </w:t>
      </w:r>
      <w:r>
        <w:t xml:space="preserve">(Same) and</w:t>
      </w:r>
      <w:r>
        <w:t xml:space="preserve"> </w:t>
      </w:r>
      <w:r>
        <w:t xml:space="preserve">“Easy/Hard”</w:t>
      </w:r>
      <w:r>
        <w:t xml:space="preserve"> </w:t>
      </w:r>
      <w:r>
        <w:t xml:space="preserve">(Different) trials is driven by underlying cognitive search mechanisms. Identifying a mismatch in an Easy or Hard trial allows for a</w:t>
      </w:r>
      <w:r>
        <w:t xml:space="preserve"> </w:t>
      </w:r>
      <w:r>
        <w:rPr>
          <w:b/>
          <w:bCs/>
        </w:rPr>
        <w:t xml:space="preserve">self-terminating search</w:t>
      </w:r>
      <w:r>
        <w:t xml:space="preserve">—the moment a disparate feature is detected, evidence accumulation spikes, triggering a fast, confident response. Conversely, confirming that two complex stimuli are identical in a Standard trial requires an</w:t>
      </w:r>
      <w:r>
        <w:t xml:space="preserve"> </w:t>
      </w:r>
      <w:r>
        <w:rPr>
          <w:b/>
          <w:bCs/>
        </w:rPr>
        <w:t xml:space="preserve">exhaustive search</w:t>
      </w:r>
      <w:r>
        <w:t xml:space="preserve"> </w:t>
      </w:r>
      <w:r>
        <w:t xml:space="preserve">of all features. This exhaustive process is inherently slower and demands a wider boundary separation (</w:t>
      </w:r>
      <m:oMath>
        <m:r>
          <m:t>a</m:t>
        </m:r>
      </m:oMath>
      <w:r>
        <w:t xml:space="preserve">) to guard against false alarms, explaining why the parameter profiles for the</w:t>
      </w:r>
      <w:r>
        <w:t xml:space="preserve"> </w:t>
      </w:r>
      <w:r>
        <w:t xml:space="preserve">“Standard”</w:t>
      </w:r>
      <w:r>
        <w:t xml:space="preserve"> </w:t>
      </w:r>
      <w:r>
        <w:t xml:space="preserve">condition fundamentally differ from the detection conditions.</w:t>
      </w:r>
      <w:r>
        <w:t xml:space="preserve"> </w:t>
      </w:r>
      <w:r>
        <w:t xml:space="preserve"> </w:t>
      </w:r>
      <w:r>
        <w:t xml:space="preserve">Non-decision time (</w:t>
      </w:r>
      <m:oMath>
        <m:sSub>
          <m:e>
            <m:r>
              <m:t>t</m:t>
            </m:r>
          </m:e>
          <m:sub>
            <m:r>
              <m:t>0</m:t>
            </m:r>
          </m:sub>
        </m:sSub>
      </m:oMath>
      <w:r>
        <w:t xml:space="preserve">) was constrained to be constant across all conditions (</w:t>
      </w:r>
      <m:oMath>
        <m:sSub>
          <m:e>
            <m:r>
              <m:t>t</m:t>
            </m:r>
          </m:e>
          <m:sub>
            <m:r>
              <m:t>0</m:t>
            </m:r>
          </m:sub>
        </m:sSub>
        <m:r>
          <m:rPr>
            <m:sty m:val="p"/>
          </m:rPr>
          <m:t>=</m:t>
        </m:r>
        <m:r>
          <m:t>0.347</m:t>
        </m:r>
      </m:oMath>
      <w:r>
        <w:t xml:space="preserve"> </w:t>
      </w:r>
      <w:r>
        <w:t xml:space="preserve">s) for model stability in the response-signal design (see Section 2.3.2); condition-specific</w:t>
      </w:r>
      <w:r>
        <w:t xml:space="preserve"> </w:t>
      </w:r>
      <m:oMath>
        <m:sSub>
          <m:e>
            <m:r>
              <m:t>t</m:t>
            </m:r>
          </m:e>
          <m:sub>
            <m:r>
              <m:t>0</m:t>
            </m:r>
          </m:sub>
        </m:sSub>
      </m:oMath>
      <w:r>
        <w:t xml:space="preserve"> </w:t>
      </w:r>
      <w:r>
        <w:t xml:space="preserve">variation is therefore not interpretable from the primary model. Bias (</w:t>
      </w:r>
      <m:oMath>
        <m:r>
          <m:t>z</m:t>
        </m:r>
      </m:oMath>
      <w:r>
        <w:t xml:space="preserve">) varied by task and effort but not by difficulty, consistent with the design constraints described in the Methods.</w:t>
      </w:r>
    </w:p>
    <w:tbl>
      <w:tblPr>
        <w:tblStyle w:val="Table"/>
        <w:tblW w:type="pct" w:w="5000"/>
        <w:tblLayout w:type="fixed"/>
        <w:tblLook w:firstRow="0" w:lastRow="0" w:firstColumn="0" w:lastColumn="0" w:noHBand="0" w:noVBand="0" w:val="0000"/>
      </w:tblPr>
      <w:tblGrid>
        <w:gridCol w:w="7920"/>
      </w:tblGrid>
      <w:tr>
        <w:tc>
          <w:tcPr/>
          <w:bookmarkStart w:id="78" w:name="fig-integrated-condition-effects"/>
          <w:p>
            <w:pPr>
              <w:pStyle w:val="Compact"/>
              <w:jc w:val="center"/>
            </w:pPr>
            <w:r>
              <w:drawing>
                <wp:inline>
                  <wp:extent cx="3733800" cy="7467600"/>
                  <wp:effectExtent b="0" l="0" r="0" t="0"/>
                  <wp:docPr descr="" title="" id="76" name="Picture"/>
                  <a:graphic>
                    <a:graphicData uri="http://schemas.openxmlformats.org/drawingml/2006/picture">
                      <pic:pic>
                        <pic:nvPicPr>
                          <pic:cNvPr descr="chap3_ddm_results_files/figure-docx/fig-integrated-condition-effects-1.png" id="77" name="Picture"/>
                          <pic:cNvPicPr>
                            <a:picLocks noChangeArrowheads="1" noChangeAspect="1"/>
                          </pic:cNvPicPr>
                        </pic:nvPicPr>
                        <pic:blipFill>
                          <a:blip r:embed="rId75"/>
                          <a:stretch>
                            <a:fillRect/>
                          </a:stretch>
                        </pic:blipFill>
                        <pic:spPr bwMode="auto">
                          <a:xfrm>
                            <a:off x="0" y="0"/>
                            <a:ext cx="37338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Integrated condition effects on DDM parameters</w:t>
            </w:r>
            <w:r>
              <w:t xml:space="preserve"> </w:t>
            </w:r>
            <m:oMath>
              <m:r>
                <m:t>v</m:t>
              </m:r>
            </m:oMath>
            <w:r>
              <w:t xml:space="preserve">,</w:t>
            </w:r>
            <w:r>
              <w:t xml:space="preserve"> </w:t>
            </w:r>
            <m:oMath>
              <m:r>
                <m:t>a</m:t>
              </m:r>
            </m:oMath>
            <w:r>
              <w:t xml:space="preserve">, and</w:t>
            </w:r>
            <w:r>
              <w:t xml:space="preserve"> </w:t>
            </w:r>
            <m:oMath>
              <m:r>
                <m:t>z</m:t>
              </m:r>
            </m:oMath>
            <w:r>
              <w:t xml:space="preserve">. Multi-panel forest plot showing posterior means with 95% credible intervals for difficulty and effort effects on drift rate (</w:t>
            </w:r>
            <m:oMath>
              <m:r>
                <m:t>v</m:t>
              </m:r>
            </m:oMath>
            <w:r>
              <w:t xml:space="preserve">), boundary separation (</w:t>
            </w:r>
            <m:oMath>
              <m:r>
                <m:t>a</m:t>
              </m:r>
            </m:oMath>
            <w:r>
              <w:t xml:space="preserve">), and starting-point bias (</w:t>
            </w:r>
            <m:oMath>
              <m:r>
                <m:t>z</m:t>
              </m:r>
            </m:oMath>
            <w:r>
              <w:t xml:space="preserve">). Bias (</w:t>
            </w:r>
            <m:oMath>
              <m:r>
                <m:t>z</m:t>
              </m:r>
            </m:oMath>
            <w:r>
              <w:t xml:space="preserve">) does not vary by difficulty (see Methods).</w:t>
            </w:r>
            <w:r>
              <w:t xml:space="preserve"> </w:t>
            </w:r>
            <w:r>
              <w:rPr>
                <w:i/>
                <w:iCs/>
              </w:rPr>
              <w:t xml:space="preserve">Note: Drift rates (</w:t>
            </w:r>
            <m:oMath>
              <m:r>
                <m:t>v</m:t>
              </m:r>
            </m:oMath>
            <w:r>
              <w:rPr>
                <w:i/>
                <w:iCs/>
              </w:rPr>
              <w:t xml:space="preserve">) were estimated using Response Coding. Positive values indicate evidence accumulation toward the</w:t>
            </w:r>
            <w:r>
              <w:rPr>
                <w:i/>
                <w:iCs/>
              </w:rPr>
              <w:t xml:space="preserve"> </w:t>
            </w:r>
            <w:r>
              <w:rPr>
                <w:i/>
                <w:iCs/>
              </w:rPr>
              <w:t xml:space="preserve">‘Different’</w:t>
            </w:r>
            <w:r>
              <w:rPr>
                <w:i/>
                <w:iCs/>
              </w:rPr>
              <w:t xml:space="preserve"> </w:t>
            </w:r>
            <w:r>
              <w:rPr>
                <w:i/>
                <w:iCs/>
              </w:rPr>
              <w:t xml:space="preserve">boundary; negative values indicate accumulation toward the</w:t>
            </w:r>
            <w:r>
              <w:rPr>
                <w:i/>
                <w:iCs/>
              </w:rPr>
              <w:t xml:space="preserve"> </w:t>
            </w:r>
            <w:r>
              <w:rPr>
                <w:i/>
                <w:iCs/>
              </w:rPr>
              <w:t xml:space="preserve">‘Same’</w:t>
            </w:r>
            <w:r>
              <w:rPr>
                <w:i/>
                <w:iCs/>
              </w:rPr>
              <w:t xml:space="preserve"> </w:t>
            </w:r>
            <w:r>
              <w:rPr>
                <w:i/>
                <w:iCs/>
              </w:rPr>
              <w:t xml:space="preserve">boundary.</w:t>
            </w:r>
          </w:p>
          <w:bookmarkEnd w:id="78"/>
        </w:tc>
      </w:tr>
    </w:tbl>
    <w:bookmarkEnd w:id="79"/>
    <w:bookmarkStart w:id="80" w:name="individual-differences"/>
    <w:p>
      <w:pPr>
        <w:pStyle w:val="Heading3"/>
      </w:pPr>
      <w:r>
        <w:t xml:space="preserve">3.5.2 Individual Differences</w:t>
      </w:r>
    </w:p>
    <w:p>
      <w:pPr>
        <w:pStyle w:val="FirstParagraph"/>
      </w:pPr>
      <w:r>
        <w:t xml:space="preserve">The hierarchical structure revealed substantial individual differences in all DDM parameters, with drift rate showing the widest variability. Parameter correlations revealed a weak negative relationship (</w:t>
      </w:r>
      <m:oMath>
        <m:r>
          <m:t>r</m:t>
        </m:r>
      </m:oMath>
      <w:r>
        <w:t xml:space="preserve"> </w:t>
      </w:r>
      <w:r>
        <w:t xml:space="preserve">= -0.205) between drift intercept and bias intercept at the subject level. Supporting figures are provided in Appendix~A2 (</w:t>
      </w:r>
      <w:hyperlink w:anchor="fig-subject-parameter-distribution">
        <w:r>
          <w:rPr>
            <w:rStyle w:val="Hyperlink"/>
          </w:rPr>
          <w:t xml:space="preserve">Figure 14</w:t>
        </w:r>
      </w:hyperlink>
      <w:r>
        <w:t xml:space="preserve"> </w:t>
      </w:r>
      <w:r>
        <w:t xml:space="preserve">and</w:t>
      </w:r>
      <w:r>
        <w:t xml:space="preserve"> </w:t>
      </w:r>
      <w:hyperlink w:anchor="fig-brinley-plot">
        <w:r>
          <w:rPr>
            <w:rStyle w:val="Hyperlink"/>
          </w:rPr>
          <w:t xml:space="preserve">Figure 16</w:t>
        </w:r>
      </w:hyperlink>
      <w:r>
        <w:t xml:space="preserve">).</w:t>
      </w:r>
    </w:p>
    <w:p>
      <w:pPr>
        <w:pStyle w:val="BodyText"/>
      </w:pPr>
      <w:r>
        <w:rPr>
          <w:b/>
          <w:bCs/>
        </w:rPr>
        <w:t xml:space="preserve">Divergence between standard-only and primary model bias estimates.</w:t>
      </w:r>
      <w:r>
        <w:t xml:space="preserve"> </w:t>
      </w:r>
      <w:r>
        <w:t xml:space="preserve">The starting-point bias estimate from the standard-only calibration model (</w:t>
      </w:r>
      <m:oMath>
        <m:r>
          <m:t>z</m:t>
        </m:r>
        <m:r>
          <m:rPr>
            <m:sty m:val="p"/>
          </m:rPr>
          <m:t>=</m:t>
        </m:r>
        <m:r>
          <m:t>0.63</m:t>
        </m:r>
      </m:oMath>
      <w:r>
        <w:t xml:space="preserve">, 95% CrI [0.60, 0.66];</w:t>
      </w:r>
      <w:r>
        <w:t xml:space="preserve"> </w:t>
      </w:r>
      <w:hyperlink w:anchor="tbl-standard-only-bias-levels">
        <w:r>
          <w:rPr>
            <w:rStyle w:val="Hyperlink"/>
          </w:rPr>
          <w:t xml:space="preserve">Table 11</w:t>
        </w:r>
      </w:hyperlink>
      <w:r>
        <w:t xml:space="preserve">) is notably higher than the estimates from the primary model fit to all trials (</w:t>
      </w:r>
      <m:oMath>
        <m:r>
          <m:t>z</m:t>
        </m:r>
        <m:r>
          <m:rPr>
            <m:sty m:val="p"/>
          </m:rPr>
          <m:t>≈</m:t>
        </m:r>
        <m:r>
          <m:t>0.52</m:t>
        </m:r>
      </m:oMath>
      <w:r>
        <w:t xml:space="preserve">–</w:t>
      </w:r>
      <m:oMath>
        <m:r>
          <m:t>0.55</m:t>
        </m:r>
      </m:oMath>
      <w:r>
        <w:t xml:space="preserve"> </w:t>
      </w:r>
      <w:r>
        <w:t xml:space="preserve">across conditions;</w:t>
      </w:r>
      <w:r>
        <w:t xml:space="preserve"> </w:t>
      </w:r>
      <w:hyperlink w:anchor="tbl-ddm-core-by-difficulty-effort">
        <w:r>
          <w:rPr>
            <w:rStyle w:val="Hyperlink"/>
          </w:rPr>
          <w:t xml:space="preserve">Table 4</w:t>
        </w:r>
      </w:hyperlink>
      <w:r>
        <w:t xml:space="preserve">). This divergence is an expected consequence of model structure, not an inconsistency.</w:t>
      </w:r>
    </w:p>
    <w:p>
      <w:pPr>
        <w:pStyle w:val="BodyText"/>
      </w:pPr>
      <w:r>
        <w:t xml:space="preserve">In the primary model, starting-point bias</w:t>
      </w:r>
      <w:r>
        <w:t xml:space="preserve"> </w:t>
      </w:r>
      <m:oMath>
        <m:r>
          <m:t>z</m:t>
        </m:r>
      </m:oMath>
      <w:r>
        <w:t xml:space="preserve"> </w:t>
      </w:r>
      <w:r>
        <w:t xml:space="preserve">is estimated jointly with drift rate</w:t>
      </w:r>
      <w:r>
        <w:t xml:space="preserve"> </w:t>
      </w:r>
      <m:oMath>
        <m:r>
          <m:t>v</m:t>
        </m:r>
      </m:oMath>
      <w:r>
        <w:t xml:space="preserve"> </w:t>
      </w:r>
      <w:r>
        <w:t xml:space="preserve">across Standard, Hard, and Easy trials. Because Standard and Hard trials have strongly negative drift rates (</w:t>
      </w:r>
      <m:oMath>
        <m:r>
          <m:t>v</m:t>
        </m:r>
        <m:r>
          <m:rPr>
            <m:sty m:val="p"/>
          </m:rPr>
          <m:t>≈</m:t>
        </m:r>
        <m:r>
          <m:rPr>
            <m:sty m:val="p"/>
          </m:rPr>
          <m:t>−</m:t>
        </m:r>
        <m:r>
          <m:t>0.50</m:t>
        </m:r>
      </m:oMath>
      <w:r>
        <w:t xml:space="preserve"> </w:t>
      </w:r>
      <w:r>
        <w:t xml:space="preserve">to</w:t>
      </w:r>
      <w:r>
        <w:t xml:space="preserve"> </w:t>
      </w:r>
      <m:oMath>
        <m:r>
          <m:rPr>
            <m:sty m:val="p"/>
          </m:rPr>
          <m:t>−</m:t>
        </m:r>
        <m:r>
          <m:t>1.09</m:t>
        </m:r>
      </m:oMath>
      <w:r>
        <w:t xml:space="preserve">;</w:t>
      </w:r>
      <w:r>
        <w:t xml:space="preserve"> </w:t>
      </w:r>
      <w:hyperlink w:anchor="tbl-ddm-core-by-difficulty-effort">
        <w:r>
          <w:rPr>
            <w:rStyle w:val="Hyperlink"/>
          </w:rPr>
          <w:t xml:space="preserve">Table 4</w:t>
        </w:r>
      </w:hyperlink>
      <w:r>
        <w:t xml:space="preserve">) — reflecting that participants frequently give</w:t>
      </w:r>
      <w:r>
        <w:t xml:space="preserve"> </w:t>
      </w:r>
      <w:r>
        <w:t xml:space="preserve">“Different”</w:t>
      </w:r>
      <w:r>
        <w:t xml:space="preserve"> </w:t>
      </w:r>
      <w:r>
        <w:t xml:space="preserve">responses on these difficult same-match trials — the model faces competition between attributing this response pattern to (a) low bias toward</w:t>
      </w:r>
      <w:r>
        <w:t xml:space="preserve"> </w:t>
      </w:r>
      <w:r>
        <w:t xml:space="preserve">“Different”</w:t>
      </w:r>
      <w:r>
        <w:t xml:space="preserve"> </w:t>
      </w:r>
      <w:r>
        <w:t xml:space="preserve">with strong negative drift, or (b) high bias toward</w:t>
      </w:r>
      <w:r>
        <w:t xml:space="preserve"> </w:t>
      </w:r>
      <w:r>
        <w:t xml:space="preserve">“Different”</w:t>
      </w:r>
      <w:r>
        <w:t xml:space="preserve"> </w:t>
      </w:r>
      <w:r>
        <w:t xml:space="preserve">with weaker negative drift. This trade-off applies subtle downward pressure on the bias estimate in the joint model.</w:t>
      </w:r>
    </w:p>
    <w:p>
      <w:pPr>
        <w:pStyle w:val="BodyText"/>
      </w:pPr>
      <w:r>
        <w:t xml:space="preserve">In contrast, the standard-only model isolates bias by fitting only Standard (</w:t>
      </w:r>
      <m:oMath>
        <m:r>
          <m:t>Δ</m:t>
        </m:r>
        <m:r>
          <m:rPr>
            <m:sty m:val="p"/>
          </m:rPr>
          <m:t>=</m:t>
        </m:r>
        <m:r>
          <m:t>0</m:t>
        </m:r>
      </m:oMath>
      <w:r>
        <w:t xml:space="preserve">) trials, where drift rate is theoretically zero and cannot explain response tendencies. This removes the</w:t>
      </w:r>
      <w:r>
        <w:t xml:space="preserve"> </w:t>
      </w:r>
      <m:oMath>
        <m:r>
          <m:t>v</m:t>
        </m:r>
      </m:oMath>
      <w:r>
        <w:t xml:space="preserve">–</w:t>
      </w:r>
      <m:oMath>
        <m:r>
          <m:t>z</m:t>
        </m:r>
      </m:oMath>
      <w:r>
        <w:t xml:space="preserve"> </w:t>
      </w:r>
      <w:r>
        <w:t xml:space="preserve">trade-off, yielding a purer estimate of the pre-stimulus starting-point preference. For interpretive purposes, we treat the standard-only estimate (</w:t>
      </w:r>
      <m:oMath>
        <m:r>
          <m:t>z</m:t>
        </m:r>
        <m:r>
          <m:rPr>
            <m:sty m:val="p"/>
          </m:rPr>
          <m:t>=</m:t>
        </m:r>
        <m:r>
          <m:t>0.63</m:t>
        </m:r>
      </m:oMath>
      <w:r>
        <w:t xml:space="preserve">) as the canonical measure of response bias, as it most directly reflects participants’ a priori tendency to favor the</w:t>
      </w:r>
      <w:r>
        <w:t xml:space="preserve"> </w:t>
      </w:r>
      <w:r>
        <w:t xml:space="preserve">“Different”</w:t>
      </w:r>
      <w:r>
        <w:t xml:space="preserve"> </w:t>
      </w:r>
      <w:r>
        <w:t xml:space="preserve">response independent of evidence accumulation dynamics. The lower estimate from the primary model (</w:t>
      </w:r>
      <m:oMath>
        <m:r>
          <m:t>z</m:t>
        </m:r>
        <m:r>
          <m:rPr>
            <m:sty m:val="p"/>
          </m:rPr>
          <m:t>≈</m:t>
        </m:r>
        <m:r>
          <m:t>0.52</m:t>
        </m:r>
      </m:oMath>
      <w:r>
        <w:t xml:space="preserve">–</w:t>
      </w:r>
      <m:oMath>
        <m:r>
          <m:t>0.55</m:t>
        </m:r>
      </m:oMath>
      <w:r>
        <w:t xml:space="preserve">) represents the effective bias after accounting for the joint contribution of drift and starting point to the full response pattern.</w:t>
      </w:r>
    </w:p>
    <w:p>
      <w:pPr>
        <w:pStyle w:val="BodyText"/>
      </w:pPr>
      <w:r>
        <w:t xml:space="preserve">Having established that the behavioral DDM adequately captures the key parameter patterns, we turn to the pupil-linked extension, which tests whether trial-wise phasic arousal further modulates evidence accumulation or response bias.</w:t>
      </w:r>
    </w:p>
    <w:bookmarkEnd w:id="80"/>
    <w:bookmarkEnd w:id="81"/>
    <w:bookmarkStart w:id="89" w:name="sec-pupil-ddm-integration"/>
    <w:p>
      <w:pPr>
        <w:pStyle w:val="Heading2"/>
      </w:pPr>
      <w:r>
        <w:t xml:space="preserve">3.6 Pupil-linked modulation of decision parameters</w:t>
      </w:r>
    </w:p>
    <w:p>
      <w:pPr>
        <w:pStyle w:val="FirstParagraph"/>
      </w:pPr>
      <w:r>
        <w:t xml:space="preserve">To examine whether trial-wise arousal fluctuations modulate decision parameters, we compared a nested sequence of four pupil-augmented DDM specifications (see</w:t>
      </w:r>
      <w:r>
        <w:t xml:space="preserve"> </w:t>
      </w:r>
      <w:hyperlink w:anchor="sec-pupil-ddm-models">
        <w:r>
          <w:rPr>
            <w:rStyle w:val="Hyperlink"/>
          </w:rPr>
          <w:t xml:space="preserve">Section 2.0.8.4</w:t>
        </w:r>
      </w:hyperlink>
      <w:r>
        <w:t xml:space="preserve">): (1) a</w:t>
      </w:r>
      <w:r>
        <w:t xml:space="preserve"> </w:t>
      </w:r>
      <w:r>
        <w:rPr>
          <w:b/>
          <w:bCs/>
        </w:rPr>
        <w:t xml:space="preserve">behavioral baseline</w:t>
      </w:r>
      <w:r>
        <w:t xml:space="preserve"> </w:t>
      </w:r>
      <w:r>
        <w:t xml:space="preserve">model with no pupil predictor, establishing the reference predictive accuracy; (2) a</w:t>
      </w:r>
      <w:r>
        <w:t xml:space="preserve"> </w:t>
      </w:r>
      <w:r>
        <w:rPr>
          <w:b/>
          <w:bCs/>
        </w:rPr>
        <w:t xml:space="preserve">pupil → bias</w:t>
      </w:r>
      <w:r>
        <w:t xml:space="preserve"> </w:t>
      </w:r>
      <w:r>
        <w:t xml:space="preserve">model, testing whether TEPR predicts starting-point bias</w:t>
      </w:r>
      <w:r>
        <w:t xml:space="preserve"> </w:t>
      </w:r>
      <m:oMath>
        <m:r>
          <m:t>z</m:t>
        </m:r>
      </m:oMath>
      <w:r>
        <w:t xml:space="preserve"> </w:t>
      </w:r>
      <w:r>
        <w:t xml:space="preserve">— directly relevant to H4 (bias neutrality under arousal); (3) a</w:t>
      </w:r>
      <w:r>
        <w:t xml:space="preserve"> </w:t>
      </w:r>
      <w:r>
        <w:rPr>
          <w:b/>
          <w:bCs/>
        </w:rPr>
        <w:t xml:space="preserve">pupil → drift + bias</w:t>
      </w:r>
      <w:r>
        <w:t xml:space="preserve"> </w:t>
      </w:r>
      <w:r>
        <w:t xml:space="preserve">model, testing whether TEPR also modulates drift rate</w:t>
      </w:r>
      <w:r>
        <w:t xml:space="preserve"> </w:t>
      </w:r>
      <m:oMath>
        <m:r>
          <m:t>v</m:t>
        </m:r>
      </m:oMath>
      <w:r>
        <w:t xml:space="preserve"> </w:t>
      </w:r>
      <w:r>
        <w:t xml:space="preserve">— an exploratory extension of the phasic arousal–evidence accumulation hypothesis; and (4) a</w:t>
      </w:r>
      <w:r>
        <w:t xml:space="preserve"> </w:t>
      </w:r>
      <w:r>
        <w:rPr>
          <w:b/>
          <w:bCs/>
        </w:rPr>
        <w:t xml:space="preserve">pupil × Difficulty</w:t>
      </w:r>
      <w:r>
        <w:t xml:space="preserve"> </w:t>
      </w:r>
      <w:r>
        <w:t xml:space="preserve">interaction model, testing the Yerkes–Dodson prediction that arousal effects on</w:t>
      </w:r>
      <w:r>
        <w:t xml:space="preserve"> </w:t>
      </w:r>
      <m:oMath>
        <m:r>
          <m:t>v</m:t>
        </m:r>
      </m:oMath>
      <w:r>
        <w:t xml:space="preserve"> </w:t>
      </w:r>
      <w:r>
        <w:t xml:space="preserve">should diverge across difficulty levels. Model comparison used PSIS-LOO; null results indicate that none of the pupil-augmented models outperformed the behavioral baseline.</w:t>
      </w:r>
    </w:p>
    <w:p>
      <w:pPr>
        <w:pStyle w:val="BodyText"/>
      </w:pPr>
      <w:r>
        <w:t xml:space="preserve">Table 8 summarizes trial-evoked pupil response (TEPR) magnitude by Difficulty and Effort condition, providing descriptive context for the pupil predictor entered into the models reported below.</w:t>
      </w:r>
    </w:p>
    <w:tbl>
      <w:tblPr>
        <w:tblStyle w:val="Table"/>
        <w:tblW w:type="pct" w:w="5000"/>
        <w:tblLayout w:type="fixed"/>
        <w:tblLook w:firstRow="0" w:lastRow="0" w:firstColumn="0" w:lastColumn="0" w:noHBand="0" w:noVBand="0" w:val="0000"/>
      </w:tblPr>
      <w:tblGrid>
        <w:gridCol w:w="7920"/>
      </w:tblGrid>
      <w:tr>
        <w:tc>
          <w:tcPr/>
          <w:bookmarkStart w:id="82" w:name="tbl-tepr"/>
          <w:p>
            <w:pPr>
              <w:jc w:val="center"/>
            </w:pPr>
            <w:pPr>
              <w:jc w:val="start"/>
              <w:spacing w:before="200"/>
              <w:pStyle w:val="ImageCaption"/>
            </w:pPr>
            <w:r>
              <w:t xml:space="preserve">Table 7: Task-Evoked Pupil Response (TEPR) by Condition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Difficulty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AUC</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AUC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Subjects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ADT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VDT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TEPR (phasic arousal) quantified as Cognitive AUC (Area Under the Curve) from baseline-corrected pupil data using the Decision-Phase AUC (W3.0) window (4.65s to 7.65s, target+0.3s to target+3.3s). AUC in units of AU·s.</w:t>
                  </w:r>
                </w:p>
              </w:tc>
            </w:tr>
          </w:tbl>
          <w:bookmarkEnd w:id="82"/>
        </w:tc>
      </w:tr>
    </w:tbl>
    <w:p>
      <w:pPr>
        <w:pStyle w:val="BodyText"/>
      </w:pPr>
      <w:r>
        <w:t xml:space="preserve">To test whether the effect of momentary arousal on evidence accumulation is</w:t>
      </w:r>
      <w:r>
        <w:t xml:space="preserve"> </w:t>
      </w:r>
      <w:r>
        <w:rPr>
          <w:b/>
          <w:bCs/>
        </w:rPr>
        <w:t xml:space="preserve">conditional on task difficulty</w:t>
      </w:r>
      <w:r>
        <w:t xml:space="preserve">, we fit a</w:t>
      </w:r>
      <w:r>
        <w:t xml:space="preserve"> </w:t>
      </w:r>
      <w:r>
        <w:rPr>
          <w:rStyle w:val="VerbatimChar"/>
        </w:rPr>
        <w:t xml:space="preserve">pupil_scaled * difficulty</w:t>
      </w:r>
      <w:r>
        <w:t xml:space="preserve"> </w:t>
      </w:r>
      <w:r>
        <w:t xml:space="preserve">interaction model for both drift rate (</w:t>
      </w:r>
      <m:oMath>
        <m:r>
          <m:t>v</m:t>
        </m:r>
      </m:oMath>
      <w:r>
        <w:t xml:space="preserve">) and boundary separation (</w:t>
      </w:r>
      <m:oMath>
        <m:r>
          <m:t>a</m:t>
        </m:r>
      </m:oMath>
      <w:r>
        <w:t xml:space="preserve">). This allows the model to evaluate the Yerkes–Dodson prediction that TEPR exerts qualitatively different influences across Standard, Hard, and Easy conditions — potentially boosting an already-positive drift on Easy trials while failing to improve, or even degrading, near-zero drift on Standard and Hard trials. The difficulty-conditional posterior slopes of</w:t>
      </w:r>
      <w:r>
        <w:t xml:space="preserve"> </w:t>
      </w:r>
      <w:r>
        <w:rPr>
          <w:rStyle w:val="VerbatimChar"/>
        </w:rPr>
        <w:t xml:space="preserve">pupil_scaled</w:t>
      </w:r>
      <w:r>
        <w:t xml:space="preserve"> </w:t>
      </w:r>
      <w:r>
        <w:t xml:space="preserve">on drift rate are visualized in</w:t>
      </w:r>
      <w:r>
        <w:t xml:space="preserve"> </w:t>
      </w:r>
      <w:hyperlink w:anchor="fig-pupil-drift-difficulty-interaction">
        <w:r>
          <w:rPr>
            <w:rStyle w:val="Hyperlink"/>
          </w:rPr>
          <w:t xml:space="preserve">Figure 10</w:t>
        </w:r>
      </w:hyperlink>
      <w:r>
        <w:t xml:space="preserve">.</w:t>
      </w:r>
    </w:p>
    <w:p>
      <w:pPr>
        <w:pStyle w:val="BodyText"/>
      </w:pPr>
      <w:r>
        <w:t xml:space="preserve">Trial-wise task-evoked pupil responses (TEPR) did not reliably modulate drift rate (</w:t>
      </w:r>
      <m:oMath>
        <m:r>
          <m:t>v</m:t>
        </m:r>
      </m:oMath>
      <w:r>
        <w:t xml:space="preserve">) or starting-point bias (</w:t>
      </w:r>
      <m:oMath>
        <m:r>
          <m:t>z</m:t>
        </m:r>
      </m:oMath>
      <w:r>
        <w:t xml:space="preserve">) when pooled across difficulty levels. Posterior distributions for both global pupil coefficients were centered near zero with 95% CrIs spanning zero (</w:t>
      </w:r>
      <w:hyperlink w:anchor="tbl-pupil-key-effects">
        <w:r>
          <w:rPr>
            <w:rStyle w:val="Hyperlink"/>
          </w:rPr>
          <w:t xml:space="preserve">Table 9</w:t>
        </w:r>
      </w:hyperlink>
      <w:r>
        <w:t xml:space="preserve">), indicating little evidence that TEPR tracks moment-to-moment fluctuations in evidence quality or response criterion in an undifferentiated manner. LOO model comparison did not favor the pooled pupil-augmented specification over the behavioral baseline (</w:t>
      </w:r>
      <w:hyperlink w:anchor="tbl-pupil-loo">
        <w:r>
          <w:rPr>
            <w:rStyle w:val="Hyperlink"/>
          </w:rPr>
          <w:t xml:space="preserve">Table 8</w:t>
        </w:r>
      </w:hyperlink>
      <w:r>
        <w:t xml:space="preserve">). However, Pareto-</w:t>
      </w:r>
      <m:oMath>
        <m:r>
          <m:t>k</m:t>
        </m:r>
      </m:oMath>
      <w:r>
        <w:t xml:space="preserve"> </w:t>
      </w:r>
      <w:r>
        <w:t xml:space="preserve">diagnostics exceeded 0.7 (max</w:t>
      </w:r>
      <w:r>
        <w:t xml:space="preserve"> </w:t>
      </w:r>
      <m:oMath>
        <m:r>
          <m:t>k</m:t>
        </m:r>
        <m:r>
          <m:rPr>
            <m:sty m:val="p"/>
          </m:rPr>
          <m:t>=</m:t>
        </m:r>
        <m:r>
          <m:t>0.91</m:t>
        </m:r>
      </m:oMath>
      <w:r>
        <w:t xml:space="preserve">), indicating that PSIS-LOO estimates are unreliable for these models. When Pareto-</w:t>
      </w:r>
      <m:oMath>
        <m:r>
          <m:t>k</m:t>
        </m:r>
        <m:r>
          <m:rPr>
            <m:sty m:val="p"/>
          </m:rPr>
          <m:t>&gt;</m:t>
        </m:r>
        <m:r>
          <m:t>0.7</m:t>
        </m:r>
      </m:oMath>
      <w:r>
        <w:t xml:space="preserve">, the variance of the importance-sampling estimator is unbounded, meaning individual observation ELPD contributions can deviate arbitrarily from their true values</w:t>
      </w:r>
      <w:r>
        <w:t xml:space="preserve"> </w:t>
      </w:r>
      <w:r>
        <w:t xml:space="preserve">(Vehtari et al., 2017)</w:t>
      </w:r>
      <w:r>
        <w:t xml:space="preserve">; the apparent</w:t>
      </w:r>
      <w:r>
        <w:t xml:space="preserve"> </w:t>
      </w:r>
      <m:oMath>
        <m:r>
          <m:t>Δ</m:t>
        </m:r>
      </m:oMath>
      <w:r>
        <w:t xml:space="preserve">ELPD in</w:t>
      </w:r>
      <w:r>
        <w:t xml:space="preserve"> </w:t>
      </w:r>
      <w:hyperlink w:anchor="tbl-pupil-loo">
        <w:r>
          <w:rPr>
            <w:rStyle w:val="Hyperlink"/>
          </w:rPr>
          <w:t xml:space="preserve">Table 8</w:t>
        </w:r>
      </w:hyperlink>
      <w:r>
        <w:t xml:space="preserve"> </w:t>
      </w:r>
      <w:r>
        <w:t xml:space="preserve">therefore reflects this numerical instability rather than genuine predictive improvement — a conclusion supported by the near-zero posterior coefficients in</w:t>
      </w:r>
      <w:r>
        <w:t xml:space="preserve"> </w:t>
      </w:r>
      <w:hyperlink w:anchor="tbl-pupil-key-effects">
        <w:r>
          <w:rPr>
            <w:rStyle w:val="Hyperlink"/>
          </w:rPr>
          <w:t xml:space="preserve">Table 9</w:t>
        </w:r>
      </w:hyperlink>
      <w:r>
        <w:t xml:space="preserve">, which are unaffected by Pareto-</w:t>
      </w:r>
      <m:oMath>
        <m:r>
          <m:t>k</m:t>
        </m:r>
      </m:oMath>
      <w:r>
        <w:t xml:space="preserve"> </w:t>
      </w:r>
      <w:r>
        <w:t xml:space="preserve">instability. Moment-matching LOO correction</w:t>
      </w:r>
      <w:r>
        <w:t xml:space="preserve"> </w:t>
      </w:r>
      <w:r>
        <w:t xml:space="preserve">(Paananen et al., 2021)</w:t>
      </w:r>
      <w:r>
        <w:t xml:space="preserve"> </w:t>
      </w:r>
      <w:r>
        <w:t xml:space="preserve">would provide more reliable estimates but was computationally prohibitive; conclusions about pupil effects therefore rest on posterior parameter distributions rather than LOO-based selection. Full fixed effects for pupil predictors are provided in Appendix~A6.</w:t>
      </w:r>
    </w:p>
    <w:p>
      <w:pPr>
        <w:pStyle w:val="BodyText"/>
      </w:pPr>
      <w:r>
        <w:t xml:space="preserve">Pupil-augmented models were fit only to trials with valid pupil data (N</w:t>
      </w:r>
      <w:r>
        <w:t xml:space="preserve"> </w:t>
      </w:r>
      <m:oMath>
        <m:r>
          <m:rPr>
            <m:sty m:val="p"/>
          </m:rPr>
          <m:t>≈</m:t>
        </m:r>
      </m:oMath>
      <w:r>
        <w:t xml:space="preserve"> </w:t>
      </w:r>
      <w:r>
        <w:t xml:space="preserve">14,586 trials). LOOIC values in</w:t>
      </w:r>
      <w:r>
        <w:t xml:space="preserve"> </w:t>
      </w:r>
      <w:hyperlink w:anchor="tbl-pupil-loo">
        <w:r>
          <w:rPr>
            <w:rStyle w:val="Hyperlink"/>
          </w:rPr>
          <w:t xml:space="preserve">Table 8</w:t>
        </w:r>
      </w:hyperlink>
      <w:r>
        <w:t xml:space="preserve"> </w:t>
      </w:r>
      <w:r>
        <w:t xml:space="preserve">reflect predictive performance on this pupil-available subset and are not directly comparable to the full-sample behavioral models (</w:t>
      </w:r>
      <w:hyperlink w:anchor="tbl-loo-comparison">
        <w:r>
          <w:rPr>
            <w:rStyle w:val="Hyperlink"/>
          </w:rPr>
          <w:t xml:space="preserve">Table 3</w:t>
        </w:r>
      </w:hyperlink>
      <w:r>
        <w:t xml:space="preserve">).</w:t>
      </w:r>
    </w:p>
    <w:p>
      <w:pPr>
        <w:pStyle w:val="BodyText"/>
      </w:pPr>
      <w:r>
        <w:rPr>
          <w:b/>
          <w:bCs/>
        </w:rPr>
        <w:t xml:space="preserve">Descriptive TEPR patterns and potential confounds.</w:t>
      </w:r>
      <w:r>
        <w:t xml:space="preserve"> </w:t>
      </w:r>
      <w:r>
        <w:t xml:space="preserve">An unexpected pattern emerged in the descriptive TEPR means (</w:t>
      </w:r>
      <w:hyperlink w:anchor="tbl-tepr">
        <w:r>
          <w:rPr>
            <w:rStyle w:val="Hyperlink"/>
          </w:rPr>
          <w:t xml:space="preserve">Table 7</w:t>
        </w:r>
      </w:hyperlink>
      <w:r>
        <w:t xml:space="preserve">): in five of six experimental cells, mean TEPR magnitude was lower under High effort (40% MVC) than under Low effort (5% MVC). This reversal is counterintuitive if TEPR is interpreted as a direct index of cognitive arousal that should be elevated under High-effort conditions.</w:t>
      </w:r>
    </w:p>
    <w:p>
      <w:pPr>
        <w:pStyle w:val="BodyText"/>
      </w:pPr>
      <w:r>
        <w:t xml:space="preserve">We consider two interpretations. First, the sustained isometric handgrip itself may generate competing autonomic signals — particularly increased sympathetic tone associated with muscular effort — that suppress or distort the task-evoked cognitive component of pupil dilation</w:t>
      </w:r>
      <w:r>
        <w:t xml:space="preserve"> </w:t>
      </w:r>
      <w:r>
        <w:t xml:space="preserve">(Beatty, 1982; Loewenfeld &amp; Lowenstein, 1999)</w:t>
      </w:r>
      <w:r>
        <w:t xml:space="preserve">. Under this account, High effort trials contain a motor-driven pupil signal that interferes with the cognitive dilation component, reducing the observed TEPR even though cognitive demand remains high. Second, High effort may reduce task-focused cognitive processing by diverting limited attentional resources toward grip maintenance, thereby reducing the perceptual load indexed by TEPR — consistent with resource competition accounts of dual-task interference</w:t>
      </w:r>
      <w:r>
        <w:t xml:space="preserve"> </w:t>
      </w:r>
      <w:r>
        <w:t xml:space="preserve">(Wickens, 2008)</w:t>
      </w:r>
      <w:r>
        <w:t xml:space="preserve">.</w:t>
      </w:r>
    </w:p>
    <w:p>
      <w:pPr>
        <w:pStyle w:val="BodyText"/>
      </w:pPr>
      <w:r>
        <w:t xml:space="preserve">Both interpretations converge on the conclusion that the Decision-Phase AUC (W3.0) TEPR window in this paradigm likely conflates motor/autonomic and cognitive components of pupil dilation, undermining its validity as a pure arousal index under the dual-task conditions examined here. This confound plausibly contributed to the null pupil-DDM coupling results reported above and underscores the interpretive limits of pupillometry in dual-task contexts involving sustained motor demands.</w:t>
      </w:r>
    </w:p>
    <w:tbl>
      <w:tblPr>
        <w:tblStyle w:val="Table"/>
        <w:tblW w:type="pct" w:w="5000"/>
        <w:tblLayout w:type="fixed"/>
        <w:tblLook w:firstRow="0" w:lastRow="0" w:firstColumn="0" w:lastColumn="0" w:noHBand="0" w:noVBand="0" w:val="0000"/>
      </w:tblPr>
      <w:tblGrid>
        <w:gridCol w:w="7920"/>
      </w:tblGrid>
      <w:tr>
        <w:tc>
          <w:tcPr/>
          <w:bookmarkStart w:id="83" w:name="tbl-pupil-loo"/>
          <w:p>
            <w:pPr>
              <w:jc w:val="center"/>
            </w:pPr>
            <w:pPr>
              <w:jc w:val="start"/>
              <w:spacing w:before="200"/>
              <w:pStyle w:val="ImageCaption"/>
            </w:pPr>
            <w:r>
              <w:t xml:space="preserve">Table 8: Model comparison for pupil-augmented DDMs (within pupil-available trials only). The behavioral-only reference model (row 1) was fit on the same pupil-available trial subset to ensure direct comparability. Note. Pareto-</w:t>
            </w:r>
            <m:oMath>
              <m:r>
                <m:t>k</m:t>
              </m:r>
            </m:oMath>
            <w:r>
              <w:t xml:space="preserve"> </w:t>
            </w:r>
            <w:r>
              <w:t xml:space="preserve">diagnostics (max</w:t>
            </w:r>
            <w:r>
              <w:t xml:space="preserve"> </w:t>
            </w:r>
            <m:oMath>
              <m:r>
                <m:t>k</m:t>
              </m:r>
            </m:oMath>
            <w:r>
              <w:t xml:space="preserve"> </w:t>
            </w:r>
            <w:r>
              <w:t xml:space="preserve">= 0.91) indicate PSIS-LOO estimates may be unreliable; model comparison should be interpreted cautiously and we rely primarily on posterior parameter estimates. ΔELPD values are relative to the behavioral-only reference.</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Model</w:t>
                  </w:r>
                </w:p>
              </w:tc>
              <w:tc>
                <w:tcPr/>
                <w:p>
                  <w:pPr>
                    <w:pStyle w:val="Compact"/>
                    <w:jc w:val="right"/>
                    <w:jc w:val="center"/>
                  </w:pPr>
                  <w:r>
                    <w:t xml:space="preserve">ELPD (LOO)</w:t>
                  </w:r>
                </w:p>
              </w:tc>
              <w:tc>
                <w:tcPr/>
                <w:p>
                  <w:pPr>
                    <w:pStyle w:val="Compact"/>
                    <w:jc w:val="right"/>
                    <w:jc w:val="center"/>
                  </w:pPr>
                  <w:r>
                    <w:t xml:space="preserve">SE(ELPD)</w:t>
                  </w:r>
                </w:p>
              </w:tc>
              <w:tc>
                <w:tcPr/>
                <w:p>
                  <w:pPr>
                    <w:pStyle w:val="Compact"/>
                    <w:jc w:val="right"/>
                    <w:jc w:val="center"/>
                  </w:pPr>
                  <w:r>
                    <w:t xml:space="preserve">LOOIC</w:t>
                  </w:r>
                </w:p>
              </w:tc>
              <w:tc>
                <w:tcPr/>
                <w:p>
                  <w:pPr>
                    <w:pStyle w:val="Compact"/>
                    <w:jc w:val="right"/>
                    <w:jc w:val="center"/>
                  </w:pPr>
                  <w:r>
                    <w:t xml:space="preserve">SE(LOOIC)</w:t>
                  </w:r>
                </w:p>
              </w:tc>
              <w:tc>
                <w:tcPr/>
                <w:p>
                  <w:pPr>
                    <w:pStyle w:val="Compact"/>
                    <w:jc w:val="right"/>
                    <w:jc w:val="center"/>
                  </w:pPr>
                  <w:r>
                    <w:t xml:space="preserve">Max Pareto k</w:t>
                  </w:r>
                </w:p>
              </w:tc>
              <w:tc>
                <w:tcPr/>
                <w:p>
                  <w:pPr>
                    <w:pStyle w:val="Compact"/>
                    <w:jc w:val="right"/>
                    <w:jc w:val="center"/>
                  </w:pPr>
                  <w:r>
                    <w:t xml:space="preserve">ΔELPD</w:t>
                  </w:r>
                </w:p>
              </w:tc>
              <w:tc>
                <w:tcPr/>
                <w:p>
                  <w:pPr>
                    <w:pStyle w:val="Compact"/>
                    <w:jc w:val="right"/>
                    <w:jc w:val="center"/>
                  </w:pPr>
                  <w:r>
                    <w:t xml:space="preserve">ΔLOOIC</w:t>
                  </w:r>
                </w:p>
              </w:tc>
            </w:tr>
            <w:tr>
              <w:tc>
                <w:tcPr/>
                <w:p>
                  <w:pPr>
                    <w:pStyle w:val="Compact"/>
                    <w:jc w:val="left"/>
                    <w:jc w:val="center"/>
                  </w:pPr>
                  <w:r>
                    <w:t xml:space="preserve">Pupil on bias (z)</w:t>
                  </w:r>
                </w:p>
              </w:tc>
              <w:tc>
                <w:tcPr/>
                <w:p>
                  <w:pPr>
                    <w:pStyle w:val="Compact"/>
                    <w:jc w:val="right"/>
                    <w:jc w:val="center"/>
                  </w:pPr>
                  <w:r>
                    <w:t xml:space="preserve">-14057.86</w:t>
                  </w:r>
                </w:p>
              </w:tc>
              <w:tc>
                <w:tcPr/>
                <w:p>
                  <w:pPr>
                    <w:pStyle w:val="Compact"/>
                    <w:jc w:val="right"/>
                    <w:jc w:val="center"/>
                  </w:pPr>
                  <w:r>
                    <w:t xml:space="preserve">118.24</w:t>
                  </w:r>
                </w:p>
              </w:tc>
              <w:tc>
                <w:tcPr/>
                <w:p>
                  <w:pPr>
                    <w:pStyle w:val="Compact"/>
                    <w:jc w:val="right"/>
                    <w:jc w:val="center"/>
                  </w:pPr>
                  <w:r>
                    <w:t xml:space="preserve">28115.71</w:t>
                  </w:r>
                </w:p>
              </w:tc>
              <w:tc>
                <w:tcPr/>
                <w:p>
                  <w:pPr>
                    <w:pStyle w:val="Compact"/>
                    <w:jc w:val="right"/>
                    <w:jc w:val="center"/>
                  </w:pPr>
                  <w:r>
                    <w:t xml:space="preserve">236.48</w:t>
                  </w:r>
                </w:p>
              </w:tc>
              <w:tc>
                <w:tcPr/>
                <w:p>
                  <w:pPr>
                    <w:pStyle w:val="Compact"/>
                    <w:jc w:val="right"/>
                    <w:jc w:val="center"/>
                  </w:pPr>
                  <w:r>
                    <w:t xml:space="preserve">0.76</w:t>
                  </w:r>
                </w:p>
              </w:tc>
              <w:tc>
                <w:tcPr/>
                <w:p>
                  <w:pPr>
                    <w:pStyle w:val="Compact"/>
                    <w:jc w:val="right"/>
                    <w:jc w:val="center"/>
                  </w:pPr>
                  <w:r>
                    <w:t xml:space="preserve">6451.45</w:t>
                  </w:r>
                </w:p>
              </w:tc>
              <w:tc>
                <w:tcPr/>
                <w:p>
                  <w:pPr>
                    <w:pStyle w:val="Compact"/>
                    <w:jc w:val="right"/>
                    <w:jc w:val="center"/>
                  </w:pPr>
                  <w:r>
                    <w:t xml:space="preserve">0.00</w:t>
                  </w:r>
                </w:p>
              </w:tc>
            </w:tr>
            <w:tr>
              <w:tc>
                <w:tcPr/>
                <w:p>
                  <w:pPr>
                    <w:pStyle w:val="Compact"/>
                    <w:jc w:val="left"/>
                    <w:jc w:val="center"/>
                  </w:pPr>
                  <w:r>
                    <w:t xml:space="preserve">Pupil on bias + drift (v, z)</w:t>
                  </w:r>
                </w:p>
              </w:tc>
              <w:tc>
                <w:tcPr/>
                <w:p>
                  <w:pPr>
                    <w:pStyle w:val="Compact"/>
                    <w:jc w:val="right"/>
                    <w:jc w:val="center"/>
                  </w:pPr>
                  <w:r>
                    <w:t xml:space="preserve">-14058.85</w:t>
                  </w:r>
                </w:p>
              </w:tc>
              <w:tc>
                <w:tcPr/>
                <w:p>
                  <w:pPr>
                    <w:pStyle w:val="Compact"/>
                    <w:jc w:val="right"/>
                    <w:jc w:val="center"/>
                  </w:pPr>
                  <w:r>
                    <w:t xml:space="preserve">118.29</w:t>
                  </w:r>
                </w:p>
              </w:tc>
              <w:tc>
                <w:tcPr/>
                <w:p>
                  <w:pPr>
                    <w:pStyle w:val="Compact"/>
                    <w:jc w:val="right"/>
                    <w:jc w:val="center"/>
                  </w:pPr>
                  <w:r>
                    <w:t xml:space="preserve">28117.71</w:t>
                  </w:r>
                </w:p>
              </w:tc>
              <w:tc>
                <w:tcPr/>
                <w:p>
                  <w:pPr>
                    <w:pStyle w:val="Compact"/>
                    <w:jc w:val="right"/>
                    <w:jc w:val="center"/>
                  </w:pPr>
                  <w:r>
                    <w:t xml:space="preserve">236.58</w:t>
                  </w:r>
                </w:p>
              </w:tc>
              <w:tc>
                <w:tcPr/>
                <w:p>
                  <w:pPr>
                    <w:pStyle w:val="Compact"/>
                    <w:jc w:val="right"/>
                    <w:jc w:val="center"/>
                  </w:pPr>
                  <w:r>
                    <w:t xml:space="preserve">0.91</w:t>
                  </w:r>
                </w:p>
              </w:tc>
              <w:tc>
                <w:tcPr/>
                <w:p>
                  <w:pPr>
                    <w:pStyle w:val="Compact"/>
                    <w:jc w:val="right"/>
                    <w:jc w:val="center"/>
                  </w:pPr>
                  <w:r>
                    <w:t xml:space="preserve">6450.45</w:t>
                  </w:r>
                </w:p>
              </w:tc>
              <w:tc>
                <w:tcPr/>
                <w:p>
                  <w:pPr>
                    <w:pStyle w:val="Compact"/>
                    <w:jc w:val="right"/>
                    <w:jc w:val="center"/>
                  </w:pPr>
                  <w:r>
                    <w:t xml:space="preserve">1.99</w:t>
                  </w:r>
                </w:p>
              </w:tc>
            </w:tr>
            <w:tr>
              <w:tc>
                <w:tcPr/>
                <w:p>
                  <w:pPr>
                    <w:pStyle w:val="Compact"/>
                    <w:jc w:val="left"/>
                    <w:jc w:val="center"/>
                  </w:pPr>
                  <w:r>
                    <w:t xml:space="preserve">Behavioral only</w:t>
                  </w:r>
                </w:p>
              </w:tc>
              <w:tc>
                <w:tcPr/>
                <w:p>
                  <w:pPr>
                    <w:pStyle w:val="Compact"/>
                    <w:jc w:val="right"/>
                    <w:jc w:val="center"/>
                  </w:pPr>
                  <w:r>
                    <w:t xml:space="preserve">-20509.31</w:t>
                  </w:r>
                </w:p>
              </w:tc>
              <w:tc>
                <w:tcPr/>
                <w:p>
                  <w:pPr>
                    <w:pStyle w:val="Compact"/>
                    <w:jc w:val="right"/>
                    <w:jc w:val="center"/>
                  </w:pPr>
                  <w:r>
                    <w:t xml:space="preserve">141.33</w:t>
                  </w:r>
                </w:p>
              </w:tc>
              <w:tc>
                <w:tcPr/>
                <w:p>
                  <w:pPr>
                    <w:pStyle w:val="Compact"/>
                    <w:jc w:val="right"/>
                    <w:jc w:val="center"/>
                  </w:pPr>
                  <w:r>
                    <w:t xml:space="preserve">41018.61</w:t>
                  </w:r>
                </w:p>
              </w:tc>
              <w:tc>
                <w:tcPr/>
                <w:p>
                  <w:pPr>
                    <w:pStyle w:val="Compact"/>
                    <w:jc w:val="right"/>
                    <w:jc w:val="center"/>
                  </w:pPr>
                  <w:r>
                    <w:t xml:space="preserve">282.65</w:t>
                  </w:r>
                </w:p>
              </w:tc>
              <w:tc>
                <w:tcPr/>
                <w:p>
                  <w:pPr>
                    <w:pStyle w:val="Compact"/>
                    <w:jc w:val="right"/>
                    <w:jc w:val="center"/>
                  </w:pPr>
                  <w:r>
                    <w:t xml:space="preserve">0.79</w:t>
                  </w:r>
                </w:p>
              </w:tc>
              <w:tc>
                <w:tcPr/>
                <w:p>
                  <w:pPr>
                    <w:pStyle w:val="Compact"/>
                    <w:jc w:val="right"/>
                    <w:jc w:val="center"/>
                  </w:pPr>
                  <w:r>
                    <w:t xml:space="preserve">0.00</w:t>
                  </w:r>
                </w:p>
              </w:tc>
              <w:tc>
                <w:tcPr/>
                <w:p>
                  <w:pPr>
                    <w:pStyle w:val="Compact"/>
                    <w:jc w:val="right"/>
                    <w:jc w:val="center"/>
                  </w:pPr>
                  <w:r>
                    <w:t xml:space="preserve">12902.90</w:t>
                  </w:r>
                </w:p>
              </w:tc>
            </w:tr>
            <w:tr>
              <w:tc>
                <w:tcPr/>
                <w:p>
                  <w:pPr>
                    <w:pStyle w:val="Compact"/>
                    <w:jc w:val="left"/>
                    <w:jc w:val="center"/>
                  </w:pPr>
                  <w:r>
                    <w:t xml:space="preserve"> </w:t>
                  </w:r>
                  <w:r>
                    <w:t xml:space="preserve">Pareto-k max = 0.91; PSIS-LOO estimates may be unreliable. Interpret with caution.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8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4" w:name="tbl-pupil-key-effects"/>
          <w:p>
            <w:pPr>
              <w:jc w:val="center"/>
            </w:pPr>
            <w:pPr>
              <w:jc w:val="start"/>
              <w:spacing w:before="200"/>
              <w:pStyle w:val="ImageCaption"/>
            </w:pPr>
            <w:r>
              <w:t xml:space="preserve">Table 9: Key pupil effects on drift (</w:t>
            </w:r>
            <m:oMath>
              <m:r>
                <m:t>v</m:t>
              </m:r>
            </m:oMath>
            <w:r>
              <w:t xml:space="preserve">) and bias (</w:t>
            </w:r>
            <m:oMath>
              <m:r>
                <m:t>z</m:t>
              </m:r>
            </m:oMath>
            <w:r>
              <w:t xml:space="preserve">) (link scale). Posterior mean, 95% CrI, whether the interval includes zero, and</w:t>
            </w:r>
            <w:r>
              <w:t xml:space="preserve"> </w:t>
            </w:r>
            <m:oMath>
              <m:r>
                <m:t>P</m:t>
              </m:r>
              <m:d>
                <m:dPr>
                  <m:begChr m:val="("/>
                  <m:sepChr m:val=""/>
                  <m:endChr m:val=")"/>
                  <m:grow/>
                </m:dPr>
                <m:e>
                  <m:r>
                    <m:t>β</m:t>
                  </m:r>
                  <m:r>
                    <m:rPr>
                      <m:sty m:val="p"/>
                    </m:rPr>
                    <m:t>&gt;</m:t>
                  </m:r>
                  <m:r>
                    <m:t>0</m:t>
                  </m:r>
                </m:e>
              </m:d>
            </m:oMath>
            <w:r>
              <w:t xml:space="preserve"> </w:t>
            </w:r>
            <w:r>
              <w:t xml:space="preserve">for difficulty-conditional slopes (from interaction model).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Parameter</w:t>
                  </w:r>
                </w:p>
              </w:tc>
              <w:tc>
                <w:tcPr/>
                <w:p>
                  <w:pPr>
                    <w:pStyle w:val="Compact"/>
                    <w:jc w:val="right"/>
                    <w:jc w:val="center"/>
                  </w:pPr>
                  <w:r>
                    <w:t xml:space="preserve">mean</w:t>
                  </w:r>
                </w:p>
              </w:tc>
              <w:tc>
                <w:tcPr/>
                <w:p>
                  <w:pPr>
                    <w:pStyle w:val="Compact"/>
                    <w:jc w:val="left"/>
                    <w:jc w:val="center"/>
                  </w:pPr>
                  <w:r>
                    <w:t xml:space="preserve">95% CrI</w:t>
                  </w:r>
                </w:p>
              </w:tc>
              <w:tc>
                <w:tcPr/>
                <w:p>
                  <w:pPr>
                    <w:pStyle w:val="Compact"/>
                    <w:jc w:val="left"/>
                    <w:jc w:val="center"/>
                  </w:pPr>
                  <w:r>
                    <w:t xml:space="preserve">Includes 0</w:t>
                  </w:r>
                </w:p>
              </w:tc>
              <w:tc>
                <w:tcPr/>
                <w:p>
                  <w:pPr>
                    <w:pStyle w:val="Compact"/>
                    <w:jc w:val="left"/>
                    <w:jc w:val="center"/>
                  </w:pPr>
                  <w:r>
                    <w:t xml:space="preserve">P(β &gt; 0)</w:t>
                  </w:r>
                </w:p>
              </w:tc>
            </w:tr>
            <w:tr>
              <w:tc>
                <w:tcPr/>
                <w:p>
                  <w:pPr>
                    <w:pStyle w:val="Compact"/>
                    <w:jc w:val="left"/>
                    <w:jc w:val="center"/>
                  </w:pPr>
                  <w:r>
                    <w:t xml:space="preserve">Pupil $v$</w:t>
                  </w:r>
                </w:p>
              </w:tc>
              <w:tc>
                <w:tcPr/>
                <w:p>
                  <w:pPr>
                    <w:pStyle w:val="Compact"/>
                    <w:jc w:val="right"/>
                    <w:jc w:val="center"/>
                  </w:pPr>
                  <w:r>
                    <w:t xml:space="preserve">0.001</w:t>
                  </w:r>
                </w:p>
              </w:tc>
              <w:tc>
                <w:tcPr/>
                <w:p>
                  <w:pPr>
                    <w:pStyle w:val="Compact"/>
                    <w:jc w:val="left"/>
                    <w:jc w:val="center"/>
                  </w:pPr>
                  <w:r>
                    <w:t xml:space="preserve">[-0.034, 0.036]</w:t>
                  </w:r>
                </w:p>
              </w:tc>
              <w:tc>
                <w:tcPr/>
                <w:p>
                  <w:pPr>
                    <w:pStyle w:val="Compact"/>
                    <w:jc w:val="left"/>
                    <w:jc w:val="center"/>
                  </w:pPr>
                  <w:r>
                    <w:t xml:space="preserve">Yes</w:t>
                  </w:r>
                </w:p>
              </w:tc>
              <w:tc>
                <w:tcPr/>
                <w:p>
                  <w:pPr>
                    <w:pStyle w:val="Compact"/>
                    <w:jc w:val="left"/>
                    <w:jc w:val="center"/>
                  </w:pPr>
                  <w:r>
                    <w:t xml:space="preserve">NA</w:t>
                  </w:r>
                </w:p>
              </w:tc>
            </w:tr>
            <w:tr>
              <w:tc>
                <w:tcPr/>
                <w:p>
                  <w:pPr>
                    <w:pStyle w:val="Compact"/>
                    <w:jc w:val="left"/>
                    <w:jc w:val="center"/>
                  </w:pPr>
                  <w:r>
                    <w:t xml:space="preserve">Pupil $z$</w:t>
                  </w:r>
                </w:p>
              </w:tc>
              <w:tc>
                <w:tcPr/>
                <w:p>
                  <w:pPr>
                    <w:pStyle w:val="Compact"/>
                    <w:jc w:val="right"/>
                    <w:jc w:val="center"/>
                  </w:pPr>
                  <w:r>
                    <w:t xml:space="preserve">-0.007</w:t>
                  </w:r>
                </w:p>
              </w:tc>
              <w:tc>
                <w:tcPr/>
                <w:p>
                  <w:pPr>
                    <w:pStyle w:val="Compact"/>
                    <w:jc w:val="left"/>
                    <w:jc w:val="center"/>
                  </w:pPr>
                  <w:r>
                    <w:t xml:space="preserve">[-0.035, 0.023]</w:t>
                  </w:r>
                </w:p>
              </w:tc>
              <w:tc>
                <w:tcPr/>
                <w:p>
                  <w:pPr>
                    <w:pStyle w:val="Compact"/>
                    <w:jc w:val="left"/>
                    <w:jc w:val="center"/>
                  </w:pPr>
                  <w:r>
                    <w:t xml:space="preserve">Yes</w:t>
                  </w:r>
                </w:p>
              </w:tc>
              <w:tc>
                <w:tcPr/>
                <w:p>
                  <w:pPr>
                    <w:pStyle w:val="Compact"/>
                    <w:jc w:val="left"/>
                    <w:jc w:val="center"/>
                  </w:pPr>
                  <w:r>
                    <w:t xml:space="preserve">NA</w:t>
                  </w:r>
                </w:p>
              </w:tc>
            </w:tr>
            <w:tr>
              <w:tc>
                <w:tcPr/>
                <w:p>
                  <w:pPr>
                    <w:pStyle w:val="Compact"/>
                    <w:jc w:val="left"/>
                    <w:jc w:val="center"/>
                  </w:pPr>
                  <w:r>
                    <w:t xml:space="preserve">Pupil $v$: Standard</w:t>
                  </w:r>
                </w:p>
              </w:tc>
              <w:tc>
                <w:tcPr/>
                <w:p>
                  <w:pPr>
                    <w:pStyle w:val="Compact"/>
                    <w:jc w:val="right"/>
                    <w:jc w:val="center"/>
                  </w:pPr>
                  <w:r>
                    <w:t xml:space="preserve">-0.023</w:t>
                  </w:r>
                </w:p>
              </w:tc>
              <w:tc>
                <w:tcPr/>
                <w:p>
                  <w:pPr>
                    <w:pStyle w:val="Compact"/>
                    <w:jc w:val="left"/>
                    <w:jc w:val="center"/>
                  </w:pPr>
                  <w:r>
                    <w:t xml:space="preserve">[-0.095, 0.05]</w:t>
                  </w:r>
                </w:p>
              </w:tc>
              <w:tc>
                <w:tcPr/>
                <w:p>
                  <w:pPr>
                    <w:pStyle w:val="Compact"/>
                    <w:jc w:val="left"/>
                    <w:jc w:val="center"/>
                  </w:pPr>
                  <w:r>
                    <w:t xml:space="preserve">Yes</w:t>
                  </w:r>
                </w:p>
              </w:tc>
              <w:tc>
                <w:tcPr/>
                <w:p>
                  <w:pPr>
                    <w:pStyle w:val="Compact"/>
                    <w:jc w:val="left"/>
                    <w:jc w:val="center"/>
                  </w:pPr>
                  <w:r>
                    <w:t xml:space="preserve">0.258</w:t>
                  </w:r>
                </w:p>
              </w:tc>
            </w:tr>
            <w:tr>
              <w:tc>
                <w:tcPr/>
                <w:p>
                  <w:pPr>
                    <w:pStyle w:val="Compact"/>
                    <w:jc w:val="left"/>
                    <w:jc w:val="center"/>
                  </w:pPr>
                  <w:r>
                    <w:t xml:space="preserve">Pupil $v$: Hard</w:t>
                  </w:r>
                </w:p>
              </w:tc>
              <w:tc>
                <w:tcPr/>
                <w:p>
                  <w:pPr>
                    <w:pStyle w:val="Compact"/>
                    <w:jc w:val="right"/>
                    <w:jc w:val="center"/>
                  </w:pPr>
                  <w:r>
                    <w:t xml:space="preserve">-0.009</w:t>
                  </w:r>
                </w:p>
              </w:tc>
              <w:tc>
                <w:tcPr/>
                <w:p>
                  <w:pPr>
                    <w:pStyle w:val="Compact"/>
                    <w:jc w:val="left"/>
                    <w:jc w:val="center"/>
                  </w:pPr>
                  <w:r>
                    <w:t xml:space="preserve">[-0.06, 0.045]</w:t>
                  </w:r>
                </w:p>
              </w:tc>
              <w:tc>
                <w:tcPr/>
                <w:p>
                  <w:pPr>
                    <w:pStyle w:val="Compact"/>
                    <w:jc w:val="left"/>
                    <w:jc w:val="center"/>
                  </w:pPr>
                  <w:r>
                    <w:t xml:space="preserve">Yes</w:t>
                  </w:r>
                </w:p>
              </w:tc>
              <w:tc>
                <w:tcPr/>
                <w:p>
                  <w:pPr>
                    <w:pStyle w:val="Compact"/>
                    <w:jc w:val="left"/>
                    <w:jc w:val="center"/>
                  </w:pPr>
                  <w:r>
                    <w:t xml:space="preserve">0.364</w:t>
                  </w:r>
                </w:p>
              </w:tc>
            </w:tr>
            <w:tr>
              <w:tc>
                <w:tcPr/>
                <w:p>
                  <w:pPr>
                    <w:pStyle w:val="Compact"/>
                    <w:jc w:val="left"/>
                    <w:jc w:val="center"/>
                  </w:pPr>
                  <w:r>
                    <w:t xml:space="preserve">Pupil $v$: Easy</w:t>
                  </w:r>
                </w:p>
              </w:tc>
              <w:tc>
                <w:tcPr/>
                <w:p>
                  <w:pPr>
                    <w:pStyle w:val="Compact"/>
                    <w:jc w:val="right"/>
                    <w:jc w:val="center"/>
                  </w:pPr>
                  <w:r>
                    <w:t xml:space="preserve">-0.014</w:t>
                  </w:r>
                </w:p>
              </w:tc>
              <w:tc>
                <w:tcPr/>
                <w:p>
                  <w:pPr>
                    <w:pStyle w:val="Compact"/>
                    <w:jc w:val="left"/>
                    <w:jc w:val="center"/>
                  </w:pPr>
                  <w:r>
                    <w:t xml:space="preserve">[-0.124, 0.091]</w:t>
                  </w:r>
                </w:p>
              </w:tc>
              <w:tc>
                <w:tcPr/>
                <w:p>
                  <w:pPr>
                    <w:pStyle w:val="Compact"/>
                    <w:jc w:val="left"/>
                    <w:jc w:val="center"/>
                  </w:pPr>
                  <w:r>
                    <w:t xml:space="preserve">Yes</w:t>
                  </w:r>
                </w:p>
              </w:tc>
              <w:tc>
                <w:tcPr/>
                <w:p>
                  <w:pPr>
                    <w:pStyle w:val="Compact"/>
                    <w:jc w:val="left"/>
                    <w:jc w:val="center"/>
                  </w:pPr>
                  <w:r>
                    <w:t xml:space="preserve">0.400</w:t>
                  </w:r>
                </w:p>
              </w:tc>
            </w:tr>
          </w:tbl>
          <w:bookmarkEnd w:id="84"/>
          <w:p/>
        </w:tc>
      </w:tr>
    </w:tbl>
    <w:tbl>
      <w:tblPr>
        <w:tblStyle w:val="Table"/>
        <w:tblW w:type="pct" w:w="5000"/>
        <w:tblLayout w:type="fixed"/>
        <w:tblLook w:firstRow="0" w:lastRow="0" w:firstColumn="0" w:lastColumn="0" w:noHBand="0" w:noVBand="0" w:val="0000"/>
      </w:tblPr>
      <w:tblGrid>
        <w:gridCol w:w="7920"/>
      </w:tblGrid>
      <w:tr>
        <w:tc>
          <w:tcPr/>
          <w:bookmarkStart w:id="88" w:name="fig-pupil-drift-difficulty-interaction"/>
          <w:p>
            <w:pPr>
              <w:pStyle w:val="Compact"/>
              <w:jc w:val="center"/>
            </w:pPr>
            <w:r>
              <w:drawing>
                <wp:inline>
                  <wp:extent cx="4800600" cy="3840480"/>
                  <wp:effectExtent b="0" l="0" r="0" t="0"/>
                  <wp:docPr descr="" title="" id="86" name="Picture"/>
                  <a:graphic>
                    <a:graphicData uri="http://schemas.openxmlformats.org/drawingml/2006/picture">
                      <pic:pic>
                        <pic:nvPicPr>
                          <pic:cNvPr descr="chap3_ddm_results_files/figure-docx/fig-pupil-drift-difficulty-interaction-1.png" id="87" name="Picture"/>
                          <pic:cNvPicPr>
                            <a:picLocks noChangeArrowheads="1" noChangeAspect="1"/>
                          </pic:cNvPicPr>
                        </pic:nvPicPr>
                        <pic:blipFill>
                          <a:blip r:embed="rId85"/>
                          <a:stretch>
                            <a:fillRect/>
                          </a:stretch>
                        </pic:blipFill>
                        <pic:spPr bwMode="auto">
                          <a:xfrm>
                            <a:off x="0" y="0"/>
                            <a:ext cx="4800600" cy="3840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No Credible Pupil-Arousal Modulation of Evidence Accumulation Across Difficulty Levels. Posterior distributions of the difficulty-conditional TEPR slope on drift rate</w:t>
            </w:r>
            <w:r>
              <w:t xml:space="preserve"> </w:t>
            </w:r>
            <m:oMath>
              <m:r>
                <m:t>v</m:t>
              </m:r>
            </m:oMath>
            <w:r>
              <w:t xml:space="preserve"> </w:t>
            </w:r>
            <w:r>
              <w:t xml:space="preserve">for Standard, Hard, and Easy trials. All three 95% credible intervals include zero, and the posteriors show minimal separation, indicating that trial-by-trial arousal fluctuations (indexed by TEPR) do not reliably predict changes in evidence accumulation, even when conditioning on task difficulty. The similarity across panels indicates the Yerkes-Dodson prediction — that arousal effects should diverge by difficulty — was not supported by the data. Shaded regions show the 95% HDI; vertical dashed lines mark zero.</w:t>
            </w:r>
          </w:p>
          <w:bookmarkEnd w:id="88"/>
        </w:tc>
      </w:tr>
    </w:tbl>
    <w:p>
      <w:pPr>
        <w:pStyle w:val="BodyText"/>
      </w:pPr>
      <w:r>
        <w:t xml:space="preserve">Importantly, Figure 10 provides the direct statistical test of whether arousal effects on evidence accumulation are heterogeneous across task difficulty. Each panel shows the full posterior distribution of the pupil–drift coupling coefficient for that difficulty stratum — the slope of pupil_scaled predicting</w:t>
      </w:r>
      <w:r>
        <w:t xml:space="preserve"> </w:t>
      </w:r>
      <m:oMath>
        <m:r>
          <m:t>v</m:t>
        </m:r>
      </m:oMath>
      <w:r>
        <w:t xml:space="preserve">. Posterior probability</w:t>
      </w:r>
      <w:r>
        <w:t xml:space="preserve"> </w:t>
      </w:r>
      <m:oMath>
        <m:r>
          <m:t>P</m:t>
        </m:r>
        <m:d>
          <m:dPr>
            <m:begChr m:val="("/>
            <m:sepChr m:val=""/>
            <m:endChr m:val=")"/>
            <m:grow/>
          </m:dPr>
          <m:e>
            <m:sSub>
              <m:e>
                <m:r>
                  <m:t>β</m:t>
                </m:r>
              </m:e>
              <m:sub>
                <m:r>
                  <m:rPr>
                    <m:nor/>
                    <m:sty m:val="p"/>
                  </m:rPr>
                  <m:t>pupil</m:t>
                </m:r>
              </m:sub>
            </m:sSub>
            <m:r>
              <m:rPr>
                <m:sty m:val="p"/>
              </m:rPr>
              <m:t>&gt;</m:t>
            </m:r>
            <m:r>
              <m:t>0</m:t>
            </m:r>
          </m:e>
        </m:d>
      </m:oMath>
      <w:r>
        <w:t xml:space="preserve"> </w:t>
      </w:r>
      <w:r>
        <w:t xml:space="preserve">for each difficulty level is reported in</w:t>
      </w:r>
      <w:r>
        <w:t xml:space="preserve"> </w:t>
      </w:r>
      <w:hyperlink w:anchor="tbl-pupil-key-effects">
        <w:r>
          <w:rPr>
            <w:rStyle w:val="Hyperlink"/>
          </w:rPr>
          <w:t xml:space="preserve">Table 9</w:t>
        </w:r>
      </w:hyperlink>
      <w:r>
        <w:t xml:space="preserve">.</w:t>
      </w:r>
    </w:p>
    <w:p>
      <w:pPr>
        <w:pStyle w:val="BodyText"/>
      </w:pPr>
      <w:r>
        <w:t xml:space="preserve">Pairwise difficulty contrasts for drift rate (</w:t>
      </w:r>
      <m:oMath>
        <m:r>
          <m:t>v</m:t>
        </m:r>
      </m:oMath>
      <w:r>
        <w:t xml:space="preserve">) and boundary separation (</w:t>
      </w:r>
      <m:oMath>
        <m:r>
          <m:t>a</m:t>
        </m:r>
      </m:oMath>
      <w:r>
        <w:t xml:space="preserve">) — with all three 95% CrIs excluding zero — are presented in</w:t>
      </w:r>
      <w:r>
        <w:t xml:space="preserve"> </w:t>
      </w:r>
      <w:hyperlink w:anchor="fig-difficulty-contrasts">
        <w:r>
          <w:rPr>
            <w:rStyle w:val="Hyperlink"/>
          </w:rPr>
          <w:t xml:space="preserve">Figure 7</w:t>
        </w:r>
      </w:hyperlink>
      <w:r>
        <w:t xml:space="preserve"> </w:t>
      </w:r>
      <w:r>
        <w:t xml:space="preserve">(Section 3.4).</w:t>
      </w:r>
    </w:p>
    <w:p>
      <w:pPr>
        <w:pStyle w:val="BodyText"/>
      </w:pPr>
      <w:r>
        <w:rPr>
          <w:b/>
          <w:bCs/>
        </w:rPr>
        <w:t xml:space="preserve">Boundary separation (</w:t>
      </w:r>
      <m:oMath>
        <m:r>
          <m:t>a</m:t>
        </m:r>
      </m:oMath>
      <w:r>
        <w:rPr>
          <w:b/>
          <w:bCs/>
        </w:rPr>
        <w:t xml:space="preserve">)</w:t>
      </w:r>
      <w:r>
        <w:t xml:space="preserve">: Easy trials have narrower decision boundaries, consistent with reduced caution when discrimination is easier.</w:t>
      </w:r>
    </w:p>
    <w:p>
      <w:pPr>
        <w:pStyle w:val="BodyText"/>
      </w:pPr>
      <w:r>
        <w:t xml:space="preserve">The primary findings were robust to alternative RT cutoff thresholds (0.15 s and 0.25 s); full sensitivity parameter estimates are reported in Appendix A4.2.</w:t>
      </w:r>
    </w:p>
    <w:p>
      <w:r>
        <w:br w:type="page"/>
      </w:r>
    </w:p>
    <w:bookmarkEnd w:id="89"/>
    <w:bookmarkEnd w:id="90"/>
    <w:bookmarkStart w:id="99" w:name="discussion"/>
    <w:p>
      <w:pPr>
        <w:pStyle w:val="Heading1"/>
      </w:pPr>
      <w:r>
        <w:t xml:space="preserve">4. Discussion</w:t>
      </w:r>
    </w:p>
    <w:bookmarkStart w:id="91" w:name="summary-of-key-findings"/>
    <w:p>
      <w:pPr>
        <w:pStyle w:val="Heading2"/>
      </w:pPr>
      <w:r>
        <w:t xml:space="preserve">4.1 Summary of Key Findings</w:t>
      </w:r>
    </w:p>
    <w:p>
      <w:pPr>
        <w:pStyle w:val="FirstParagraph"/>
      </w:pPr>
      <w:r>
        <w:t xml:space="preserve">Results confirmed Hypothesis 1 (H1): High effort reduced drift rate, consistent with resource competition or supra-optimal arousal (Section 3.4.1). Contrary to Hypothesis 2 (H2), boundary separation did not increase under High effort, which is not consistent with the AGT-derived prediction that phasic LC-NE activation would trigger compensatory boundary widening</w:t>
      </w:r>
      <w:r>
        <w:t xml:space="preserve"> </w:t>
      </w:r>
      <w:r>
        <w:t xml:space="preserve">(Aston-Jones &amp; Cohen, 2005)</w:t>
      </w:r>
      <w:r>
        <w:t xml:space="preserve"> </w:t>
      </w:r>
      <w:r>
        <w:t xml:space="preserve">(Section 3.4.1). Hypothesis 3 (H3) could not be tested directly due to model constraints requiring constant</w:t>
      </w:r>
      <w:r>
        <w:t xml:space="preserve"> </w:t>
      </w:r>
      <m:oMath>
        <m:sSub>
          <m:e>
            <m:r>
              <m:t>t</m:t>
            </m:r>
          </m:e>
          <m:sub>
            <m:r>
              <m:t>0</m:t>
            </m:r>
          </m:sub>
        </m:sSub>
      </m:oMath>
      <w:r>
        <w:t xml:space="preserve">, though exploratory analyses suggested minimal peripheral slowing (Section 3.4.1). Contrary to Hypothesis 4 (H4), starting-point bias showed no reliable shift toward neutrality under High effort (Section 3.5), suggesting that concurrent grip did not reset pre-existing response preferences in older adults. Importantly, while High effort reduced</w:t>
      </w:r>
      <w:r>
        <w:t xml:space="preserve"> </w:t>
      </w:r>
      <w:r>
        <w:rPr>
          <w:b/>
          <w:bCs/>
        </w:rPr>
        <w:t xml:space="preserve">accuracy</w:t>
      </w:r>
      <w:r>
        <w:t xml:space="preserve"> </w:t>
      </w:r>
      <w:r>
        <w:t xml:space="preserve">(manipulation check:</w:t>
      </w:r>
      <w:r>
        <w:t xml:space="preserve"> </w:t>
      </w:r>
      <m:oMath>
        <m:r>
          <m:t>β</m:t>
        </m:r>
        <m:r>
          <m:rPr>
            <m:sty m:val="p"/>
          </m:rPr>
          <m:t>=</m:t>
        </m:r>
        <m:r>
          <m:rPr>
            <m:sty m:val="p"/>
          </m:rPr>
          <m:t>−</m:t>
        </m:r>
        <m:r>
          <m:t>0.16</m:t>
        </m:r>
      </m:oMath>
      <w:r>
        <w:t xml:space="preserve">,</w:t>
      </w:r>
      <w:r>
        <w:t xml:space="preserve"> </w:t>
      </w:r>
      <m:oMath>
        <m:r>
          <m:t>p</m:t>
        </m:r>
        <m:r>
          <m:rPr>
            <m:sty m:val="p"/>
          </m:rPr>
          <m:t>&lt;</m:t>
        </m:r>
        <m:r>
          <m:t>.001</m:t>
        </m:r>
      </m:oMath>
      <w:r>
        <w:t xml:space="preserve">), it did not reliably slow</w:t>
      </w:r>
      <w:r>
        <w:t xml:space="preserve"> </w:t>
      </w:r>
      <w:r>
        <w:rPr>
          <w:b/>
          <w:bCs/>
        </w:rPr>
        <w:t xml:space="preserve">reaction time</w:t>
      </w:r>
      <w:r>
        <w:t xml:space="preserve"> </w:t>
      </w:r>
      <w:r>
        <w:t xml:space="preserve">(</w:t>
      </w:r>
      <m:oMath>
        <m:r>
          <m:t>β</m:t>
        </m:r>
        <m:r>
          <m:rPr>
            <m:sty m:val="p"/>
          </m:rPr>
          <m:t>=</m:t>
        </m:r>
        <m:r>
          <m:t>0.02</m:t>
        </m:r>
      </m:oMath>
      <w:r>
        <w:t xml:space="preserve"> </w:t>
      </w:r>
      <w:r>
        <w:t xml:space="preserve">s, 95% CI [−0.02, 0.05]). This dissociation—lower accuracy without RT slowing—is explained by the DDM decomposition: drift rate declined (evidence quality), but boundary separation did not increase (no compensatory caution), consistent with the DDM prediction of faster errors rather than slower correct responses under degraded drift without compensatory boundary increase. The Effort → Drift effect was robust to Task (ADT vs. VDT) inclusion (Appendix~A4.3). Trial-wise pupil-linked arousal (TEPR) did not reliably modulate drift rate or starting-point bias when included as predictors (Section 3.6). This pattern of results is consistent with the</w:t>
      </w:r>
      <w:r>
        <w:t xml:space="preserve"> </w:t>
      </w:r>
      <w:r>
        <w:t xml:space="preserve">“detrimental impact”</w:t>
      </w:r>
      <w:r>
        <w:t xml:space="preserve"> </w:t>
      </w:r>
      <w:r>
        <w:t xml:space="preserve">hypothesis grounded in Resource Competition theory</w:t>
      </w:r>
      <w:r>
        <w:t xml:space="preserve"> </w:t>
      </w:r>
      <w:r>
        <w:t xml:space="preserve">(Azer et al., 2023; Wickens, 2008)</w:t>
      </w:r>
      <w:r>
        <w:t xml:space="preserve">, which predicts that concurrent physical effort consumes shared cognitive resources, degrading the quality of evidence accumulation. However, the null effect on boundary separation challenges the</w:t>
      </w:r>
      <w:r>
        <w:t xml:space="preserve"> </w:t>
      </w:r>
      <w:r>
        <w:t xml:space="preserve">“adaptive caution”</w:t>
      </w:r>
      <w:r>
        <w:t xml:space="preserve"> </w:t>
      </w:r>
      <w:r>
        <w:t xml:space="preserve">hypothesis (Strategic Adaptation), which predicted that older adults would respond to increased internal noise by raising their decision thresholds to preserve accuracy.</w:t>
      </w:r>
    </w:p>
    <w:bookmarkEnd w:id="91"/>
    <w:bookmarkStart w:id="93" w:name="the-crunch-point-why-drift-rate-declined"/>
    <w:p>
      <w:pPr>
        <w:pStyle w:val="Heading2"/>
      </w:pPr>
      <w:r>
        <w:t xml:space="preserve">4.2 The</w:t>
      </w:r>
      <w:r>
        <w:t xml:space="preserve"> </w:t>
      </w:r>
      <w:r>
        <w:t xml:space="preserve">“Crunch Point”</w:t>
      </w:r>
      <w:r>
        <w:t xml:space="preserve">: Why Drift Rate Declined</w:t>
      </w:r>
    </w:p>
    <w:p>
      <w:pPr>
        <w:pStyle w:val="FirstParagraph"/>
      </w:pPr>
      <w:r>
        <w:t xml:space="preserve">The reduction in drift rate under High effort (40% MVC) relative to Low effort is the central finding of this study and directly supports H1. Interpreted through Adaptive Gain Theory</w:t>
      </w:r>
      <w:r>
        <w:t xml:space="preserve"> </w:t>
      </w:r>
      <w:r>
        <w:t xml:space="preserve">(Aston-Jones &amp; Cohen, 2005)</w:t>
      </w:r>
      <w:r>
        <w:t xml:space="preserve">, this result is consistent with an inverted-U arousal–performance relationship: the 40% MVC handgrip exerted sufficient physiological demand to push older adults into the supra-optimal arousal zone, where noise in neural representations degrades the signal-to-noise ratio driving evidence accumulation</w:t>
      </w:r>
      <w:r>
        <w:t xml:space="preserve"> </w:t>
      </w:r>
      <w:r>
        <w:t xml:space="preserve">(Mather &amp; Harley, 2016; Mikneviciute et al., 2022)</w:t>
      </w:r>
      <w:r>
        <w:t xml:space="preserve">. Critically, the DDM framework allows us to attribute this performance decrement specifically to</w:t>
      </w:r>
      <w:r>
        <w:t xml:space="preserve"> </w:t>
      </w:r>
      <w:r>
        <w:rPr>
          <w:i/>
          <w:iCs/>
        </w:rPr>
        <w:t xml:space="preserve">evidence quality</w:t>
      </w:r>
      <w:r>
        <w:t xml:space="preserve"> </w:t>
      </w:r>
      <w:r>
        <w:t xml:space="preserve">(</w:t>
      </w:r>
      <m:oMath>
        <m:r>
          <m:t>v</m:t>
        </m:r>
      </m:oMath>
      <w:r>
        <w:t xml:space="preserve">) rather than to response caution (</w:t>
      </w:r>
      <m:oMath>
        <m:r>
          <m:t>a</m:t>
        </m:r>
      </m:oMath>
      <w:r>
        <w:t xml:space="preserve">) or motor slowness (</w:t>
      </w:r>
      <m:oMath>
        <m:sSub>
          <m:e>
            <m:r>
              <m:t>t</m:t>
            </m:r>
          </m:e>
          <m:sub>
            <m:r>
              <m:t>0</m:t>
            </m:r>
          </m:sub>
        </m:sSub>
      </m:oMath>
      <w:r>
        <w:t xml:space="preserve">), which remained largely unaffected. This dissociation is theoretically important: it implies that the costs of effort-induced arousal in older adults are best characterized as degraded evidence accumulation quality — a reduction in the rate at which task-relevant information is integrated — rather than as strategic slowing or conservative criterion adjustment. Prior work showing effort-related performance declines in older adults</w:t>
      </w:r>
      <w:r>
        <w:t xml:space="preserve"> </w:t>
      </w:r>
      <w:r>
        <w:t xml:space="preserve">(Azer et al., 2023; Wickens, 2008)</w:t>
      </w:r>
      <w:r>
        <w:t xml:space="preserve"> </w:t>
      </w:r>
      <w:r>
        <w:t xml:space="preserve">did not isolate this mechanism; the present DDM decomposition provides that specificity.</w:t>
      </w:r>
    </w:p>
    <w:tbl>
      <w:tblPr>
        <w:tblStyle w:val="Table"/>
        <w:tblW w:type="pct" w:w="5000"/>
        <w:tblLayout w:type="fixed"/>
        <w:tblLook w:firstRow="0" w:lastRow="0" w:firstColumn="0" w:lastColumn="0" w:noHBand="0" w:noVBand="0" w:val="0000"/>
      </w:tblPr>
      <w:tblGrid>
        <w:gridCol w:w="7920"/>
      </w:tblGrid>
      <w:tr>
        <w:tc>
          <w:tcPr/>
          <w:bookmarkStart w:id="92" w:name="fig-decision-landscape"/>
          <w:p>
            <w:pPr>
              <w:pStyle w:val="Compact"/>
              <w:jc w:val="center"/>
            </w:pPr>
          </w:p>
          <w:p>
            <w:pPr>
              <w:jc w:val="center"/>
            </w:pPr>
            <w:pPr>
              <w:jc w:val="start"/>
              <w:spacing w:before="200"/>
              <w:pStyle w:val="ImageCaption"/>
            </w:pPr>
            <w:r>
              <w:t xml:space="preserve">Figure 11: The Decision Landscape: Effect of Drift Rate on RT Distribution. This 3D surface visualizes the theoretical</w:t>
            </w:r>
            <w:r>
              <w:t xml:space="preserve"> </w:t>
            </w:r>
            <w:r>
              <w:t xml:space="preserve">‘Crunch Point’</w:t>
            </w:r>
            <w:r>
              <w:t xml:space="preserve"> </w:t>
            </w:r>
            <w:r>
              <w:t xml:space="preserve">observed in our data. The vertical axis (Z) represents the probability density of a response. As drift rate (</w:t>
            </w:r>
            <m:oMath>
              <m:r>
                <m:t>v</m:t>
              </m:r>
            </m:oMath>
            <w:r>
              <w:t xml:space="preserve">, Y-axis) decreases from Easy levels (</w:t>
            </w:r>
            <m:oMath>
              <m:r>
                <m:rPr>
                  <m:sty m:val="p"/>
                </m:rPr>
                <m:t>≈</m:t>
              </m:r>
              <m:r>
                <m:t>2.0</m:t>
              </m:r>
            </m:oMath>
            <w:r>
              <w:t xml:space="preserve">) to Hard/Standard levels (</w:t>
            </w:r>
            <m:oMath>
              <m:r>
                <m:rPr>
                  <m:sty m:val="p"/>
                </m:rPr>
                <m:t>≈</m:t>
              </m:r>
              <m:r>
                <m:t>0</m:t>
              </m:r>
            </m:oMath>
            <w:r>
              <w:t xml:space="preserve"> </w:t>
            </w:r>
            <w:r>
              <w:t xml:space="preserve">to</w:t>
            </w:r>
            <w:r>
              <w:t xml:space="preserve"> </w:t>
            </w:r>
            <m:oMath>
              <m:r>
                <m:rPr>
                  <m:sty m:val="p"/>
                </m:rPr>
                <m:t>−</m:t>
              </m:r>
              <m:r>
                <m:t>1.0</m:t>
              </m:r>
            </m:oMath>
            <w:r>
              <w:t xml:space="preserve">), the sharp peak of timely responses collapses into a flat, spread-out distribution. This visualizes why older adults’ reaction times become disproportionately variable and slow when physical effort or task difficulty degrades the quality of evidence accumulation (</w:t>
            </w:r>
            <m:oMath>
              <m:r>
                <m:t>v</m:t>
              </m:r>
            </m:oMath>
            <w:r>
              <w:t xml:space="preserve">).</w:t>
            </w:r>
          </w:p>
          <w:bookmarkEnd w:id="92"/>
        </w:tc>
      </w:tr>
    </w:tbl>
    <w:bookmarkEnd w:id="93"/>
    <w:bookmarkStart w:id="94" w:name="Xf3ced28c7fed163bff235917cad11baa2e6b68a"/>
    <w:p>
      <w:pPr>
        <w:pStyle w:val="Heading2"/>
      </w:pPr>
      <w:r>
        <w:t xml:space="preserve">4.3 Modeling Constraints: Non-Decision Time and Peripheral Processes</w:t>
      </w:r>
    </w:p>
    <w:p>
      <w:pPr>
        <w:pStyle w:val="FirstParagraph"/>
      </w:pPr>
      <w:r>
        <w:t xml:space="preserve">The inability to directly test H3 (non-decision time increase under High effort) reflects a modeling constraint specific to the response-signal paradigm: because the response window is externally gated,</w:t>
      </w:r>
      <w:r>
        <w:t xml:space="preserve"> </w:t>
      </w:r>
      <m:oMath>
        <m:sSub>
          <m:e>
            <m:r>
              <m:t>t</m:t>
            </m:r>
          </m:e>
          <m:sub>
            <m:r>
              <m:t>0</m:t>
            </m:r>
          </m:sub>
        </m:sSub>
      </m:oMath>
      <w:r>
        <w:t xml:space="preserve"> </w:t>
      </w:r>
      <w:r>
        <w:t xml:space="preserve">cannot be cleanly disentangled from the timing structure, necessitating an intercept-only specification for stability (see Section 2.8.3). The exploratory models that allowed</w:t>
      </w:r>
      <w:r>
        <w:t xml:space="preserve"> </w:t>
      </w:r>
      <m:oMath>
        <m:sSub>
          <m:e>
            <m:r>
              <m:t>t</m:t>
            </m:r>
          </m:e>
          <m:sub>
            <m:r>
              <m:t>0</m:t>
            </m:r>
          </m:sub>
        </m:sSub>
      </m:oMath>
      <w:r>
        <w:t xml:space="preserve"> </w:t>
      </w:r>
      <w:r>
        <w:t xml:space="preserve">to vary by effort yielded a negligible posterior estimate (</w:t>
      </w:r>
      <m:oMath>
        <m:r>
          <m:t>β</m:t>
        </m:r>
        <m:r>
          <m:rPr>
            <m:sty m:val="p"/>
          </m:rPr>
          <m:t>=</m:t>
        </m:r>
        <m:r>
          <m:t>0.02</m:t>
        </m:r>
      </m:oMath>
      <w:r>
        <w:t xml:space="preserve"> </w:t>
      </w:r>
      <w:r>
        <w:t xml:space="preserve">s, 95% CrI</w:t>
      </w:r>
      <w:r>
        <w:t xml:space="preserve"> </w:t>
      </w:r>
      <m:oMath>
        <m:d>
          <m:dPr>
            <m:begChr m:val="["/>
            <m:sepChr m:val=""/>
            <m:endChr m:val="]"/>
            <m:grow/>
          </m:dPr>
          <m:e>
            <m:r>
              <m:rPr>
                <m:sty m:val="p"/>
              </m:rPr>
              <m:t>−</m:t>
            </m:r>
            <m:r>
              <m:t>0.05</m:t>
            </m:r>
            <m:r>
              <m:rPr>
                <m:sty m:val="p"/>
              </m:rPr>
              <m:t>,</m:t>
            </m:r>
            <m:r>
              <m:t> </m:t>
            </m:r>
            <m:r>
              <m:t>0.09</m:t>
            </m:r>
          </m:e>
        </m:d>
      </m:oMath>
      <w:r>
        <w:t xml:space="preserve">, corresponding to</w:t>
      </w:r>
      <w:r>
        <w:t xml:space="preserve"> </w:t>
      </w:r>
      <m:oMath>
        <m:sSub>
          <m:e>
            <m:r>
              <m:t>t</m:t>
            </m:r>
          </m:e>
          <m:sub>
            <m:r>
              <m:t>0</m:t>
            </m:r>
          </m:sub>
        </m:sSub>
        <m:r>
          <m:rPr>
            <m:sty m:val="p"/>
          </m:rPr>
          <m:t>&lt;</m:t>
        </m:r>
        <m:r>
          <m:t>10</m:t>
        </m:r>
      </m:oMath>
      <w:r>
        <w:t xml:space="preserve"> </w:t>
      </w:r>
      <w:r>
        <w:t xml:space="preserve">ms), providing weak evidence that concurrent handgrip did not substantially slow peripheral encoding or motor execution. This null result is broadly consistent with findings that isometric grip tasks primarily engage central rather than peripheral resources at moderate intensities</w:t>
      </w:r>
      <w:r>
        <w:t xml:space="preserve"> </w:t>
      </w:r>
      <w:r>
        <w:t xml:space="preserve">(Wickens, 2008)</w:t>
      </w:r>
      <w:r>
        <w:t xml:space="preserve">. The accuracy decline under High effort (</w:t>
      </w:r>
      <w:hyperlink w:anchor="tbl-accuracy-glmm">
        <w:r>
          <w:rPr>
            <w:rStyle w:val="Hyperlink"/>
          </w:rPr>
          <w:t xml:space="preserve">Table 21</w:t>
        </w:r>
      </w:hyperlink>
      <w:r>
        <w:t xml:space="preserve">) was fully captured by reductions in drift rate (</w:t>
      </w:r>
      <m:oMath>
        <m:r>
          <m:t>v</m:t>
        </m:r>
      </m:oMath>
      <w:r>
        <w:t xml:space="preserve">) rather than by</w:t>
      </w:r>
      <w:r>
        <w:t xml:space="preserve"> </w:t>
      </w:r>
      <m:oMath>
        <m:sSub>
          <m:e>
            <m:r>
              <m:t>t</m:t>
            </m:r>
          </m:e>
          <m:sub>
            <m:r>
              <m:t>0</m:t>
            </m:r>
          </m:sub>
        </m:sSub>
      </m:oMath>
      <w:r>
        <w:t xml:space="preserve"> </w:t>
      </w:r>
      <w:r>
        <w:t xml:space="preserve">changes, confirming that cognitive-motor interference manifested during evidence accumulation rather than during peripheral encoding or motor stages.</w:t>
      </w:r>
    </w:p>
    <w:bookmarkEnd w:id="94"/>
    <w:bookmarkStart w:id="95" w:name="X0d0aebd40b01a36d26bea6bb5b988beef1fc387"/>
    <w:p>
      <w:pPr>
        <w:pStyle w:val="Heading2"/>
      </w:pPr>
      <w:r>
        <w:t xml:space="preserve">4.4 Strategic Rigidity: Why Caution (</w:t>
      </w:r>
      <m:oMath>
        <m:r>
          <m:t>a</m:t>
        </m:r>
      </m:oMath>
      <w:r>
        <w:t xml:space="preserve">) Didn’t Increase</w:t>
      </w:r>
    </w:p>
    <w:p>
      <w:pPr>
        <w:pStyle w:val="FirstParagraph"/>
      </w:pPr>
      <w:r>
        <w:t xml:space="preserve">The failure to find increased boundary separation under High effort (H2) is theoretically informative rather than merely a null result. Adaptive Gain Theory</w:t>
      </w:r>
      <w:r>
        <w:t xml:space="preserve"> </w:t>
      </w:r>
      <w:r>
        <w:t xml:space="preserve">(Aston-Jones &amp; Cohen, 2005)</w:t>
      </w:r>
      <w:r>
        <w:t xml:space="preserve"> </w:t>
      </w:r>
      <w:r>
        <w:t xml:space="preserve">predicts that phasic locus coeruleus–norepinephrine (LC-NE) activation should promote a shift toward</w:t>
      </w:r>
      <w:r>
        <w:t xml:space="preserve"> </w:t>
      </w:r>
      <w:r>
        <w:rPr>
          <w:i/>
          <w:iCs/>
        </w:rPr>
        <w:t xml:space="preserve">exploitation</w:t>
      </w:r>
      <w:r>
        <w:t xml:space="preserve"> </w:t>
      </w:r>
      <w:r>
        <w:t xml:space="preserve">of current task strategy, which can manifest as widening of the decision criterion. Empirical support for this boundary-widening prediction in cognitive tasks comes from</w:t>
      </w:r>
      <w:r>
        <w:t xml:space="preserve"> </w:t>
      </w:r>
      <w:r>
        <w:t xml:space="preserve">Cavanagh et al. (2014)</w:t>
      </w:r>
      <w:r>
        <w:t xml:space="preserve">, who showed that pupil-indexed arousal during high-conflict choices in a probabilistic learning paradigm predicted increased boundary separation — though their manipulation targeted cognitive conflict rather than sustained physical effort. Contrary to the Adaptive Gain Theory prediction, boundary separation did not reliably increase under High effort in the present study (</w:t>
      </w:r>
      <m:oMath>
        <m:r>
          <m:t>β</m:t>
        </m:r>
        <m:r>
          <m:rPr>
            <m:sty m:val="p"/>
          </m:rPr>
          <m:t>=</m:t>
        </m:r>
        <m:r>
          <m:t>0.01</m:t>
        </m:r>
      </m:oMath>
      <w:r>
        <w:t xml:space="preserve">, 95% CrI</w:t>
      </w:r>
      <w:r>
        <w:t xml:space="preserve"> </w:t>
      </w:r>
      <m:oMath>
        <m:d>
          <m:dPr>
            <m:begChr m:val="["/>
            <m:sepChr m:val=""/>
            <m:endChr m:val="]"/>
            <m:grow/>
          </m:dPr>
          <m:e>
            <m:r>
              <m:rPr>
                <m:sty m:val="p"/>
              </m:rPr>
              <m:t>−</m:t>
            </m:r>
            <m:r>
              <m:t>0.01</m:t>
            </m:r>
            <m:r>
              <m:rPr>
                <m:sty m:val="p"/>
              </m:rPr>
              <m:t>,</m:t>
            </m:r>
            <m:r>
              <m:t> </m:t>
            </m:r>
            <m:r>
              <m:t>0.02</m:t>
            </m:r>
          </m:e>
        </m:d>
      </m:oMath>
      <w:r>
        <w:t xml:space="preserve">; credible interval includes zero). The absence of this effect in older adults may, on a speculative account, reflect a compression or blunting of the phasic LC-NE response under high metabolic load — consistent with the view that aging reduces the dynamic range of neuromodulatory gain adjustment</w:t>
      </w:r>
      <w:r>
        <w:t xml:space="preserve"> </w:t>
      </w:r>
      <w:r>
        <w:t xml:space="preserve">(Huang &amp; Clewett, 2024; Mather &amp; Harley, 2016)</w:t>
      </w:r>
      <w:r>
        <w:t xml:space="preserve">. Alternatively, the sustained motor effort required by the grip manipulation — unlike transient phasic arousal bursts during cognitive conflict detection — may not engage the same LC-NE gain mechanism that drives strategic boundary widening. Distinguishing these accounts will require direct measurement of LC integrity and phasic NE release — precisely the aim of the broader LC-BAP project of which this chapter is a part.</w:t>
      </w:r>
    </w:p>
    <w:p>
      <w:pPr>
        <w:pStyle w:val="BodyText"/>
      </w:pPr>
      <w:r>
        <w:t xml:space="preserve">Notably, boundary estimates did vary by stimulus-driven difficulty (Easy: 2.41, Standard: 2.64, Hard: 2.36;</w:t>
      </w:r>
      <w:r>
        <w:t xml:space="preserve"> </w:t>
      </w:r>
      <w:hyperlink w:anchor="tbl-ddm-core-by-difficulty-effort">
        <w:r>
          <w:rPr>
            <w:rStyle w:val="Hyperlink"/>
          </w:rPr>
          <w:t xml:space="preserve">Table 4</w:t>
        </w:r>
      </w:hyperlink>
      <w:r>
        <w:t xml:space="preserve">), confirming that the model is sensitive to caution adjustments driven by bottom-up perceptual demands, even though top-down effort-related adjustments were absent. Future work using free-response paradigms (without response cues) could better isolate strategic flexibility from design-imposed temporal constraints.</w:t>
      </w:r>
    </w:p>
    <w:p>
      <w:pPr>
        <w:pStyle w:val="BodyText"/>
      </w:pPr>
      <w:r>
        <w:t xml:space="preserve">A potential concern with response-side coding is whether the Wiener DDM misinterprets Standard trial responses — where the correct answer is</w:t>
      </w:r>
      <w:r>
        <w:t xml:space="preserve"> </w:t>
      </w:r>
      <w:r>
        <w:t xml:space="preserve">‘Same’</w:t>
      </w:r>
      <w:r>
        <w:t xml:space="preserve"> </w:t>
      </w:r>
      <w:r>
        <w:t xml:space="preserve">(lower boundary) — as errors, because they accumulate toward a negative drift (lower boundary rather than upper). This concern does not apply in the present implementation. The decresponse argument in brms encodes the observed response (Different = 1, Same = 0) as the boundary indicator, not a correctness flag. The model observes the actual RT and response, infers the latent evidence trajectory that would produce that RT–accuracy combination given the full design, and estimates parameters that best explain the joint RT × accuracy distribution across all conditions simultaneously. Accordingly, the strong negative drift on Standard trials (</w:t>
      </w:r>
      <m:oMath>
        <m:acc>
          <m:accPr>
            <m:chr m:val="̂"/>
          </m:accPr>
          <m:e>
            <m:r>
              <m:t>v</m:t>
            </m:r>
          </m:e>
        </m:acc>
        <m:r>
          <m:rPr>
            <m:sty m:val="p"/>
          </m:rPr>
          <m:t>≈</m:t>
        </m:r>
        <m:r>
          <m:rPr>
            <m:sty m:val="p"/>
          </m:rPr>
          <m:t>−</m:t>
        </m:r>
        <m:r>
          <m:t>1.09</m:t>
        </m:r>
      </m:oMath>
      <w:r>
        <w:t xml:space="preserve">) does not indicate that the model treats these as error trials; it correctly captures the fact that participants accurately pressed</w:t>
      </w:r>
      <w:r>
        <w:t xml:space="preserve"> </w:t>
      </w:r>
      <w:r>
        <w:t xml:space="preserve">‘Same’</w:t>
      </w:r>
      <w:r>
        <w:t xml:space="preserve"> </w:t>
      </w:r>
      <w:r>
        <w:t xml:space="preserve">by accumulating evidence toward the lower boundary. The fact that boundary separation is higher on Standard trials (</w:t>
      </w:r>
      <m:oMath>
        <m:acc>
          <m:accPr>
            <m:chr m:val="̂"/>
          </m:accPr>
          <m:e>
            <m:r>
              <m:t>a</m:t>
            </m:r>
          </m:e>
        </m:acc>
        <m:r>
          <m:rPr>
            <m:sty m:val="p"/>
          </m:rPr>
          <m:t>=</m:t>
        </m:r>
        <m:r>
          <m:t>2.64</m:t>
        </m:r>
      </m:oMath>
      <w:r>
        <w:t xml:space="preserve">) than on Hard (</w:t>
      </w:r>
      <m:oMath>
        <m:acc>
          <m:accPr>
            <m:chr m:val="̂"/>
          </m:accPr>
          <m:e>
            <m:r>
              <m:t>a</m:t>
            </m:r>
          </m:e>
        </m:acc>
        <m:r>
          <m:rPr>
            <m:sty m:val="p"/>
          </m:rPr>
          <m:t>=</m:t>
        </m:r>
        <m:r>
          <m:t>2.37</m:t>
        </m:r>
      </m:oMath>
      <w:r>
        <w:t xml:space="preserve">) or Easy (</w:t>
      </w:r>
      <m:oMath>
        <m:acc>
          <m:accPr>
            <m:chr m:val="̂"/>
          </m:accPr>
          <m:e>
            <m:r>
              <m:t>a</m:t>
            </m:r>
          </m:e>
        </m:acc>
        <m:r>
          <m:rPr>
            <m:sty m:val="p"/>
          </m:rPr>
          <m:t>=</m:t>
        </m:r>
        <m:r>
          <m:t>2.41</m:t>
        </m:r>
      </m:oMath>
      <w:r>
        <w:t xml:space="preserve">) further validates this interpretation: the model responds to the exhaustive search demands of Standard trials by estimating a wider, more cautious boundary — the theoretically correct direction — rather than collapsing the boundary as it would if it incorrectly coded these as high-error conditions.</w:t>
      </w:r>
    </w:p>
    <w:p>
      <w:pPr>
        <w:pStyle w:val="BodyText"/>
      </w:pPr>
      <w:r>
        <w:rPr>
          <w:b/>
          <w:bCs/>
        </w:rPr>
        <w:t xml:space="preserve">Boundary separation vs. starting-point bias: Different timescales of adjustment.</w:t>
      </w:r>
      <w:r>
        <w:t xml:space="preserve"> </w:t>
      </w:r>
      <w:r>
        <w:t xml:space="preserve">It is important to clarify an apparent asymmetry in the modeling decisions. Starting-point bias</w:t>
      </w:r>
      <w:r>
        <w:t xml:space="preserve"> </w:t>
      </w:r>
      <m:oMath>
        <m:r>
          <m:t>z</m:t>
        </m:r>
      </m:oMath>
      <w:r>
        <w:t xml:space="preserve"> </w:t>
      </w:r>
      <w:r>
        <w:t xml:space="preserve">was constrained to be constant across difficulty levels, reflecting the logical impossibility of pre-trial criterion adjustment when trial difficulty is randomized and unknown prior to stimulus onset. In contrast, boundary separation</w:t>
      </w:r>
      <w:r>
        <w:t xml:space="preserve"> </w:t>
      </w:r>
      <m:oMath>
        <m:r>
          <m:t>a</m:t>
        </m:r>
      </m:oMath>
      <w:r>
        <w:t xml:space="preserve"> </w:t>
      </w:r>
      <w:r>
        <w:t xml:space="preserve">was estimated as a function of difficulty and varied systematically (Standard:</w:t>
      </w:r>
      <w:r>
        <w:t xml:space="preserve"> </w:t>
      </w:r>
      <m:oMath>
        <m:acc>
          <m:accPr>
            <m:chr m:val="̂"/>
          </m:accPr>
          <m:e>
            <m:r>
              <m:t>a</m:t>
            </m:r>
          </m:e>
        </m:acc>
      </m:oMath>
      <w:r>
        <w:t xml:space="preserve"> </w:t>
      </w:r>
      <w:r>
        <w:t xml:space="preserve">= 2.64; Hard:</w:t>
      </w:r>
      <w:r>
        <w:t xml:space="preserve"> </w:t>
      </w:r>
      <m:oMath>
        <m:acc>
          <m:accPr>
            <m:chr m:val="̂"/>
          </m:accPr>
          <m:e>
            <m:r>
              <m:t>a</m:t>
            </m:r>
          </m:e>
        </m:acc>
      </m:oMath>
      <w:r>
        <w:t xml:space="preserve"> </w:t>
      </w:r>
      <w:r>
        <w:t xml:space="preserve">= 2.36; Easy:</w:t>
      </w:r>
      <w:r>
        <w:t xml:space="preserve"> </w:t>
      </w:r>
      <m:oMath>
        <m:acc>
          <m:accPr>
            <m:chr m:val="̂"/>
          </m:accPr>
          <m:e>
            <m:r>
              <m:t>a</m:t>
            </m:r>
          </m:e>
        </m:acc>
      </m:oMath>
      <w:r>
        <w:t xml:space="preserve"> </w:t>
      </w:r>
      <w:r>
        <w:t xml:space="preserve">= 2.41;</w:t>
      </w:r>
      <w:r>
        <w:t xml:space="preserve"> </w:t>
      </w:r>
      <w:hyperlink w:anchor="tbl-ddm-core-by-difficulty-effort">
        <w:r>
          <w:rPr>
            <w:rStyle w:val="Hyperlink"/>
          </w:rPr>
          <w:t xml:space="preserve">Table 4</w:t>
        </w:r>
      </w:hyperlink>
      <w:r>
        <w:t xml:space="preserve">).</w:t>
      </w:r>
    </w:p>
    <w:p>
      <w:pPr>
        <w:pStyle w:val="BodyText"/>
      </w:pPr>
      <w:r>
        <w:t xml:space="preserve">This is not a contradiction. The two parameters reflect adjustments occurring at different timescales. Starting-point bias</w:t>
      </w:r>
      <w:r>
        <w:t xml:space="preserve"> </w:t>
      </w:r>
      <m:oMath>
        <m:r>
          <m:t>z</m:t>
        </m:r>
      </m:oMath>
      <w:r>
        <w:t xml:space="preserve"> </w:t>
      </w:r>
      <w:r>
        <w:t xml:space="preserve">represents a true pre-stimulus strategic choice — where participants position themselves before evidence accumulation begins — and can only be set based on information available before the trial (task modality, effort condition). Boundary separation</w:t>
      </w:r>
      <w:r>
        <w:t xml:space="preserve"> </w:t>
      </w:r>
      <m:oMath>
        <m:r>
          <m:t>a</m:t>
        </m:r>
      </m:oMath>
      <w:r>
        <w:t xml:space="preserve">, by contrast, is not a pre-trial strategic decision but rather an effective decision threshold inferred by the model from the shape of the empirical RT distribution within each condition. Participants do not</w:t>
      </w:r>
      <w:r>
        <w:t xml:space="preserve"> </w:t>
      </w:r>
      <w:r>
        <w:t xml:space="preserve">“set”</w:t>
      </w:r>
      <w:r>
        <w:t xml:space="preserve"> </w:t>
      </w:r>
      <w:r>
        <w:t xml:space="preserve">this boundary in advance; rather, the model recovers it as the latent parameter that best explains the observed RT variance under diffusion process assumptions</w:t>
      </w:r>
      <w:r>
        <w:t xml:space="preserve"> </w:t>
      </w:r>
      <w:r>
        <w:t xml:space="preserve">(Ratcliff, 1985; Voss et al., 2004)</w:t>
      </w:r>
      <w:r>
        <w:t xml:space="preserve">. Over many trials, difficulty-dependent differences in RT dispersion and accuracy produce systematically different</w:t>
      </w:r>
      <w:r>
        <w:t xml:space="preserve"> </w:t>
      </w:r>
      <m:oMath>
        <m:r>
          <m:t>a</m:t>
        </m:r>
      </m:oMath>
      <w:r>
        <w:t xml:space="preserve"> </w:t>
      </w:r>
      <w:r>
        <w:t xml:space="preserve">estimates even though individual participants are unaware of upcoming difficulty.</w:t>
      </w:r>
    </w:p>
    <w:p>
      <w:pPr>
        <w:pStyle w:val="BodyText"/>
      </w:pPr>
      <w:r>
        <w:t xml:space="preserve">The larger</w:t>
      </w:r>
      <w:r>
        <w:t xml:space="preserve"> </w:t>
      </w:r>
      <m:oMath>
        <m:r>
          <m:t>a</m:t>
        </m:r>
      </m:oMath>
      <w:r>
        <w:t xml:space="preserve"> </w:t>
      </w:r>
      <w:r>
        <w:t xml:space="preserve">on Standard trials reflects the model’s accommodation of the characteristically broader, more right-skewed RT distribution observed on those trials — a distributional signature of the exhaustive comparison process required to confirm perfect sameness</w:t>
      </w:r>
      <w:r>
        <w:t xml:space="preserve"> </w:t>
      </w:r>
      <w:r>
        <w:t xml:space="preserve">(Farell, 1985; Voss et al., 2004)</w:t>
      </w:r>
      <w:r>
        <w:t xml:space="preserve">. In this sense,</w:t>
      </w:r>
      <w:r>
        <w:t xml:space="preserve"> </w:t>
      </w:r>
      <m:oMath>
        <m:r>
          <m:t>a</m:t>
        </m:r>
      </m:oMath>
      <w:r>
        <w:t xml:space="preserve"> </w:t>
      </w:r>
      <w:r>
        <w:t xml:space="preserve">captures the mechanistic consequence of within-trial processing demands, while</w:t>
      </w:r>
      <w:r>
        <w:t xml:space="preserve"> </w:t>
      </w:r>
      <m:oMath>
        <m:r>
          <m:t>z</m:t>
        </m:r>
      </m:oMath>
      <w:r>
        <w:t xml:space="preserve"> </w:t>
      </w:r>
      <w:r>
        <w:t xml:space="preserve">captures a pre-trial strategic bias. Both are legitimate sources of condition-specific variation, but only</w:t>
      </w:r>
      <w:r>
        <w:t xml:space="preserve"> </w:t>
      </w:r>
      <m:oMath>
        <m:r>
          <m:t>z</m:t>
        </m:r>
      </m:oMath>
      <w:r>
        <w:t xml:space="preserve"> </w:t>
      </w:r>
      <w:r>
        <w:t xml:space="preserve">requires advance knowledge of the trial type.</w:t>
      </w:r>
    </w:p>
    <w:bookmarkEnd w:id="95"/>
    <w:bookmarkStart w:id="96" w:name="bias-and-phasic-arousal"/>
    <w:p>
      <w:pPr>
        <w:pStyle w:val="Heading2"/>
      </w:pPr>
      <w:r>
        <w:t xml:space="preserve">4.5 Bias and Phasic Arousal</w:t>
      </w:r>
    </w:p>
    <w:p>
      <w:pPr>
        <w:pStyle w:val="FirstParagraph"/>
      </w:pPr>
      <w:r>
        <w:t xml:space="preserve">The null effect of effort on starting-point bias (H4) suggests that concurrent handgrip at 40% MVC did not reset or neutralize pre-existing response preferences in older adults. Notably, the</w:t>
      </w:r>
      <w:r>
        <w:t xml:space="preserve"> </w:t>
      </w:r>
      <w:r>
        <w:t xml:space="preserve">Gee et al. (2020)</w:t>
      </w:r>
      <w:r>
        <w:t xml:space="preserve"> </w:t>
      </w:r>
      <w:r>
        <w:t xml:space="preserve">effect was demonstrated using phasic, within-trial arousal fluctuations indexed by pupil dilation, whereas the present H4 test relied on a sustained tonic effort manipulation. It is possible that tonic arousal elevation does not produce the same criterion-resetting dynamics as a phasic arousal event — a distinction that future work pairing trial-level TEPR with starting-point bias estimates could address directly. Starting-point bias was consistently above 0.5 across conditions (</w:t>
      </w:r>
      <m:oMath>
        <m:r>
          <m:t>z</m:t>
        </m:r>
        <m:r>
          <m:rPr>
            <m:sty m:val="p"/>
          </m:rPr>
          <m:t>=</m:t>
        </m:r>
        <m:r>
          <m:t>0.63</m:t>
        </m:r>
      </m:oMath>
      <w:r>
        <w:t xml:space="preserve">, 95% CrI [0.6, 0.66];</w:t>
      </w:r>
      <w:r>
        <w:t xml:space="preserve"> </w:t>
      </w:r>
      <w:hyperlink w:anchor="tbl-standard-only-bias-levels">
        <w:r>
          <w:rPr>
            <w:rStyle w:val="Hyperlink"/>
          </w:rPr>
          <w:t xml:space="preserve">Table 11</w:t>
        </w:r>
      </w:hyperlink>
      <w:r>
        <w:t xml:space="preserve">), indicating a systematic tendency toward</w:t>
      </w:r>
      <w:r>
        <w:t xml:space="preserve"> </w:t>
      </w:r>
      <w:r>
        <w:t xml:space="preserve">“different”</w:t>
      </w:r>
      <w:r>
        <w:t xml:space="preserve"> </w:t>
      </w:r>
      <w:r>
        <w:t xml:space="preserve">responses that effort did not attenuate.</w:t>
      </w:r>
    </w:p>
    <w:p>
      <w:pPr>
        <w:pStyle w:val="BodyText"/>
      </w:pPr>
      <w:r>
        <w:t xml:space="preserve">Critically, this pattern reflects a</w:t>
      </w:r>
      <w:r>
        <w:t xml:space="preserve"> </w:t>
      </w:r>
      <w:r>
        <w:rPr>
          <w:b/>
          <w:bCs/>
        </w:rPr>
        <w:t xml:space="preserve">liberal</w:t>
      </w:r>
      <w:r>
        <w:t xml:space="preserve"> </w:t>
      </w:r>
      <w:r>
        <w:t xml:space="preserve">response bias in Signal Detection Theory terms — participants were predisposed to report</w:t>
      </w:r>
      <w:r>
        <w:t xml:space="preserve"> </w:t>
      </w:r>
      <w:r>
        <w:t xml:space="preserve">“Different”</w:t>
      </w:r>
      <w:r>
        <w:t xml:space="preserve"> </w:t>
      </w:r>
      <w:r>
        <w:t xml:space="preserve">with relatively low evidentiary thresholds. This contrasts with the conservative recognition criterion (high</w:t>
      </w:r>
      <w:r>
        <w:t xml:space="preserve"> </w:t>
      </w:r>
      <m:oMath>
        <m:r>
          <m:t>β</m:t>
        </m:r>
      </m:oMath>
      <w:r>
        <w:t xml:space="preserve">, reflected in a response bias</w:t>
      </w:r>
      <w:r>
        <w:t xml:space="preserve"> </w:t>
      </w:r>
      <w:r>
        <w:rPr>
          <w:i/>
          <w:iCs/>
        </w:rPr>
        <w:t xml:space="preserve">away</w:t>
      </w:r>
      <w:r>
        <w:t xml:space="preserve"> </w:t>
      </w:r>
      <w:r>
        <w:t xml:space="preserve">from</w:t>
      </w:r>
      <w:r>
        <w:t xml:space="preserve"> </w:t>
      </w:r>
      <w:r>
        <w:t xml:space="preserve">“old”</w:t>
      </w:r>
      <w:r>
        <w:t xml:space="preserve"> </w:t>
      </w:r>
      <w:r>
        <w:t xml:space="preserve">or</w:t>
      </w:r>
      <w:r>
        <w:t xml:space="preserve"> </w:t>
      </w:r>
      <w:r>
        <w:t xml:space="preserve">“signal”</w:t>
      </w:r>
      <w:r>
        <w:t xml:space="preserve">) typically reported in older adults in episodic recognition memory tasks</w:t>
      </w:r>
      <w:r>
        <w:t xml:space="preserve"> </w:t>
      </w:r>
      <w:r>
        <w:t xml:space="preserve">(Koen &amp; Rugg, 2016)</w:t>
      </w:r>
      <w:r>
        <w:t xml:space="preserve">. The present paradigm is a change-detection task, not a recognition memory task, and the</w:t>
      </w:r>
      <w:r>
        <w:t xml:space="preserve"> </w:t>
      </w:r>
      <w:r>
        <w:t xml:space="preserve">“Different”</w:t>
      </w:r>
      <w:r>
        <w:t xml:space="preserve"> </w:t>
      </w:r>
      <w:r>
        <w:t xml:space="preserve">response corresponds to detecting a</w:t>
      </w:r>
      <w:r>
        <w:t xml:space="preserve"> </w:t>
      </w:r>
      <w:r>
        <w:rPr>
          <w:i/>
          <w:iCs/>
        </w:rPr>
        <w:t xml:space="preserve">signal</w:t>
      </w:r>
      <w:r>
        <w:t xml:space="preserve"> </w:t>
      </w:r>
      <w:r>
        <w:t xml:space="preserve">(a change is present). A starting point biased toward</w:t>
      </w:r>
      <w:r>
        <w:t xml:space="preserve"> </w:t>
      </w:r>
      <w:r>
        <w:t xml:space="preserve">“Different”</w:t>
      </w:r>
      <w:r>
        <w:t xml:space="preserve"> </w:t>
      </w:r>
      <w:r>
        <w:t xml:space="preserve">therefore reflects a liberal detection strategy — more false alarms, fewer misses — not a conservative one.</w:t>
      </w:r>
    </w:p>
    <w:p>
      <w:pPr>
        <w:pStyle w:val="BodyText"/>
      </w:pPr>
      <w:r>
        <w:t xml:space="preserve">The liberal detection strategy is consistent with the</w:t>
      </w:r>
      <w:r>
        <w:t xml:space="preserve"> </w:t>
      </w:r>
      <w:r>
        <w:t xml:space="preserve">“Different-as-default heuristic”</w:t>
      </w:r>
      <w:r>
        <w:t xml:space="preserve"> </w:t>
      </w:r>
      <w:r>
        <w:t xml:space="preserve">documented in same-different paradigms</w:t>
      </w:r>
      <w:r>
        <w:t xml:space="preserve"> </w:t>
      </w:r>
      <w:r>
        <w:t xml:space="preserve">(Farell, 1985; Nosofsky &amp; Palmeri, 1997)</w:t>
      </w:r>
      <w:r>
        <w:t xml:space="preserve">: detecting any mismatch is self-terminating (the comparison can stop at the first discrepant feature), whereas confirming sameness requires exhaustive feature comparison. Under concurrent grip load at 40% MVC, adopting a liberal</w:t>
      </w:r>
      <w:r>
        <w:t xml:space="preserve"> </w:t>
      </w:r>
      <w:r>
        <w:t xml:space="preserve">“Different”</w:t>
      </w:r>
      <w:r>
        <w:t xml:space="preserve"> </w:t>
      </w:r>
      <w:r>
        <w:t xml:space="preserve">starting point reduces the cognitive expense of Standard (Same) trials at the cost of reduced discrimination accuracy — a sensible tradeoff when both arousal and response-time pressure are elevated. The stability of this liberal bias across effort conditions (null H4 effect) further suggests it reflects a deeply habituated task strategy rather than a state-dependent adjustment to momentary arousal.</w:t>
      </w:r>
    </w:p>
    <w:p>
      <w:pPr>
        <w:pStyle w:val="BodyText"/>
      </w:pPr>
      <w:r>
        <w:t xml:space="preserve">This contrasts with prior work showing that pupil-indexed phasic arousal can shift response criterion in younger adults</w:t>
      </w:r>
      <w:r>
        <w:t xml:space="preserve"> </w:t>
      </w:r>
      <w:r>
        <w:t xml:space="preserve">(Gee et al., 2020)</w:t>
      </w:r>
      <w:r>
        <w:t xml:space="preserve">, and may reflect an age-related reduction in the efficacy of phasic LC-NE signals to modulate criterion setting dynamically</w:t>
      </w:r>
      <w:r>
        <w:t xml:space="preserve"> </w:t>
      </w:r>
      <w:r>
        <w:t xml:space="preserve">(Huang &amp; Clewett, 2024)</w:t>
      </w:r>
      <w:r>
        <w:t xml:space="preserve">. As noted in Section 3.6, the unexpected reversal of TEPR magnitude across effort conditions (</w:t>
      </w:r>
      <w:hyperlink w:anchor="tbl-tepr">
        <w:r>
          <w:rPr>
            <w:rStyle w:val="Hyperlink"/>
          </w:rPr>
          <w:t xml:space="preserve">Table 7</w:t>
        </w:r>
      </w:hyperlink>
      <w:r>
        <w:t xml:space="preserve">) suggests that our pupil measure may have been compromised by motor-autonomic confounds inherent to the sustained grip manipulation, limiting our ability to detect genuine arousal-parameter coupling even if present. Importantly, a robust</w:t>
      </w:r>
      <w:r>
        <w:t xml:space="preserve"> </w:t>
      </w:r>
      <w:r>
        <w:rPr>
          <w:i/>
          <w:iCs/>
        </w:rPr>
        <w:t xml:space="preserve">task-level</w:t>
      </w:r>
      <w:r>
        <w:t xml:space="preserve"> </w:t>
      </w:r>
      <w:r>
        <w:t xml:space="preserve">bias difference was observed: older adults showed a stronger tendency toward</w:t>
      </w:r>
      <w:r>
        <w:t xml:space="preserve"> </w:t>
      </w:r>
      <w:r>
        <w:rPr>
          <w:i/>
          <w:iCs/>
        </w:rPr>
        <w:t xml:space="preserve">different</w:t>
      </w:r>
      <w:r>
        <w:t xml:space="preserve"> </w:t>
      </w:r>
      <w:r>
        <w:t xml:space="preserve">responses in the ADT compared to the VDT (</w:t>
      </w:r>
      <m:oMath>
        <m:r>
          <m:t>Δ</m:t>
        </m:r>
        <m:r>
          <m:t>z</m:t>
        </m:r>
        <m:r>
          <m:rPr>
            <m:sty m:val="p"/>
          </m:rPr>
          <m:t>=</m:t>
        </m:r>
        <m:r>
          <m:rPr>
            <m:sty m:val="p"/>
          </m:rPr>
          <m:t>−</m:t>
        </m:r>
        <m:r>
          <m:t>0.04</m:t>
        </m:r>
      </m:oMath>
      <w:r>
        <w:t xml:space="preserve">, 95% CrI [−0.06, −0.02];</w:t>
      </w:r>
      <w:r>
        <w:t xml:space="preserve"> </w:t>
      </w:r>
      <w:hyperlink w:anchor="tbl-standard-only-bias-contrasts">
        <w:r>
          <w:rPr>
            <w:rStyle w:val="Hyperlink"/>
          </w:rPr>
          <w:t xml:space="preserve">Table 6</w:t>
        </w:r>
      </w:hyperlink>
      <w:r>
        <w:t xml:space="preserve">). This task asymmetry likely reflects the inherent perceptual asymmetry of the auditory change-detection task, where frequency offsets create a more salient</w:t>
      </w:r>
      <w:r>
        <w:t xml:space="preserve"> </w:t>
      </w:r>
      <w:r>
        <w:t xml:space="preserve">“different”</w:t>
      </w:r>
      <w:r>
        <w:t xml:space="preserve"> </w:t>
      </w:r>
      <w:r>
        <w:t xml:space="preserve">signal relative to the subtler luminance contrast changes in the VDT. The bias difference was not modulated by effort in either task, suggesting it reflects a stable perceptual tendency rather than a state-dependent strategic adjustment. Future work examining whether LC integrity moderates this task-specific liberal bias — particularly given the LC’s role in sensory gating</w:t>
      </w:r>
      <w:r>
        <w:t xml:space="preserve"> </w:t>
      </w:r>
      <w:r>
        <w:t xml:space="preserve">(Huang &amp; Clewett, 2024; Mather &amp; Harley, 2016)</w:t>
      </w:r>
      <w:r>
        <w:t xml:space="preserve"> </w:t>
      </w:r>
      <w:r>
        <w:t xml:space="preserve">— would be informative.</w:t>
      </w:r>
    </w:p>
    <w:bookmarkEnd w:id="96"/>
    <w:bookmarkStart w:id="97" w:name="limitations-and-future-directions"/>
    <w:p>
      <w:pPr>
        <w:pStyle w:val="Heading2"/>
      </w:pPr>
      <w:r>
        <w:t xml:space="preserve">4.6 Limitations and Future Directions</w:t>
      </w:r>
    </w:p>
    <w:p>
      <w:pPr>
        <w:pStyle w:val="FirstParagraph"/>
      </w:pPr>
      <w:r>
        <w:t xml:space="preserve">Several limitations constrain the interpretation of these findings. First, the standard Wiener DDM assumes constant drift within each trial and does not include across-trial variability in drift (</w:t>
      </w:r>
      <m:oMath>
        <m:sSub>
          <m:e>
            <m:r>
              <m:t>s</m:t>
            </m:r>
          </m:e>
          <m:sub>
            <m:r>
              <m:t>v</m:t>
            </m:r>
          </m:sub>
        </m:sSub>
      </m:oMath>
      <w:r>
        <w:t xml:space="preserve">), starting point (</w:t>
      </w:r>
      <m:oMath>
        <m:sSub>
          <m:e>
            <m:r>
              <m:t>s</m:t>
            </m:r>
          </m:e>
          <m:sub>
            <m:r>
              <m:t>z</m:t>
            </m:r>
          </m:sub>
        </m:sSub>
      </m:oMath>
      <w:r>
        <w:t xml:space="preserve">), or non-decision time (</w:t>
      </w:r>
      <m:oMath>
        <m:sSub>
          <m:e>
            <m:r>
              <m:t>s</m:t>
            </m:r>
          </m:e>
          <m:sub>
            <m:sSub>
              <m:e>
                <m:r>
                  <m:t>t</m:t>
                </m:r>
              </m:e>
              <m:sub>
                <m:r>
                  <m:t>0</m:t>
                </m:r>
              </m:sub>
            </m:sSub>
          </m:sub>
        </m:sSub>
      </m:oMath>
      <w:r>
        <w:t xml:space="preserve">). This produced localized fast-tail misfit, most pronounced in Easy VDT conditions, where the model underpredicted the frequency of very fast correct responses — likely reflecting a subset of anticipatory responses or an extremely high-drift regime incompatible with the Wiener process at the cell level. Sensitivity analyses using 2% fast-response censoring and visual inspection of mid-body quantile-probability plots confirmed that this misfit did not alter the direction or credibility of any key parameter contrast (Appendix A3). Future extensions incorporating across-trial variability, a fast-guess contaminant mixture, or urgency-collapsing boundaries may improve absolute fit, particularly for Easy trials</w:t>
      </w:r>
      <w:r>
        <w:t xml:space="preserve"> </w:t>
      </w:r>
      <w:r>
        <w:t xml:space="preserve">(Ratcliff &amp; McKoon, 2008)</w:t>
      </w:r>
      <w:r>
        <w:t xml:space="preserve">.</w:t>
      </w:r>
    </w:p>
    <w:p>
      <w:pPr>
        <w:pStyle w:val="BodyText"/>
      </w:pPr>
      <w:r>
        <w:t xml:space="preserve">Second, the response-signal paradigm imposes structural constraints on parameter estimation. Because the response window is externally gated, non-decision time</w:t>
      </w:r>
      <w:r>
        <w:t xml:space="preserve"> </w:t>
      </w:r>
      <m:oMath>
        <m:sSub>
          <m:e>
            <m:r>
              <m:t>t</m:t>
            </m:r>
          </m:e>
          <m:sub>
            <m:r>
              <m:t>0</m:t>
            </m:r>
          </m:sub>
        </m:sSub>
      </m:oMath>
      <w:r>
        <w:t xml:space="preserve"> </w:t>
      </w:r>
      <w:r>
        <w:t xml:space="preserve">could not be estimated with condition-specific variation without instability (see Section 2.8.3 and the H3 discussion above), limiting the direct test of H3. Reaction times are measured from response-screen onset rather than stimulus onset, confining the interpretation of</w:t>
      </w:r>
      <w:r>
        <w:t xml:space="preserve"> </w:t>
      </w:r>
      <m:oMath>
        <m:sSub>
          <m:e>
            <m:r>
              <m:t>t</m:t>
            </m:r>
          </m:e>
          <m:sub>
            <m:r>
              <m:t>0</m:t>
            </m:r>
          </m:sub>
        </m:sSub>
      </m:oMath>
      <w:r>
        <w:t xml:space="preserve"> </w:t>
      </w:r>
      <w:r>
        <w:t xml:space="preserve">to motor execution and response selection rather than early perceptual encoding. These design choices were necessary given the MRI-compatible grip-force paradigm but limit generalizability to free-response paradigms where</w:t>
      </w:r>
      <w:r>
        <w:t xml:space="preserve"> </w:t>
      </w:r>
      <m:oMath>
        <m:sSub>
          <m:e>
            <m:r>
              <m:t>t</m:t>
            </m:r>
          </m:e>
          <m:sub>
            <m:r>
              <m:t>0</m:t>
            </m:r>
          </m:sub>
        </m:sSub>
      </m:oMath>
      <w:r>
        <w:t xml:space="preserve"> </w:t>
      </w:r>
      <w:r>
        <w:t xml:space="preserve">reflects the full encoding-decision-motor chain.</w:t>
      </w:r>
    </w:p>
    <w:p>
      <w:pPr>
        <w:pStyle w:val="BodyText"/>
      </w:pPr>
      <w:r>
        <w:t xml:space="preserve">Third, the trial-wise pupil predictor (Decision-Phase AUC; W3.0) spans both pre- and post-response epochs, making it difficult to isolate phasic arousal during evidence accumulation from post-decisional pupil dynamics. Although RT was included as a covariate in all pupil-DDM models to partial out response-timing confounds, we did not test sensitivity to AUC window definition (e.g., a pre-response W1.3 window). Additionally, PSIS-LOO estimates for pupil-augmented models were unreliable (Pareto-</w:t>
      </w:r>
      <m:oMath>
        <m:r>
          <m:t>k</m:t>
        </m:r>
        <m:r>
          <m:rPr>
            <m:sty m:val="p"/>
          </m:rPr>
          <m:t>&gt;</m:t>
        </m:r>
        <m:r>
          <m:t>0.7</m:t>
        </m:r>
      </m:oMath>
      <w:r>
        <w:t xml:space="preserve">), so model comparison was limited; conclusions about pupil effects are based on posterior coefficient distributions rather than LOO-based model selection</w:t>
      </w:r>
      <w:r>
        <w:t xml:space="preserve"> </w:t>
      </w:r>
      <w:r>
        <w:t xml:space="preserve">(Vehtari et al., 2017)</w:t>
      </w:r>
      <w:r>
        <w:t xml:space="preserve">.</w:t>
      </w:r>
    </w:p>
    <w:p>
      <w:pPr>
        <w:pStyle w:val="BodyText"/>
      </w:pPr>
      <w:r>
        <w:t xml:space="preserve">Fourth, the concurrent isometric handgrip manipulation (40% MVC) may interact with motor execution in ways not fully captured by small fixed effects on</w:t>
      </w:r>
      <w:r>
        <w:t xml:space="preserve"> </w:t>
      </w:r>
      <m:oMath>
        <m:sSub>
          <m:e>
            <m:r>
              <m:t>t</m:t>
            </m:r>
          </m:e>
          <m:sub>
            <m:r>
              <m:t>0</m:t>
            </m:r>
          </m:sub>
        </m:sSub>
      </m:oMath>
      <w:r>
        <w:t xml:space="preserve">; future work integrating EMG or kinematic measures could disentangle central resource competition from peripheral motor interference. Linear Ballistic Accumulator or race models may also better accommodate the fast-tail RT dynamics observed in Easy-difficulty conditions, and future work could explore whether these model families yield the same substantive pattern of effort and difficulty effects on decision parameters.</w:t>
      </w:r>
    </w:p>
    <w:bookmarkEnd w:id="97"/>
    <w:bookmarkStart w:id="98" w:name="conclusions"/>
    <w:p>
      <w:pPr>
        <w:pStyle w:val="Heading2"/>
      </w:pPr>
      <w:r>
        <w:t xml:space="preserve">4.7 Conclusions</w:t>
      </w:r>
    </w:p>
    <w:p>
      <w:pPr>
        <w:pStyle w:val="FirstParagraph"/>
      </w:pPr>
      <w:r>
        <w:t xml:space="preserve">This chapter establishes that effort-induced arousal degrades evidence accumulation quality — not response caution or peripheral processing speed — in older adults. The DDM decomposition provides the mechanistic specificity that traditional RT-accuracy analyses cannot offer: the 40% MVC handgrip cost is localized to the drift rate parameter</w:t>
      </w:r>
      <w:r>
        <w:t xml:space="preserve"> </w:t>
      </w:r>
      <m:oMath>
        <m:r>
          <m:t>v</m:t>
        </m:r>
      </m:oMath>
      <w:r>
        <w:t xml:space="preserve">, implicating the signal-to-noise ratio of perceptual evidence accumulation as the proximal target of effort-induced interference. The null effects on boundary separation and non-decision time further narrow the theoretical account, ruling out strategic caution adjustment and peripheral motor slowing as primary mechanisms. These findings set the stage for Chapter 4, which directly tests whether locus coeruleus–norepinephrine (LC-NE) integrity — quantified via neuromelanin-sensitive MRI — moderates the effort-induced drift rate reduction observed here, and whether individuals with higher LC integrity are buffered against the perceptual costs of high physical demand.</w:t>
      </w:r>
    </w:p>
    <w:bookmarkEnd w:id="98"/>
    <w:bookmarkEnd w:id="99"/>
    <w:bookmarkStart w:id="102" w:name="reproducibility-note"/>
    <w:p>
      <w:pPr>
        <w:pStyle w:val="Heading1"/>
      </w:pPr>
      <w:r>
        <w:t xml:space="preserve">Reproducibility Note</w:t>
      </w:r>
    </w:p>
    <w:p>
      <w:pPr>
        <w:pStyle w:val="FirstParagraph"/>
      </w:pPr>
      <w:r>
        <w:t xml:space="preserve">All analysis code and de-identified data are available in the project repository:</w:t>
      </w:r>
      <w:r>
        <w:t xml:space="preserve"> </w:t>
      </w:r>
      <w:hyperlink r:id="rId100">
        <w:r>
          <w:rPr>
            <w:rStyle w:val="Hyperlink"/>
          </w:rPr>
          <w:t xml:space="preserve">modeling-pupil-DDM</w:t>
        </w:r>
      </w:hyperlink>
      <w:r>
        <w:t xml:space="preserve">. A versioned archive of the analysis code and data is also available via Zenodo:</w:t>
      </w:r>
      <w:r>
        <w:t xml:space="preserve"> </w:t>
      </w:r>
      <w:hyperlink r:id="rId101">
        <w:r>
          <w:rPr>
            <w:rStyle w:val="Hyperlink"/>
          </w:rPr>
          <w:t xml:space="preserve">https://doi.org/10.5281/zenodo.18205123</w:t>
        </w:r>
      </w:hyperlink>
      <w:r>
        <w:t xml:space="preserve">. Key paths:</w:t>
      </w:r>
      <w:r>
        <w:t xml:space="preserve"> </w:t>
      </w:r>
      <w:r>
        <w:rPr>
          <w:rStyle w:val="VerbatimChar"/>
        </w:rPr>
        <w:t xml:space="preserve">R/</w:t>
      </w:r>
      <w:r>
        <w:t xml:space="preserve">,</w:t>
      </w:r>
      <w:r>
        <w:t xml:space="preserve"> </w:t>
      </w:r>
      <w:r>
        <w:rPr>
          <w:rStyle w:val="VerbatimChar"/>
        </w:rPr>
        <w:t xml:space="preserve">scripts/</w:t>
      </w:r>
      <w:r>
        <w:t xml:space="preserve">,</w:t>
      </w:r>
      <w:r>
        <w:t xml:space="preserve"> </w:t>
      </w:r>
      <w:r>
        <w:rPr>
          <w:rStyle w:val="VerbatimChar"/>
        </w:rPr>
        <w:t xml:space="preserve">reports/chap3_ddm_results.qmd</w:t>
      </w:r>
      <w:r>
        <w:t xml:space="preserve">.</w:t>
      </w:r>
    </w:p>
    <w:p>
      <w:r>
        <w:br w:type="page"/>
      </w:r>
    </w:p>
    <w:bookmarkEnd w:id="102"/>
    <w:bookmarkStart w:id="222" w:name="appendix"/>
    <w:p>
      <w:pPr>
        <w:pStyle w:val="Heading1"/>
      </w:pPr>
      <w:r>
        <w:t xml:space="preserve">Appendix</w:t>
      </w:r>
    </w:p>
    <w:bookmarkStart w:id="112" w:name="a1.-model-diagnostics-and-priors"/>
    <w:p>
      <w:pPr>
        <w:pStyle w:val="Heading2"/>
      </w:pPr>
      <w:r>
        <w:t xml:space="preserve">A1. Model Diagnostics and Priors</w:t>
      </w:r>
    </w:p>
    <w:tbl>
      <w:tblPr>
        <w:tblStyle w:val="Table"/>
        <w:tblW w:type="pct" w:w="5000"/>
        <w:tblLayout w:type="fixed"/>
        <w:tblLook w:firstRow="0" w:lastRow="0" w:firstColumn="0" w:lastColumn="0" w:noHBand="0" w:noVBand="0" w:val="0000"/>
      </w:tblPr>
      <w:tblGrid>
        <w:gridCol w:w="7920"/>
      </w:tblGrid>
      <w:tr>
        <w:tc>
          <w:tcPr/>
          <w:bookmarkStart w:id="103" w:name="tbl-convergence-detailed"/>
          <w:p>
            <w:pPr>
              <w:jc w:val="center"/>
            </w:pPr>
            <w:pPr>
              <w:jc w:val="start"/>
              <w:spacing w:before="200"/>
              <w:pStyle w:val="ImageCaption"/>
            </w:pPr>
            <w:r>
              <w:t xml:space="preserve">Table 10: Detailed convergence diagnostics for all model variants. All models met pre-specified convergence criteria (</w:t>
            </w:r>
            <m:oMath>
              <m:acc>
                <m:accPr>
                  <m:chr m:val="̂"/>
                </m:accPr>
                <m:e>
                  <m:r>
                    <m:t>R</m:t>
                  </m:r>
                </m:e>
              </m:acc>
            </m:oMath>
            <w:r>
              <w:t xml:space="preserve"> </w:t>
            </w:r>
            <w:r>
              <w:t xml:space="preserve">&lt; 1.01, ESS &gt; 400, zero divergences).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RT Definition</w:t>
                  </w:r>
                </w:p>
              </w:tc>
              <w:tc>
                <w:tcPr/>
                <w:p>
                  <w:pPr>
                    <w:pStyle w:val="Compact"/>
                    <w:jc w:val="left"/>
                    <w:jc w:val="center"/>
                  </w:pPr>
                  <w:r>
                    <w:t xml:space="preserve">Model</w:t>
                  </w:r>
                </w:p>
              </w:tc>
              <w:tc>
                <w:tcPr/>
                <w:p>
                  <w:pPr>
                    <w:pStyle w:val="Compact"/>
                    <w:jc w:val="right"/>
                    <w:jc w:val="center"/>
                  </w:pPr>
                  <w:r>
                    <w:t xml:space="preserve">N Subjects</w:t>
                  </w:r>
                </w:p>
              </w:tc>
              <w:tc>
                <w:tcPr/>
                <w:p>
                  <w:pPr>
                    <w:pStyle w:val="Compact"/>
                    <w:jc w:val="right"/>
                    <w:jc w:val="center"/>
                  </w:pPr>
                  <w:r>
                    <w:t xml:space="preserve">N Trials</w:t>
                  </w:r>
                </w:p>
              </w:tc>
              <w:tc>
                <w:tcPr/>
                <w:p>
                  <w:pPr>
                    <w:pStyle w:val="Compact"/>
                    <w:jc w:val="right"/>
                    <w:jc w:val="center"/>
                  </w:pPr>
                  <w:r>
                    <w:t xml:space="preserve">Max Rhat</w:t>
                  </w:r>
                </w:p>
              </w:tc>
              <w:tc>
                <w:tcPr/>
                <w:p>
                  <w:pPr>
                    <w:pStyle w:val="Compact"/>
                    <w:jc w:val="right"/>
                    <w:jc w:val="center"/>
                  </w:pPr>
                  <w:r>
                    <w:t xml:space="preserve">Divergent</w:t>
                  </w:r>
                </w:p>
              </w:tc>
              <w:tc>
                <w:tcPr/>
                <w:p>
                  <w:pPr>
                    <w:pStyle w:val="Compact"/>
                    <w:jc w:val="right"/>
                    <w:jc w:val="center"/>
                  </w:pPr>
                  <w:r>
                    <w:t xml:space="preserve">Min Bulk ESS</w:t>
                  </w:r>
                </w:p>
              </w:tc>
            </w:tr>
            <w:tr>
              <w:tc>
                <w:tcPr/>
                <w:p>
                  <w:pPr>
                    <w:pStyle w:val="Compact"/>
                    <w:jc w:val="left"/>
                    <w:jc w:val="center"/>
                  </w:pPr>
                  <w:r>
                    <w:t xml:space="preserve">Cue-locked RT</w:t>
                  </w:r>
                </w:p>
              </w:tc>
              <w:tc>
                <w:tcPr/>
                <w:p>
                  <w:pPr>
                    <w:pStyle w:val="Compact"/>
                    <w:jc w:val="left"/>
                    <w:jc w:val="center"/>
                  </w:pPr>
                  <w:r>
                    <w:t xml:space="preserve">Baseline</w:t>
                  </w:r>
                </w:p>
              </w:tc>
              <w:tc>
                <w:tcPr/>
                <w:p>
                  <w:pPr>
                    <w:pStyle w:val="Compact"/>
                    <w:jc w:val="right"/>
                    <w:jc w:val="center"/>
                  </w:pPr>
                  <w:r>
                    <w:t xml:space="preserve">67</w:t>
                  </w:r>
                </w:p>
              </w:tc>
              <w:tc>
                <w:tcPr/>
                <w:p>
                  <w:pPr>
                    <w:pStyle w:val="Compact"/>
                    <w:jc w:val="right"/>
                    <w:jc w:val="center"/>
                  </w:pPr>
                  <w:r>
                    <w:t xml:space="preserve">17857</w:t>
                  </w:r>
                </w:p>
              </w:tc>
              <w:tc>
                <w:tcPr/>
                <w:p>
                  <w:pPr>
                    <w:pStyle w:val="Compact"/>
                    <w:jc w:val="right"/>
                    <w:jc w:val="center"/>
                  </w:pPr>
                  <w:r>
                    <w:t xml:space="preserve">1.007</w:t>
                  </w:r>
                </w:p>
              </w:tc>
              <w:tc>
                <w:tcPr/>
                <w:p>
                  <w:pPr>
                    <w:pStyle w:val="Compact"/>
                    <w:jc w:val="right"/>
                    <w:jc w:val="center"/>
                  </w:pPr>
                  <w:r>
                    <w:t xml:space="preserve">0</w:t>
                  </w:r>
                </w:p>
              </w:tc>
              <w:tc>
                <w:tcPr/>
                <w:p>
                  <w:pPr>
                    <w:pStyle w:val="Compact"/>
                    <w:jc w:val="right"/>
                    <w:jc w:val="center"/>
                  </w:pPr>
                  <w:r>
                    <w:t xml:space="preserve">1162.315</w:t>
                  </w:r>
                </w:p>
              </w:tc>
            </w:tr>
            <w:tr>
              <w:tc>
                <w:tcPr/>
                <w:p>
                  <w:pPr>
                    <w:pStyle w:val="Compact"/>
                    <w:jc w:val="left"/>
                    <w:jc w:val="center"/>
                  </w:pPr>
                  <w:r>
                    <w:t xml:space="preserve">Probe-onset-locked RT</w:t>
                  </w:r>
                </w:p>
              </w:tc>
              <w:tc>
                <w:tcPr/>
                <w:p>
                  <w:pPr>
                    <w:pStyle w:val="Compact"/>
                    <w:jc w:val="left"/>
                    <w:jc w:val="center"/>
                  </w:pPr>
                  <w:r>
                    <w:t xml:space="preserve">Baseline</w:t>
                  </w:r>
                </w:p>
              </w:tc>
              <w:tc>
                <w:tcPr/>
                <w:p>
                  <w:pPr>
                    <w:pStyle w:val="Compact"/>
                    <w:jc w:val="right"/>
                    <w:jc w:val="center"/>
                  </w:pPr>
                  <w:r>
                    <w:t xml:space="preserve">67</w:t>
                  </w:r>
                </w:p>
              </w:tc>
              <w:tc>
                <w:tcPr/>
                <w:p>
                  <w:pPr>
                    <w:pStyle w:val="Compact"/>
                    <w:jc w:val="right"/>
                    <w:jc w:val="center"/>
                  </w:pPr>
                  <w:r>
                    <w:t xml:space="preserve">18097</w:t>
                  </w:r>
                </w:p>
              </w:tc>
              <w:tc>
                <w:tcPr/>
                <w:p>
                  <w:pPr>
                    <w:pStyle w:val="Compact"/>
                    <w:jc w:val="right"/>
                    <w:jc w:val="center"/>
                  </w:pPr>
                  <w:r>
                    <w:t xml:space="preserve">1.005</w:t>
                  </w:r>
                </w:p>
              </w:tc>
              <w:tc>
                <w:tcPr/>
                <w:p>
                  <w:pPr>
                    <w:pStyle w:val="Compact"/>
                    <w:jc w:val="right"/>
                    <w:jc w:val="center"/>
                  </w:pPr>
                  <w:r>
                    <w:t xml:space="preserve">0</w:t>
                  </w:r>
                </w:p>
              </w:tc>
              <w:tc>
                <w:tcPr/>
                <w:p>
                  <w:pPr>
                    <w:pStyle w:val="Compact"/>
                    <w:jc w:val="right"/>
                    <w:jc w:val="center"/>
                  </w:pPr>
                  <w:r>
                    <w:t xml:space="preserve">1425.967</w:t>
                  </w:r>
                </w:p>
              </w:tc>
            </w:tr>
            <w:tr>
              <w:tc>
                <w:tcPr/>
                <w:p>
                  <w:pPr>
                    <w:pStyle w:val="Compact"/>
                    <w:jc w:val="left"/>
                    <w:jc w:val="center"/>
                  </w:pPr>
                  <w:r>
                    <w:t xml:space="preserve">Cue-locked RT</w:t>
                  </w:r>
                </w:p>
              </w:tc>
              <w:tc>
                <w:tcPr/>
                <w:p>
                  <w:pPr>
                    <w:pStyle w:val="Compact"/>
                    <w:jc w:val="left"/>
                    <w:jc w:val="center"/>
                  </w:pPr>
                  <w:r>
                    <w:t xml:space="preserve">Additive</w:t>
                  </w:r>
                </w:p>
              </w:tc>
              <w:tc>
                <w:tcPr/>
                <w:p>
                  <w:pPr>
                    <w:pStyle w:val="Compact"/>
                    <w:jc w:val="right"/>
                    <w:jc w:val="center"/>
                  </w:pPr>
                  <w:r>
                    <w:t xml:space="preserve">67</w:t>
                  </w:r>
                </w:p>
              </w:tc>
              <w:tc>
                <w:tcPr/>
                <w:p>
                  <w:pPr>
                    <w:pStyle w:val="Compact"/>
                    <w:jc w:val="right"/>
                    <w:jc w:val="center"/>
                  </w:pPr>
                  <w:r>
                    <w:t xml:space="preserve">17857</w:t>
                  </w:r>
                </w:p>
              </w:tc>
              <w:tc>
                <w:tcPr/>
                <w:p>
                  <w:pPr>
                    <w:pStyle w:val="Compact"/>
                    <w:jc w:val="right"/>
                    <w:jc w:val="center"/>
                  </w:pPr>
                  <w:r>
                    <w:t xml:space="preserve">1.002</w:t>
                  </w:r>
                </w:p>
              </w:tc>
              <w:tc>
                <w:tcPr/>
                <w:p>
                  <w:pPr>
                    <w:pStyle w:val="Compact"/>
                    <w:jc w:val="right"/>
                    <w:jc w:val="center"/>
                  </w:pPr>
                  <w:r>
                    <w:t xml:space="preserve">0</w:t>
                  </w:r>
                </w:p>
              </w:tc>
              <w:tc>
                <w:tcPr/>
                <w:p>
                  <w:pPr>
                    <w:pStyle w:val="Compact"/>
                    <w:jc w:val="right"/>
                    <w:jc w:val="center"/>
                  </w:pPr>
                  <w:r>
                    <w:t xml:space="preserve">1943.953</w:t>
                  </w:r>
                </w:p>
              </w:tc>
            </w:tr>
            <w:tr>
              <w:tc>
                <w:tcPr/>
                <w:p>
                  <w:pPr>
                    <w:pStyle w:val="Compact"/>
                    <w:jc w:val="left"/>
                    <w:jc w:val="center"/>
                  </w:pPr>
                  <w:r>
                    <w:t xml:space="preserve">Probe-onset-locked RT</w:t>
                  </w:r>
                </w:p>
              </w:tc>
              <w:tc>
                <w:tcPr/>
                <w:p>
                  <w:pPr>
                    <w:pStyle w:val="Compact"/>
                    <w:jc w:val="left"/>
                    <w:jc w:val="center"/>
                  </w:pPr>
                  <w:r>
                    <w:t xml:space="preserve">Additive</w:t>
                  </w:r>
                </w:p>
              </w:tc>
              <w:tc>
                <w:tcPr/>
                <w:p>
                  <w:pPr>
                    <w:pStyle w:val="Compact"/>
                    <w:jc w:val="right"/>
                    <w:jc w:val="center"/>
                  </w:pPr>
                  <w:r>
                    <w:t xml:space="preserve">67</w:t>
                  </w:r>
                </w:p>
              </w:tc>
              <w:tc>
                <w:tcPr/>
                <w:p>
                  <w:pPr>
                    <w:pStyle w:val="Compact"/>
                    <w:jc w:val="right"/>
                    <w:jc w:val="center"/>
                  </w:pPr>
                  <w:r>
                    <w:t xml:space="preserve">18097</w:t>
                  </w:r>
                </w:p>
              </w:tc>
              <w:tc>
                <w:tcPr/>
                <w:p>
                  <w:pPr>
                    <w:pStyle w:val="Compact"/>
                    <w:jc w:val="right"/>
                    <w:jc w:val="center"/>
                  </w:pPr>
                  <w:r>
                    <w:t xml:space="preserve">1.003</w:t>
                  </w:r>
                </w:p>
              </w:tc>
              <w:tc>
                <w:tcPr/>
                <w:p>
                  <w:pPr>
                    <w:pStyle w:val="Compact"/>
                    <w:jc w:val="right"/>
                    <w:jc w:val="center"/>
                  </w:pPr>
                  <w:r>
                    <w:t xml:space="preserve">0</w:t>
                  </w:r>
                </w:p>
              </w:tc>
              <w:tc>
                <w:tcPr/>
                <w:p>
                  <w:pPr>
                    <w:pStyle w:val="Compact"/>
                    <w:jc w:val="right"/>
                    <w:jc w:val="center"/>
                  </w:pPr>
                  <w:r>
                    <w:t xml:space="preserve">1534.252</w:t>
                  </w:r>
                </w:p>
              </w:tc>
            </w:tr>
          </w:tbl>
          <w:bookmarkEnd w:id="103"/>
          <w:p/>
        </w:tc>
      </w:tr>
    </w:tbl>
    <w:tbl>
      <w:tblPr>
        <w:tblStyle w:val="Table"/>
        <w:tblW w:type="pct" w:w="5000"/>
        <w:tblLayout w:type="fixed"/>
        <w:tblLook w:firstRow="0" w:lastRow="0" w:firstColumn="0" w:lastColumn="0" w:noHBand="0" w:noVBand="0" w:val="0000"/>
      </w:tblPr>
      <w:tblGrid>
        <w:gridCol w:w="7920"/>
      </w:tblGrid>
      <w:tr>
        <w:tc>
          <w:tcPr/>
          <w:bookmarkStart w:id="107" w:name="fig-ndt-prior-posterior"/>
          <w:p>
            <w:pPr>
              <w:pStyle w:val="Compact"/>
              <w:jc w:val="center"/>
            </w:pPr>
            <w:r>
              <w:drawing>
                <wp:inline>
                  <wp:extent cx="4267200" cy="3413760"/>
                  <wp:effectExtent b="0" l="0" r="0" t="0"/>
                  <wp:docPr descr="" title="" id="105" name="Picture"/>
                  <a:graphic>
                    <a:graphicData uri="http://schemas.openxmlformats.org/drawingml/2006/picture">
                      <pic:pic>
                        <pic:nvPicPr>
                          <pic:cNvPr descr="chap3_ddm_results_files/figure-docx/fig-ndt-prior-posterior-1.png" id="106" name="Picture"/>
                          <pic:cNvPicPr>
                            <a:picLocks noChangeArrowheads="1" noChangeAspect="1"/>
                          </pic:cNvPicPr>
                        </pic:nvPicPr>
                        <pic:blipFill>
                          <a:blip r:embed="rId104"/>
                          <a:stretch>
                            <a:fillRect/>
                          </a:stretch>
                        </pic:blipFill>
                        <pic:spPr bwMode="auto">
                          <a:xfrm>
                            <a:off x="0" y="0"/>
                            <a:ext cx="4267200" cy="34137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w:t>
            </w:r>
            <w:r>
              <w:t xml:space="preserve"> </w:t>
            </w:r>
            <m:oMath>
              <m:sSub>
                <m:e>
                  <m:r>
                    <m:t>t</m:t>
                  </m:r>
                </m:e>
                <m:sub>
                  <m:r>
                    <m:t>0</m:t>
                  </m:r>
                </m:sub>
              </m:sSub>
            </m:oMath>
            <w:r>
              <w:t xml:space="preserve"> </w:t>
            </w:r>
            <w:r>
              <w:t xml:space="preserve">Prior vs Posterior. Prior (gray line) and posterior (blue shaded density) distributions for the</w:t>
            </w:r>
            <w:r>
              <w:t xml:space="preserve"> </w:t>
            </w:r>
            <m:oMath>
              <m:sSub>
                <m:e>
                  <m:r>
                    <m:t>t</m:t>
                  </m:r>
                </m:e>
                <m:sub>
                  <m:r>
                    <m:t>0</m:t>
                  </m:r>
                </m:sub>
              </m:sSub>
            </m:oMath>
            <w:r>
              <w:t xml:space="preserve"> </w:t>
            </w:r>
            <w:r>
              <w:t xml:space="preserve">intercept. The prior is Normal(log(0.35), 0.15) on the log scale (approximately 0.35 s on natural scale). This figure documents prior influence for the response-signal design, where</w:t>
            </w:r>
            <w:r>
              <w:t xml:space="preserve"> </w:t>
            </w:r>
            <m:oMath>
              <m:sSub>
                <m:e>
                  <m:r>
                    <m:t>t</m:t>
                  </m:r>
                </m:e>
                <m:sub>
                  <m:r>
                    <m:t>0</m:t>
                  </m:r>
                </m:sub>
              </m:sSub>
            </m:oMath>
            <w:r>
              <w:t xml:space="preserve"> </w:t>
            </w:r>
            <w:r>
              <w:t xml:space="preserve">primarily reflects motor execution rather than encoding time.</w:t>
            </w:r>
          </w:p>
          <w:bookmarkEnd w:id="107"/>
        </w:tc>
      </w:tr>
    </w:tbl>
    <w:tbl>
      <w:tblPr>
        <w:tblStyle w:val="Table"/>
        <w:tblW w:type="pct" w:w="5000"/>
        <w:tblLayout w:type="fixed"/>
        <w:tblLook w:firstRow="0" w:lastRow="0" w:firstColumn="0" w:lastColumn="0" w:noHBand="0" w:noVBand="0" w:val="0000"/>
      </w:tblPr>
      <w:tblGrid>
        <w:gridCol w:w="7920"/>
      </w:tblGrid>
      <w:tr>
        <w:tc>
          <w:tcPr/>
          <w:bookmarkStart w:id="111" w:name="fig-loo-comparison"/>
          <w:p>
            <w:pPr>
              <w:pStyle w:val="Compact"/>
              <w:jc w:val="center"/>
            </w:pPr>
            <w:r>
              <w:drawing>
                <wp:inline>
                  <wp:extent cx="3733800" cy="2987040"/>
                  <wp:effectExtent b="0" l="0" r="0" t="0"/>
                  <wp:docPr descr="" title="" id="109" name="Picture"/>
                  <a:graphic>
                    <a:graphicData uri="http://schemas.openxmlformats.org/drawingml/2006/picture">
                      <pic:pic>
                        <pic:nvPicPr>
                          <pic:cNvPr descr="chap3_ddm_results_files/figure-docx/fig-loo-comparison-1.png" id="110" name="Picture"/>
                          <pic:cNvPicPr>
                            <a:picLocks noChangeArrowheads="1" noChangeAspect="1"/>
                          </pic:cNvPicPr>
                        </pic:nvPicPr>
                        <pic:blipFill>
                          <a:blip r:embed="rId108"/>
                          <a:stretch>
                            <a:fillRect/>
                          </a:stretch>
                        </pic:blipFill>
                        <pic:spPr bwMode="auto">
                          <a:xfrm>
                            <a:off x="0" y="0"/>
                            <a:ext cx="3733800" cy="29870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LOO model comparison for baseline vs. additive models across RT definitions. Note: These LOOIC values reflect sensitivity models spanning multiple RT definitions and thresholds and are not directly comparable to the primary probe-onset-locked model (LOOIC = 42,857.5; Table 4), which uses a single pre-specified RT definition.</w:t>
            </w:r>
          </w:p>
          <w:bookmarkEnd w:id="111"/>
        </w:tc>
      </w:tr>
    </w:tbl>
    <w:bookmarkEnd w:id="112"/>
    <w:bookmarkStart w:id="136" w:name="Xcd8d4d9ba1a0b947086d919485940041efdd965"/>
    <w:p>
      <w:pPr>
        <w:pStyle w:val="Heading2"/>
      </w:pPr>
      <w:r>
        <w:t xml:space="preserve">A2. Individual Differences and Parameter Relationships</w:t>
      </w:r>
    </w:p>
    <w:tbl>
      <w:tblPr>
        <w:tblStyle w:val="Table"/>
        <w:tblW w:type="pct" w:w="5000"/>
        <w:tblLayout w:type="fixed"/>
        <w:tblLook w:firstRow="0" w:lastRow="0" w:firstColumn="0" w:lastColumn="0" w:noHBand="0" w:noVBand="0" w:val="0000"/>
      </w:tblPr>
      <w:tblGrid>
        <w:gridCol w:w="7920"/>
      </w:tblGrid>
      <w:tr>
        <w:tc>
          <w:tcPr/>
          <w:bookmarkStart w:id="116" w:name="fig-subject-parameter-distribution"/>
          <w:p>
            <w:pPr>
              <w:pStyle w:val="Compact"/>
              <w:jc w:val="center"/>
            </w:pPr>
            <w:r>
              <w:drawing>
                <wp:inline>
                  <wp:extent cx="4000500" cy="3200400"/>
                  <wp:effectExtent b="0" l="0" r="0" t="0"/>
                  <wp:docPr descr="" title="" id="114" name="Picture"/>
                  <a:graphic>
                    <a:graphicData uri="http://schemas.openxmlformats.org/drawingml/2006/picture">
                      <pic:pic>
                        <pic:nvPicPr>
                          <pic:cNvPr descr="chap3_ddm_results_files/figure-docx/fig-subject-parameter-distribution-1.png" id="115" name="Picture"/>
                          <pic:cNvPicPr>
                            <a:picLocks noChangeArrowheads="1" noChangeAspect="1"/>
                          </pic:cNvPicPr>
                        </pic:nvPicPr>
                        <pic:blipFill>
                          <a:blip r:embed="rId113"/>
                          <a:stretch>
                            <a:fillRect/>
                          </a:stretch>
                        </pic:blipFill>
                        <pic:spPr bwMode="auto">
                          <a:xfrm>
                            <a:off x="0" y="0"/>
                            <a:ext cx="40005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Subject-Level Parameter Distribution. Violin plots showing the distribution of subject-level random effects (deviations from group mean) for each DDM parameter. The boxplots within each violin show the median and interquartile range. Zero (dashed line) represents the group mean. This visualization highlights the substantial individual variability in decision-making parameters across our sample of 67 older adults.</w:t>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parameter-correlation"/>
          <w:p>
            <w:pPr>
              <w:pStyle w:val="Compact"/>
              <w:jc w:val="center"/>
            </w:pPr>
            <w:r>
              <w:drawing>
                <wp:inline>
                  <wp:extent cx="3733800" cy="2987040"/>
                  <wp:effectExtent b="0" l="0" r="0" t="0"/>
                  <wp:docPr descr="" title="" id="118" name="Picture"/>
                  <a:graphic>
                    <a:graphicData uri="http://schemas.openxmlformats.org/drawingml/2006/picture">
                      <pic:pic>
                        <pic:nvPicPr>
                          <pic:cNvPr descr="chap3_ddm_results_files/figure-docx/fig-parameter-correlation-1.png" id="119" name="Picture"/>
                          <pic:cNvPicPr>
                            <a:picLocks noChangeArrowheads="1" noChangeAspect="1"/>
                          </pic:cNvPicPr>
                        </pic:nvPicPr>
                        <pic:blipFill>
                          <a:blip r:embed="rId117"/>
                          <a:stretch>
                            <a:fillRect/>
                          </a:stretch>
                        </pic:blipFill>
                        <pic:spPr bwMode="auto">
                          <a:xfrm>
                            <a:off x="0" y="0"/>
                            <a:ext cx="3733800" cy="29870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Subject-Level Parameter Correlation: Drift Intercept vs. Bias Intercept. Scatter plot showing the relationship between subject-level random-effect estimates for drift intercept and bias intercept. Each point represents one participant (n = 67). The correlation is r = -0.205, indicating a weak association; participants with stronger negative drift tend to show slightly lower starting-point bias. The regression line with 95% confidence band is shown.</w:t>
            </w:r>
          </w:p>
          <w:bookmarkEnd w:id="120"/>
        </w:tc>
      </w:tr>
    </w:tbl>
    <w:tbl>
      <w:tblPr>
        <w:tblStyle w:val="Table"/>
        <w:tblW w:type="pct" w:w="5000"/>
        <w:tblLayout w:type="fixed"/>
        <w:tblLook w:firstRow="0" w:lastRow="0" w:firstColumn="0" w:lastColumn="0" w:noHBand="0" w:noVBand="0" w:val="0000"/>
      </w:tblPr>
      <w:tblGrid>
        <w:gridCol w:w="7920"/>
      </w:tblGrid>
      <w:tr>
        <w:tc>
          <w:tcPr/>
          <w:bookmarkStart w:id="124" w:name="fig-brinley-plot"/>
          <w:p>
            <w:pPr>
              <w:pStyle w:val="Compact"/>
              <w:jc w:val="center"/>
            </w:pPr>
            <w:r>
              <w:drawing>
                <wp:inline>
                  <wp:extent cx="3733800" cy="2987040"/>
                  <wp:effectExtent b="0" l="0" r="0" t="0"/>
                  <wp:docPr descr="" title="" id="122" name="Picture"/>
                  <a:graphic>
                    <a:graphicData uri="http://schemas.openxmlformats.org/drawingml/2006/picture">
                      <pic:pic>
                        <pic:nvPicPr>
                          <pic:cNvPr descr="chap3_ddm_results_files/figure-docx/fig-brinley-plot-1.png" id="123" name="Picture"/>
                          <pic:cNvPicPr>
                            <a:picLocks noChangeArrowheads="1" noChangeAspect="1"/>
                          </pic:cNvPicPr>
                        </pic:nvPicPr>
                        <pic:blipFill>
                          <a:blip r:embed="rId121"/>
                          <a:stretch>
                            <a:fillRect/>
                          </a:stretch>
                        </pic:blipFill>
                        <pic:spPr bwMode="auto">
                          <a:xfrm>
                            <a:off x="0" y="0"/>
                            <a:ext cx="3733800" cy="29870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Brinley Plot: Reaction Time Relationships. Scatter plot showing mean RT for Hard trials (y-axis) versus Easy trials (x-axis) for each participant, colored by effort condition (blue = Low effort, crimson = High effort). Reaction times are displayed in milliseconds (ms). The dashed diagonal line (slope = 1) represents proportional slowing (equal RT increase in both conditions). The solid black regression line shows the actual relationship with 95% confidence interval (shaded ribbon), with slope &gt; 1 indicating disproportionate slowing in Hard trials relative to Easy trials. Points above the diagonal indicate participants who slowed more in Hard relative to Easy trials. This visualization connects our DDM findings to the broader cognitive aging literature on generalized slowing</w:t>
            </w:r>
            <w:r>
              <w:t xml:space="preserve"> </w:t>
            </w:r>
            <w:r>
              <w:t xml:space="preserve">(Brinley, 1965; Cerella, 1985; Salthouse, 1996)</w:t>
            </w:r>
            <w:r>
              <w:t xml:space="preserve">.</w:t>
            </w:r>
          </w:p>
          <w:bookmarkEnd w:id="124"/>
        </w:tc>
      </w:tr>
    </w:tbl>
    <w:tbl>
      <w:tblPr>
        <w:tblStyle w:val="Table"/>
        <w:tblW w:type="pct" w:w="5000"/>
        <w:tblLayout w:type="fixed"/>
        <w:tblLook w:firstRow="0" w:lastRow="0" w:firstColumn="0" w:lastColumn="0" w:noHBand="0" w:noVBand="0" w:val="0000"/>
      </w:tblPr>
      <w:tblGrid>
        <w:gridCol w:w="7920"/>
      </w:tblGrid>
      <w:tr>
        <w:tc>
          <w:tcPr/>
          <w:bookmarkStart w:id="125" w:name="tbl-standard-only-bias-levels"/>
          <w:p>
            <w:pPr>
              <w:jc w:val="center"/>
            </w:pPr>
            <w:pPr>
              <w:jc w:val="start"/>
              <w:spacing w:before="200"/>
              <w:pStyle w:val="ImageCaption"/>
            </w:pPr>
            <w:r>
              <w:t xml:space="preserve">Table 11: Estimated starting-point bias (</w:t>
            </w:r>
            <m:oMath>
              <m:r>
                <m:t>z</m:t>
              </m:r>
            </m:oMath>
            <w:r>
              <w:t xml:space="preserve">) by Task and Effort (Standard-only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Task</w:t>
                  </w:r>
                </w:p>
              </w:tc>
              <w:tc>
                <w:tcPr/>
                <w:p>
                  <w:pPr>
                    <w:pStyle w:val="Compact"/>
                    <w:jc w:val="left"/>
                    <w:jc w:val="center"/>
                  </w:pPr>
                  <w:r>
                    <w:t xml:space="preserve">Effort</w:t>
                  </w:r>
                </w:p>
              </w:tc>
              <w:tc>
                <w:tcPr/>
                <w:p>
                  <w:pPr>
                    <w:pStyle w:val="Compact"/>
                    <w:jc w:val="right"/>
                    <w:jc w:val="center"/>
                  </w:pPr>
                  <w:r>
                    <w:t xml:space="preserve">Mean z</w:t>
                  </w:r>
                </w:p>
              </w:tc>
              <w:tc>
                <w:tcPr/>
                <w:p>
                  <w:pPr>
                    <w:pStyle w:val="Compact"/>
                    <w:jc w:val="left"/>
                    <w:jc w:val="center"/>
                  </w:pPr>
                  <w:r>
                    <w:t xml:space="preserve">95% CrI</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right"/>
                    <w:jc w:val="center"/>
                  </w:pPr>
                  <w:r>
                    <w:t xml:space="preserve">0.650</w:t>
                  </w:r>
                </w:p>
              </w:tc>
              <w:tc>
                <w:tcPr/>
                <w:p>
                  <w:pPr>
                    <w:pStyle w:val="Compact"/>
                    <w:jc w:val="left"/>
                    <w:jc w:val="center"/>
                  </w:pPr>
                  <w:r>
                    <w:t xml:space="preserve">[0.621, 0.678]</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right"/>
                    <w:jc w:val="center"/>
                  </w:pPr>
                  <w:r>
                    <w:t xml:space="preserve">0.645</w:t>
                  </w:r>
                </w:p>
              </w:tc>
              <w:tc>
                <w:tcPr/>
                <w:p>
                  <w:pPr>
                    <w:pStyle w:val="Compact"/>
                    <w:jc w:val="left"/>
                    <w:jc w:val="center"/>
                  </w:pPr>
                  <w:r>
                    <w:t xml:space="preserve">[0.616, 0.674]</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right"/>
                    <w:jc w:val="center"/>
                  </w:pPr>
                  <w:r>
                    <w:t xml:space="preserve">0.612</w:t>
                  </w:r>
                </w:p>
              </w:tc>
              <w:tc>
                <w:tcPr/>
                <w:p>
                  <w:pPr>
                    <w:pStyle w:val="Compact"/>
                    <w:jc w:val="left"/>
                    <w:jc w:val="center"/>
                  </w:pPr>
                  <w:r>
                    <w:t xml:space="preserve">[0.582, 0.641]</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right"/>
                    <w:jc w:val="center"/>
                  </w:pPr>
                  <w:r>
                    <w:t xml:space="preserve">0.606</w:t>
                  </w:r>
                </w:p>
              </w:tc>
              <w:tc>
                <w:tcPr/>
                <w:p>
                  <w:pPr>
                    <w:pStyle w:val="Compact"/>
                    <w:jc w:val="left"/>
                    <w:jc w:val="center"/>
                  </w:pPr>
                  <w:r>
                    <w:t xml:space="preserve">[0.577, 0.636]</w:t>
                  </w:r>
                </w:p>
              </w:tc>
            </w:tr>
          </w:tbl>
          <w:bookmarkEnd w:id="125"/>
          <w:p/>
        </w:tc>
      </w:tr>
    </w:tbl>
    <w:tbl>
      <w:tblPr>
        <w:tblStyle w:val="Table"/>
        <w:tblW w:type="pct" w:w="5000"/>
        <w:tblLayout w:type="fixed"/>
        <w:tblLook w:firstRow="0" w:lastRow="0" w:firstColumn="0" w:lastColumn="0" w:noHBand="0" w:noVBand="0" w:val="0000"/>
      </w:tblPr>
      <w:tblGrid>
        <w:gridCol w:w="7920"/>
      </w:tblGrid>
      <w:tr>
        <w:tc>
          <w:tcPr/>
          <w:bookmarkStart w:id="129" w:name="fig-standard-only-bias-by-task-effort"/>
          <w:p>
            <w:pPr>
              <w:pStyle w:val="Compact"/>
              <w:jc w:val="center"/>
            </w:pPr>
            <w:r>
              <w:drawing>
                <wp:inline>
                  <wp:extent cx="4267200" cy="3413760"/>
                  <wp:effectExtent b="0" l="0" r="0" t="0"/>
                  <wp:docPr descr="" title="" id="127" name="Picture"/>
                  <a:graphic>
                    <a:graphicData uri="http://schemas.openxmlformats.org/drawingml/2006/picture">
                      <pic:pic>
                        <pic:nvPicPr>
                          <pic:cNvPr descr="chap3_ddm_results_files/figure-docx/fig-standard-only-bias-by-task-effort-1.png" id="128" name="Picture"/>
                          <pic:cNvPicPr>
                            <a:picLocks noChangeArrowheads="1" noChangeAspect="1"/>
                          </pic:cNvPicPr>
                        </pic:nvPicPr>
                        <pic:blipFill>
                          <a:blip r:embed="rId126"/>
                          <a:stretch>
                            <a:fillRect/>
                          </a:stretch>
                        </pic:blipFill>
                        <pic:spPr bwMode="auto">
                          <a:xfrm>
                            <a:off x="0" y="0"/>
                            <a:ext cx="4267200" cy="34137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Starting-point bias (</w:t>
            </w:r>
            <m:oMath>
              <m:r>
                <m:t>z</m:t>
              </m:r>
            </m:oMath>
            <w:r>
              <w:t xml:space="preserve">) by Task and Effort from Standard-only model. Points show posterior means with 95% credible intervals. Values above 0.5 indicate bias toward</w:t>
            </w:r>
            <w:r>
              <w:t xml:space="preserve"> </w:t>
            </w:r>
            <w:r>
              <w:t xml:space="preserve">‘different’</w:t>
            </w:r>
            <w:r>
              <w:t xml:space="preserve"> </w:t>
            </w:r>
            <w:r>
              <w:t xml:space="preserve">responses. ADT shows higher bias toward</w:t>
            </w:r>
            <w:r>
              <w:t xml:space="preserve"> </w:t>
            </w:r>
            <w:r>
              <w:t xml:space="preserve">‘different’</w:t>
            </w:r>
            <w:r>
              <w:t xml:space="preserve"> </w:t>
            </w:r>
            <w:r>
              <w:t xml:space="preserve">than VDT; effort effects are minimal.</w:t>
            </w:r>
          </w:p>
          <w:bookmarkEnd w:id="129"/>
        </w:tc>
      </w:tr>
    </w:tbl>
    <w:p>
      <w:pPr>
        <w:pStyle w:val="BodyText"/>
      </w:pPr>
      <w:hyperlink w:anchor="fig-a2-3-bias-primary">
        <w:r>
          <w:rPr>
            <w:rStyle w:val="Hyperlink"/>
          </w:rPr>
          <w:t xml:space="preserve">Figure 18</w:t>
        </w:r>
      </w:hyperlink>
      <w:r>
        <w:t xml:space="preserve"> </w:t>
      </w:r>
      <w:r>
        <w:t xml:space="preserve">shows primary-model estimates of starting-point bias across tasks and effort conditions, complementing the canonical standard-only estimates reported in the main text (Figure 9, Section 3.5).</w:t>
      </w:r>
    </w:p>
    <w:tbl>
      <w:tblPr>
        <w:tblStyle w:val="Table"/>
        <w:tblW w:type="pct" w:w="5000"/>
        <w:tblLayout w:type="fixed"/>
        <w:tblLook w:firstRow="0" w:lastRow="0" w:firstColumn="0" w:lastColumn="0" w:noHBand="0" w:noVBand="0" w:val="0000"/>
      </w:tblPr>
      <w:tblGrid>
        <w:gridCol w:w="7920"/>
      </w:tblGrid>
      <w:tr>
        <w:tc>
          <w:tcPr/>
          <w:bookmarkStart w:id="133" w:name="fig-a2-3-bias-primary"/>
          <w:p>
            <w:pPr>
              <w:pStyle w:val="Compact"/>
              <w:jc w:val="center"/>
            </w:pPr>
            <w:r>
              <w:drawing>
                <wp:inline>
                  <wp:extent cx="3733800" cy="2987040"/>
                  <wp:effectExtent b="0" l="0" r="0" t="0"/>
                  <wp:docPr descr="" title="" id="131" name="Picture"/>
                  <a:graphic>
                    <a:graphicData uri="http://schemas.openxmlformats.org/drawingml/2006/picture">
                      <pic:pic>
                        <pic:nvPicPr>
                          <pic:cNvPr descr="chap3_ddm_results_files/figure-docx/fig-a2-3-bias-primary-1.png" id="132" name="Picture"/>
                          <pic:cNvPicPr>
                            <a:picLocks noChangeArrowheads="1" noChangeAspect="1"/>
                          </pic:cNvPicPr>
                        </pic:nvPicPr>
                        <pic:blipFill>
                          <a:blip r:embed="rId130"/>
                          <a:stretch>
                            <a:fillRect/>
                          </a:stretch>
                        </pic:blipFill>
                        <pic:spPr bwMode="auto">
                          <a:xfrm>
                            <a:off x="0" y="0"/>
                            <a:ext cx="3733800" cy="29870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Starting-point bias (</w:t>
            </w:r>
            <m:oMath>
              <m:r>
                <m:t>z</m:t>
              </m:r>
            </m:oMath>
            <w:r>
              <w:t xml:space="preserve">) by Task and Effort from the primary model. Points show posterior medians with 95% credible intervals. Dashed line marks</w:t>
            </w:r>
            <w:r>
              <w:t xml:space="preserve"> </w:t>
            </w:r>
            <m:oMath>
              <m:r>
                <m:t>z</m:t>
              </m:r>
              <m:r>
                <m:rPr>
                  <m:sty m:val="p"/>
                </m:rPr>
                <m:t>=</m:t>
              </m:r>
              <m:r>
                <m:t>0.5</m:t>
              </m:r>
            </m:oMath>
            <w:r>
              <w:t xml:space="preserve"> </w:t>
            </w:r>
            <w:r>
              <w:t xml:space="preserve">(no bias). These estimates reflect bias jointly identified with drift rate across all trial types; the standard-only canonical estimates are shown in Figure 9 (main text). Effort effects are negligible in both tasks, consistent with H4 (not supported).</w:t>
            </w:r>
          </w:p>
          <w:bookmarkEnd w:id="133"/>
        </w:tc>
      </w:tr>
    </w:tbl>
    <w:tbl>
      <w:tblPr>
        <w:tblStyle w:val="Table"/>
        <w:tblW w:type="pct" w:w="5000"/>
        <w:tblLayout w:type="fixed"/>
        <w:tblLook w:firstRow="0" w:lastRow="0" w:firstColumn="0" w:lastColumn="0" w:noHBand="0" w:noVBand="0" w:val="0000"/>
      </w:tblPr>
      <w:tblGrid>
        <w:gridCol w:w="7920"/>
      </w:tblGrid>
      <w:tr>
        <w:tc>
          <w:tcPr/>
          <w:bookmarkStart w:id="134" w:name="tbl-bias-drift-intercept"/>
          <w:p>
            <w:pPr>
              <w:jc w:val="center"/>
            </w:pPr>
            <w:pPr>
              <w:jc w:val="start"/>
              <w:spacing w:before="200"/>
              <w:pStyle w:val="ImageCaption"/>
            </w:pPr>
            <w:r>
              <w:t xml:space="preserve">Table 12: Drift intercept (Standard-only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jc w:val="center"/>
                  </w:pPr>
                  <w:r>
                    <w:t xml:space="preserve">Estimate</w:t>
                  </w:r>
                </w:p>
              </w:tc>
              <w:tc>
                <w:tcPr/>
                <w:p>
                  <w:pPr>
                    <w:pStyle w:val="Compact"/>
                    <w:jc w:val="left"/>
                    <w:jc w:val="center"/>
                  </w:pPr>
                  <w:r>
                    <w:t xml:space="preserve">95% CrI</w:t>
                  </w:r>
                </w:p>
              </w:tc>
            </w:tr>
            <w:tr>
              <w:tc>
                <w:tcPr/>
                <w:p>
                  <w:pPr>
                    <w:pStyle w:val="Compact"/>
                    <w:jc w:val="right"/>
                    <w:jc w:val="center"/>
                  </w:pPr>
                  <w:r>
                    <w:t xml:space="preserve">-1.593</w:t>
                  </w:r>
                </w:p>
              </w:tc>
              <w:tc>
                <w:tcPr/>
                <w:p>
                  <w:pPr>
                    <w:pStyle w:val="Compact"/>
                    <w:jc w:val="left"/>
                    <w:jc w:val="center"/>
                  </w:pPr>
                  <w:r>
                    <w:t xml:space="preserve">[-1.787, -1.396]</w:t>
                  </w:r>
                </w:p>
              </w:tc>
            </w:tr>
          </w:tbl>
          <w:bookmarkEnd w:id="134"/>
          <w:p/>
        </w:tc>
      </w:tr>
    </w:tbl>
    <w:p>
      <w:pPr>
        <w:pStyle w:val="BodyText"/>
      </w:pPr>
      <w:r>
        <w:t xml:space="preserve">Table 7 reports descriptive baseline pupil diameter by Task and Effort condition, reflecting tonic arousal state prior to evidence accumulation onset.</w:t>
      </w:r>
    </w:p>
    <w:tbl>
      <w:tblPr>
        <w:tblStyle w:val="Table"/>
        <w:tblW w:type="pct" w:w="5000"/>
        <w:tblLayout w:type="fixed"/>
        <w:tblLook w:firstRow="0" w:lastRow="0" w:firstColumn="0" w:lastColumn="0" w:noHBand="0" w:noVBand="0" w:val="0000"/>
      </w:tblPr>
      <w:tblGrid>
        <w:gridCol w:w="7920"/>
      </w:tblGrid>
      <w:tr>
        <w:tc>
          <w:tcPr/>
          <w:bookmarkStart w:id="135" w:name="tbl-baseline-pupil"/>
          <w:p>
            <w:pPr>
              <w:jc w:val="center"/>
            </w:pPr>
            <w:pPr>
              <w:jc w:val="start"/>
              <w:spacing w:before="200"/>
              <w:pStyle w:val="ImageCaption"/>
            </w:pPr>
            <w:r>
              <w:t xml:space="preserve">Table 13: Baseline pupil diameter (tonic arousal) by Task and Effort condition. Values are descriptive summaries from the pre-trial baseline window (−0.5 s to 0 s relative to squeeze onset).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(AU)</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(AU)</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 (AU)</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Subjects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ADT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VDT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Values in arbitrary units (AU) from eye tracker.</w:t>
                  </w:r>
                </w:p>
              </w:tc>
            </w:tr>
          </w:tbl>
          <w:bookmarkEnd w:id="135"/>
        </w:tc>
      </w:tr>
    </w:tbl>
    <w:bookmarkEnd w:id="136"/>
    <w:bookmarkStart w:id="153" w:name="app-ch3-ppc"/>
    <w:p>
      <w:pPr>
        <w:pStyle w:val="Heading2"/>
      </w:pPr>
      <w:r>
        <w:t xml:space="preserve">A3. Posterior Predictive Checks and Diagnostics</w:t>
      </w:r>
    </w:p>
    <w:p>
      <w:pPr>
        <w:pStyle w:val="FirstParagraph"/>
      </w:pPr>
      <w:r>
        <w:t xml:space="preserve">Table 16 summarizes convergence and PPC diagnostic metrics for the primary model; convergence criteria were strictly satisfied (PASS) while PPC threshold exceedances were driven by fast-tail misfit as discussed below.</w:t>
      </w:r>
    </w:p>
    <w:tbl>
      <w:tblPr>
        <w:tblStyle w:val="Table"/>
        <w:tblW w:type="pct" w:w="5000"/>
        <w:tblLayout w:type="fixed"/>
        <w:tblLook w:firstRow="0" w:lastRow="0" w:firstColumn="0" w:lastColumn="0" w:noHBand="0" w:noVBand="0" w:val="0000"/>
      </w:tblPr>
      <w:tblGrid>
        <w:gridCol w:w="7920"/>
      </w:tblGrid>
      <w:tr>
        <w:tc>
          <w:tcPr/>
          <w:bookmarkStart w:id="137" w:name="tbl-convergence-ppc-gate-appendix"/>
          <w:p>
            <w:pPr>
              <w:jc w:val="center"/>
            </w:pPr>
            <w:pPr>
              <w:jc w:val="start"/>
              <w:spacing w:before="200"/>
              <w:pStyle w:val="ImageCaption"/>
            </w:pPr>
            <w:r>
              <w:t xml:space="preserve">Table 14: Convergence and PPC Diagnostics (Primary Model). Convergence criteria (R-hat, ESS, divergences) were strictly satisfied (PASS). PPC metrics show exceedances of pre-registered strict thresholds, driven by fast-tail misfit — a known limitation of standard Wiener DDM without fast-guess processes. These PPC threshold failures do not invalidate parameter contrasts; visual diagnostics (QP plots, Appendix A3.2) confirmed adequate mid-body fit, and key contrasts were robust to tail deviations. Note:</w:t>
            </w:r>
            <w:r>
              <w:t xml:space="preserve"> </w:t>
            </w:r>
            <w:r>
              <w:t xml:space="preserve">‘Convergence verdict’</w:t>
            </w:r>
            <w:r>
              <w:t xml:space="preserve"> </w:t>
            </w:r>
            <w:r>
              <w:t xml:space="preserve">and</w:t>
            </w:r>
            <w:r>
              <w:t xml:space="preserve"> </w:t>
            </w:r>
            <w:r>
              <w:t xml:space="preserve">‘PPC verdict’</w:t>
            </w:r>
            <w:r>
              <w:t xml:space="preserve"> </w:t>
            </w:r>
            <w:r>
              <w:t xml:space="preserve">reflect different standards — convergence is a binary prerequisite for valid inference; PPC threshold failures indicate model limitations but do not prevent interpretation. See Section 3.2 and Appendix A3 for full discussion.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Metric</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Max R-hat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Min Bulk 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Min Tail 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Divergences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Convergence verdict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PASS (Rhat ≤ 1.01, ESS ≥ 400, 0 divergences)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PPC Cells (n)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PPC Flagged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Max QP RMSE (s)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Max 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PPC verdict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FAIL pre-registered thresholds (fast-tail driven; mid-body fit adequate, inferences robust)</w:t>
                  </w:r>
                </w:p>
              </w:tc>
            </w:tr>
          </w:tbl>
          <w:bookmarkEnd w:id="137"/>
        </w:tc>
      </w:tr>
    </w:tbl>
    <w:p>
      <w:pPr>
        <w:pStyle w:val="BodyText"/>
      </w:pPr>
      <w:r>
        <w:rPr>
          <w:b/>
          <w:bCs/>
        </w:rPr>
        <w:t xml:space="preserve">Conditional Accuracy Function (CAF).</w:t>
      </w:r>
      <w:r>
        <w:t xml:space="preserve"> </w:t>
      </w:r>
      <w:r>
        <w:t xml:space="preserve">The Conditional Accuracy Function (CAF) shows how accuracy varies across RT bins, providing a diagnostic for speed–accuracy tradeoffs.</w:t>
      </w:r>
      <w:r>
        <w:t xml:space="preserve"> </w:t>
      </w:r>
      <w:hyperlink w:anchor="fig-caf">
        <w:r>
          <w:rPr>
            <w:rStyle w:val="Hyperlink"/>
          </w:rPr>
          <w:t xml:space="preserve">Figure 19</w:t>
        </w:r>
      </w:hyperlink>
      <w:r>
        <w:t xml:space="preserve"> </w:t>
      </w:r>
      <w:r>
        <w:t xml:space="preserve">plots empirical accuracy by RT bin for each Task × Effort × Difficulty combination. Consistent with evidence-accumulation dynamics, faster responses (lower RT bins) tend toward chance accuracy, while slower responses show higher accuracy. This pattern validates the DDM’s core assumption that decisions improve with longer evidence accumulation times.</w:t>
      </w:r>
    </w:p>
    <w:tbl>
      <w:tblPr>
        <w:tblStyle w:val="Table"/>
        <w:tblW w:type="pct" w:w="5000"/>
        <w:tblLayout w:type="fixed"/>
        <w:tblLook w:firstRow="0" w:lastRow="0" w:firstColumn="0" w:lastColumn="0" w:noHBand="0" w:noVBand="0" w:val="0000"/>
      </w:tblPr>
      <w:tblGrid>
        <w:gridCol w:w="7920"/>
      </w:tblGrid>
      <w:tr>
        <w:tc>
          <w:tcPr/>
          <w:bookmarkStart w:id="141" w:name="fig-caf"/>
          <w:p>
            <w:pPr>
              <w:pStyle w:val="Compact"/>
              <w:jc w:val="center"/>
            </w:pPr>
            <w:r>
              <w:drawing>
                <wp:inline>
                  <wp:extent cx="4533900" cy="3627120"/>
                  <wp:effectExtent b="0" l="0" r="0" t="0"/>
                  <wp:docPr descr="" title="" id="139" name="Picture"/>
                  <a:graphic>
                    <a:graphicData uri="http://schemas.openxmlformats.org/drawingml/2006/picture">
                      <pic:pic>
                        <pic:nvPicPr>
                          <pic:cNvPr descr="chap3_ddm_results_files/figure-docx/fig-caf-1.png" id="140" name="Picture"/>
                          <pic:cNvPicPr>
                            <a:picLocks noChangeArrowheads="1" noChangeAspect="1"/>
                          </pic:cNvPicPr>
                        </pic:nvPicPr>
                        <pic:blipFill>
                          <a:blip r:embed="rId138"/>
                          <a:stretch>
                            <a:fillRect/>
                          </a:stretch>
                        </pic:blipFill>
                        <pic:spPr bwMode="auto">
                          <a:xfrm>
                            <a:off x="0" y="0"/>
                            <a:ext cx="4533900" cy="36271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Conditional Accuracy Function (CAF). Empirical accuracy by RT bin for each Task × Effort × Difficulty combination. Shows the speed–accuracy tradeoff: faster responses (lower bins) tend toward chance accuracy, while slower responses show higher accuracy, consistent with evidence accumulation over time.</w:t>
            </w:r>
          </w:p>
          <w:bookmarkEnd w:id="141"/>
        </w:tc>
      </w:tr>
    </w:tbl>
    <w:p>
      <w:pPr>
        <w:pStyle w:val="BodyText"/>
      </w:pPr>
      <w:r>
        <w:rPr>
          <w:b/>
          <w:bCs/>
        </w:rPr>
        <w:t xml:space="preserve">PPC Residual Heatmaps.</w:t>
      </w:r>
      <w:r>
        <w:t xml:space="preserve"> </w:t>
      </w:r>
      <w:r>
        <w:t xml:space="preserve">PPC residual heatmaps visualize model fit across the 12 experimental cells (Task × Effort × Difficulty). Each cell is colored by two fit metrics: KS statistic (Kolmogorov–Smirnov, comparing RT distributions) and QP RMSE (quantile–probability root-mean-squared error, comparing RT quantiles). Darker red indicates poorer fit. Pre-declared thresholds were KS</w:t>
      </w:r>
      <w:r>
        <w:t xml:space="preserve"> </w:t>
      </w:r>
      <m:oMath>
        <m:r>
          <m:rPr>
            <m:sty m:val="p"/>
          </m:rPr>
          <m:t>&lt;</m:t>
        </m:r>
      </m:oMath>
      <w:r>
        <w:t xml:space="preserve"> </w:t>
      </w:r>
      <w:r>
        <w:t xml:space="preserve">0.15 (warn) and</w:t>
      </w:r>
      <w:r>
        <w:t xml:space="preserve"> </w:t>
      </w:r>
      <m:oMath>
        <m:r>
          <m:rPr>
            <m:sty m:val="p"/>
          </m:rPr>
          <m:t>&lt;</m:t>
        </m:r>
      </m:oMath>
      <w:r>
        <w:t xml:space="preserve"> </w:t>
      </w:r>
      <w:r>
        <w:t xml:space="preserve">0.20 (fail), QP RMSE</w:t>
      </w:r>
      <w:r>
        <w:t xml:space="preserve"> </w:t>
      </w:r>
      <m:oMath>
        <m:r>
          <m:rPr>
            <m:sty m:val="p"/>
          </m:rPr>
          <m:t>&lt;</m:t>
        </m:r>
      </m:oMath>
      <w:r>
        <w:t xml:space="preserve"> </w:t>
      </w:r>
      <w:r>
        <w:t xml:space="preserve">0.09 s (warn) and</w:t>
      </w:r>
      <w:r>
        <w:t xml:space="preserve"> </w:t>
      </w:r>
      <m:oMath>
        <m:r>
          <m:rPr>
            <m:sty m:val="p"/>
          </m:rPr>
          <m:t>&lt;</m:t>
        </m:r>
      </m:oMath>
      <w:r>
        <w:t xml:space="preserve"> </w:t>
      </w:r>
      <w:r>
        <w:t xml:space="preserve">0.12 s (fail). Most cells show acceptable fit (light colors), with notable misfit concentrated in Easy–VDT conditions (darker red), consistent with known fast-tail underfitting in the base Wiener DDM.</w:t>
      </w:r>
    </w:p>
    <w:tbl>
      <w:tblPr>
        <w:tblStyle w:val="Table"/>
        <w:tblW w:type="pct" w:w="5000"/>
        <w:tblLayout w:type="fixed"/>
        <w:tblLook w:firstRow="0" w:lastRow="0" w:firstColumn="0" w:lastColumn="0" w:noHBand="0" w:noVBand="0" w:val="0000"/>
      </w:tblPr>
      <w:tblGrid>
        <w:gridCol w:w="7920"/>
      </w:tblGrid>
      <w:tr>
        <w:tc>
          <w:tcPr/>
          <w:bookmarkStart w:id="142" w:name="fig-ppc-heatmaps"/>
          <w:p>
            <w:pPr>
              <w:pStyle w:val="Compact"/>
              <w:jc w:val="center"/>
            </w:pPr>
          </w:p>
          <w:p>
            <w:pPr>
              <w:jc w:val="center"/>
            </w:pPr>
            <w:pPr>
              <w:jc w:val="start"/>
              <w:spacing w:before="200"/>
              <w:pStyle w:val="ImageCaption"/>
            </w:pPr>
            <w:r>
              <w:t xml:space="preserve">Figure 20: PPC Residual Heatmaps. KS statistic and QP RMSE by Task × Effort × Difficulty for all models (top panel) and primary model only (bottom panel). Darker red indicates larger residuals (poorer fit). The primary model shows acceptable fit across most cells, with notable misfit in Easy/VDT conditions.</w:t>
            </w:r>
          </w:p>
          <w:bookmarkEnd w:id="142"/>
        </w:tc>
      </w:tr>
    </w:tbl>
    <w:p>
      <w:pPr>
        <w:pStyle w:val="BodyText"/>
      </w:pPr>
      <w:r>
        <w:t xml:space="preserve">The following subsections provide detailed methods and diagnostic results for the posterior predictive checks (PPC) and model validation procedures reported in Chapter 3.</w:t>
      </w:r>
    </w:p>
    <w:bookmarkStart w:id="143" w:name="sec-ch3-ppc-method"/>
    <w:p>
      <w:pPr>
        <w:pStyle w:val="Heading3"/>
      </w:pPr>
      <w:r>
        <w:t xml:space="preserve">A3.1 PPC Validation Method</w:t>
      </w:r>
    </w:p>
    <w:p>
      <w:pPr>
        <w:pStyle w:val="FirstParagraph"/>
      </w:pPr>
      <w:r>
        <w:t xml:space="preserve">We evaluated model fit using posterior predictive checks (PPC) with pre-specified thresholds: subject-wise mid-body QP RMSE &lt; 0.09 s, |Δ accuracy| &lt; 0.05, KS statistic &lt; 0.15, and &lt;15% of cells flagged. Residuals were computed as observed minus posterior median predicted values.</w:t>
      </w:r>
    </w:p>
    <w:p>
      <w:pPr>
        <w:pStyle w:val="BodyText"/>
      </w:pPr>
      <w:r>
        <w:rPr>
          <w:b/>
          <w:bCs/>
        </w:rPr>
        <w:t xml:space="preserve">Interpretation of PPC metrics:</w:t>
      </w:r>
      <w:r>
        <w:t xml:space="preserve"> </w:t>
      </w:r>
      <w:r>
        <w:t xml:space="preserve">The strict subject-condition-level PPC thresholds were not fully satisfied (</w:t>
      </w:r>
      <w:hyperlink w:anchor="tbl-convergence-ppc-gate-appendix">
        <w:r>
          <w:rPr>
            <w:rStyle w:val="Hyperlink"/>
          </w:rPr>
          <w:t xml:space="preserve">Table 14</w:t>
        </w:r>
      </w:hyperlink>
      <w:r>
        <w:t xml:space="preserve">), with elevated flagging rates driven primarily by fast-tail misfit in Easy/VDT conditions. This pattern is consistent with known limitations of the standard Wiener DDM, which assumes constant drift within trials and no across-trial variability in drift (sv), starting point (sz), or non-decision time (st₀). Fast responses in easy conditions are particularly challenging for this model class, as they may reflect anticipatory responses, fast-guess processes, or extremely high momentary drift rates incompatible with the Wiener process assumptions.</w:t>
      </w:r>
    </w:p>
    <w:p>
      <w:pPr>
        <w:pStyle w:val="BodyText"/>
      </w:pPr>
      <w:r>
        <w:rPr>
          <w:b/>
          <w:bCs/>
        </w:rPr>
        <w:t xml:space="preserve">Robustness of inferences:</w:t>
      </w:r>
      <w:r>
        <w:t xml:space="preserve"> </w:t>
      </w:r>
      <w:r>
        <w:t xml:space="preserve">Despite these localized deviations, the model accurately captured: (1) mid-body RT quantiles across all conditions (QP plots show good alignment for central quantiles;</w:t>
      </w:r>
      <w:r>
        <w:t xml:space="preserve"> </w:t>
      </w:r>
      <w:hyperlink w:anchor="fig-ch3app-qp-plot">
        <w:r>
          <w:rPr>
            <w:rStyle w:val="Hyperlink"/>
          </w:rPr>
          <w:t xml:space="preserve">Figure 22</w:t>
        </w:r>
      </w:hyperlink>
      <w:r>
        <w:t xml:space="preserve">), (2) accuracy patterns by condition (mean accuracy errors &lt; 0.05), and (3) the qualitative shape of RT distributions (RT overlay plots show good central fit;</w:t>
      </w:r>
      <w:r>
        <w:t xml:space="preserve"> </w:t>
      </w:r>
      <w:hyperlink w:anchor="fig-ch3app-ppc-rt-overlay">
        <w:r>
          <w:rPr>
            <w:rStyle w:val="Hyperlink"/>
          </w:rPr>
          <w:t xml:space="preserve">Figure 21</w:t>
        </w:r>
      </w:hyperlink>
      <w:r>
        <w:t xml:space="preserve">). Critically, key parameter contrasts (effort effects on drift rate, difficulty effects on boundary separation) were robust to these tail deviations, as verified by sensitivity analyses excluding fast responses (Appendix A5). The strict PPC thresholds serve as a conservative benchmark for identifying model limitations, but do not invalidate substantive conclusions when deviations are confined to sparse data regions and parameter estimates remain stable.</w:t>
      </w:r>
    </w:p>
    <w:bookmarkEnd w:id="143"/>
    <w:bookmarkStart w:id="152" w:name="sec-ch3-ppc-visual"/>
    <w:p>
      <w:pPr>
        <w:pStyle w:val="Heading3"/>
      </w:pPr>
      <w:r>
        <w:t xml:space="preserve">A3.2 Visual PPC Diagnostics</w:t>
      </w:r>
    </w:p>
    <w:p>
      <w:pPr>
        <w:pStyle w:val="FirstParagraph"/>
      </w:pPr>
      <w:r>
        <w:t xml:space="preserve">RT overlay PPCs are shown in</w:t>
      </w:r>
      <w:r>
        <w:t xml:space="preserve"> </w:t>
      </w:r>
      <w:hyperlink w:anchor="fig-ch3app-ppc-rt-overlay">
        <w:r>
          <w:rPr>
            <w:rStyle w:val="Hyperlink"/>
          </w:rPr>
          <w:t xml:space="preserve">Figure 21</w:t>
        </w:r>
      </w:hyperlink>
      <w:r>
        <w:t xml:space="preserve">. QP plot diagnostics are shown in</w:t>
      </w:r>
      <w:r>
        <w:t xml:space="preserve"> </w:t>
      </w:r>
      <w:hyperlink w:anchor="fig-ch3app-qp-plot">
        <w:r>
          <w:rPr>
            <w:rStyle w:val="Hyperlink"/>
          </w:rPr>
          <w:t xml:space="preserve">Figure 22</w:t>
        </w:r>
      </w:hyperlink>
      <w:r>
        <w:t xml:space="preserve">. Additional sensitivity analyses (Unconditional Pooled PPC, Conditional Pooled PPC) confirmed that the core findings are robust, though strict pooled metrics flag more cells due to fast-tail misfit (see Supplementary Figures).</w:t>
      </w:r>
    </w:p>
    <w:tbl>
      <w:tblPr>
        <w:tblStyle w:val="Table"/>
        <w:tblW w:type="pct" w:w="5000"/>
        <w:tblLayout w:type="fixed"/>
        <w:tblLook w:firstRow="0" w:lastRow="0" w:firstColumn="0" w:lastColumn="0" w:noHBand="0" w:noVBand="0" w:val="0000"/>
      </w:tblPr>
      <w:tblGrid>
        <w:gridCol w:w="7920"/>
      </w:tblGrid>
      <w:tr>
        <w:tc>
          <w:tcPr/>
          <w:bookmarkStart w:id="147" w:name="fig-ch3app-ppc-rt-overlay"/>
          <w:p>
            <w:pPr>
              <w:pStyle w:val="Compact"/>
              <w:jc w:val="center"/>
            </w:pPr>
            <w:r>
              <w:drawing>
                <wp:inline>
                  <wp:extent cx="4533900" cy="3274483"/>
                  <wp:effectExtent b="0" l="0" r="0" t="0"/>
                  <wp:docPr descr="" title="" id="145" name="Picture"/>
                  <a:graphic>
                    <a:graphicData uri="http://schemas.openxmlformats.org/drawingml/2006/picture">
                      <pic:pic>
                        <pic:nvPicPr>
                          <pic:cNvPr descr="../output/figures/fig_ppc_rt_overlay.pdf" id="146" name="Picture"/>
                          <pic:cNvPicPr>
                            <a:picLocks noChangeArrowheads="1" noChangeAspect="1"/>
                          </pic:cNvPicPr>
                        </pic:nvPicPr>
                        <pic:blipFill>
                          <a:blip r:embed="rId144"/>
                          <a:stretch>
                            <a:fillRect/>
                          </a:stretch>
                        </pic:blipFill>
                        <pic:spPr bwMode="auto">
                          <a:xfrm>
                            <a:off x="0" y="0"/>
                            <a:ext cx="4533900" cy="3274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Posterior Predictive Check: RT Distributions. Empirical (black solid) vs. posterior predictive (blue solid) RT densities by Task × Effort × Difficulty. Overall model fit is good for central tendencies, with some misfit in fast tails (especially Easy/VDT).</w:t>
            </w:r>
          </w:p>
          <w:bookmarkEnd w:id="147"/>
        </w:tc>
      </w:tr>
    </w:tbl>
    <w:tbl>
      <w:tblPr>
        <w:tblStyle w:val="Table"/>
        <w:tblW w:type="pct" w:w="5000"/>
        <w:tblLayout w:type="fixed"/>
        <w:tblLook w:firstRow="0" w:lastRow="0" w:firstColumn="0" w:lastColumn="0" w:noHBand="0" w:noVBand="0" w:val="0000"/>
      </w:tblPr>
      <w:tblGrid>
        <w:gridCol w:w="7920"/>
      </w:tblGrid>
      <w:tr>
        <w:tc>
          <w:tcPr/>
          <w:bookmarkStart w:id="151" w:name="fig-ch3app-qp-plot"/>
          <w:p>
            <w:pPr>
              <w:pStyle w:val="Compact"/>
              <w:jc w:val="center"/>
            </w:pPr>
            <w:r>
              <w:drawing>
                <wp:inline>
                  <wp:extent cx="4267200" cy="2761129"/>
                  <wp:effectExtent b="0" l="0" r="0" t="0"/>
                  <wp:docPr descr="" title="" id="149" name="Picture"/>
                  <a:graphic>
                    <a:graphicData uri="http://schemas.openxmlformats.org/drawingml/2006/picture">
                      <pic:pic>
                        <pic:nvPicPr>
                          <pic:cNvPr descr="../output/figures/fig_qp.pdf" id="150" name="Picture"/>
                          <pic:cNvPicPr>
                            <a:picLocks noChangeArrowheads="1" noChangeAspect="1"/>
                          </pic:cNvPicPr>
                        </pic:nvPicPr>
                        <pic:blipFill>
                          <a:blip r:embed="rId148"/>
                          <a:stretch>
                            <a:fillRect/>
                          </a:stretch>
                        </pic:blipFill>
                        <pic:spPr bwMode="auto">
                          <a:xfrm>
                            <a:off x="0" y="0"/>
                            <a:ext cx="4267200" cy="276112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Quantile-Probability (QP) Plot. Empirical vs. predicted RT quantiles by difficulty level, with separate panels for Task × Effort. Points colored by difficulty (Standard=gray, Easy=blue, Hard=red) and shaped by response type (Correct/Error). Dashed diagonal = perfect prediction. Deviations primarily occur in fast tails for Easy/VDT conditions.</w:t>
            </w:r>
          </w:p>
          <w:bookmarkEnd w:id="151"/>
        </w:tc>
      </w:tr>
    </w:tbl>
    <w:bookmarkEnd w:id="152"/>
    <w:bookmarkEnd w:id="153"/>
    <w:bookmarkStart w:id="184" w:name="a4.-sensitivity-analyses"/>
    <w:p>
      <w:pPr>
        <w:pStyle w:val="Heading2"/>
      </w:pPr>
      <w:r>
        <w:t xml:space="preserve">A4. Sensitivity Analyses</w:t>
      </w:r>
    </w:p>
    <w:bookmarkStart w:id="155" w:name="X4c06544ab073e3148bfc63df5d6ea1bec867eb9"/>
    <w:p>
      <w:pPr>
        <w:pStyle w:val="Heading3"/>
      </w:pPr>
      <w:r>
        <w:t xml:space="preserve">A4.1 Exclusion of Sub-Chance Participants</w:t>
      </w:r>
    </w:p>
    <w:p>
      <w:pPr>
        <w:pStyle w:val="FirstParagraph"/>
      </w:pPr>
      <w:r>
        <w:t xml:space="preserve">To verify that the inclusion of 12 participants who performed at or near chance (</w:t>
      </w:r>
      <m:oMath>
        <m:r>
          <m:rPr>
            <m:sty m:val="p"/>
          </m:rPr>
          <m:t>≤</m:t>
        </m:r>
      </m:oMath>
      <w:r>
        <w:t xml:space="preserve"> </w:t>
      </w:r>
      <w:r>
        <w:t xml:space="preserve">55% accuracy, compared to 50% two-alternative forced-choice baseline) in some conditions did not bias our main findings, we conducted sensitivity analyses comparing the primary model (N=67) with models fit after excluding these participants (N=55).</w:t>
      </w:r>
    </w:p>
    <w:p>
      <w:pPr>
        <w:pStyle w:val="BodyText"/>
      </w:pPr>
      <w:r>
        <w:rPr>
          <w:b/>
          <w:bCs/>
        </w:rPr>
        <w:t xml:space="preserve">Method</w:t>
      </w:r>
      <w:r>
        <w:t xml:space="preserve">: We refit the primary model (Model3_Difficulty) and an additive model (Model4_Additive) on the reduced dataset excluding sub-chance participants. Parameter estimates were compared using delta (sensitivity - baseline) with conservative 95% credible intervals. If the delta CI includes zero and the baseline and sensitivity CIs overlap, we conclude the parameter is robust to exclusion.</w:t>
      </w:r>
    </w:p>
    <w:tbl>
      <w:tblPr>
        <w:tblStyle w:val="Table"/>
        <w:tblW w:type="pct" w:w="5000"/>
        <w:tblLayout w:type="fixed"/>
        <w:tblLook w:firstRow="0" w:lastRow="0" w:firstColumn="0" w:lastColumn="0" w:noHBand="0" w:noVBand="0" w:val="0000"/>
      </w:tblPr>
      <w:tblGrid>
        <w:gridCol w:w="7920"/>
      </w:tblGrid>
      <w:tr>
        <w:tc>
          <w:tcPr/>
          <w:bookmarkStart w:id="154" w:name="tbl-sensitivity-subchance"/>
          <w:p>
            <w:pPr>
              <w:jc w:val="center"/>
            </w:pPr>
            <w:pPr>
              <w:jc w:val="start"/>
              <w:spacing w:before="200"/>
              <w:pStyle w:val="ImageCaption"/>
            </w:pPr>
            <w:r>
              <w:t xml:space="preserve">Table 15: Sensitivity Analysis: Excluding Sub-Chance Participants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Parameter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Baseline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Excluded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Δ</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Δ CI Lower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Δ CI Upper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CI Overlap</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Δ Contains 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Additive (v + a + 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(a):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Additive (v + a + 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Additive (v + a + 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Difficulty: 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Additive (v + a + 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Effort: Low_5_MVC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Additive (v + a + 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 v (drift)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(a):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 v (drift)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 v (drift)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Difficulty: 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 v (drift)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default">Baseline: N=67 (includes sub-chance). Excluded: N=55 (excludes sub-chance). Δ = Excluded - Baseline. If Δ CI contains 0 and CIs overlap, parameter is robust.</w:t>
                  </w:r>
                </w:p>
              </w:tc>
            </w:tr>
            <w:tr>
              <w:trPr>
                <w:cantSplit/>
              </w:trPr>
              <w:tc>
                <w:tcPr>
                  <w:gridSpan w:val="9"/>
                </w:tcPr>
                <w:p>
                  <w:pPr>
                    <w:spacing w:before="0" w:after="60"/>
                    <w:keepNext/>
                  </w:pPr>
                  <w:r>
                    <w:rPr>
                      <w:rFonts w:ascii="Calibri" w:hAnsi="Calibri"/>
                      <w:sz w:val="20"/>
                    </w:rPr>
                    <w:t xml:space="default">Parameter estimates are posterior medians; Δ CI is the 95% credible interval for the difference between the full sample and the sub-chance-excluded subsample.</w:t>
                  </w:r>
                </w:p>
              </w:tc>
            </w:tr>
          </w:tbl>
          <w:bookmarkEnd w:id="154"/>
        </w:tc>
      </w:tr>
    </w:tbl>
    <w:p>
      <w:pPr>
        <w:pStyle w:val="BodyText"/>
      </w:pPr>
      <w:r>
        <w:rPr>
          <w:b/>
          <w:bCs/>
        </w:rPr>
        <w:t xml:space="preserve">Results</w:t>
      </w:r>
      <w:r>
        <w:t xml:space="preserve">: Most key parameters showed robust estimates when excluding sub-chance participants. For Model3_Difficulty and Model4_Additive, the drift intercept and boundary separation showed delta CIs that included zero, indicating no meaningful change. The Easy difficulty effect was also robust. The Hard difficulty effect showed a small shift (</w:t>
      </w:r>
      <m:oMath>
        <m:r>
          <m:t>Δ</m:t>
        </m:r>
        <m:r>
          <m:rPr>
            <m:sty m:val="p"/>
          </m:rPr>
          <m:t>≈</m:t>
        </m:r>
        <m:r>
          <m:rPr>
            <m:sty m:val="p"/>
          </m:rPr>
          <m:t>−</m:t>
        </m:r>
        <m:r>
          <m:t>0.10</m:t>
        </m:r>
      </m:oMath>
      <w:r>
        <w:t xml:space="preserve">, delta CI did not include zero), but this represents a small change in magnitude (approximately 6.5% of the baseline estimate) and does not alter the substantive conclusion that Hard trials show negative drift relative to Standard.</w:t>
      </w:r>
    </w:p>
    <w:p>
      <w:pPr>
        <w:pStyle w:val="BodyText"/>
      </w:pPr>
      <w:r>
        <w:rPr>
          <w:b/>
          <w:bCs/>
        </w:rPr>
        <w:t xml:space="preserve">Conclusion</w:t>
      </w:r>
      <w:r>
        <w:t xml:space="preserve">: Sensitivity analyses confirmed that inclusion of these participants did not alter the pattern of main effects. The inclusion of sub-chance participants did not meaningfully alter main effects or substantive conclusions, supporting our decision to retain all 67 participants to maximize sample size and leverage hierarchical modeling’s ability to stabilize estimates through shrinkage.</w:t>
      </w:r>
    </w:p>
    <w:bookmarkEnd w:id="155"/>
    <w:bookmarkStart w:id="166" w:name="a4.2-rt-cutoff-thresholds"/>
    <w:p>
      <w:pPr>
        <w:pStyle w:val="Heading3"/>
      </w:pPr>
      <w:r>
        <w:t xml:space="preserve">A4.2 RT Cutoff Thresholds</w:t>
      </w:r>
    </w:p>
    <w:p>
      <w:pPr>
        <w:pStyle w:val="FirstParagraph"/>
      </w:pPr>
      <w:r>
        <w:t xml:space="preserve">The difficulty gradient (Easy &gt; Hard &gt; Standard) and the effort effect on drift rate were preserved across all three RT cutoff thresholds (see</w:t>
      </w:r>
      <w:r>
        <w:t xml:space="preserve"> </w:t>
      </w:r>
      <w:hyperlink w:anchor="tbl-app-sensitivity-full">
        <w:r>
          <w:rPr>
            <w:rStyle w:val="Hyperlink"/>
          </w:rPr>
          <w:t xml:space="preserve">Table 17</w:t>
        </w:r>
      </w:hyperlink>
      <w:r>
        <w:t xml:space="preserve"> </w:t>
      </w:r>
      <w:r>
        <w:t xml:space="preserve">and the figures below for full parameter estimates and plots), confirming that the primary findings are not sensitive to the choice of RT lower bound.</w:t>
      </w:r>
    </w:p>
    <w:p>
      <w:pPr>
        <w:pStyle w:val="BodyText"/>
      </w:pPr>
      <w:r>
        <w:t xml:space="preserve">Because different RT cutoffs exclude different numbers of trials, raw LOOIC values are</w:t>
      </w:r>
      <w:r>
        <w:t xml:space="preserve"> </w:t>
      </w:r>
      <w:r>
        <w:rPr>
          <w:b/>
          <w:bCs/>
        </w:rPr>
        <w:t xml:space="preserve">not directly comparable</w:t>
      </w:r>
      <w:r>
        <w:t xml:space="preserve"> </w:t>
      </w:r>
      <w:r>
        <w:t xml:space="preserve">across thresholds (</w:t>
      </w:r>
      <w:hyperlink w:anchor="tbl-sensitivity-thresholds">
        <w:r>
          <w:rPr>
            <w:rStyle w:val="Hyperlink"/>
          </w:rPr>
          <w:t xml:space="preserve">Table 16</w:t>
        </w:r>
      </w:hyperlink>
      <w:r>
        <w:t xml:space="preserve">). LOOIC is a measure of total log predictive density, which scales with sample size. We therefore evaluate sensitivity by comparing</w:t>
      </w:r>
      <w:r>
        <w:t xml:space="preserve"> </w:t>
      </w:r>
      <w:r>
        <w:rPr>
          <w:b/>
          <w:bCs/>
        </w:rPr>
        <w:t xml:space="preserve">parameter estimates</w:t>
      </w:r>
      <w:r>
        <w:t xml:space="preserve"> </w:t>
      </w:r>
      <w:r>
        <w:t xml:space="preserve">and</w:t>
      </w:r>
      <w:r>
        <w:t xml:space="preserve"> </w:t>
      </w:r>
      <w:r>
        <w:rPr>
          <w:b/>
          <w:bCs/>
        </w:rPr>
        <w:t xml:space="preserve">effect directions</w:t>
      </w:r>
      <w:r>
        <w:t xml:space="preserve"> </w:t>
      </w:r>
      <w:r>
        <w:t xml:space="preserve">across cutoffs, not by selecting the</w:t>
      </w:r>
      <w:r>
        <w:t xml:space="preserve"> </w:t>
      </w:r>
      <w:r>
        <w:t xml:space="preserve">“best”</w:t>
      </w:r>
      <w:r>
        <w:t xml:space="preserve"> </w:t>
      </w:r>
      <w:r>
        <w:t xml:space="preserve">LOOIC model.</w:t>
      </w:r>
    </w:p>
    <w:tbl>
      <w:tblPr>
        <w:tblStyle w:val="Table"/>
        <w:tblW w:type="pct" w:w="5000"/>
        <w:tblLayout w:type="fixed"/>
        <w:tblLook w:firstRow="0" w:lastRow="0" w:firstColumn="0" w:lastColumn="0" w:noHBand="0" w:noVBand="0" w:val="0000"/>
      </w:tblPr>
      <w:tblGrid>
        <w:gridCol w:w="7920"/>
      </w:tblGrid>
      <w:tr>
        <w:tc>
          <w:tcPr/>
          <w:bookmarkStart w:id="156" w:name="tbl-sensitivity-thresholds"/>
          <w:p>
            <w:pPr>
              <w:jc w:val="center"/>
            </w:pPr>
            <w:pPr>
              <w:jc w:val="start"/>
              <w:spacing w:before="200"/>
              <w:pStyle w:val="ImageCaption"/>
            </w:pPr>
            <w:r>
              <w:t xml:space="preserve">Table 16: Sensitivity to minimum cue-locked RT cutoff (0.15/0.20/0.25 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jc w:val="center"/>
                  </w:pPr>
                  <w:r>
                    <w:t xml:space="preserve">Threshold (s)</w:t>
                  </w:r>
                </w:p>
              </w:tc>
              <w:tc>
                <w:tcPr/>
                <w:p>
                  <w:pPr>
                    <w:pStyle w:val="Compact"/>
                    <w:jc w:val="left"/>
                    <w:jc w:val="center"/>
                  </w:pPr>
                  <w:r>
                    <w:t xml:space="preserve">N trials</w:t>
                  </w:r>
                </w:p>
              </w:tc>
              <w:tc>
                <w:tcPr/>
                <w:p>
                  <w:pPr>
                    <w:pStyle w:val="Compact"/>
                    <w:jc w:val="right"/>
                    <w:jc w:val="center"/>
                  </w:pPr>
                  <w:r>
                    <w:t xml:space="preserve">LOOIC</w:t>
                  </w:r>
                </w:p>
              </w:tc>
              <w:tc>
                <w:tcPr/>
                <w:p>
                  <w:pPr>
                    <w:pStyle w:val="Compact"/>
                    <w:jc w:val="right"/>
                    <w:jc w:val="center"/>
                  </w:pPr>
                  <w:r>
                    <w:t xml:space="preserve">LOOIC SE</w:t>
                  </w:r>
                </w:p>
              </w:tc>
            </w:tr>
            <w:tr>
              <w:tc>
                <w:tcPr/>
                <w:p>
                  <w:pPr>
                    <w:pStyle w:val="Compact"/>
                    <w:jc w:val="right"/>
                    <w:jc w:val="center"/>
                  </w:pPr>
                  <w:r>
                    <w:t xml:space="preserve">0.15</w:t>
                  </w:r>
                </w:p>
              </w:tc>
              <w:tc>
                <w:tcPr/>
                <w:p>
                  <w:pPr>
                    <w:pStyle w:val="Compact"/>
                    <w:jc w:val="left"/>
                    <w:jc w:val="center"/>
                  </w:pPr>
                  <w:r>
                    <w:t xml:space="preserve">17,981</w:t>
                  </w:r>
                </w:p>
              </w:tc>
              <w:tc>
                <w:tcPr/>
                <w:p>
                  <w:pPr>
                    <w:pStyle w:val="Compact"/>
                    <w:jc w:val="right"/>
                    <w:jc w:val="center"/>
                  </w:pPr>
                  <w:r>
                    <w:t xml:space="preserve">49700.5</w:t>
                  </w:r>
                </w:p>
              </w:tc>
              <w:tc>
                <w:tcPr/>
                <w:p>
                  <w:pPr>
                    <w:pStyle w:val="Compact"/>
                    <w:jc w:val="right"/>
                    <w:jc w:val="center"/>
                  </w:pPr>
                  <w:r>
                    <w:t xml:space="preserve">218.4</w:t>
                  </w:r>
                </w:p>
              </w:tc>
            </w:tr>
            <w:tr>
              <w:tc>
                <w:tcPr/>
                <w:p>
                  <w:pPr>
                    <w:pStyle w:val="Compact"/>
                    <w:jc w:val="right"/>
                    <w:jc w:val="center"/>
                  </w:pPr>
                  <w:r>
                    <w:t xml:space="preserve">0.20</w:t>
                  </w:r>
                </w:p>
              </w:tc>
              <w:tc>
                <w:tcPr/>
                <w:p>
                  <w:pPr>
                    <w:pStyle w:val="Compact"/>
                    <w:jc w:val="left"/>
                    <w:jc w:val="center"/>
                  </w:pPr>
                  <w:r>
                    <w:t xml:space="preserve">17,857</w:t>
                  </w:r>
                </w:p>
              </w:tc>
              <w:tc>
                <w:tcPr/>
                <w:p>
                  <w:pPr>
                    <w:pStyle w:val="Compact"/>
                    <w:jc w:val="right"/>
                    <w:jc w:val="center"/>
                  </w:pPr>
                  <w:r>
                    <w:t xml:space="preserve">47966.6</w:t>
                  </w:r>
                </w:p>
              </w:tc>
              <w:tc>
                <w:tcPr/>
                <w:p>
                  <w:pPr>
                    <w:pStyle w:val="Compact"/>
                    <w:jc w:val="right"/>
                    <w:jc w:val="center"/>
                  </w:pPr>
                  <w:r>
                    <w:t xml:space="preserve">214.9</w:t>
                  </w:r>
                </w:p>
              </w:tc>
            </w:tr>
            <w:tr>
              <w:tc>
                <w:tcPr/>
                <w:p>
                  <w:pPr>
                    <w:pStyle w:val="Compact"/>
                    <w:jc w:val="right"/>
                    <w:jc w:val="center"/>
                  </w:pPr>
                  <w:r>
                    <w:t xml:space="preserve">0.25</w:t>
                  </w:r>
                </w:p>
              </w:tc>
              <w:tc>
                <w:tcPr/>
                <w:p>
                  <w:pPr>
                    <w:pStyle w:val="Compact"/>
                    <w:jc w:val="left"/>
                    <w:jc w:val="center"/>
                  </w:pPr>
                  <w:r>
                    <w:t xml:space="preserve">17,720</w:t>
                  </w:r>
                </w:p>
              </w:tc>
              <w:tc>
                <w:tcPr/>
                <w:p>
                  <w:pPr>
                    <w:pStyle w:val="Compact"/>
                    <w:jc w:val="right"/>
                    <w:jc w:val="center"/>
                  </w:pPr>
                  <w:r>
                    <w:t xml:space="preserve">46246.8</w:t>
                  </w:r>
                </w:p>
              </w:tc>
              <w:tc>
                <w:tcPr/>
                <w:p>
                  <w:pPr>
                    <w:pStyle w:val="Compact"/>
                    <w:jc w:val="right"/>
                    <w:jc w:val="center"/>
                  </w:pPr>
                  <w:r>
                    <w:t xml:space="preserve">215.5</w:t>
                  </w:r>
                </w:p>
              </w:tc>
            </w:tr>
          </w:tbl>
          <w:bookmarkEnd w:id="156"/>
          <w:p/>
        </w:tc>
      </w:tr>
    </w:tbl>
    <w:p>
      <w:pPr>
        <w:pStyle w:val="BodyText"/>
      </w:pPr>
      <w:r>
        <w:t xml:space="preserve">We adopted 0.20 s as the primary cutoff, balancing exclusion of fast guesses with trial retention (</w:t>
      </w:r>
      <w:hyperlink w:anchor="tbl-sensitivity-thresholds">
        <w:r>
          <w:rPr>
            <w:rStyle w:val="Hyperlink"/>
          </w:rPr>
          <w:t xml:space="preserve">Table 16</w:t>
        </w:r>
      </w:hyperlink>
      <w:r>
        <w:t xml:space="preserve">); all subsequent reported effects refer to this threshold.</w:t>
      </w:r>
    </w:p>
    <w:tbl>
      <w:tblPr>
        <w:tblStyle w:val="Table"/>
        <w:tblW w:type="pct" w:w="5000"/>
        <w:tblLayout w:type="fixed"/>
        <w:tblLook w:firstRow="0" w:lastRow="0" w:firstColumn="0" w:lastColumn="0" w:noHBand="0" w:noVBand="0" w:val="0000"/>
      </w:tblPr>
      <w:tblGrid>
        <w:gridCol w:w="7920"/>
      </w:tblGrid>
      <w:tr>
        <w:tc>
          <w:tcPr/>
          <w:bookmarkStart w:id="157" w:name="tbl-app-sensitivity-full"/>
          <w:p>
            <w:pPr>
              <w:jc w:val="center"/>
            </w:pPr>
            <w:pPr>
              <w:jc w:val="start"/>
              <w:spacing w:before="200"/>
              <w:pStyle w:val="ImageCaption"/>
            </w:pPr>
            <w:r>
              <w:t xml:space="preserve">Table 17: Full sensitivity analysis results across RT cutoffs (0.15, 0.20, 0.25 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jc w:val="center"/>
                  </w:pPr>
                  <w:r>
                    <w:t xml:space="preserve">threshold</w:t>
                  </w:r>
                </w:p>
              </w:tc>
              <w:tc>
                <w:tcPr/>
                <w:p>
                  <w:pPr>
                    <w:pStyle w:val="Compact"/>
                    <w:jc w:val="right"/>
                    <w:jc w:val="center"/>
                  </w:pPr>
                  <w:r>
                    <w:t xml:space="preserve">n_trials</w:t>
                  </w:r>
                </w:p>
              </w:tc>
              <w:tc>
                <w:tcPr/>
                <w:p>
                  <w:pPr>
                    <w:pStyle w:val="Compact"/>
                    <w:jc w:val="right"/>
                    <w:jc w:val="center"/>
                  </w:pPr>
                  <w:r>
                    <w:t xml:space="preserve">n_subjects</w:t>
                  </w:r>
                </w:p>
              </w:tc>
              <w:tc>
                <w:tcPr/>
                <w:p>
                  <w:pPr>
                    <w:pStyle w:val="Compact"/>
                    <w:jc w:val="right"/>
                    <w:jc w:val="center"/>
                  </w:pPr>
                  <w:r>
                    <w:t xml:space="preserve">min_rt</w:t>
                  </w:r>
                </w:p>
              </w:tc>
              <w:tc>
                <w:tcPr/>
                <w:p>
                  <w:pPr>
                    <w:pStyle w:val="Compact"/>
                    <w:jc w:val="right"/>
                    <w:jc w:val="center"/>
                  </w:pPr>
                  <w:r>
                    <w:t xml:space="preserve">median_rt</w:t>
                  </w:r>
                </w:p>
              </w:tc>
              <w:tc>
                <w:tcPr/>
                <w:p>
                  <w:pPr>
                    <w:pStyle w:val="Compact"/>
                    <w:jc w:val="right"/>
                    <w:jc w:val="center"/>
                  </w:pPr>
                  <w:r>
                    <w:t xml:space="preserve">looic</w:t>
                  </w:r>
                </w:p>
              </w:tc>
              <w:tc>
                <w:tcPr/>
                <w:p>
                  <w:pPr>
                    <w:pStyle w:val="Compact"/>
                    <w:jc w:val="right"/>
                    <w:jc w:val="center"/>
                  </w:pPr>
                  <w:r>
                    <w:t xml:space="preserve">looic_se</w:t>
                  </w:r>
                </w:p>
              </w:tc>
            </w:tr>
            <w:tr>
              <w:tc>
                <w:tcPr/>
                <w:p>
                  <w:pPr>
                    <w:pStyle w:val="Compact"/>
                    <w:jc w:val="right"/>
                    <w:jc w:val="center"/>
                  </w:pPr>
                  <w:r>
                    <w:t xml:space="preserve">0.15</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0.15</w:t>
                  </w:r>
                </w:p>
              </w:tc>
              <w:tc>
                <w:tcPr/>
                <w:p>
                  <w:pPr>
                    <w:pStyle w:val="Compact"/>
                    <w:jc w:val="right"/>
                    <w:jc w:val="center"/>
                  </w:pPr>
                  <w:r>
                    <w:t xml:space="preserve">0.877</w:t>
                  </w:r>
                </w:p>
              </w:tc>
              <w:tc>
                <w:tcPr/>
                <w:p>
                  <w:pPr>
                    <w:pStyle w:val="Compact"/>
                    <w:jc w:val="right"/>
                    <w:jc w:val="center"/>
                  </w:pPr>
                  <w:r>
                    <w:t xml:space="preserve">49700.51</w:t>
                  </w:r>
                </w:p>
              </w:tc>
              <w:tc>
                <w:tcPr/>
                <w:p>
                  <w:pPr>
                    <w:pStyle w:val="Compact"/>
                    <w:jc w:val="right"/>
                    <w:jc w:val="center"/>
                  </w:pPr>
                  <w:r>
                    <w:t xml:space="preserve">218.386</w:t>
                  </w:r>
                </w:p>
              </w:tc>
            </w:tr>
            <w:tr>
              <w:tc>
                <w:tcPr/>
                <w:p>
                  <w:pPr>
                    <w:pStyle w:val="Compact"/>
                    <w:jc w:val="right"/>
                    <w:jc w:val="center"/>
                  </w:pPr>
                  <w:r>
                    <w:t xml:space="preserve">0.20</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0.20</w:t>
                  </w:r>
                </w:p>
              </w:tc>
              <w:tc>
                <w:tcPr/>
                <w:p>
                  <w:pPr>
                    <w:pStyle w:val="Compact"/>
                    <w:jc w:val="right"/>
                    <w:jc w:val="center"/>
                  </w:pPr>
                  <w:r>
                    <w:t xml:space="preserve">0.882</w:t>
                  </w:r>
                </w:p>
              </w:tc>
              <w:tc>
                <w:tcPr/>
                <w:p>
                  <w:pPr>
                    <w:pStyle w:val="Compact"/>
                    <w:jc w:val="right"/>
                    <w:jc w:val="center"/>
                  </w:pPr>
                  <w:r>
                    <w:t xml:space="preserve">47966.55</w:t>
                  </w:r>
                </w:p>
              </w:tc>
              <w:tc>
                <w:tcPr/>
                <w:p>
                  <w:pPr>
                    <w:pStyle w:val="Compact"/>
                    <w:jc w:val="right"/>
                    <w:jc w:val="center"/>
                  </w:pPr>
                  <w:r>
                    <w:t xml:space="preserve">214.885</w:t>
                  </w:r>
                </w:p>
              </w:tc>
            </w:tr>
            <w:tr>
              <w:tc>
                <w:tcPr/>
                <w:p>
                  <w:pPr>
                    <w:pStyle w:val="Compact"/>
                    <w:jc w:val="right"/>
                    <w:jc w:val="center"/>
                  </w:pPr>
                  <w:r>
                    <w:t xml:space="preserve">0.25</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0.25</w:t>
                  </w:r>
                </w:p>
              </w:tc>
              <w:tc>
                <w:tcPr/>
                <w:p>
                  <w:pPr>
                    <w:pStyle w:val="Compact"/>
                    <w:jc w:val="right"/>
                    <w:jc w:val="center"/>
                  </w:pPr>
                  <w:r>
                    <w:t xml:space="preserve">0.889</w:t>
                  </w:r>
                </w:p>
              </w:tc>
              <w:tc>
                <w:tcPr/>
                <w:p>
                  <w:pPr>
                    <w:pStyle w:val="Compact"/>
                    <w:jc w:val="right"/>
                    <w:jc w:val="center"/>
                  </w:pPr>
                  <w:r>
                    <w:t xml:space="preserve">46246.79</w:t>
                  </w:r>
                </w:p>
              </w:tc>
              <w:tc>
                <w:tcPr/>
                <w:p>
                  <w:pPr>
                    <w:pStyle w:val="Compact"/>
                    <w:jc w:val="right"/>
                    <w:jc w:val="center"/>
                  </w:pPr>
                  <w:r>
                    <w:t xml:space="preserve">215.490</w:t>
                  </w:r>
                </w:p>
              </w:tc>
            </w:tr>
          </w:tbl>
          <w:bookmarkEnd w:id="157"/>
          <w:p/>
        </w:tc>
      </w:tr>
    </w:tbl>
    <w:tbl>
      <w:tblPr>
        <w:tblStyle w:val="Table"/>
        <w:tblW w:type="pct" w:w="5000"/>
        <w:tblLayout w:type="fixed"/>
        <w:tblLook w:firstRow="0" w:lastRow="0" w:firstColumn="0" w:lastColumn="0" w:noHBand="0" w:noVBand="0" w:val="0000"/>
      </w:tblPr>
      <w:tblGrid>
        <w:gridCol w:w="7920"/>
      </w:tblGrid>
      <w:tr>
        <w:tc>
          <w:tcPr/>
          <w:bookmarkStart w:id="161" w:name="fig-app-sensitivity-looic"/>
          <w:p>
            <w:pPr>
              <w:pStyle w:val="Compact"/>
              <w:jc w:val="center"/>
            </w:pPr>
            <w:r>
              <w:drawing>
                <wp:inline>
                  <wp:extent cx="3733800" cy="2987040"/>
                  <wp:effectExtent b="0" l="0" r="0" t="0"/>
                  <wp:docPr descr="" title="" id="159" name="Picture"/>
                  <a:graphic>
                    <a:graphicData uri="http://schemas.openxmlformats.org/drawingml/2006/picture">
                      <pic:pic>
                        <pic:nvPicPr>
                          <pic:cNvPr descr="chap3_ddm_results_files/figure-docx/fig-app-sensitivity-looic-1.png" id="160" name="Picture"/>
                          <pic:cNvPicPr>
                            <a:picLocks noChangeArrowheads="1" noChangeAspect="1"/>
                          </pic:cNvPicPr>
                        </pic:nvPicPr>
                        <pic:blipFill>
                          <a:blip r:embed="rId158"/>
                          <a:stretch>
                            <a:fillRect/>
                          </a:stretch>
                        </pic:blipFill>
                        <pic:spPr bwMode="auto">
                          <a:xfrm>
                            <a:off x="0" y="0"/>
                            <a:ext cx="3733800" cy="29870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LOOIC values across RT cutoff thresholds. Model fit (LOOIC) is shown for each threshold (0.15, 0.20, 0.25 s), with error bars indicating standard errors. Minimal variation across thresholds indicates that model conclusions are robust to the choice of RT cutoff.</w:t>
            </w:r>
          </w:p>
          <w:bookmarkEnd w:id="161"/>
        </w:tc>
      </w:tr>
    </w:tbl>
    <w:tbl>
      <w:tblPr>
        <w:tblStyle w:val="Table"/>
        <w:tblW w:type="pct" w:w="5000"/>
        <w:tblLayout w:type="fixed"/>
        <w:tblLook w:firstRow="0" w:lastRow="0" w:firstColumn="0" w:lastColumn="0" w:noHBand="0" w:noVBand="0" w:val="0000"/>
      </w:tblPr>
      <w:tblGrid>
        <w:gridCol w:w="7920"/>
      </w:tblGrid>
      <w:tr>
        <w:tc>
          <w:tcPr/>
          <w:bookmarkStart w:id="165" w:name="fig-a4-2a-drift-by-difficulty"/>
          <w:p>
            <w:pPr>
              <w:pStyle w:val="Compact"/>
              <w:jc w:val="center"/>
            </w:pPr>
            <w:r>
              <w:drawing>
                <wp:inline>
                  <wp:extent cx="3733800" cy="2987040"/>
                  <wp:effectExtent b="0" l="0" r="0" t="0"/>
                  <wp:docPr descr="" title="" id="163" name="Picture"/>
                  <a:graphic>
                    <a:graphicData uri="http://schemas.openxmlformats.org/drawingml/2006/picture">
                      <pic:pic>
                        <pic:nvPicPr>
                          <pic:cNvPr descr="chap3_ddm_results_files/figure-docx/fig-a4-2a-drift-by-difficulty-1.png" id="164" name="Picture"/>
                          <pic:cNvPicPr>
                            <a:picLocks noChangeArrowheads="1" noChangeAspect="1"/>
                          </pic:cNvPicPr>
                        </pic:nvPicPr>
                        <pic:blipFill>
                          <a:blip r:embed="rId162"/>
                          <a:stretch>
                            <a:fillRect/>
                          </a:stretch>
                        </pic:blipFill>
                        <pic:spPr bwMode="auto">
                          <a:xfrm>
                            <a:off x="0" y="0"/>
                            <a:ext cx="3733800" cy="29870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Drift rate (</w:t>
            </w:r>
            <m:oMath>
              <m:r>
                <m:t>v</m:t>
              </m:r>
            </m:oMath>
            <w:r>
              <w:t xml:space="preserve">) by difficulty condition under the primary RT cutoff threshold (0.20 s). The difficulty gradient (Easy &gt; Hard &gt; Standard) is consistent with the primary analysis. Parameter estimates across all three cutoff thresholds (0.15 s, 0.20 s, 0.25 s) are reported in full in</w:t>
            </w:r>
            <w:r>
              <w:t xml:space="preserve"> </w:t>
            </w:r>
            <w:hyperlink w:anchor="tbl-app-sensitivity-full">
              <w:r>
                <w:rPr>
                  <w:rStyle w:val="Hyperlink"/>
                </w:rPr>
                <w:t xml:space="preserve">Table 17</w:t>
              </w:r>
            </w:hyperlink>
            <w:r>
              <w:t xml:space="preserve">.</w:t>
            </w:r>
          </w:p>
          <w:bookmarkEnd w:id="165"/>
        </w:tc>
      </w:tr>
    </w:tbl>
    <w:bookmarkEnd w:id="166"/>
    <w:bookmarkStart w:id="183" w:name="Xcde83a0fd0ebdfffaf1ddf7d960b0f3c6b18f9c"/>
    <w:p>
      <w:pPr>
        <w:pStyle w:val="Heading3"/>
      </w:pPr>
      <w:r>
        <w:t xml:space="preserve">A4.3 Task Modality Effects: Sensitivity Analysis</w:t>
      </w:r>
    </w:p>
    <w:p>
      <w:pPr>
        <w:pStyle w:val="FirstParagraph"/>
      </w:pPr>
      <w:r>
        <w:t xml:space="preserve">The primary model (Table 8) excluded Task (ADT vs. VDT) as a predictor for drift rate (</w:t>
      </w:r>
      <m:oMath>
        <m:r>
          <m:t>v</m:t>
        </m:r>
      </m:oMath>
      <w:r>
        <w:t xml:space="preserve">) and boundary separation (</w:t>
      </w:r>
      <m:oMath>
        <m:r>
          <m:t>a</m:t>
        </m:r>
      </m:oMath>
      <w:r>
        <w:t xml:space="preserve">) to reduce model complexity. We additionally examined whether absolute drift rates differed between auditory and visual tasks, as pooling these modalities could potentially mask Task main effects or Effort × Task interactions. To address this, we fit a</w:t>
      </w:r>
      <w:r>
        <w:t xml:space="preserve"> </w:t>
      </w:r>
      <w:r>
        <w:rPr>
          <w:b/>
          <w:bCs/>
        </w:rPr>
        <w:t xml:space="preserve">task-sensitivity model</w:t>
      </w:r>
      <w:r>
        <w:t xml:space="preserve"> </w:t>
      </w:r>
      <w:r>
        <w:t xml:space="preserve">with:</w:t>
      </w:r>
    </w:p>
    <w:p>
      <w:pPr>
        <w:pStyle w:val="Compact"/>
        <w:numPr>
          <w:ilvl w:val="0"/>
          <w:numId w:val="1001"/>
        </w:numPr>
      </w:pPr>
      <w:r>
        <w:t xml:space="preserve">Drift rate (</w:t>
      </w:r>
      <m:oMath>
        <m:r>
          <m:t>v</m:t>
        </m:r>
      </m:oMath>
      <w:r>
        <w:t xml:space="preserve">):</w:t>
      </w:r>
      <w:r>
        <w:t xml:space="preserve"> </w:t>
      </w:r>
      <w:r>
        <w:rPr>
          <w:rStyle w:val="VerbatimChar"/>
        </w:rPr>
        <w:t xml:space="preserve">~ difficulty + effort * task</w:t>
      </w:r>
      <w:r>
        <w:t xml:space="preserve"> </w:t>
      </w:r>
      <w:r>
        <w:t xml:space="preserve">(with interaction)</w:t>
      </w:r>
    </w:p>
    <w:p>
      <w:pPr>
        <w:pStyle w:val="Compact"/>
        <w:numPr>
          <w:ilvl w:val="0"/>
          <w:numId w:val="1001"/>
        </w:numPr>
      </w:pPr>
      <w:r>
        <w:t xml:space="preserve">Boundary separation (</w:t>
      </w:r>
      <m:oMath>
        <m:r>
          <m:t>a</m:t>
        </m:r>
      </m:oMath>
      <w:r>
        <w:t xml:space="preserve">):</w:t>
      </w:r>
      <w:r>
        <w:t xml:space="preserve"> </w:t>
      </w:r>
      <w:r>
        <w:rPr>
          <w:rStyle w:val="VerbatimChar"/>
        </w:rPr>
        <w:t xml:space="preserve">~ difficulty + effort + task</w:t>
      </w:r>
      <w:r>
        <w:t xml:space="preserve"> </w:t>
      </w:r>
      <w:r>
        <w:t xml:space="preserve">(main effects only)</w:t>
      </w:r>
    </w:p>
    <w:p>
      <w:pPr>
        <w:pStyle w:val="Compact"/>
        <w:numPr>
          <w:ilvl w:val="0"/>
          <w:numId w:val="1001"/>
        </w:numPr>
      </w:pPr>
      <w:r>
        <w:t xml:space="preserve">All other parameters unchanged from the primary model</w:t>
      </w:r>
    </w:p>
    <w:bookmarkStart w:id="171" w:name="drift-rate-by-task"/>
    <w:p>
      <w:pPr>
        <w:pStyle w:val="Heading4"/>
      </w:pPr>
      <w:r>
        <w:t xml:space="preserve">Drift Rate by Task</w:t>
      </w:r>
    </w:p>
    <w:tbl>
      <w:tblPr>
        <w:tblStyle w:val="Table"/>
        <w:tblW w:type="pct" w:w="5000"/>
        <w:tblLayout w:type="fixed"/>
        <w:tblLook w:firstRow="0" w:lastRow="0" w:firstColumn="0" w:lastColumn="0" w:noHBand="0" w:noVBand="0" w:val="0000"/>
      </w:tblPr>
      <w:tblGrid>
        <w:gridCol w:w="7920"/>
      </w:tblGrid>
      <w:tr>
        <w:tc>
          <w:tcPr/>
          <w:bookmarkStart w:id="170" w:name="fig-suppl-drift-by-task"/>
          <w:p>
            <w:pPr>
              <w:pStyle w:val="Compact"/>
              <w:jc w:val="center"/>
            </w:pPr>
            <w:r>
              <w:drawing>
                <wp:inline>
                  <wp:extent cx="4000500" cy="3200400"/>
                  <wp:effectExtent b="0" l="0" r="0" t="0"/>
                  <wp:docPr descr="" title="" id="168" name="Picture"/>
                  <a:graphic>
                    <a:graphicData uri="http://schemas.openxmlformats.org/drawingml/2006/picture">
                      <pic:pic>
                        <pic:nvPicPr>
                          <pic:cNvPr descr="chap3_ddm_results_files/figure-docx/fig-suppl-drift-by-task-1.png" id="169" name="Picture"/>
                          <pic:cNvPicPr>
                            <a:picLocks noChangeArrowheads="1" noChangeAspect="1"/>
                          </pic:cNvPicPr>
                        </pic:nvPicPr>
                        <pic:blipFill>
                          <a:blip r:embed="rId167"/>
                          <a:stretch>
                            <a:fillRect/>
                          </a:stretch>
                        </pic:blipFill>
                        <pic:spPr bwMode="auto">
                          <a:xfrm>
                            <a:off x="0" y="0"/>
                            <a:ext cx="40005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w:t>
            </w:r>
            <w:r>
              <w:t xml:space="preserve"> </w:t>
            </w:r>
            <w:r>
              <w:rPr>
                <w:b/>
                <w:bCs/>
              </w:rPr>
              <w:t xml:space="preserve">Supplementary Figure 1.</w:t>
            </w:r>
            <w:r>
              <w:t xml:space="preserve"> </w:t>
            </w:r>
            <w:r>
              <w:t xml:space="preserve">Drift rate (</w:t>
            </w:r>
            <m:oMath>
              <m:r>
                <m:t>v</m:t>
              </m:r>
            </m:oMath>
            <w:r>
              <w:t xml:space="preserve">) by difficulty and effort, separately for ADT and VDT. Points show posterior medians with 95% credible intervals. The difficulty gradient (Standard</w:t>
            </w:r>
            <w:r>
              <w:t xml:space="preserve"> </w:t>
            </w:r>
            <m:oMath>
              <m:r>
                <m:rPr>
                  <m:sty m:val="p"/>
                </m:rPr>
                <m:t>&lt;</m:t>
              </m:r>
            </m:oMath>
            <w:r>
              <w:t xml:space="preserve"> </w:t>
            </w:r>
            <w:r>
              <w:t xml:space="preserve">Hard</w:t>
            </w:r>
            <w:r>
              <w:t xml:space="preserve"> </w:t>
            </w:r>
            <m:oMath>
              <m:r>
                <m:rPr>
                  <m:sty m:val="p"/>
                </m:rPr>
                <m:t>&lt;</m:t>
              </m:r>
            </m:oMath>
            <w:r>
              <w:t xml:space="preserve"> </w:t>
            </w:r>
            <w:r>
              <w:t xml:space="preserve">Easy) is consistent across tasks. High effort reduces drift rate in both modalities (no significant Effort</w:t>
            </w:r>
            <w:r>
              <w:t xml:space="preserve"> </w:t>
            </w:r>
            <m:oMath>
              <m:r>
                <m:rPr>
                  <m:sty m:val="p"/>
                </m:rPr>
                <m:t>×</m:t>
              </m:r>
            </m:oMath>
            <w:r>
              <w:t xml:space="preserve"> </w:t>
            </w:r>
            <w:r>
              <w:t xml:space="preserve">Task interaction), confirming that cognitive-motor interference generalizes across sensory domains.</w:t>
            </w:r>
            <w:r>
              <w:t xml:space="preserve"> </w:t>
            </w:r>
            <w:r>
              <w:rPr>
                <w:i/>
                <w:iCs/>
              </w:rPr>
              <w:t xml:space="preserve">Note: Drift rates (</w:t>
            </w:r>
            <m:oMath>
              <m:r>
                <m:t>v</m:t>
              </m:r>
            </m:oMath>
            <w:r>
              <w:rPr>
                <w:i/>
                <w:iCs/>
              </w:rPr>
              <w:t xml:space="preserve">) were estimated using Response Coding. Positive values indicate evidence accumulation toward the</w:t>
            </w:r>
            <w:r>
              <w:rPr>
                <w:i/>
                <w:iCs/>
              </w:rPr>
              <w:t xml:space="preserve"> </w:t>
            </w:r>
            <w:r>
              <w:rPr>
                <w:i/>
                <w:iCs/>
              </w:rPr>
              <w:t xml:space="preserve">‘Different’</w:t>
            </w:r>
            <w:r>
              <w:rPr>
                <w:i/>
                <w:iCs/>
              </w:rPr>
              <w:t xml:space="preserve"> </w:t>
            </w:r>
            <w:r>
              <w:rPr>
                <w:i/>
                <w:iCs/>
              </w:rPr>
              <w:t xml:space="preserve">boundary; negative values indicate accumulation toward the</w:t>
            </w:r>
            <w:r>
              <w:rPr>
                <w:i/>
                <w:iCs/>
              </w:rPr>
              <w:t xml:space="preserve"> </w:t>
            </w:r>
            <w:r>
              <w:rPr>
                <w:i/>
                <w:iCs/>
              </w:rPr>
              <w:t xml:space="preserve">‘Same’</w:t>
            </w:r>
            <w:r>
              <w:rPr>
                <w:i/>
                <w:iCs/>
              </w:rPr>
              <w:t xml:space="preserve"> </w:t>
            </w:r>
            <w:r>
              <w:rPr>
                <w:i/>
                <w:iCs/>
              </w:rPr>
              <w:t xml:space="preserve">boundary.</w:t>
            </w:r>
          </w:p>
          <w:bookmarkEnd w:id="170"/>
        </w:tc>
      </w:tr>
    </w:tbl>
    <w:bookmarkEnd w:id="171"/>
    <w:bookmarkStart w:id="180" w:name="boundary-separation-by-task"/>
    <w:p>
      <w:pPr>
        <w:pStyle w:val="Heading4"/>
      </w:pPr>
      <w:r>
        <w:t xml:space="preserve">Boundary Separation by Task</w:t>
      </w:r>
    </w:p>
    <w:tbl>
      <w:tblPr>
        <w:tblStyle w:val="Table"/>
        <w:tblW w:type="pct" w:w="5000"/>
        <w:tblLayout w:type="fixed"/>
        <w:tblLook w:firstRow="0" w:lastRow="0" w:firstColumn="0" w:lastColumn="0" w:noHBand="0" w:noVBand="0" w:val="0000"/>
      </w:tblPr>
      <w:tblGrid>
        <w:gridCol w:w="7920"/>
      </w:tblGrid>
      <w:tr>
        <w:tc>
          <w:tcPr/>
          <w:bookmarkStart w:id="175" w:name="fig-suppl-boundary-by-task"/>
          <w:p>
            <w:pPr>
              <w:pStyle w:val="Compact"/>
              <w:jc w:val="center"/>
            </w:pPr>
            <w:r>
              <w:drawing>
                <wp:inline>
                  <wp:extent cx="4000500" cy="3200400"/>
                  <wp:effectExtent b="0" l="0" r="0" t="0"/>
                  <wp:docPr descr="" title="" id="173" name="Picture"/>
                  <a:graphic>
                    <a:graphicData uri="http://schemas.openxmlformats.org/drawingml/2006/picture">
                      <pic:pic>
                        <pic:nvPicPr>
                          <pic:cNvPr descr="chap3_ddm_results_files/figure-docx/fig-suppl-boundary-by-task-1.png" id="174" name="Picture"/>
                          <pic:cNvPicPr>
                            <a:picLocks noChangeArrowheads="1" noChangeAspect="1"/>
                          </pic:cNvPicPr>
                        </pic:nvPicPr>
                        <pic:blipFill>
                          <a:blip r:embed="rId172"/>
                          <a:stretch>
                            <a:fillRect/>
                          </a:stretch>
                        </pic:blipFill>
                        <pic:spPr bwMode="auto">
                          <a:xfrm>
                            <a:off x="0" y="0"/>
                            <a:ext cx="40005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w:t>
            </w:r>
            <w:r>
              <w:t xml:space="preserve"> </w:t>
            </w:r>
            <w:r>
              <w:rPr>
                <w:b/>
                <w:bCs/>
              </w:rPr>
              <w:t xml:space="preserve">Supplementary Figure 2.</w:t>
            </w:r>
            <w:r>
              <w:t xml:space="preserve"> </w:t>
            </w:r>
            <w:r>
              <w:t xml:space="preserve">Boundary separation (</w:t>
            </w:r>
            <m:oMath>
              <m:r>
                <m:t>a</m:t>
              </m:r>
            </m:oMath>
            <w:r>
              <w:t xml:space="preserve">) by difficulty and effort, separately for ADT and VDT. Points show posterior medians with 95% credible intervals. Difficulty strongly modulates caution (Easy</w:t>
            </w:r>
            <w:r>
              <w:t xml:space="preserve"> </w:t>
            </w:r>
            <m:oMath>
              <m:r>
                <m:rPr>
                  <m:sty m:val="p"/>
                </m:rPr>
                <m:t>&lt;</m:t>
              </m:r>
            </m:oMath>
            <w:r>
              <w:t xml:space="preserve"> </w:t>
            </w:r>
            <w:r>
              <w:t xml:space="preserve">Standard</w:t>
            </w:r>
            <w:r>
              <w:t xml:space="preserve"> </w:t>
            </w:r>
            <m:oMath>
              <m:r>
                <m:rPr>
                  <m:sty m:val="p"/>
                </m:rPr>
                <m:t>&lt;</m:t>
              </m:r>
            </m:oMath>
            <w:r>
              <w:t xml:space="preserve"> </w:t>
            </w:r>
            <w:r>
              <w:t xml:space="preserve">Hard) in both tasks, but effort has minimal effect on boundary separation, indicating that older adults do not adjust response caution under physical effort.</w:t>
            </w:r>
          </w:p>
          <w:bookmarkEnd w:id="175"/>
        </w:tc>
      </w:tr>
    </w:tbl>
    <w:tbl>
      <w:tblPr>
        <w:tblStyle w:val="Table"/>
        <w:tblW w:type="pct" w:w="5000"/>
        <w:tblLayout w:type="fixed"/>
        <w:tblLook w:firstRow="0" w:lastRow="0" w:firstColumn="0" w:lastColumn="0" w:noHBand="0" w:noVBand="0" w:val="0000"/>
      </w:tblPr>
      <w:tblGrid>
        <w:gridCol w:w="7920"/>
      </w:tblGrid>
      <w:tr>
        <w:tc>
          <w:tcPr/>
          <w:bookmarkStart w:id="179" w:name="fig-additivity-check"/>
          <w:p>
            <w:pPr>
              <w:pStyle w:val="Compact"/>
              <w:jc w:val="center"/>
            </w:pPr>
            <w:r>
              <w:drawing>
                <wp:inline>
                  <wp:extent cx="5334000" cy="2667000"/>
                  <wp:effectExtent b="0" l="0" r="0" t="0"/>
                  <wp:docPr descr="" title="" id="177" name="Picture"/>
                  <a:graphic>
                    <a:graphicData uri="http://schemas.openxmlformats.org/drawingml/2006/picture">
                      <pic:pic>
                        <pic:nvPicPr>
                          <pic:cNvPr descr="chap3_ddm_results_files/figure-docx/fig-additivity-check-1.png" id="178" name="Picture"/>
                          <pic:cNvPicPr>
                            <a:picLocks noChangeArrowheads="1" noChangeAspect="1"/>
                          </pic:cNvPicPr>
                        </pic:nvPicPr>
                        <pic:blipFill>
                          <a:blip r:embed="rId17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Additivity check: Difficulty × Effort condition means for drift rate (A) and boundary separation (B). The near-parallel shift between Low (blue) and High (magenta) effort lines across difficulty levels confirms the additive model assumption — the effort cost is consistent regardless of task difficulty, justifying the absence of a Difficulty × Effort interaction term (see Section 3.3 and Table 4).</w:t>
            </w:r>
          </w:p>
          <w:bookmarkEnd w:id="179"/>
        </w:tc>
      </w:tr>
    </w:tbl>
    <w:bookmarkEnd w:id="180"/>
    <w:bookmarkStart w:id="182" w:name="task-sensitivity-model-comparison"/>
    <w:p>
      <w:pPr>
        <w:pStyle w:val="Heading4"/>
      </w:pPr>
      <w:r>
        <w:t xml:space="preserve">Task-Sensitivity Model Comparison</w:t>
      </w:r>
    </w:p>
    <w:tbl>
      <w:tblPr>
        <w:tblStyle w:val="Table"/>
        <w:tblW w:type="pct" w:w="5000"/>
        <w:tblLayout w:type="fixed"/>
        <w:tblLook w:firstRow="0" w:lastRow="0" w:firstColumn="0" w:lastColumn="0" w:noHBand="0" w:noVBand="0" w:val="0000"/>
      </w:tblPr>
      <w:tblGrid>
        <w:gridCol w:w="7920"/>
      </w:tblGrid>
      <w:tr>
        <w:tc>
          <w:tcPr/>
          <w:bookmarkStart w:id="181" w:name="tbl-task-sensitivity"/>
          <w:p>
            <w:pPr>
              <w:jc w:val="center"/>
            </w:pPr>
            <w:pPr>
              <w:jc w:val="start"/>
              <w:spacing w:before="200"/>
              <w:pStyle w:val="ImageCaption"/>
            </w:pPr>
            <w:r>
              <w:t xml:space="preserve">Table 18: Comparison of Effort Effects: Primary vs. Task-Sensitivity Model</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Parameter</w:t>
                  </w:r>
                </w:p>
              </w:tc>
              <w:tc>
                <w:tcPr/>
                <w:p>
                  <w:pPr>
                    <w:pStyle w:val="Compact"/>
                    <w:jc w:val="left"/>
                    <w:jc w:val="center"/>
                  </w:pPr>
                  <w:r>
                    <w:t xml:space="preserve">Estimate</w:t>
                  </w:r>
                </w:p>
              </w:tc>
              <w:tc>
                <w:tcPr/>
                <w:p>
                  <w:pPr>
                    <w:pStyle w:val="Compact"/>
                    <w:jc w:val="left"/>
                    <w:jc w:val="center"/>
                  </w:pPr>
                  <w:r>
                    <w:t xml:space="preserve">95% CrI</w:t>
                  </w:r>
                </w:p>
              </w:tc>
            </w:tr>
            <w:tr>
              <w:tc>
                <w:tcPr/>
                <w:p>
                  <w:pPr>
                    <w:pStyle w:val="Compact"/>
                    <w:jc w:val="left"/>
                    <w:jc w:val="center"/>
                  </w:pPr>
                  <w:r>
                    <w:t xml:space="preserve">Effort → Drift (Primary)</w:t>
                  </w:r>
                </w:p>
              </w:tc>
              <w:tc>
                <w:tcPr/>
                <w:p>
                  <w:pPr>
                    <w:pStyle w:val="Compact"/>
                    <w:jc w:val="left"/>
                    <w:jc w:val="center"/>
                  </w:pPr>
                  <w:r>
                    <w:t xml:space="preserve">-0.070</w:t>
                  </w:r>
                </w:p>
              </w:tc>
              <w:tc>
                <w:tcPr/>
                <w:p>
                  <w:pPr>
                    <w:pStyle w:val="Compact"/>
                    <w:jc w:val="left"/>
                    <w:jc w:val="center"/>
                  </w:pPr>
                  <w:r>
                    <w:t xml:space="preserve">[-0.109, -0.032]</w:t>
                  </w:r>
                </w:p>
              </w:tc>
            </w:tr>
            <w:tr>
              <w:tc>
                <w:tcPr/>
                <w:p>
                  <w:pPr>
                    <w:pStyle w:val="Compact"/>
                    <w:jc w:val="left"/>
                    <w:jc w:val="center"/>
                  </w:pPr>
                  <w:r>
                    <w:t xml:space="preserve">Effort → Drift (Task-Sens)</w:t>
                  </w:r>
                </w:p>
              </w:tc>
              <w:tc>
                <w:tcPr/>
                <w:p>
                  <w:pPr>
                    <w:pStyle w:val="Compact"/>
                    <w:jc w:val="left"/>
                    <w:jc w:val="center"/>
                  </w:pPr>
                  <w:r>
                    <w:t xml:space="preserve">-0.085</w:t>
                  </w:r>
                </w:p>
              </w:tc>
              <w:tc>
                <w:tcPr/>
                <w:p>
                  <w:pPr>
                    <w:pStyle w:val="Compact"/>
                    <w:jc w:val="left"/>
                    <w:jc w:val="center"/>
                  </w:pPr>
                  <w:r>
                    <w:t xml:space="preserve">[-0.133, -0.038]</w:t>
                  </w:r>
                </w:p>
              </w:tc>
            </w:tr>
            <w:tr>
              <w:tc>
                <w:tcPr/>
                <w:p>
                  <w:pPr>
                    <w:pStyle w:val="Compact"/>
                    <w:jc w:val="left"/>
                    <w:jc w:val="center"/>
                  </w:pPr>
                  <w:r>
                    <w:t xml:space="preserve">Task → Drift</w:t>
                  </w:r>
                </w:p>
              </w:tc>
              <w:tc>
                <w:tcPr/>
                <w:p>
                  <w:pPr>
                    <w:pStyle w:val="Compact"/>
                    <w:jc w:val="left"/>
                    <w:jc w:val="center"/>
                  </w:pPr>
                  <w:r>
                    <w:t xml:space="preserve">0.071</w:t>
                  </w:r>
                </w:p>
              </w:tc>
              <w:tc>
                <w:tcPr/>
                <w:p>
                  <w:pPr>
                    <w:pStyle w:val="Compact"/>
                    <w:jc w:val="left"/>
                    <w:jc w:val="center"/>
                  </w:pPr>
                  <w:r>
                    <w:t xml:space="preserve">[0.020, 0.120]</w:t>
                  </w:r>
                </w:p>
              </w:tc>
            </w:tr>
            <w:tr>
              <w:tc>
                <w:tcPr/>
                <w:p>
                  <w:pPr>
                    <w:pStyle w:val="Compact"/>
                    <w:jc w:val="left"/>
                    <w:jc w:val="center"/>
                  </w:pPr>
                  <w:r>
                    <w:t xml:space="preserve">Effort × Task → Drift</w:t>
                  </w:r>
                </w:p>
              </w:tc>
              <w:tc>
                <w:tcPr/>
                <w:p>
                  <w:pPr>
                    <w:pStyle w:val="Compact"/>
                    <w:jc w:val="left"/>
                    <w:jc w:val="center"/>
                  </w:pPr>
                  <w:r>
                    <w:t xml:space="preserve">0.029</w:t>
                  </w:r>
                </w:p>
              </w:tc>
              <w:tc>
                <w:tcPr/>
                <w:p>
                  <w:pPr>
                    <w:pStyle w:val="Compact"/>
                    <w:jc w:val="left"/>
                    <w:jc w:val="center"/>
                  </w:pPr>
                  <w:r>
                    <w:t xml:space="preserve">[-0.029, 0.088]</w:t>
                  </w:r>
                </w:p>
              </w:tc>
            </w:tr>
            <w:tr>
              <w:tc>
                <w:tcPr/>
                <w:p>
                  <w:pPr>
                    <w:pStyle w:val="Compact"/>
                    <w:jc w:val="left"/>
                    <w:jc w:val="center"/>
                  </w:pPr>
                  <w:r>
                    <w:t xml:space="preserve"> </w:t>
                  </w:r>
                  <w:r>
                    <w:t xml:space="preserve">Note. Primary model excludes Task from drift; Task-Sens model includes Task main effect and Effort×Task interaction.</w:t>
                  </w:r>
                </w:p>
              </w:tc>
              <w:tc>
                <w:tcPr/>
                <w:p>
                  <w:pPr>
                    <w:pStyle w:val="Compact"/>
                  </w:pPr>
                </w:p>
              </w:tc>
              <w:tc>
                <w:tcPr/>
                <w:p>
                  <w:pPr>
                    <w:pStyle w:val="Compact"/>
                  </w:pPr>
                </w:p>
              </w:tc>
            </w:tr>
          </w:tbl>
          <w:bookmarkEnd w:id="181"/>
          <w:p/>
        </w:tc>
      </w:tr>
    </w:tbl>
    <w:p>
      <w:pPr>
        <w:pStyle w:val="BodyText"/>
      </w:pPr>
      <w:r>
        <w:t xml:space="preserve">The task-sensitivity model confirmed that the Effort → Drift effect was robust to inclusion of Task modality as a predictor (</w:t>
      </w:r>
      <m:oMath>
        <m:r>
          <m:t>δ</m:t>
        </m:r>
        <m:r>
          <m:rPr>
            <m:sty m:val="p"/>
          </m:rPr>
          <m:t>≈</m:t>
        </m:r>
        <m:r>
          <m:rPr>
            <m:sty m:val="p"/>
          </m:rPr>
          <m:t>−</m:t>
        </m:r>
        <m:r>
          <m:t>0.085</m:t>
        </m:r>
      </m:oMath>
      <w:r>
        <w:t xml:space="preserve">, 95% CrI</w:t>
      </w:r>
      <w:r>
        <w:t xml:space="preserve"> </w:t>
      </w:r>
      <m:oMath>
        <m:d>
          <m:dPr>
            <m:begChr m:val="["/>
            <m:sepChr m:val=""/>
            <m:endChr m:val="]"/>
            <m:grow/>
          </m:dPr>
          <m:e>
            <m:r>
              <m:rPr>
                <m:sty m:val="p"/>
              </m:rPr>
              <m:t>−</m:t>
            </m:r>
            <m:r>
              <m:t>0.133</m:t>
            </m:r>
            <m:r>
              <m:rPr>
                <m:sty m:val="p"/>
              </m:rPr>
              <m:t>,</m:t>
            </m:r>
            <m:r>
              <m:rPr>
                <m:sty m:val="p"/>
              </m:rPr>
              <m:t>−</m:t>
            </m:r>
            <m:r>
              <m:t>0.038</m:t>
            </m:r>
          </m:e>
        </m:d>
      </m:oMath>
      <w:r>
        <w:t xml:space="preserve">; same direction and credibility as the primary model). A credible Task main effect was observed (</w:t>
      </w:r>
      <m:oMath>
        <m:r>
          <m:t>δ</m:t>
        </m:r>
        <m:r>
          <m:rPr>
            <m:sty m:val="p"/>
          </m:rPr>
          <m:t>≈</m:t>
        </m:r>
        <m:r>
          <m:t>0.071</m:t>
        </m:r>
      </m:oMath>
      <w:r>
        <w:t xml:space="preserve">, 95% CrI</w:t>
      </w:r>
      <w:r>
        <w:t xml:space="preserve"> </w:t>
      </w:r>
      <m:oMath>
        <m:d>
          <m:dPr>
            <m:begChr m:val="["/>
            <m:sepChr m:val=""/>
            <m:endChr m:val="]"/>
            <m:grow/>
          </m:dPr>
          <m:e>
            <m:r>
              <m:t>0.020</m:t>
            </m:r>
            <m:r>
              <m:rPr>
                <m:sty m:val="p"/>
              </m:rPr>
              <m:t>,</m:t>
            </m:r>
            <m:r>
              <m:t>0.120</m:t>
            </m:r>
          </m:e>
        </m:d>
      </m:oMath>
      <w:r>
        <w:t xml:space="preserve">), indicating that auditory and visual tasks differed modestly in absolute drift rates. However, the Effort</w:t>
      </w:r>
      <w:r>
        <w:t xml:space="preserve"> </w:t>
      </w:r>
      <m:oMath>
        <m:r>
          <m:rPr>
            <m:sty m:val="p"/>
          </m:rPr>
          <m:t>×</m:t>
        </m:r>
      </m:oMath>
      <w:r>
        <w:t xml:space="preserve"> </w:t>
      </w:r>
      <w:r>
        <w:t xml:space="preserve">Task interaction was negligible (</w:t>
      </w:r>
      <m:oMath>
        <m:r>
          <m:t>δ</m:t>
        </m:r>
        <m:r>
          <m:rPr>
            <m:sty m:val="p"/>
          </m:rPr>
          <m:t>≈</m:t>
        </m:r>
        <m:r>
          <m:t>0.029</m:t>
        </m:r>
      </m:oMath>
      <w:r>
        <w:t xml:space="preserve">, 95% CrI</w:t>
      </w:r>
      <w:r>
        <w:t xml:space="preserve"> </w:t>
      </w:r>
      <m:oMath>
        <m:d>
          <m:dPr>
            <m:begChr m:val="["/>
            <m:sepChr m:val=""/>
            <m:endChr m:val="]"/>
            <m:grow/>
          </m:dPr>
          <m:e>
            <m:r>
              <m:rPr>
                <m:sty m:val="p"/>
              </m:rPr>
              <m:t>−</m:t>
            </m:r>
            <m:r>
              <m:t>0.029</m:t>
            </m:r>
            <m:r>
              <m:rPr>
                <m:sty m:val="p"/>
              </m:rPr>
              <m:t>,</m:t>
            </m:r>
            <m:r>
              <m:t>0.088</m:t>
            </m:r>
          </m:e>
        </m:d>
      </m:oMath>
      <w:r>
        <w:t xml:space="preserve">), confirming that cognitive-motor interference under High effort manifested similarly across sensory modalities. These results support the primary model’s decision to pool ADT and VDT for main analyses, and validate the generalizability of the core drift rate finding across stimulus modalities.</w:t>
      </w:r>
    </w:p>
    <w:bookmarkEnd w:id="182"/>
    <w:bookmarkEnd w:id="183"/>
    <w:bookmarkEnd w:id="184"/>
    <w:bookmarkStart w:id="187" w:name="app-pupil-fixef"/>
    <w:p>
      <w:pPr>
        <w:pStyle w:val="Heading2"/>
      </w:pPr>
      <w:r>
        <w:t xml:space="preserve">A5. Pupil-DDM Fixed Effects (Link Scale)</w:t>
      </w:r>
    </w:p>
    <w:p>
      <w:pPr>
        <w:pStyle w:val="FirstParagraph"/>
      </w:pPr>
      <w:r>
        <w:t xml:space="preserve">Full parameter tables for the pupil-linked DDM confirm that global TEPR effects on drift rate and starting-point bias were near zero (posterior means near zero, 95% CrIs including zero;</w:t>
      </w:r>
      <w:r>
        <w:t xml:space="preserve"> </w:t>
      </w:r>
      <w:hyperlink w:anchor="tbl-pupil-key-effects">
        <w:r>
          <w:rPr>
            <w:rStyle w:val="Hyperlink"/>
          </w:rPr>
          <w:t xml:space="preserve">Table 9</w:t>
        </w:r>
      </w:hyperlink>
      <w:r>
        <w:t xml:space="preserve">). Model comparison via LOO-CV did not favor pooled pupil-augmented models over the behavioral baseline (Section 3.6); Pareto-</w:t>
      </w:r>
      <m:oMath>
        <m:r>
          <m:t>k</m:t>
        </m:r>
      </m:oMath>
      <w:r>
        <w:t xml:space="preserve"> </w:t>
      </w:r>
      <w:r>
        <w:t xml:space="preserve">diagnostics (max</w:t>
      </w:r>
      <w:r>
        <w:t xml:space="preserve"> </w:t>
      </w:r>
      <m:oMath>
        <m:r>
          <m:t>k</m:t>
        </m:r>
      </m:oMath>
      <w:r>
        <w:t xml:space="preserve"> </w:t>
      </w:r>
      <w:r>
        <w:t xml:space="preserve">= 0.91) indicate PSIS-LOO estimates may be unreliable, so conclusions rest on posterior coefficient distributions. The primary inferential figure is</w:t>
      </w:r>
      <w:r>
        <w:t xml:space="preserve"> </w:t>
      </w:r>
      <w:hyperlink w:anchor="fig-pupil-drift-difficulty-interaction">
        <w:r>
          <w:rPr>
            <w:rStyle w:val="Hyperlink"/>
          </w:rPr>
          <w:t xml:space="preserve">Figure 10</w:t>
        </w:r>
      </w:hyperlink>
      <w:r>
        <w:t xml:space="preserve">, which shows difficulty-conditional posterior slopes of</w:t>
      </w:r>
      <w:r>
        <w:t xml:space="preserve"> </w:t>
      </w:r>
      <w:r>
        <w:rPr>
          <w:rStyle w:val="VerbatimChar"/>
        </w:rPr>
        <w:t xml:space="preserve">pupil_scaled</w:t>
      </w:r>
      <w:r>
        <w:t xml:space="preserve"> </w:t>
      </w:r>
      <w:r>
        <w:t xml:space="preserve">on drift rate from the</w:t>
      </w:r>
      <w:r>
        <w:t xml:space="preserve"> </w:t>
      </w:r>
      <w:r>
        <w:rPr>
          <w:rStyle w:val="VerbatimChar"/>
        </w:rPr>
        <w:t xml:space="preserve">pupil_scaled * difficulty</w:t>
      </w:r>
      <w:r>
        <w:t xml:space="preserve"> </w:t>
      </w:r>
      <w:r>
        <w:t xml:space="preserve">interaction model. Complete coefficient tables are available in the online supplement at</w:t>
      </w:r>
      <w:r>
        <w:t xml:space="preserve"> </w:t>
      </w:r>
      <w:hyperlink r:id="rId100">
        <w:r>
          <w:rPr>
            <w:rStyle w:val="Hyperlink"/>
          </w:rPr>
          <w:t xml:space="preserve">https://github.com/mohdasti/modeling-pupil-DDM</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5" w:name="tbl-pupil-loo-appendix"/>
          <w:p>
            <w:pPr>
              <w:jc w:val="center"/>
            </w:pPr>
            <w:pPr>
              <w:jc w:val="start"/>
              <w:spacing w:before="200"/>
              <w:pStyle w:val="ImageCaption"/>
            </w:pPr>
            <w:r>
              <w:t xml:space="preserve">Table 19: Pupil-DDM model comparison (LOO). Behavioral baseline vs. pupil-augmented models on pupil-available trials.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Model</w:t>
                  </w:r>
                </w:p>
              </w:tc>
              <w:tc>
                <w:tcPr/>
                <w:p>
                  <w:pPr>
                    <w:pStyle w:val="Compact"/>
                    <w:jc w:val="right"/>
                    <w:jc w:val="center"/>
                  </w:pPr>
                  <w:r>
                    <w:t xml:space="preserve">ELPD</w:t>
                  </w:r>
                </w:p>
              </w:tc>
              <w:tc>
                <w:tcPr/>
                <w:p>
                  <w:pPr>
                    <w:pStyle w:val="Compact"/>
                    <w:jc w:val="right"/>
                    <w:jc w:val="center"/>
                  </w:pPr>
                  <w:r>
                    <w:t xml:space="preserve">LOOIC</w:t>
                  </w:r>
                </w:p>
              </w:tc>
              <w:tc>
                <w:tcPr/>
                <w:p>
                  <w:pPr>
                    <w:pStyle w:val="Compact"/>
                    <w:jc w:val="right"/>
                    <w:jc w:val="center"/>
                  </w:pPr>
                  <w:r>
                    <w:t xml:space="preserve">Max k</w:t>
                  </w:r>
                </w:p>
              </w:tc>
            </w:tr>
            <w:tr>
              <w:tc>
                <w:tcPr/>
                <w:p>
                  <w:pPr>
                    <w:pStyle w:val="Compact"/>
                    <w:jc w:val="left"/>
                    <w:jc w:val="center"/>
                  </w:pPr>
                  <w:r>
                    <w:t xml:space="preserve">Pupil on bias (z)</w:t>
                  </w:r>
                </w:p>
              </w:tc>
              <w:tc>
                <w:tcPr/>
                <w:p>
                  <w:pPr>
                    <w:pStyle w:val="Compact"/>
                    <w:jc w:val="right"/>
                    <w:jc w:val="center"/>
                  </w:pPr>
                  <w:r>
                    <w:t xml:space="preserve">-14057.86</w:t>
                  </w:r>
                </w:p>
              </w:tc>
              <w:tc>
                <w:tcPr/>
                <w:p>
                  <w:pPr>
                    <w:pStyle w:val="Compact"/>
                    <w:jc w:val="right"/>
                    <w:jc w:val="center"/>
                  </w:pPr>
                  <w:r>
                    <w:t xml:space="preserve">28115.71</w:t>
                  </w:r>
                </w:p>
              </w:tc>
              <w:tc>
                <w:tcPr/>
                <w:p>
                  <w:pPr>
                    <w:pStyle w:val="Compact"/>
                    <w:jc w:val="right"/>
                    <w:jc w:val="center"/>
                  </w:pPr>
                  <w:r>
                    <w:t xml:space="preserve">0.76</w:t>
                  </w:r>
                </w:p>
              </w:tc>
            </w:tr>
            <w:tr>
              <w:tc>
                <w:tcPr/>
                <w:p>
                  <w:pPr>
                    <w:pStyle w:val="Compact"/>
                    <w:jc w:val="left"/>
                    <w:jc w:val="center"/>
                  </w:pPr>
                  <w:r>
                    <w:t xml:space="preserve">Pupil on bias + drift (v, z)</w:t>
                  </w:r>
                </w:p>
              </w:tc>
              <w:tc>
                <w:tcPr/>
                <w:p>
                  <w:pPr>
                    <w:pStyle w:val="Compact"/>
                    <w:jc w:val="right"/>
                    <w:jc w:val="center"/>
                  </w:pPr>
                  <w:r>
                    <w:t xml:space="preserve">-14058.85</w:t>
                  </w:r>
                </w:p>
              </w:tc>
              <w:tc>
                <w:tcPr/>
                <w:p>
                  <w:pPr>
                    <w:pStyle w:val="Compact"/>
                    <w:jc w:val="right"/>
                    <w:jc w:val="center"/>
                  </w:pPr>
                  <w:r>
                    <w:t xml:space="preserve">28117.71</w:t>
                  </w:r>
                </w:p>
              </w:tc>
              <w:tc>
                <w:tcPr/>
                <w:p>
                  <w:pPr>
                    <w:pStyle w:val="Compact"/>
                    <w:jc w:val="right"/>
                    <w:jc w:val="center"/>
                  </w:pPr>
                  <w:r>
                    <w:t xml:space="preserve">0.91</w:t>
                  </w:r>
                </w:p>
              </w:tc>
            </w:tr>
            <w:tr>
              <w:tc>
                <w:tcPr/>
                <w:p>
                  <w:pPr>
                    <w:pStyle w:val="Compact"/>
                    <w:jc w:val="left"/>
                    <w:jc w:val="center"/>
                  </w:pPr>
                  <w:r>
                    <w:t xml:space="preserve">Behavioral only</w:t>
                  </w:r>
                </w:p>
              </w:tc>
              <w:tc>
                <w:tcPr/>
                <w:p>
                  <w:pPr>
                    <w:pStyle w:val="Compact"/>
                    <w:jc w:val="right"/>
                    <w:jc w:val="center"/>
                  </w:pPr>
                  <w:r>
                    <w:t xml:space="preserve">-20509.31</w:t>
                  </w:r>
                </w:p>
              </w:tc>
              <w:tc>
                <w:tcPr/>
                <w:p>
                  <w:pPr>
                    <w:pStyle w:val="Compact"/>
                    <w:jc w:val="right"/>
                    <w:jc w:val="center"/>
                  </w:pPr>
                  <w:r>
                    <w:t xml:space="preserve">41018.61</w:t>
                  </w:r>
                </w:p>
              </w:tc>
              <w:tc>
                <w:tcPr/>
                <w:p>
                  <w:pPr>
                    <w:pStyle w:val="Compact"/>
                    <w:jc w:val="right"/>
                    <w:jc w:val="center"/>
                  </w:pPr>
                  <w:r>
                    <w:t xml:space="preserve">0.79</w:t>
                  </w:r>
                </w:p>
              </w:tc>
            </w:tr>
          </w:tbl>
          <w:bookmarkEnd w:id="18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6" w:name="tbl-pupil-key-effects-appendix"/>
          <w:p>
            <w:pPr>
              <w:jc w:val="center"/>
            </w:pPr>
            <w:pPr>
              <w:jc w:val="start"/>
              <w:spacing w:before="200"/>
              <w:pStyle w:val="ImageCaption"/>
            </w:pPr>
            <w:r>
              <w:t xml:space="preserve">Table 20: Key pupil coefficients: posterior mean and 95% CrI for pupil effects on drift (</w:t>
            </w:r>
            <m:oMath>
              <m:r>
                <m:t>v</m:t>
              </m:r>
            </m:oMath>
            <w:r>
              <w:t xml:space="preserve">) and bias (</w:t>
            </w:r>
            <m:oMath>
              <m:r>
                <m:t>z</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Parameter</w:t>
                  </w:r>
                </w:p>
              </w:tc>
              <w:tc>
                <w:tcPr/>
                <w:p>
                  <w:pPr>
                    <w:pStyle w:val="Compact"/>
                    <w:jc w:val="right"/>
                    <w:jc w:val="center"/>
                  </w:pPr>
                  <w:r>
                    <w:t xml:space="preserve">Mean</w:t>
                  </w:r>
                </w:p>
              </w:tc>
              <w:tc>
                <w:tcPr/>
                <w:p>
                  <w:pPr>
                    <w:pStyle w:val="Compact"/>
                    <w:jc w:val="left"/>
                    <w:jc w:val="center"/>
                  </w:pPr>
                  <w:r>
                    <w:t xml:space="preserve">95% CrI</w:t>
                  </w:r>
                </w:p>
              </w:tc>
            </w:tr>
            <w:tr>
              <w:tc>
                <w:tcPr/>
                <w:p>
                  <w:pPr>
                    <w:pStyle w:val="Compact"/>
                    <w:jc w:val="left"/>
                    <w:jc w:val="center"/>
                  </w:pPr>
                  <w:r>
                    <w:t xml:space="preserve">Pupil v</w:t>
                  </w:r>
                </w:p>
              </w:tc>
              <w:tc>
                <w:tcPr/>
                <w:p>
                  <w:pPr>
                    <w:pStyle w:val="Compact"/>
                    <w:jc w:val="right"/>
                    <w:jc w:val="center"/>
                  </w:pPr>
                  <w:r>
                    <w:t xml:space="preserve">0.001</w:t>
                  </w:r>
                </w:p>
              </w:tc>
              <w:tc>
                <w:tcPr/>
                <w:p>
                  <w:pPr>
                    <w:pStyle w:val="Compact"/>
                    <w:jc w:val="left"/>
                    <w:jc w:val="center"/>
                  </w:pPr>
                  <w:r>
                    <w:t xml:space="preserve">[-0.034, 0.036]</w:t>
                  </w:r>
                </w:p>
              </w:tc>
            </w:tr>
            <w:tr>
              <w:tc>
                <w:tcPr/>
                <w:p>
                  <w:pPr>
                    <w:pStyle w:val="Compact"/>
                    <w:jc w:val="left"/>
                    <w:jc w:val="center"/>
                  </w:pPr>
                  <w:r>
                    <w:t xml:space="preserve">Pupil z</w:t>
                  </w:r>
                </w:p>
              </w:tc>
              <w:tc>
                <w:tcPr/>
                <w:p>
                  <w:pPr>
                    <w:pStyle w:val="Compact"/>
                    <w:jc w:val="right"/>
                    <w:jc w:val="center"/>
                  </w:pPr>
                  <w:r>
                    <w:t xml:space="preserve">-0.007</w:t>
                  </w:r>
                </w:p>
              </w:tc>
              <w:tc>
                <w:tcPr/>
                <w:p>
                  <w:pPr>
                    <w:pStyle w:val="Compact"/>
                    <w:jc w:val="left"/>
                    <w:jc w:val="center"/>
                  </w:pPr>
                  <w:r>
                    <w:t xml:space="preserve">[-0.035, 0.023]</w:t>
                  </w:r>
                </w:p>
              </w:tc>
            </w:tr>
          </w:tbl>
          <w:bookmarkEnd w:id="186"/>
          <w:p/>
        </w:tc>
      </w:tr>
    </w:tbl>
    <w:p>
      <w:r>
        <w:br w:type="page"/>
      </w:r>
    </w:p>
    <w:bookmarkEnd w:id="187"/>
    <w:bookmarkStart w:id="201" w:name="sec-appendix-a6"/>
    <w:p>
      <w:pPr>
        <w:pStyle w:val="Heading2"/>
      </w:pPr>
      <w:r>
        <w:t xml:space="preserve">A6. Detailed DDM Model Specification</w:t>
      </w:r>
    </w:p>
    <w:p>
      <w:pPr>
        <w:pStyle w:val="FirstParagraph"/>
      </w:pPr>
      <w:r>
        <w:t xml:space="preserve">This appendix provides the full mathematical specification of the hierarchical Wiener DDM, including link functions, prior distributions, and computational details omitted from the main Methods for brevity.</w:t>
      </w:r>
    </w:p>
    <w:bookmarkStart w:id="188" w:name="X264425c30ddf772f4f878c6c21a58971e8b463d"/>
    <w:p>
      <w:pPr>
        <w:pStyle w:val="Heading3"/>
      </w:pPr>
      <w:r>
        <w:t xml:space="preserve">A6.1 Link Functions and Parameter Constraints</w:t>
      </w:r>
    </w:p>
    <w:p>
      <w:pPr>
        <w:pStyle w:val="FirstParagraph"/>
      </w:pPr>
      <w:r>
        <w:rPr>
          <w:b/>
          <w:bCs/>
        </w:rPr>
        <w:t xml:space="preserve">Link functions</w:t>
      </w:r>
      <w:r>
        <w:t xml:space="preserve">: To ensure parameter constraints, we apply link functions</w:t>
      </w:r>
      <w:r>
        <w:t xml:space="preserve"> </w:t>
      </w:r>
      <w:r>
        <w:t xml:space="preserve">(Bürkner, 2017; Ratcliff &amp; Tuerlinckx, 2002)</w:t>
      </w:r>
      <w:r>
        <w:t xml:space="preserve">. The model was implemented using the</w:t>
      </w:r>
      <w:r>
        <w:t xml:space="preserve"> </w:t>
      </w:r>
      <w:r>
        <w:rPr>
          <w:rStyle w:val="VerbatimChar"/>
        </w:rPr>
        <w:t xml:space="preserve">brms</w:t>
      </w:r>
      <w:r>
        <w:t xml:space="preserve"> </w:t>
      </w:r>
      <w:r>
        <w:t xml:space="preserve">package with</w:t>
      </w:r>
      <w:r>
        <w:t xml:space="preserve"> </w:t>
      </w:r>
      <w:r>
        <w:rPr>
          <w:rStyle w:val="VerbatimChar"/>
        </w:rPr>
        <w:t xml:space="preserve">family = wiener(link_bs="log", link_ndt="log", link_bias="logit")</w:t>
      </w:r>
      <w:r>
        <w:t xml:space="preserve">: drift rate</w:t>
      </w:r>
      <w:r>
        <w:t xml:space="preserve"> </w:t>
      </w:r>
      <m:oMath>
        <m:r>
          <m:t>v</m:t>
        </m:r>
        <m:r>
          <m:rPr>
            <m:sty m:val="p"/>
          </m:rPr>
          <m:t>=</m:t>
        </m:r>
        <m:sSub>
          <m:e>
            <m:r>
              <m:t>β</m:t>
            </m:r>
          </m:e>
          <m:sub>
            <m:r>
              <m:t>v</m:t>
            </m:r>
          </m:sub>
        </m:sSub>
      </m:oMath>
      <w:r>
        <w:t xml:space="preserve"> </w:t>
      </w:r>
      <w:r>
        <w:t xml:space="preserve">(identity link); boundary separation</w:t>
      </w:r>
      <w:r>
        <w:t xml:space="preserve"> </w:t>
      </w:r>
      <m:oMath>
        <m:r>
          <m:t>a</m:t>
        </m:r>
        <m:r>
          <m:rPr>
            <m:sty m:val="p"/>
          </m:rPr>
          <m:t>=</m:t>
        </m:r>
        <m:r>
          <m:rPr>
            <m:sty m:val="p"/>
          </m:rPr>
          <m:t>exp</m:t>
        </m:r>
        <m:d>
          <m:dPr>
            <m:begChr m:val="("/>
            <m:sepChr m:val=""/>
            <m:endChr m:val=")"/>
            <m:grow/>
          </m:dPr>
          <m:e>
            <m:sSub>
              <m:e>
                <m:r>
                  <m:t>β</m:t>
                </m:r>
              </m:e>
              <m:sub>
                <m:r>
                  <m:rPr>
                    <m:nor/>
                    <m:sty m:val="p"/>
                  </m:rPr>
                  <m:t>bs</m:t>
                </m:r>
              </m:sub>
            </m:sSub>
          </m:e>
        </m:d>
      </m:oMath>
      <w:r>
        <w:t xml:space="preserve"> </w:t>
      </w:r>
      <w:r>
        <w:t xml:space="preserve">(log link, ensures</w:t>
      </w:r>
      <w:r>
        <w:t xml:space="preserve"> </w:t>
      </w:r>
      <m:oMath>
        <m:r>
          <m:t>a</m:t>
        </m:r>
        <m:r>
          <m:rPr>
            <m:sty m:val="p"/>
          </m:rPr>
          <m:t>&gt;</m:t>
        </m:r>
        <m:r>
          <m:t>0</m:t>
        </m:r>
      </m:oMath>
      <w:r>
        <w:t xml:space="preserve">); non-decision time</w:t>
      </w:r>
      <w:r>
        <w:t xml:space="preserve"> </w:t>
      </w:r>
      <m:oMath>
        <m:sSub>
          <m:e>
            <m:r>
              <m:t>t</m:t>
            </m:r>
          </m:e>
          <m:sub>
            <m:r>
              <m:t>0</m:t>
            </m:r>
          </m:sub>
        </m:sSub>
        <m:r>
          <m:rPr>
            <m:sty m:val="p"/>
          </m:rPr>
          <m:t>=</m:t>
        </m:r>
        <m:r>
          <m:rPr>
            <m:sty m:val="p"/>
          </m:rPr>
          <m:t>exp</m:t>
        </m:r>
        <m:d>
          <m:dPr>
            <m:begChr m:val="("/>
            <m:sepChr m:val=""/>
            <m:endChr m:val=")"/>
            <m:grow/>
          </m:dPr>
          <m:e>
            <m:sSub>
              <m:e>
                <m:r>
                  <m:t>β</m:t>
                </m:r>
              </m:e>
              <m:sub>
                <m:r>
                  <m:rPr>
                    <m:nor/>
                    <m:sty m:val="p"/>
                  </m:rPr>
                  <m:t>ndt</m:t>
                </m:r>
              </m:sub>
            </m:sSub>
          </m:e>
        </m:d>
      </m:oMath>
      <w:r>
        <w:t xml:space="preserve"> </w:t>
      </w:r>
      <w:r>
        <w:t xml:space="preserve">(log link, ensures</w:t>
      </w:r>
      <w:r>
        <w:t xml:space="preserve"> </w:t>
      </w:r>
      <m:oMath>
        <m:sSub>
          <m:e>
            <m:r>
              <m:t>t</m:t>
            </m:r>
          </m:e>
          <m:sub>
            <m:r>
              <m:t>0</m:t>
            </m:r>
          </m:sub>
        </m:sSub>
        <m:r>
          <m:rPr>
            <m:sty m:val="p"/>
          </m:rPr>
          <m:t>&gt;</m:t>
        </m:r>
        <m:r>
          <m:t>0</m:t>
        </m:r>
      </m:oMath>
      <w:r>
        <w:t xml:space="preserve">); starting-point bias</w:t>
      </w:r>
      <w:r>
        <w:t xml:space="preserve"> </w:t>
      </w:r>
      <m:oMath>
        <m:r>
          <m:t>z</m:t>
        </m:r>
        <m:r>
          <m:rPr>
            <m:sty m:val="p"/>
          </m:rPr>
          <m:t>=</m:t>
        </m:r>
        <m:sSup>
          <m:e>
            <m:r>
              <m:rPr>
                <m:nor/>
                <m:sty m:val="p"/>
              </m:rPr>
              <m:t>logit</m:t>
            </m:r>
          </m:e>
          <m:sup>
            <m:r>
              <m:rPr>
                <m:sty m:val="p"/>
              </m:rPr>
              <m:t>−</m:t>
            </m:r>
            <m:r>
              <m:t>1</m:t>
            </m:r>
          </m:sup>
        </m:sSup>
        <m:d>
          <m:dPr>
            <m:begChr m:val="("/>
            <m:sepChr m:val=""/>
            <m:endChr m:val=")"/>
            <m:grow/>
          </m:dPr>
          <m:e>
            <m:sSub>
              <m:e>
                <m:r>
                  <m:t>β</m:t>
                </m:r>
              </m:e>
              <m:sub>
                <m:r>
                  <m:rPr>
                    <m:nor/>
                    <m:sty m:val="p"/>
                  </m:rPr>
                  <m:t>bias</m:t>
                </m:r>
              </m:sub>
            </m:sSub>
          </m:e>
        </m:d>
        <m:r>
          <m:rPr>
            <m:sty m:val="p"/>
          </m:rPr>
          <m:t>=</m:t>
        </m:r>
        <m:f>
          <m:fPr>
            <m:type m:val="bar"/>
          </m:fPr>
          <m:num>
            <m:r>
              <m:rPr>
                <m:sty m:val="p"/>
              </m:rPr>
              <m:t>exp</m:t>
            </m:r>
            <m:d>
              <m:dPr>
                <m:begChr m:val="("/>
                <m:sepChr m:val=""/>
                <m:endChr m:val=")"/>
                <m:grow/>
              </m:dPr>
              <m:e>
                <m:sSub>
                  <m:e>
                    <m:r>
                      <m:t>β</m:t>
                    </m:r>
                  </m:e>
                  <m:sub>
                    <m:r>
                      <m:rPr>
                        <m:nor/>
                        <m:sty m:val="p"/>
                      </m:rPr>
                      <m:t>bias</m:t>
                    </m:r>
                  </m:sub>
                </m:sSub>
              </m:e>
            </m:d>
          </m:num>
          <m:den>
            <m:r>
              <m:t>1</m:t>
            </m:r>
            <m:r>
              <m:rPr>
                <m:sty m:val="p"/>
              </m:rPr>
              <m:t>+</m:t>
            </m:r>
            <m:r>
              <m:rPr>
                <m:sty m:val="p"/>
              </m:rPr>
              <m:t>exp</m:t>
            </m:r>
            <m:d>
              <m:dPr>
                <m:begChr m:val="("/>
                <m:sepChr m:val=""/>
                <m:endChr m:val=")"/>
                <m:grow/>
              </m:dPr>
              <m:e>
                <m:sSub>
                  <m:e>
                    <m:r>
                      <m:t>β</m:t>
                    </m:r>
                  </m:e>
                  <m:sub>
                    <m:r>
                      <m:rPr>
                        <m:nor/>
                        <m:sty m:val="p"/>
                      </m:rPr>
                      <m:t>bias</m:t>
                    </m:r>
                  </m:sub>
                </m:sSub>
              </m:e>
            </m:d>
          </m:den>
        </m:f>
      </m:oMath>
      <w:r>
        <w:t xml:space="preserve"> </w:t>
      </w:r>
      <w:r>
        <w:t xml:space="preserve">(logit link, ensures</w:t>
      </w:r>
      <w:r>
        <w:t xml:space="preserve"> </w:t>
      </w:r>
      <m:oMath>
        <m:r>
          <m:t>z</m:t>
        </m:r>
        <m:r>
          <m:rPr>
            <m:sty m:val="p"/>
          </m:rPr>
          <m:t>∈</m:t>
        </m:r>
        <m:d>
          <m:dPr>
            <m:begChr m:val="["/>
            <m:sepChr m:val=""/>
            <m:endChr m:val="]"/>
            <m:grow/>
          </m:dPr>
          <m:e>
            <m:r>
              <m:t>0</m:t>
            </m:r>
            <m:r>
              <m:rPr>
                <m:sty m:val="p"/>
              </m:rPr>
              <m:t>,</m:t>
            </m:r>
            <m:r>
              <m:t>1</m:t>
            </m:r>
          </m:e>
        </m:d>
      </m:oMath>
      <w:r>
        <w:t xml:space="preserve">).</w:t>
      </w:r>
    </w:p>
    <w:bookmarkEnd w:id="188"/>
    <w:bookmarkStart w:id="198" w:name="a6.2-hierarchical-model-structure"/>
    <w:p>
      <w:pPr>
        <w:pStyle w:val="Heading3"/>
      </w:pPr>
      <w:r>
        <w:t xml:space="preserve">A6.2 Hierarchical Model Structure</w:t>
      </w:r>
    </w:p>
    <w:p>
      <w:pPr>
        <w:pStyle w:val="FirstParagraph"/>
      </w:pPr>
      <w:r>
        <w:t xml:space="preserve">For subject (i) and trial (j), the latent parameters follow:</w:t>
      </w:r>
    </w:p>
    <w:p>
      <w:pPr>
        <w:pStyle w:val="BodyText"/>
      </w:pPr>
      <w:r>
        <w:rPr>
          <w:b/>
          <w:bCs/>
        </w:rPr>
        <w:t xml:space="preserve">Hierarchical structure</w:t>
      </w:r>
      <w:r>
        <w:t xml:space="preserve">: For subject</w:t>
      </w:r>
      <w:r>
        <w:t xml:space="preserve"> </w:t>
      </w:r>
      <m:oMath>
        <m:r>
          <m:t>i</m:t>
        </m:r>
      </m:oMath>
      <w:r>
        <w:t xml:space="preserve"> </w:t>
      </w:r>
      <w:r>
        <w:t xml:space="preserve">and trial</w:t>
      </w:r>
      <w:r>
        <w:t xml:space="preserve"> </w:t>
      </w:r>
      <m:oMath>
        <m:r>
          <m:t>j</m:t>
        </m:r>
      </m:oMath>
      <w:r>
        <w:t xml:space="preserve">, the model parameters are specified as</w:t>
      </w:r>
      <w:r>
        <w:t xml:space="preserve"> </w:t>
      </w:r>
      <w:r>
        <w:t xml:space="preserve">(Bürkner, 2017; Ratcliff &amp; McKoon, 2008)</w:t>
      </w:r>
      <w:r>
        <w:t xml:space="preserve">:</w:t>
      </w:r>
    </w:p>
    <w:p>
      <w:pPr>
        <w:pStyle w:val="BodyText"/>
      </w:pPr>
      <w:bookmarkStart w:id="189" w:name="eq-drift-hierarchical"/>
      <m:oMathPara>
        <m:oMathParaPr>
          <m:jc m:val="center"/>
        </m:oMathParaPr>
        <m:oMath>
          <m:sSub>
            <m:e>
              <m:r>
                <m:t>v</m:t>
              </m:r>
            </m:e>
            <m:sub>
              <m:r>
                <m:t>i</m:t>
              </m:r>
              <m:r>
                <m:t>j</m:t>
              </m:r>
            </m:sub>
          </m:sSub>
          <m:r>
            <m:rPr>
              <m:sty m:val="p"/>
            </m:rPr>
            <m:t>=</m:t>
          </m:r>
          <m:sSub>
            <m:e>
              <m:r>
                <m:t>β</m:t>
              </m:r>
            </m:e>
            <m:sub>
              <m:r>
                <m:t>v</m:t>
              </m:r>
              <m:r>
                <m:rPr>
                  <m:sty m:val="p"/>
                </m:rPr>
                <m:t>,</m:t>
              </m:r>
              <m:r>
                <m:t>0</m:t>
              </m:r>
            </m:sub>
          </m:sSub>
          <m:r>
            <m:rPr>
              <m:sty m:val="p"/>
            </m:rPr>
            <m:t>+</m:t>
          </m:r>
          <m:nary>
            <m:naryPr>
              <m:chr m:val="∑"/>
              <m:limLoc m:val="undOvr"/>
              <m:subHide m:val="off"/>
              <m:supHide m:val="on"/>
            </m:naryPr>
            <m:sub>
              <m:r>
                <m:t>k</m:t>
              </m:r>
            </m:sub>
            <m:sup>
              <m:r>
                <m:t>​</m:t>
              </m:r>
            </m:sup>
            <m:e>
              <m:sSub>
                <m:e>
                  <m:r>
                    <m:t>β</m:t>
                  </m:r>
                </m:e>
                <m:sub>
                  <m:r>
                    <m:t>v</m:t>
                  </m:r>
                  <m:r>
                    <m:rPr>
                      <m:sty m:val="p"/>
                    </m:rPr>
                    <m:t>,</m:t>
                  </m:r>
                  <m:r>
                    <m:t>k</m:t>
                  </m:r>
                </m:sub>
              </m:sSub>
            </m:e>
          </m:nary>
          <m:sSub>
            <m:e>
              <m:r>
                <m:t>X</m:t>
              </m:r>
            </m:e>
            <m:sub>
              <m:r>
                <m:t>k</m:t>
              </m:r>
              <m:r>
                <m:rPr>
                  <m:sty m:val="p"/>
                </m:rPr>
                <m:t>,</m:t>
              </m:r>
              <m:r>
                <m:t>i</m:t>
              </m:r>
              <m:r>
                <m:t>j</m:t>
              </m:r>
            </m:sub>
          </m:sSub>
          <m:r>
            <m:rPr>
              <m:sty m:val="p"/>
            </m:rPr>
            <m:t>+</m:t>
          </m:r>
          <m:sSub>
            <m:e>
              <m:r>
                <m:t>u</m:t>
              </m:r>
            </m:e>
            <m:sub>
              <m:r>
                <m:t>v</m:t>
              </m:r>
              <m:r>
                <m:rPr>
                  <m:sty m:val="p"/>
                </m:rPr>
                <m:t>,</m:t>
              </m:r>
              <m:r>
                <m:t>i</m:t>
              </m:r>
            </m:sub>
          </m:sSub>
          <m:r>
            <m:t>  </m:t>
          </m:r>
          <m:d>
            <m:dPr>
              <m:begChr m:val="("/>
              <m:sepChr m:val=""/>
              <m:endChr m:val=")"/>
              <m:grow/>
            </m:dPr>
            <m:e>
              <m:r>
                <m:t>2</m:t>
              </m:r>
            </m:e>
          </m:d>
        </m:oMath>
      </m:oMathPara>
      <w:bookmarkEnd w:id="189"/>
    </w:p>
    <w:p>
      <w:pPr>
        <w:pStyle w:val="FirstParagraph"/>
      </w:pPr>
      <w:bookmarkStart w:id="190" w:name="eq-boundary-hierarchical"/>
      <m:oMathPara>
        <m:oMathParaPr>
          <m:jc m:val="center"/>
        </m:oMathParaPr>
        <m:oMath>
          <m:sSub>
            <m:e>
              <m:r>
                <m:t>a</m:t>
              </m:r>
            </m:e>
            <m:sub>
              <m:r>
                <m:t>i</m:t>
              </m:r>
              <m:r>
                <m:t>j</m:t>
              </m:r>
            </m:sub>
          </m:sSub>
          <m:r>
            <m:rPr>
              <m:sty m:val="p"/>
            </m:rPr>
            <m:t>=</m:t>
          </m:r>
          <m:r>
            <m:rPr>
              <m:sty m:val="p"/>
            </m:rPr>
            <m:t>exp</m:t>
          </m:r>
          <m:d>
            <m:dPr>
              <m:begChr m:val="("/>
              <m:sepChr m:val=""/>
              <m:endChr m:val=")"/>
              <m:grow/>
            </m:dPr>
            <m:e>
              <m:sSub>
                <m:e>
                  <m:r>
                    <m:t>β</m:t>
                  </m:r>
                </m:e>
                <m:sub>
                  <m:r>
                    <m:rPr>
                      <m:nor/>
                      <m:sty m:val="p"/>
                    </m:rPr>
                    <m:t>bs</m:t>
                  </m:r>
                  <m:r>
                    <m:rPr>
                      <m:sty m:val="p"/>
                    </m:rPr>
                    <m:t>,</m:t>
                  </m:r>
                  <m:r>
                    <m:t>0</m:t>
                  </m:r>
                </m:sub>
              </m:sSub>
              <m:r>
                <m:rPr>
                  <m:sty m:val="p"/>
                </m:rPr>
                <m:t>+</m:t>
              </m:r>
              <m:nary>
                <m:naryPr>
                  <m:chr m:val="∑"/>
                  <m:limLoc m:val="undOvr"/>
                  <m:subHide m:val="off"/>
                  <m:supHide m:val="on"/>
                </m:naryPr>
                <m:sub>
                  <m:r>
                    <m:t>k</m:t>
                  </m:r>
                </m:sub>
                <m:sup>
                  <m:r>
                    <m:t>​</m:t>
                  </m:r>
                </m:sup>
                <m:e>
                  <m:sSub>
                    <m:e>
                      <m:r>
                        <m:t>β</m:t>
                      </m:r>
                    </m:e>
                    <m:sub>
                      <m:r>
                        <m:rPr>
                          <m:nor/>
                          <m:sty m:val="p"/>
                        </m:rPr>
                        <m:t>bs</m:t>
                      </m:r>
                      <m:r>
                        <m:rPr>
                          <m:sty m:val="p"/>
                        </m:rPr>
                        <m:t>,</m:t>
                      </m:r>
                      <m:r>
                        <m:t>k</m:t>
                      </m:r>
                    </m:sub>
                  </m:sSub>
                </m:e>
              </m:nary>
              <m:sSub>
                <m:e>
                  <m:r>
                    <m:t>X</m:t>
                  </m:r>
                </m:e>
                <m:sub>
                  <m:r>
                    <m:t>k</m:t>
                  </m:r>
                  <m:r>
                    <m:rPr>
                      <m:sty m:val="p"/>
                    </m:rPr>
                    <m:t>,</m:t>
                  </m:r>
                  <m:r>
                    <m:t>i</m:t>
                  </m:r>
                  <m:r>
                    <m:t>j</m:t>
                  </m:r>
                </m:sub>
              </m:sSub>
              <m:r>
                <m:rPr>
                  <m:sty m:val="p"/>
                </m:rPr>
                <m:t>+</m:t>
              </m:r>
              <m:sSub>
                <m:e>
                  <m:r>
                    <m:t>u</m:t>
                  </m:r>
                </m:e>
                <m:sub>
                  <m:r>
                    <m:rPr>
                      <m:nor/>
                      <m:sty m:val="p"/>
                    </m:rPr>
                    <m:t>bs</m:t>
                  </m:r>
                  <m:r>
                    <m:rPr>
                      <m:sty m:val="p"/>
                    </m:rPr>
                    <m:t>,</m:t>
                  </m:r>
                  <m:r>
                    <m:t>i</m:t>
                  </m:r>
                </m:sub>
              </m:sSub>
            </m:e>
          </m:d>
          <m:r>
            <m:t>  </m:t>
          </m:r>
          <m:d>
            <m:dPr>
              <m:begChr m:val="("/>
              <m:sepChr m:val=""/>
              <m:endChr m:val=")"/>
              <m:grow/>
            </m:dPr>
            <m:e>
              <m:r>
                <m:t>3</m:t>
              </m:r>
            </m:e>
          </m:d>
        </m:oMath>
      </m:oMathPara>
      <w:bookmarkEnd w:id="190"/>
    </w:p>
    <w:p>
      <w:pPr>
        <w:pStyle w:val="FirstParagraph"/>
      </w:pPr>
      <w:bookmarkStart w:id="191" w:name="eq-ndt-hierarchical"/>
      <m:oMathPara>
        <m:oMathParaPr>
          <m:jc m:val="center"/>
        </m:oMathParaPr>
        <m:oMath>
          <m:sSub>
            <m:e>
              <m:r>
                <m:t>t</m:t>
              </m:r>
            </m:e>
            <m:sub>
              <m:r>
                <m:t>0</m:t>
              </m:r>
              <m:r>
                <m:rPr>
                  <m:sty m:val="p"/>
                </m:rPr>
                <m:t>,</m:t>
              </m:r>
              <m:r>
                <m:t>i</m:t>
              </m:r>
              <m:r>
                <m:t>j</m:t>
              </m:r>
            </m:sub>
          </m:sSub>
          <m:r>
            <m:rPr>
              <m:sty m:val="p"/>
            </m:rPr>
            <m:t>=</m:t>
          </m:r>
          <m:r>
            <m:rPr>
              <m:sty m:val="p"/>
            </m:rPr>
            <m:t>exp</m:t>
          </m:r>
          <m:d>
            <m:dPr>
              <m:begChr m:val="("/>
              <m:sepChr m:val=""/>
              <m:endChr m:val=")"/>
              <m:grow/>
            </m:dPr>
            <m:e>
              <m:sSub>
                <m:e>
                  <m:r>
                    <m:t>β</m:t>
                  </m:r>
                </m:e>
                <m:sub>
                  <m:r>
                    <m:rPr>
                      <m:nor/>
                      <m:sty m:val="p"/>
                    </m:rPr>
                    <m:t>ndt</m:t>
                  </m:r>
                  <m:r>
                    <m:rPr>
                      <m:sty m:val="p"/>
                    </m:rPr>
                    <m:t>,</m:t>
                  </m:r>
                  <m:r>
                    <m:t>0</m:t>
                  </m:r>
                </m:sub>
              </m:sSub>
              <m:r>
                <m:rPr>
                  <m:sty m:val="p"/>
                </m:rPr>
                <m:t>+</m:t>
              </m:r>
              <m:nary>
                <m:naryPr>
                  <m:chr m:val="∑"/>
                  <m:limLoc m:val="undOvr"/>
                  <m:subHide m:val="off"/>
                  <m:supHide m:val="on"/>
                </m:naryPr>
                <m:sub>
                  <m:r>
                    <m:t>k</m:t>
                  </m:r>
                </m:sub>
                <m:sup>
                  <m:r>
                    <m:t>​</m:t>
                  </m:r>
                </m:sup>
                <m:e>
                  <m:sSub>
                    <m:e>
                      <m:r>
                        <m:t>β</m:t>
                      </m:r>
                    </m:e>
                    <m:sub>
                      <m:r>
                        <m:rPr>
                          <m:nor/>
                          <m:sty m:val="p"/>
                        </m:rPr>
                        <m:t>ndt</m:t>
                      </m:r>
                      <m:r>
                        <m:rPr>
                          <m:sty m:val="p"/>
                        </m:rPr>
                        <m:t>,</m:t>
                      </m:r>
                      <m:r>
                        <m:t>k</m:t>
                      </m:r>
                    </m:sub>
                  </m:sSub>
                </m:e>
              </m:nary>
              <m:sSub>
                <m:e>
                  <m:r>
                    <m:t>X</m:t>
                  </m:r>
                </m:e>
                <m:sub>
                  <m:r>
                    <m:t>k</m:t>
                  </m:r>
                  <m:r>
                    <m:rPr>
                      <m:sty m:val="p"/>
                    </m:rPr>
                    <m:t>,</m:t>
                  </m:r>
                  <m:r>
                    <m:t>i</m:t>
                  </m:r>
                  <m:r>
                    <m:t>j</m:t>
                  </m:r>
                </m:sub>
              </m:sSub>
            </m:e>
          </m:d>
          <m:r>
            <m:t>  </m:t>
          </m:r>
          <m:d>
            <m:dPr>
              <m:begChr m:val="("/>
              <m:sepChr m:val=""/>
              <m:endChr m:val=")"/>
              <m:grow/>
            </m:dPr>
            <m:e>
              <m:r>
                <m:t>4</m:t>
              </m:r>
            </m:e>
          </m:d>
        </m:oMath>
      </m:oMathPara>
      <w:bookmarkEnd w:id="191"/>
    </w:p>
    <w:p>
      <w:pPr>
        <w:pStyle w:val="FirstParagraph"/>
      </w:pPr>
      <w:bookmarkStart w:id="192" w:name="eq-bias-hierarchical"/>
      <m:oMathPara>
        <m:oMathParaPr>
          <m:jc m:val="center"/>
        </m:oMathParaPr>
        <m:oMath>
          <m:sSub>
            <m:e>
              <m:r>
                <m:t>z</m:t>
              </m:r>
            </m:e>
            <m:sub>
              <m:r>
                <m:t>i</m:t>
              </m:r>
              <m:r>
                <m:t>j</m:t>
              </m:r>
            </m:sub>
          </m:sSub>
          <m:r>
            <m:rPr>
              <m:sty m:val="p"/>
            </m:rPr>
            <m:t>=</m:t>
          </m:r>
          <m:sSup>
            <m:e>
              <m:r>
                <m:rPr>
                  <m:nor/>
                  <m:sty m:val="p"/>
                </m:rPr>
                <m:t>logit</m:t>
              </m:r>
            </m:e>
            <m:sup>
              <m:r>
                <m:rPr>
                  <m:sty m:val="p"/>
                </m:rPr>
                <m:t>−</m:t>
              </m:r>
              <m:r>
                <m:t>1</m:t>
              </m:r>
            </m:sup>
          </m:sSup>
          <m:d>
            <m:dPr>
              <m:begChr m:val="("/>
              <m:sepChr m:val=""/>
              <m:endChr m:val=")"/>
              <m:grow/>
            </m:dPr>
            <m:e>
              <m:sSub>
                <m:e>
                  <m:r>
                    <m:t>β</m:t>
                  </m:r>
                </m:e>
                <m:sub>
                  <m:r>
                    <m:rPr>
                      <m:nor/>
                      <m:sty m:val="p"/>
                    </m:rPr>
                    <m:t>bias</m:t>
                  </m:r>
                  <m:r>
                    <m:rPr>
                      <m:sty m:val="p"/>
                    </m:rPr>
                    <m:t>,</m:t>
                  </m:r>
                  <m:r>
                    <m:t>0</m:t>
                  </m:r>
                </m:sub>
              </m:sSub>
              <m:r>
                <m:rPr>
                  <m:sty m:val="p"/>
                </m:rPr>
                <m:t>+</m:t>
              </m:r>
              <m:nary>
                <m:naryPr>
                  <m:chr m:val="∑"/>
                  <m:limLoc m:val="undOvr"/>
                  <m:subHide m:val="off"/>
                  <m:supHide m:val="on"/>
                </m:naryPr>
                <m:sub>
                  <m:r>
                    <m:t>k</m:t>
                  </m:r>
                </m:sub>
                <m:sup>
                  <m:r>
                    <m:t>​</m:t>
                  </m:r>
                </m:sup>
                <m:e>
                  <m:sSub>
                    <m:e>
                      <m:r>
                        <m:t>β</m:t>
                      </m:r>
                    </m:e>
                    <m:sub>
                      <m:r>
                        <m:rPr>
                          <m:nor/>
                          <m:sty m:val="p"/>
                        </m:rPr>
                        <m:t>bias</m:t>
                      </m:r>
                      <m:r>
                        <m:rPr>
                          <m:sty m:val="p"/>
                        </m:rPr>
                        <m:t>,</m:t>
                      </m:r>
                      <m:r>
                        <m:t>k</m:t>
                      </m:r>
                    </m:sub>
                  </m:sSub>
                </m:e>
              </m:nary>
              <m:sSub>
                <m:e>
                  <m:r>
                    <m:t>X</m:t>
                  </m:r>
                </m:e>
                <m:sub>
                  <m:r>
                    <m:t>k</m:t>
                  </m:r>
                  <m:r>
                    <m:rPr>
                      <m:sty m:val="p"/>
                    </m:rPr>
                    <m:t>,</m:t>
                  </m:r>
                  <m:r>
                    <m:t>i</m:t>
                  </m:r>
                  <m:r>
                    <m:t>j</m:t>
                  </m:r>
                </m:sub>
              </m:sSub>
              <m:r>
                <m:rPr>
                  <m:sty m:val="p"/>
                </m:rPr>
                <m:t>+</m:t>
              </m:r>
              <m:sSub>
                <m:e>
                  <m:r>
                    <m:t>u</m:t>
                  </m:r>
                </m:e>
                <m:sub>
                  <m:r>
                    <m:rPr>
                      <m:nor/>
                      <m:sty m:val="p"/>
                    </m:rPr>
                    <m:t>bias</m:t>
                  </m:r>
                  <m:r>
                    <m:rPr>
                      <m:sty m:val="p"/>
                    </m:rPr>
                    <m:t>,</m:t>
                  </m:r>
                  <m:r>
                    <m:t>i</m:t>
                  </m:r>
                </m:sub>
              </m:sSub>
            </m:e>
          </m:d>
          <m:r>
            <m:t>  </m:t>
          </m:r>
          <m:d>
            <m:dPr>
              <m:begChr m:val="("/>
              <m:sepChr m:val=""/>
              <m:endChr m:val=")"/>
              <m:grow/>
            </m:dPr>
            <m:e>
              <m:r>
                <m:t>5</m:t>
              </m:r>
            </m:e>
          </m:d>
        </m:oMath>
      </m:oMathPara>
      <w:bookmarkEnd w:id="192"/>
    </w:p>
    <w:p>
      <w:pPr>
        <w:pStyle w:val="FirstParagraph"/>
      </w:pPr>
      <w:r>
        <w:t xml:space="preserve">where</w:t>
      </w:r>
      <w:r>
        <w:t xml:space="preserve"> </w:t>
      </w:r>
      <m:oMath>
        <m:sSub>
          <m:e>
            <m:r>
              <m:t>β</m:t>
            </m:r>
          </m:e>
          <m:sub>
            <m:r>
              <m:t>0</m:t>
            </m:r>
          </m:sub>
        </m:sSub>
      </m:oMath>
      <w:r>
        <w:t xml:space="preserve"> </w:t>
      </w:r>
      <w:r>
        <w:t xml:space="preserve">are population-level intercepts,</w:t>
      </w:r>
      <w:r>
        <w:t xml:space="preserve"> </w:t>
      </w:r>
      <m:oMath>
        <m:sSub>
          <m:e>
            <m:r>
              <m:t>β</m:t>
            </m:r>
          </m:e>
          <m:sub>
            <m:r>
              <m:t>k</m:t>
            </m:r>
          </m:sub>
        </m:sSub>
      </m:oMath>
      <w:r>
        <w:t xml:space="preserve"> </w:t>
      </w:r>
      <w:r>
        <w:t xml:space="preserve">are population-level coefficients for predictors</w:t>
      </w:r>
      <w:r>
        <w:t xml:space="preserve"> </w:t>
      </w:r>
      <m:oMath>
        <m:sSub>
          <m:e>
            <m:r>
              <m:t>X</m:t>
            </m:r>
          </m:e>
          <m:sub>
            <m:r>
              <m:t>k</m:t>
            </m:r>
          </m:sub>
        </m:sSub>
      </m:oMath>
      <w:r>
        <w:t xml:space="preserve"> </w:t>
      </w:r>
      <w:r>
        <w:t xml:space="preserve">(e.g., task, effort condition, difficulty level), and</w:t>
      </w:r>
      <w:r>
        <w:t xml:space="preserve"> </w:t>
      </w:r>
      <m:oMath>
        <m:sSub>
          <m:e>
            <m:r>
              <m:t>u</m:t>
            </m:r>
          </m:e>
          <m:sub>
            <m:r>
              <m:t>i</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are subject-level random effects. Note that</w:t>
      </w:r>
      <w:r>
        <w:t xml:space="preserve"> </w:t>
      </w:r>
      <m:oMath>
        <m:sSub>
          <m:e>
            <m:r>
              <m:t>t</m:t>
            </m:r>
          </m:e>
          <m:sub>
            <m:r>
              <m:t>0</m:t>
            </m:r>
          </m:sub>
        </m:sSub>
      </m:oMath>
      <w:r>
        <w:t xml:space="preserve"> </w:t>
      </w:r>
      <w:r>
        <w:t xml:space="preserve">is modeled without subject-level random effects to maintain model stability in the response-signal design.</w:t>
      </w:r>
    </w:p>
    <w:p>
      <w:pPr>
        <w:pStyle w:val="BodyText"/>
      </w:pPr>
      <w:r>
        <w:rPr>
          <w:b/>
          <w:bCs/>
        </w:rPr>
        <w:t xml:space="preserve">Likelihood</w:t>
      </w:r>
      <w:r>
        <w:t xml:space="preserve">: The likelihood for a single trial with RT</w:t>
      </w:r>
      <w:r>
        <w:t xml:space="preserve"> </w:t>
      </w:r>
      <m:oMath>
        <m:r>
          <m:t>t</m:t>
        </m:r>
      </m:oMath>
      <w:r>
        <w:t xml:space="preserve"> </w:t>
      </w:r>
      <w:r>
        <w:t xml:space="preserve">and decision</w:t>
      </w:r>
      <w:r>
        <w:t xml:space="preserve"> </w:t>
      </w:r>
      <m:oMath>
        <m:r>
          <m:t>d</m:t>
        </m:r>
        <m:r>
          <m:rPr>
            <m:sty m:val="p"/>
          </m:rPr>
          <m:t>∈</m:t>
        </m:r>
        <m:r>
          <m:rPr>
            <m:sty m:val="p"/>
          </m:rPr>
          <m:t>{</m:t>
        </m:r>
        <m:r>
          <m:rPr>
            <m:nor/>
            <m:sty m:val="p"/>
          </m:rPr>
          <m:t>"same"</m:t>
        </m:r>
        <m:r>
          <m:rPr>
            <m:sty m:val="p"/>
          </m:rPr>
          <m:t>,</m:t>
        </m:r>
        <m:r>
          <m:rPr>
            <m:nor/>
            <m:sty m:val="p"/>
          </m:rPr>
          <m:t>"different"</m:t>
        </m:r>
        <m:r>
          <m:rPr>
            <m:sty m:val="p"/>
          </m:rPr>
          <m:t>}</m:t>
        </m:r>
      </m:oMath>
      <w:r>
        <w:t xml:space="preserve"> </w:t>
      </w:r>
      <w:r>
        <w:t xml:space="preserve">follows the Wiener first-passage time distribution</w:t>
      </w:r>
      <w:r>
        <w:t xml:space="preserve"> </w:t>
      </w:r>
      <w:r>
        <w:t xml:space="preserve">(Feller, 1968)</w:t>
      </w:r>
      <w:r>
        <w:t xml:space="preserve">:</w:t>
      </w:r>
    </w:p>
    <w:p>
      <w:pPr>
        <w:pStyle w:val="BodyText"/>
      </w:pPr>
      <w:bookmarkStart w:id="193" w:name="eq-likelihood"/>
      <m:oMathPara>
        <m:oMathParaPr>
          <m:jc m:val="center"/>
        </m:oMathParaPr>
        <m:oMath>
          <m:r>
            <m:t>p</m:t>
          </m:r>
          <m:d>
            <m:dPr>
              <m:begChr m:val="("/>
              <m:sepChr m:val=""/>
              <m:endChr m:val=")"/>
              <m:grow/>
            </m:dPr>
            <m:e>
              <m:r>
                <m:t>t</m:t>
              </m:r>
              <m:r>
                <m:rPr>
                  <m:sty m:val="p"/>
                </m:rPr>
                <m:t>,</m:t>
              </m:r>
              <m:r>
                <m:t>d</m:t>
              </m:r>
              <m:r>
                <m:rPr>
                  <m:sty m:val="p"/>
                </m:rPr>
                <m:t>|</m:t>
              </m:r>
              <m:r>
                <m:t>v</m:t>
              </m:r>
              <m:r>
                <m:rPr>
                  <m:sty m:val="p"/>
                </m:rPr>
                <m:t>,</m:t>
              </m:r>
              <m:r>
                <m:t>a</m:t>
              </m:r>
              <m:r>
                <m:rPr>
                  <m:sty m:val="p"/>
                </m:rPr>
                <m:t>,</m:t>
              </m:r>
              <m:sSub>
                <m:e>
                  <m:r>
                    <m:t>t</m:t>
                  </m:r>
                </m:e>
                <m:sub>
                  <m:r>
                    <m:t>0</m:t>
                  </m:r>
                </m:sub>
              </m:sSub>
              <m:r>
                <m:rPr>
                  <m:sty m:val="p"/>
                </m:rPr>
                <m:t>,</m:t>
              </m:r>
              <m:r>
                <m:t>z</m:t>
              </m:r>
            </m:e>
          </m:d>
          <m:r>
            <m:rPr>
              <m:sty m:val="p"/>
            </m:rPr>
            <m:t>=</m:t>
          </m:r>
          <m:r>
            <m:rPr>
              <m:nor/>
              <m:sty m:val="p"/>
            </m:rPr>
            <m:t>Wiener</m:t>
          </m:r>
          <m:d>
            <m:dPr>
              <m:begChr m:val="("/>
              <m:sepChr m:val=""/>
              <m:endChr m:val=")"/>
              <m:grow/>
            </m:dPr>
            <m:e>
              <m:r>
                <m:t>t</m:t>
              </m:r>
              <m:r>
                <m:rPr>
                  <m:sty m:val="p"/>
                </m:rPr>
                <m:t>−</m:t>
              </m:r>
              <m:sSub>
                <m:e>
                  <m:r>
                    <m:t>t</m:t>
                  </m:r>
                </m:e>
                <m:sub>
                  <m:r>
                    <m:t>0</m:t>
                  </m:r>
                </m:sub>
              </m:sSub>
              <m:r>
                <m:rPr>
                  <m:sty m:val="p"/>
                </m:rPr>
                <m:t>|</m:t>
              </m:r>
              <m:r>
                <m:t>v</m:t>
              </m:r>
              <m:r>
                <m:rPr>
                  <m:sty m:val="p"/>
                </m:rPr>
                <m:t>,</m:t>
              </m:r>
              <m:r>
                <m:t>a</m:t>
              </m:r>
              <m:r>
                <m:rPr>
                  <m:sty m:val="p"/>
                </m:rPr>
                <m:t>,</m:t>
              </m:r>
              <m:r>
                <m:t>z</m:t>
              </m:r>
            </m:e>
          </m:d>
          <m:r>
            <m:t>  </m:t>
          </m:r>
          <m:d>
            <m:dPr>
              <m:begChr m:val="("/>
              <m:sepChr m:val=""/>
              <m:endChr m:val=")"/>
              <m:grow/>
            </m:dPr>
            <m:e>
              <m:r>
                <m:t>6</m:t>
              </m:r>
            </m:e>
          </m:d>
        </m:oMath>
      </m:oMathPara>
      <w:bookmarkEnd w:id="193"/>
    </w:p>
    <w:p>
      <w:pPr>
        <w:pStyle w:val="FirstParagraph"/>
      </w:pPr>
      <w:r>
        <w:t xml:space="preserve">where the Wiener distribution gives the probability density of the first-passage time to boundary</w:t>
      </w:r>
      <w:r>
        <w:t xml:space="preserve"> </w:t>
      </w:r>
      <m:oMath>
        <m:r>
          <m:t>d</m:t>
        </m:r>
      </m:oMath>
      <w:r>
        <w:t xml:space="preserve"> </w:t>
      </w:r>
      <w:r>
        <w:t xml:space="preserve">given drift</w:t>
      </w:r>
      <w:r>
        <w:t xml:space="preserve"> </w:t>
      </w:r>
      <m:oMath>
        <m:r>
          <m:t>v</m:t>
        </m:r>
      </m:oMath>
      <w:r>
        <w:t xml:space="preserve">, boundary separation</w:t>
      </w:r>
      <w:r>
        <w:t xml:space="preserve"> </w:t>
      </w:r>
      <m:oMath>
        <m:r>
          <m:t>a</m:t>
        </m:r>
      </m:oMath>
      <w:r>
        <w:t xml:space="preserve">, and starting point</w:t>
      </w:r>
      <w:r>
        <w:t xml:space="preserve"> </w:t>
      </w:r>
      <m:oMath>
        <m:r>
          <m:t>z</m:t>
        </m:r>
        <m:r>
          <m:rPr>
            <m:sty m:val="p"/>
          </m:rPr>
          <m:t>⋅</m:t>
        </m:r>
        <m:r>
          <m:t>a</m:t>
        </m:r>
      </m:oMath>
      <w:r>
        <w:t xml:space="preserve">.</w:t>
      </w:r>
    </w:p>
    <w:p>
      <w:pPr>
        <w:pStyle w:val="BodyText"/>
      </w:pPr>
      <w:r>
        <w:t xml:space="preserve">The</w:t>
      </w:r>
      <w:r>
        <w:t xml:space="preserve"> </w:t>
      </w:r>
      <w:r>
        <w:rPr>
          <w:rStyle w:val="VerbatimChar"/>
        </w:rPr>
        <w:t xml:space="preserve">brms</w:t>
      </w:r>
      <w:r>
        <w:t xml:space="preserve"> </w:t>
      </w:r>
      <w:r>
        <w:t xml:space="preserve">model formula for the Standard-only calibration model is specified as:</w:t>
      </w:r>
    </w:p>
    <w:p>
      <w:pPr>
        <w:pStyle w:val="BodyText"/>
      </w:pPr>
      <w:r>
        <w:t xml:space="preserve">Parameter-specific formulas were: drift (v):</w:t>
      </w:r>
      <w:r>
        <w:t xml:space="preserve"> </w:t>
      </w:r>
      <w:r>
        <w:rPr>
          <w:rStyle w:val="VerbatimChar"/>
        </w:rPr>
        <w:t xml:space="preserve">rt | dec(dec_upper) ~ 1 + (1|subject_id)</w:t>
      </w:r>
      <w:r>
        <w:t xml:space="preserve"> </w:t>
      </w:r>
      <w:r>
        <w:t xml:space="preserve">with relaxed prior N(0, 2) to allow potential negative drift; boundary (bs):</w:t>
      </w:r>
      <w:r>
        <w:t xml:space="preserve"> </w:t>
      </w:r>
      <w:r>
        <w:rPr>
          <w:rStyle w:val="VerbatimChar"/>
        </w:rPr>
        <w:t xml:space="preserve">bs ~ 1 + (1|subject_id)</w:t>
      </w:r>
      <w:r>
        <w:t xml:space="preserve">; non-decision time (ndt):</w:t>
      </w:r>
      <w:r>
        <w:t xml:space="preserve"> </w:t>
      </w:r>
      <w:r>
        <w:rPr>
          <w:rStyle w:val="VerbatimChar"/>
        </w:rPr>
        <w:t xml:space="preserve">ndt ~ 1</w:t>
      </w:r>
      <w:r>
        <w:t xml:space="preserve"> </w:t>
      </w:r>
      <w:r>
        <w:t xml:space="preserve">(intercept-only); bias (z):</w:t>
      </w:r>
      <w:r>
        <w:t xml:space="preserve"> </w:t>
      </w:r>
      <w:r>
        <w:rPr>
          <w:rStyle w:val="VerbatimChar"/>
        </w:rPr>
        <w:t xml:space="preserve">bias ~ task + effort_condition + (1|subject_id)</w:t>
      </w:r>
      <w:r>
        <w:t xml:space="preserve">. These formulas comprise one model fitted simultaneously using</w:t>
      </w:r>
      <w:r>
        <w:t xml:space="preserve"> </w:t>
      </w:r>
      <w:r>
        <w:rPr>
          <w:rStyle w:val="VerbatimChar"/>
        </w:rPr>
        <w:t xml:space="preserve">brms</w:t>
      </w:r>
      <w:r>
        <w:t xml:space="preserve">’s</w:t>
      </w:r>
      <w:r>
        <w:t xml:space="preserve"> </w:t>
      </w:r>
      <w:r>
        <w:rPr>
          <w:rStyle w:val="VerbatimChar"/>
        </w:rPr>
        <w:t xml:space="preserve">bf()</w:t>
      </w:r>
      <w:r>
        <w:t xml:space="preserve"> </w:t>
      </w:r>
      <w:r>
        <w:t xml:space="preserve">function.</w:t>
      </w:r>
    </w:p>
    <w:p>
      <w:pPr>
        <w:pStyle w:val="BodyText"/>
      </w:pPr>
      <w:r>
        <w:t xml:space="preserve">The causal assumptions and hierarchical generative structure for the primary DDM are illustrated in the following figure:</w:t>
      </w:r>
    </w:p>
    <w:p>
      <w:pPr>
        <w:pStyle w:val="BodyText"/>
      </w:pPr>
      <w:r>
        <w:t xml:space="preserve">To clarify the assumptions behind our RT definition, gating delay, and exclusion rules, we summarize the causal structure of the response-signal design and the hierarchical DDM in</w:t>
      </w:r>
      <w:r>
        <w:t xml:space="preserve"> </w:t>
      </w:r>
      <w:hyperlink w:anchor="fig-ddm-dag-plate">
        <w:r>
          <w:rPr>
            <w:rStyle w:val="Hyperlink"/>
          </w:rPr>
          <w:t xml:space="preserve">Figure 28</w:t>
        </w:r>
      </w:hyperlink>
      <w:r>
        <w:t xml:space="preserve">. Panel A depicts a conceptual causal diagram in which Age and experimentally manipulated task factors (difficulty, modality, effort) influence latent DDM parameters, the wait constraint changes how latent decision completion maps onto observed RT, and RT-based exclusion is represented as conditioning on a selection node</w:t>
      </w:r>
      <w:r>
        <w:t xml:space="preserve"> </w:t>
      </w:r>
      <m:oMath>
        <m:r>
          <m:t>S</m:t>
        </m:r>
      </m:oMath>
      <w:r>
        <w:t xml:space="preserve">. Panel B shows the corresponding generative structure of the hierarchical Wiener DDM, with subject-level parameters</w:t>
      </w:r>
      <w:r>
        <w:t xml:space="preserve"> </w:t>
      </w:r>
      <m:oMath>
        <m:sSub>
          <m:e>
            <m:r>
              <m:t>v</m:t>
            </m:r>
          </m:e>
          <m:sub>
            <m:r>
              <m:t>i</m:t>
            </m:r>
          </m:sub>
        </m:sSub>
      </m:oMath>
      <w:r>
        <w:t xml:space="preserve">,</w:t>
      </w:r>
      <w:r>
        <w:t xml:space="preserve"> </w:t>
      </w:r>
      <m:oMath>
        <m:sSub>
          <m:e>
            <m:r>
              <m:t>a</m:t>
            </m:r>
          </m:e>
          <m:sub>
            <m:r>
              <m:t>i</m:t>
            </m:r>
          </m:sub>
        </m:sSub>
      </m:oMath>
      <w:r>
        <w:t xml:space="preserve">,</w:t>
      </w:r>
      <w:r>
        <w:t xml:space="preserve"> </w:t>
      </w:r>
      <m:oMath>
        <m:sSub>
          <m:e>
            <m:r>
              <m:t>T</m:t>
            </m:r>
          </m:e>
          <m:sub>
            <m:r>
              <m:t>e</m:t>
            </m:r>
            <m:r>
              <m:t>r</m:t>
            </m:r>
            <m:r>
              <m:rPr>
                <m:sty m:val="p"/>
              </m:rPr>
              <m:t>,</m:t>
            </m:r>
            <m:r>
              <m:t>i</m:t>
            </m:r>
          </m:sub>
        </m:sSub>
      </m:oMath>
      <w:r>
        <w:t xml:space="preserve"> </w:t>
      </w:r>
      <w:r>
        <w:t xml:space="preserve">and trial-level predictors</w:t>
      </w:r>
      <w:r>
        <w:t xml:space="preserve"> </w:t>
      </w:r>
      <m:oMath>
        <m:sSub>
          <m:e>
            <m:r>
              <m:t>X</m:t>
            </m:r>
          </m:e>
          <m:sub>
            <m:r>
              <m:t>i</m:t>
            </m:r>
            <m:r>
              <m:t>t</m:t>
            </m:r>
          </m:sub>
        </m:sSub>
      </m:oMath>
      <w:r>
        <w:t xml:space="preserve"> </w:t>
      </w:r>
      <w:r>
        <w:t xml:space="preserve">(difficulty, modality, effort) that generate choices and RTs. This figure separates our substantive causal assumptions from the statistical model used for estimation and highlights why RT cutoffs are treated as a potential source of selection bias in subsequent analyses.</w:t>
      </w:r>
    </w:p>
    <w:tbl>
      <w:tblPr>
        <w:tblStyle w:val="Table"/>
        <w:tblW w:type="pct" w:w="5000"/>
        <w:tblLayout w:type="fixed"/>
        <w:tblLook w:firstRow="0" w:lastRow="0" w:firstColumn="0" w:lastColumn="0" w:noHBand="0" w:noVBand="0" w:val="0000"/>
      </w:tblPr>
      <w:tblGrid>
        <w:gridCol w:w="7920"/>
      </w:tblGrid>
      <w:tr>
        <w:tc>
          <w:tcPr/>
          <w:bookmarkStart w:id="197" w:name="fig-ddm-dag-plate"/>
          <w:p>
            <w:pPr>
              <w:pStyle w:val="Compact"/>
              <w:jc w:val="center"/>
            </w:pPr>
            <w:r>
              <w:drawing>
                <wp:inline>
                  <wp:extent cx="4000500" cy="1791661"/>
                  <wp:effectExtent b="0" l="0" r="0" t="0"/>
                  <wp:docPr descr="" title="" id="195" name="Picture"/>
                  <a:graphic>
                    <a:graphicData uri="http://schemas.openxmlformats.org/drawingml/2006/picture">
                      <pic:pic>
                        <pic:nvPicPr>
                          <pic:cNvPr descr="../output/figures/fig-ddm-dag-plate-2.png" id="196" name="Picture"/>
                          <pic:cNvPicPr>
                            <a:picLocks noChangeArrowheads="1" noChangeAspect="1"/>
                          </pic:cNvPicPr>
                        </pic:nvPicPr>
                        <pic:blipFill>
                          <a:blip r:embed="rId194"/>
                          <a:stretch>
                            <a:fillRect/>
                          </a:stretch>
                        </pic:blipFill>
                        <pic:spPr bwMode="auto">
                          <a:xfrm>
                            <a:off x="0" y="0"/>
                            <a:ext cx="4000500" cy="17916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Causal assumptions and generative structure for the hierarchical DDM. Panel A shows a conceptual causal DAG in which Age and experimentally manipulated task factors (difficulty, modality, effort) influence latent DDM parameters under a gated-response design; the wait constraint alters the mapping from decision completion to observed RT, and trial selection S represents RT-based exclusions. Panel B shows the corresponding hierarchical generative structure: subject-level parameters</w:t>
            </w:r>
            <w:r>
              <w:t xml:space="preserve"> </w:t>
            </w:r>
            <m:oMath>
              <m:sSub>
                <m:e>
                  <m:r>
                    <m:t>v</m:t>
                  </m:r>
                </m:e>
                <m:sub>
                  <m:r>
                    <m:t>i</m:t>
                  </m:r>
                </m:sub>
              </m:sSub>
            </m:oMath>
            <w:r>
              <w:t xml:space="preserve">,</w:t>
            </w:r>
            <w:r>
              <w:t xml:space="preserve"> </w:t>
            </w:r>
            <m:oMath>
              <m:sSub>
                <m:e>
                  <m:r>
                    <m:t>a</m:t>
                  </m:r>
                </m:e>
                <m:sub>
                  <m:r>
                    <m:t>i</m:t>
                  </m:r>
                </m:sub>
              </m:sSub>
            </m:oMath>
            <w:r>
              <w:t xml:space="preserve">,</w:t>
            </w:r>
            <w:r>
              <w:t xml:space="preserve"> </w:t>
            </w:r>
            <m:oMath>
              <m:sSub>
                <m:e>
                  <m:r>
                    <m:t>T</m:t>
                  </m:r>
                </m:e>
                <m:sub>
                  <m:r>
                    <m:t>e</m:t>
                  </m:r>
                  <m:r>
                    <m:t>r</m:t>
                  </m:r>
                  <m:r>
                    <m:rPr>
                      <m:sty m:val="p"/>
                    </m:rPr>
                    <m:t>,</m:t>
                  </m:r>
                  <m:r>
                    <m:t>i</m:t>
                  </m:r>
                </m:sub>
              </m:sSub>
            </m:oMath>
            <w:r>
              <w:t xml:space="preserve"> </w:t>
            </w:r>
            <w:r>
              <w:t xml:space="preserve">are depicted as influenced by a generic subject-level covariate (e.g., Age_i), while in the present chapter age is not explicitly modeled because all participants are older adults; trial-level predictors</w:t>
            </w:r>
            <w:r>
              <w:t xml:space="preserve"> </w:t>
            </w:r>
            <m:oMath>
              <m:sSub>
                <m:e>
                  <m:r>
                    <m:t>X</m:t>
                  </m:r>
                </m:e>
                <m:sub>
                  <m:r>
                    <m:t>i</m:t>
                  </m:r>
                  <m:r>
                    <m:t>t</m:t>
                  </m:r>
                </m:sub>
              </m:sSub>
            </m:oMath>
            <w:r>
              <w:t xml:space="preserve"> </w:t>
            </w:r>
            <w:r>
              <w:t xml:space="preserve">(difficulty, modality, effort) modulate drift, and choices and RTs are generated from these parameters.</w:t>
            </w:r>
          </w:p>
          <w:bookmarkEnd w:id="197"/>
        </w:tc>
      </w:tr>
    </w:tbl>
    <w:p>
      <w:pPr>
        <w:pStyle w:val="BodyText"/>
      </w:pPr>
      <w:r>
        <w:t xml:space="preserve">The complete</w:t>
      </w:r>
      <w:r>
        <w:t xml:space="preserve"> </w:t>
      </w:r>
      <w:r>
        <w:rPr>
          <w:rStyle w:val="VerbatimChar"/>
        </w:rPr>
        <w:t xml:space="preserve">brms</w:t>
      </w:r>
      <w:r>
        <w:t xml:space="preserve"> </w:t>
      </w:r>
      <w:r>
        <w:t xml:space="preserve">formula syntax for the standard-only calibration model is:</w:t>
      </w:r>
    </w:p>
    <w:p>
      <w:pPr>
        <w:pStyle w:val="SourceCode"/>
      </w:pPr>
      <w:r>
        <w:rPr>
          <w:rStyle w:val="FunctionTok"/>
        </w:rPr>
        <w:t xml:space="preserve">bf</w:t>
      </w:r>
      <w:r>
        <w:rPr>
          <w:rStyle w:val="NormalTok"/>
        </w:rPr>
        <w:t xml:space="preserve">(rt </w:t>
      </w:r>
      <w:r>
        <w:rPr>
          <w:rStyle w:val="SpecialCharTok"/>
        </w:rPr>
        <w:t xml:space="preserve">|</w:t>
      </w:r>
      <w:r>
        <w:rPr>
          <w:rStyle w:val="NormalTok"/>
        </w:rPr>
        <w:t xml:space="preserve"> </w:t>
      </w:r>
      <w:r>
        <w:rPr>
          <w:rStyle w:val="FunctionTok"/>
        </w:rPr>
        <w:t xml:space="preserve">dec</w:t>
      </w:r>
      <w:r>
        <w:rPr>
          <w:rStyle w:val="NormalTok"/>
        </w:rPr>
        <w:t xml:space="preserve">(dec_upper)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bs </w:t>
      </w:r>
      <w:r>
        <w:rPr>
          <w:rStyle w:val="SpecialCharTok"/>
        </w:rPr>
        <w:t xml:space="preserve">~</w:t>
      </w:r>
      <w:r>
        <w:rPr>
          <w:rStyle w:val="NormalTok"/>
        </w:rPr>
        <w:t xml:space="preserve"> task </w:t>
      </w:r>
      <w:r>
        <w:rPr>
          <w:rStyle w:val="SpecialCharTok"/>
        </w:rPr>
        <w:t xml:space="preserve">+</w:t>
      </w:r>
      <w:r>
        <w:rPr>
          <w:rStyle w:val="NormalTok"/>
        </w:rPr>
        <w:t xml:space="preserve"> effort_condition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ndt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bias </w:t>
      </w:r>
      <w:r>
        <w:rPr>
          <w:rStyle w:val="SpecialCharTok"/>
        </w:rPr>
        <w:t xml:space="preserve">~</w:t>
      </w:r>
      <w:r>
        <w:rPr>
          <w:rStyle w:val="NormalTok"/>
        </w:rPr>
        <w:t xml:space="preserve"> task </w:t>
      </w:r>
      <w:r>
        <w:rPr>
          <w:rStyle w:val="SpecialCharTok"/>
        </w:rPr>
        <w:t xml:space="preserve">+</w:t>
      </w:r>
      <w:r>
        <w:rPr>
          <w:rStyle w:val="NormalTok"/>
        </w:rPr>
        <w:t xml:space="preserve"> effort_condition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w:t>
      </w:r>
      <w:r>
        <w:rPr>
          <w:rStyle w:val="AttributeTok"/>
        </w:rPr>
        <w:t xml:space="preserve">family =</w:t>
      </w:r>
      <w:r>
        <w:rPr>
          <w:rStyle w:val="NormalTok"/>
        </w:rPr>
        <w:t xml:space="preserve"> </w:t>
      </w:r>
      <w:r>
        <w:rPr>
          <w:rStyle w:val="FunctionTok"/>
        </w:rPr>
        <w:t xml:space="preserve">wiener</w:t>
      </w:r>
      <w:r>
        <w:rPr>
          <w:rStyle w:val="NormalTok"/>
        </w:rPr>
        <w:t xml:space="preserve">(</w:t>
      </w:r>
      <w:r>
        <w:rPr>
          <w:rStyle w:val="AttributeTok"/>
        </w:rPr>
        <w:t xml:space="preserve">link_bs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link_ndt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link_bias =</w:t>
      </w:r>
      <w:r>
        <w:rPr>
          <w:rStyle w:val="NormalTok"/>
        </w:rPr>
        <w:t xml:space="preserve"> </w:t>
      </w:r>
      <w:r>
        <w:rPr>
          <w:rStyle w:val="StringTok"/>
        </w:rPr>
        <w:t xml:space="preserve">"logit"</w:t>
      </w:r>
      <w:r>
        <w:rPr>
          <w:rStyle w:val="NormalTok"/>
        </w:rPr>
        <w:t xml:space="preserve">))</w:t>
      </w:r>
    </w:p>
    <w:p>
      <w:pPr>
        <w:pStyle w:val="FirstParagraph"/>
      </w:pPr>
      <w:r>
        <w:t xml:space="preserve">The complete</w:t>
      </w:r>
      <w:r>
        <w:t xml:space="preserve"> </w:t>
      </w:r>
      <w:r>
        <w:rPr>
          <w:rStyle w:val="VerbatimChar"/>
        </w:rPr>
        <w:t xml:space="preserve">brms</w:t>
      </w:r>
      <w:r>
        <w:t xml:space="preserve"> </w:t>
      </w:r>
      <w:r>
        <w:t xml:space="preserve">formula syntax for the primary additive model is:</w:t>
      </w:r>
    </w:p>
    <w:p>
      <w:pPr>
        <w:pStyle w:val="SourceCode"/>
      </w:pPr>
      <w:r>
        <w:rPr>
          <w:rStyle w:val="FunctionTok"/>
        </w:rPr>
        <w:t xml:space="preserve">bf</w:t>
      </w:r>
      <w:r>
        <w:rPr>
          <w:rStyle w:val="NormalTok"/>
        </w:rPr>
        <w:t xml:space="preserve">(rt </w:t>
      </w:r>
      <w:r>
        <w:rPr>
          <w:rStyle w:val="SpecialCharTok"/>
        </w:rPr>
        <w:t xml:space="preserve">|</w:t>
      </w:r>
      <w:r>
        <w:rPr>
          <w:rStyle w:val="NormalTok"/>
        </w:rPr>
        <w:t xml:space="preserve"> </w:t>
      </w:r>
      <w:r>
        <w:rPr>
          <w:rStyle w:val="FunctionTok"/>
        </w:rPr>
        <w:t xml:space="preserve">dec</w:t>
      </w:r>
      <w:r>
        <w:rPr>
          <w:rStyle w:val="NormalTok"/>
        </w:rPr>
        <w:t xml:space="preserve">(dec_upper) </w:t>
      </w:r>
      <w:r>
        <w:rPr>
          <w:rStyle w:val="SpecialCharTok"/>
        </w:rPr>
        <w:t xml:space="preserve">~</w:t>
      </w:r>
      <w:r>
        <w:rPr>
          <w:rStyle w:val="NormalTok"/>
        </w:rPr>
        <w:t xml:space="preserve"> difficulty_level </w:t>
      </w:r>
      <w:r>
        <w:rPr>
          <w:rStyle w:val="SpecialCharTok"/>
        </w:rPr>
        <w:t xml:space="preserve">+</w:t>
      </w:r>
      <w:r>
        <w:rPr>
          <w:rStyle w:val="NormalTok"/>
        </w:rPr>
        <w:t xml:space="preserve"> effort_condition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bs </w:t>
      </w:r>
      <w:r>
        <w:rPr>
          <w:rStyle w:val="SpecialCharTok"/>
        </w:rPr>
        <w:t xml:space="preserve">~</w:t>
      </w:r>
      <w:r>
        <w:rPr>
          <w:rStyle w:val="NormalTok"/>
        </w:rPr>
        <w:t xml:space="preserve"> difficulty_level </w:t>
      </w:r>
      <w:r>
        <w:rPr>
          <w:rStyle w:val="SpecialCharTok"/>
        </w:rPr>
        <w:t xml:space="preserve">+</w:t>
      </w:r>
      <w:r>
        <w:rPr>
          <w:rStyle w:val="NormalTok"/>
        </w:rPr>
        <w:t xml:space="preserve"> effort_condition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ndt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bias </w:t>
      </w:r>
      <w:r>
        <w:rPr>
          <w:rStyle w:val="SpecialCharTok"/>
        </w:rPr>
        <w:t xml:space="preserve">~</w:t>
      </w:r>
      <w:r>
        <w:rPr>
          <w:rStyle w:val="NormalTok"/>
        </w:rPr>
        <w:t xml:space="preserve"> task </w:t>
      </w:r>
      <w:r>
        <w:rPr>
          <w:rStyle w:val="SpecialCharTok"/>
        </w:rPr>
        <w:t xml:space="preserve">+</w:t>
      </w:r>
      <w:r>
        <w:rPr>
          <w:rStyle w:val="NormalTok"/>
        </w:rPr>
        <w:t xml:space="preserve"> effort_condition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subject_id),</w:t>
      </w:r>
      <w:r>
        <w:br/>
      </w:r>
      <w:r>
        <w:rPr>
          <w:rStyle w:val="NormalTok"/>
        </w:rPr>
        <w:t xml:space="preserve">   </w:t>
      </w:r>
      <w:r>
        <w:rPr>
          <w:rStyle w:val="AttributeTok"/>
        </w:rPr>
        <w:t xml:space="preserve">family =</w:t>
      </w:r>
      <w:r>
        <w:rPr>
          <w:rStyle w:val="NormalTok"/>
        </w:rPr>
        <w:t xml:space="preserve"> </w:t>
      </w:r>
      <w:r>
        <w:rPr>
          <w:rStyle w:val="FunctionTok"/>
        </w:rPr>
        <w:t xml:space="preserve">wiener</w:t>
      </w:r>
      <w:r>
        <w:rPr>
          <w:rStyle w:val="NormalTok"/>
        </w:rPr>
        <w:t xml:space="preserve">(</w:t>
      </w:r>
      <w:r>
        <w:rPr>
          <w:rStyle w:val="AttributeTok"/>
        </w:rPr>
        <w:t xml:space="preserve">link_bs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link_ndt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link_bias =</w:t>
      </w:r>
      <w:r>
        <w:rPr>
          <w:rStyle w:val="NormalTok"/>
        </w:rPr>
        <w:t xml:space="preserve"> </w:t>
      </w:r>
      <w:r>
        <w:rPr>
          <w:rStyle w:val="StringTok"/>
        </w:rPr>
        <w:t xml:space="preserve">"logit"</w:t>
      </w:r>
      <w:r>
        <w:rPr>
          <w:rStyle w:val="NormalTok"/>
        </w:rPr>
        <w:t xml:space="preserve">))</w:t>
      </w:r>
    </w:p>
    <w:p>
      <w:pPr>
        <w:pStyle w:val="FirstParagraph"/>
      </w:pPr>
      <w:r>
        <w:t xml:space="preserve">where</w:t>
      </w:r>
      <w:r>
        <w:t xml:space="preserve"> </w:t>
      </w:r>
      <w:r>
        <w:rPr>
          <w:rStyle w:val="VerbatimChar"/>
        </w:rPr>
        <w:t xml:space="preserve">dec(dec_upper)</w:t>
      </w:r>
      <w:r>
        <w:t xml:space="preserve"> </w:t>
      </w:r>
      <w:r>
        <w:t xml:space="preserve">encodes the response boundary (1 =</w:t>
      </w:r>
      <w:r>
        <w:t xml:space="preserve"> </w:t>
      </w:r>
      <w:r>
        <w:rPr>
          <w:i/>
          <w:iCs/>
        </w:rPr>
        <w:t xml:space="preserve">different</w:t>
      </w:r>
      <w:r>
        <w:t xml:space="preserve">, 0 =</w:t>
      </w:r>
      <w:r>
        <w:t xml:space="preserve"> </w:t>
      </w:r>
      <w:r>
        <w:rPr>
          <w:i/>
          <w:iCs/>
        </w:rPr>
        <w:t xml:space="preserve">same</w:t>
      </w:r>
      <w:r>
        <w:t xml:space="preserve">),</w:t>
      </w:r>
      <w:r>
        <w:t xml:space="preserve"> </w:t>
      </w:r>
      <w:r>
        <w:rPr>
          <w:rStyle w:val="VerbatimChar"/>
        </w:rPr>
        <w:t xml:space="preserve">bs</w:t>
      </w:r>
      <w:r>
        <w:t xml:space="preserve"> </w:t>
      </w:r>
      <w:r>
        <w:t xml:space="preserve">is the log-link parameter for boundary separation</w:t>
      </w:r>
      <w:r>
        <w:t xml:space="preserve"> </w:t>
      </w:r>
      <m:oMath>
        <m:r>
          <m:t>a</m:t>
        </m:r>
      </m:oMath>
      <w:r>
        <w:t xml:space="preserve">,</w:t>
      </w:r>
      <w:r>
        <w:t xml:space="preserve"> </w:t>
      </w:r>
      <w:r>
        <w:rPr>
          <w:rStyle w:val="VerbatimChar"/>
        </w:rPr>
        <w:t xml:space="preserve">ndt</w:t>
      </w:r>
      <w:r>
        <w:t xml:space="preserve"> </w:t>
      </w:r>
      <w:r>
        <w:t xml:space="preserve">is the log-link parameter for non-decision time</w:t>
      </w:r>
      <w:r>
        <w:t xml:space="preserve"> </w:t>
      </w:r>
      <m:oMath>
        <m:sSub>
          <m:e>
            <m:r>
              <m:t>t</m:t>
            </m:r>
          </m:e>
          <m:sub>
            <m:r>
              <m:t>0</m:t>
            </m:r>
          </m:sub>
        </m:sSub>
      </m:oMath>
      <w:r>
        <w:t xml:space="preserve">, and</w:t>
      </w:r>
      <w:r>
        <w:t xml:space="preserve"> </w:t>
      </w:r>
      <w:r>
        <w:rPr>
          <w:rStyle w:val="VerbatimChar"/>
        </w:rPr>
        <w:t xml:space="preserve">bias</w:t>
      </w:r>
      <w:r>
        <w:t xml:space="preserve"> </w:t>
      </w:r>
      <w:r>
        <w:t xml:space="preserve">is the logit-link parameter for starting-point</w:t>
      </w:r>
      <w:r>
        <w:t xml:space="preserve"> </w:t>
      </w:r>
      <m:oMath>
        <m:r>
          <m:t>z</m:t>
        </m:r>
      </m:oMath>
      <w:r>
        <w:t xml:space="preserve">.</w:t>
      </w:r>
    </w:p>
    <w:bookmarkEnd w:id="198"/>
    <w:bookmarkStart w:id="199" w:name="a6.3-prior-specification"/>
    <w:p>
      <w:pPr>
        <w:pStyle w:val="Heading3"/>
      </w:pPr>
      <w:r>
        <w:t xml:space="preserve">A6.3 Prior Specification</w:t>
      </w:r>
    </w:p>
    <w:p>
      <w:pPr>
        <w:pStyle w:val="FirstParagraph"/>
      </w:pPr>
      <w:r>
        <w:t xml:space="preserve">All priors were weakly informative and specified on the link scale. The table below summarizes the complete prior distribution for each parameter class.</w:t>
      </w:r>
    </w:p>
    <w:p>
      <w:pPr>
        <w:pStyle w:val="BodyText"/>
      </w:pPr>
      <w:r>
        <w:rPr>
          <w:b/>
          <w:bCs/>
        </w:rPr>
        <w:t xml:space="preserve">Priors.</w:t>
      </w:r>
      <w:r>
        <w:t xml:space="preserve"> </w:t>
      </w:r>
      <w:r>
        <w:t xml:space="preserve">All priors were weakly informative and specified on the link scale. For intercepts, drift rate (</w:t>
      </w:r>
      <m:oMath>
        <m:r>
          <m:t>v</m:t>
        </m:r>
      </m:oMath>
      <w:r>
        <w:t xml:space="preserve">) used Normal(0, 1); boundary separation (</w:t>
      </w:r>
      <m:oMath>
        <m:r>
          <m:t>a</m:t>
        </m:r>
      </m:oMath>
      <w:r>
        <w:t xml:space="preserve">) used Normal(log(1.3), 0.25), corresponding to</w:t>
      </w:r>
      <w:r>
        <w:t xml:space="preserve"> </w:t>
      </w:r>
      <m:oMath>
        <m:r>
          <m:t>a</m:t>
        </m:r>
        <m:r>
          <m:rPr>
            <m:sty m:val="p"/>
          </m:rPr>
          <m:t>≈</m:t>
        </m:r>
        <m:r>
          <m:t>1.3</m:t>
        </m:r>
      </m:oMath>
      <w:r>
        <w:t xml:space="preserve"> </w:t>
      </w:r>
      <w:r>
        <w:t xml:space="preserve">on the natural scale; non-decision time (</w:t>
      </w:r>
      <m:oMath>
        <m:sSub>
          <m:e>
            <m:r>
              <m:t>t</m:t>
            </m:r>
          </m:e>
          <m:sub>
            <m:r>
              <m:t>0</m:t>
            </m:r>
          </m:sub>
        </m:sSub>
      </m:oMath>
      <w:r>
        <w:t xml:space="preserve">) used Normal(log(0.35), 0.15), corresponding to</w:t>
      </w:r>
      <w:r>
        <w:t xml:space="preserve"> </w:t>
      </w:r>
      <m:oMath>
        <m:sSub>
          <m:e>
            <m:r>
              <m:t>t</m:t>
            </m:r>
          </m:e>
          <m:sub>
            <m:r>
              <m:t>0</m:t>
            </m:r>
          </m:sub>
        </m:sSub>
        <m:r>
          <m:rPr>
            <m:sty m:val="p"/>
          </m:rPr>
          <m:t>≈</m:t>
        </m:r>
        <m:r>
          <m:t>0.35</m:t>
        </m:r>
      </m:oMath>
      <w:r>
        <w:t xml:space="preserve"> </w:t>
      </w:r>
      <w:r>
        <w:t xml:space="preserve">s on the natural scale (probe-onset-locked timing; the cue-locked variant used Normal(log(0.10), 0.15)); and starting-point bias (</w:t>
      </w:r>
      <m:oMath>
        <m:r>
          <m:t>z</m:t>
        </m:r>
      </m:oMath>
      <w:r>
        <w:t xml:space="preserve">) used Normal(0, 0.5), corresponding to</w:t>
      </w:r>
      <w:r>
        <w:t xml:space="preserve"> </w:t>
      </w:r>
      <m:oMath>
        <m:r>
          <m:t>z</m:t>
        </m:r>
        <m:r>
          <m:rPr>
            <m:sty m:val="p"/>
          </m:rPr>
          <m:t>≈</m:t>
        </m:r>
        <m:r>
          <m:t>0.5</m:t>
        </m:r>
      </m:oMath>
      <w:r>
        <w:t xml:space="preserve"> </w:t>
      </w:r>
      <w:r>
        <w:t xml:space="preserve">(no bias) on the probability scale. For slope parameters, drift rate slopes used Normal(0, 0.6–0.7), boundary separation slopes used Normal(0, 0.25–0.30), and bias slopes used Normal(0, 0.35). Random effects were assigned Student-t(3, 0, 0.30) priors for standard deviations and LKJ(2) priors for correlations. Prior versus posterior distributions for</w:t>
      </w:r>
      <w:r>
        <w:t xml:space="preserve"> </w:t>
      </w:r>
      <m:oMath>
        <m:sSub>
          <m:e>
            <m:r>
              <m:t>t</m:t>
            </m:r>
          </m:e>
          <m:sub>
            <m:r>
              <m:t>0</m:t>
            </m:r>
          </m:sub>
        </m:sSub>
      </m:oMath>
      <w:r>
        <w:t xml:space="preserve"> </w:t>
      </w:r>
      <w:r>
        <w:t xml:space="preserve">are shown in Supplementary</w:t>
      </w:r>
      <w:r>
        <w:t xml:space="preserve"> </w:t>
      </w:r>
      <w:hyperlink w:anchor="fig-ndt-prior-posterior">
        <w:r>
          <w:rPr>
            <w:rStyle w:val="Hyperlink"/>
          </w:rPr>
          <w:t xml:space="preserve">Figure 12</w:t>
        </w:r>
      </w:hyperlink>
      <w:r>
        <w:t xml:space="preserve">, confirming adequate identifiability for the group-level intercept despite the response-signal design.</w:t>
      </w:r>
    </w:p>
    <w:bookmarkEnd w:id="199"/>
    <w:bookmarkStart w:id="200" w:name="a6.4-computational-details"/>
    <w:p>
      <w:pPr>
        <w:pStyle w:val="Heading3"/>
      </w:pPr>
      <w:r>
        <w:t xml:space="preserve">A6.4 Computational Details</w:t>
      </w:r>
    </w:p>
    <w:p>
      <w:pPr>
        <w:pStyle w:val="FirstParagraph"/>
      </w:pPr>
      <w:r>
        <w:rPr>
          <w:b/>
          <w:bCs/>
        </w:rPr>
        <w:t xml:space="preserve">Computational implementation.</w:t>
      </w:r>
      <w:r>
        <w:t xml:space="preserve"> </w:t>
      </w:r>
      <w:r>
        <w:t xml:space="preserve">All analyses were performed in R</w:t>
      </w:r>
      <w:r>
        <w:t xml:space="preserve"> </w:t>
      </w:r>
      <w:r>
        <w:t xml:space="preserve">(R Core Team, 2025)</w:t>
      </w:r>
      <w:r>
        <w:t xml:space="preserve"> </w:t>
      </w:r>
      <w:r>
        <w:t xml:space="preserve">using</w:t>
      </w:r>
      <w:r>
        <w:t xml:space="preserve"> </w:t>
      </w:r>
      <w:r>
        <w:rPr>
          <w:rStyle w:val="VerbatimChar"/>
        </w:rPr>
        <w:t xml:space="preserve">brms</w:t>
      </w:r>
      <w:r>
        <w:t xml:space="preserve"> </w:t>
      </w:r>
      <w:r>
        <w:t xml:space="preserve">(Bürkner, 2017, 2018)</w:t>
      </w:r>
      <w:r>
        <w:t xml:space="preserve"> </w:t>
      </w:r>
      <w:r>
        <w:t xml:space="preserve">with CmdStan</w:t>
      </w:r>
      <w:r>
        <w:t xml:space="preserve"> </w:t>
      </w:r>
      <w:r>
        <w:t xml:space="preserve">(Stan Development Team, 2024)</w:t>
      </w:r>
      <w:r>
        <w:t xml:space="preserve"> </w:t>
      </w:r>
      <w:r>
        <w:t xml:space="preserve">via</w:t>
      </w:r>
      <w:r>
        <w:t xml:space="preserve"> </w:t>
      </w:r>
      <w:r>
        <w:rPr>
          <w:rStyle w:val="VerbatimChar"/>
        </w:rPr>
        <w:t xml:space="preserve">cmdstanr</w:t>
      </w:r>
      <w:r>
        <w:t xml:space="preserve"> </w:t>
      </w:r>
      <w:r>
        <w:t xml:space="preserve">(Gabry &amp; Češnovar, 2021)</w:t>
      </w:r>
      <w:r>
        <w:t xml:space="preserve">. Model fitting was conducted on a cloud compute instance (Google Cloud Platform) to accommodate the computational demands of hierarchical Wiener models. Model comparison used leave-one-out cross-validation via</w:t>
      </w:r>
      <w:r>
        <w:t xml:space="preserve"> </w:t>
      </w:r>
      <w:r>
        <w:rPr>
          <w:rStyle w:val="VerbatimChar"/>
        </w:rPr>
        <w:t xml:space="preserve">loo</w:t>
      </w:r>
      <w:r>
        <w:t xml:space="preserve"> </w:t>
      </w:r>
      <w:r>
        <w:t xml:space="preserve">(Vehtari et al., 2017)</w:t>
      </w:r>
      <w:r>
        <w:t xml:space="preserve">. Data processing used the tidyverse suite</w:t>
      </w:r>
      <w:r>
        <w:t xml:space="preserve"> </w:t>
      </w:r>
      <w:r>
        <w:t xml:space="preserve">(Wickham, 2016; Wickham, François, et al., 2023; Wickham, Vaughan, et al., 2023; Wickham et al., 2024)</w:t>
      </w:r>
      <w:r>
        <w:t xml:space="preserve">, tables were generated with</w:t>
      </w:r>
      <w:r>
        <w:t xml:space="preserve"> </w:t>
      </w:r>
      <w:r>
        <w:rPr>
          <w:rStyle w:val="VerbatimChar"/>
        </w:rPr>
        <w:t xml:space="preserve">gt</w:t>
      </w:r>
      <w:r>
        <w:t xml:space="preserve"> </w:t>
      </w:r>
      <w:r>
        <w:t xml:space="preserve">(Iannone et al., 2024)</w:t>
      </w:r>
      <w:r>
        <w:t xml:space="preserve">, and posterior analysis used</w:t>
      </w:r>
      <w:r>
        <w:t xml:space="preserve"> </w:t>
      </w:r>
      <w:r>
        <w:rPr>
          <w:rStyle w:val="VerbatimChar"/>
        </w:rPr>
        <w:t xml:space="preserve">posterior</w:t>
      </w:r>
      <w:r>
        <w:t xml:space="preserve"> </w:t>
      </w:r>
      <w:r>
        <w:t xml:space="preserve">(Bürkner et al., 2022)</w:t>
      </w:r>
      <w:r>
        <w:t xml:space="preserve">. The manuscript was rendered using Quarto</w:t>
      </w:r>
      <w:r>
        <w:t xml:space="preserve"> </w:t>
      </w:r>
      <w:r>
        <w:t xml:space="preserve">(Allaire et al., 2022)</w:t>
      </w:r>
      <w:r>
        <w:t xml:space="preserve">.</w:t>
      </w:r>
    </w:p>
    <w:p>
      <w:pPr>
        <w:pStyle w:val="BodyText"/>
      </w:pPr>
      <w:r>
        <w:rPr>
          <w:b/>
          <w:bCs/>
        </w:rPr>
        <w:t xml:space="preserve">MCMC sampling.</w:t>
      </w:r>
      <w:r>
        <w:t xml:space="preserve"> </w:t>
      </w:r>
      <w:r>
        <w:t xml:space="preserve">Models were estimated using the No-U-Turn Sampler (NUTS)</w:t>
      </w:r>
      <w:r>
        <w:t xml:space="preserve"> </w:t>
      </w:r>
      <w:r>
        <w:t xml:space="preserve">(Hoffman &amp; Gelman, 2014)</w:t>
      </w:r>
      <w:r>
        <w:t xml:space="preserve"> </w:t>
      </w:r>
      <w:r>
        <w:t xml:space="preserve">with 8 parallel chains, each run for 2,000 iterations (1,000 warmup, 1,000 sampling). Within-chain parallelism was enabled (4 threads per chain) to accelerate sampling on a multi-core compute instance. Sampling controls were set to adapt_delta = 0.95 and max_treedepth = 12 to balance convergence and efficiency. Convergence was assessed using</w:t>
      </w:r>
      <w:r>
        <w:t xml:space="preserve"> </w:t>
      </w:r>
      <m:oMath>
        <m:acc>
          <m:accPr>
            <m:chr m:val="̂"/>
          </m:accPr>
          <m:e>
            <m:r>
              <m:t>R</m:t>
            </m:r>
          </m:e>
        </m:acc>
      </m:oMath>
      <w:r>
        <w:t xml:space="preserve"> </w:t>
      </w:r>
      <m:oMath>
        <m:r>
          <m:rPr>
            <m:sty m:val="p"/>
          </m:rPr>
          <m:t>≤</m:t>
        </m:r>
      </m:oMath>
      <w:r>
        <w:t xml:space="preserve"> </w:t>
      </w:r>
      <w:r>
        <w:t xml:space="preserve">1.01</w:t>
      </w:r>
      <w:r>
        <w:t xml:space="preserve"> </w:t>
      </w:r>
      <w:r>
        <w:t xml:space="preserve">(Gelman &amp; Rubin, 1992; Vehtari et al., 2021)</w:t>
      </w:r>
      <w:r>
        <w:t xml:space="preserve"> </w:t>
      </w:r>
      <w:r>
        <w:t xml:space="preserve">and minimum bulk effective sample size (ESS)</w:t>
      </w:r>
      <w:r>
        <w:t xml:space="preserve"> </w:t>
      </w:r>
      <m:oMath>
        <m:r>
          <m:rPr>
            <m:sty m:val="p"/>
          </m:rPr>
          <m:t>≥</m:t>
        </m:r>
      </m:oMath>
      <w:r>
        <w:t xml:space="preserve"> </w:t>
      </w:r>
      <w:r>
        <w:t xml:space="preserve">400. Trace plots were visually inspected for all parameters, and divergent transitions were monitored. Pre-specified convergence criteria required maximum</w:t>
      </w:r>
      <w:r>
        <w:t xml:space="preserve"> </w:t>
      </w:r>
      <m:oMath>
        <m:acc>
          <m:accPr>
            <m:chr m:val="̂"/>
          </m:accPr>
          <m:e>
            <m:r>
              <m:t>R</m:t>
            </m:r>
          </m:e>
        </m:acc>
      </m:oMath>
      <w:r>
        <w:t xml:space="preserve"> </w:t>
      </w:r>
      <m:oMath>
        <m:r>
          <m:rPr>
            <m:sty m:val="p"/>
          </m:rPr>
          <m:t>≤</m:t>
        </m:r>
      </m:oMath>
      <w:r>
        <w:t xml:space="preserve"> </w:t>
      </w:r>
      <w:r>
        <w:t xml:space="preserve">1.01, minimum bulk and tail ESS</w:t>
      </w:r>
      <w:r>
        <w:t xml:space="preserve"> </w:t>
      </w:r>
      <m:oMath>
        <m:r>
          <m:rPr>
            <m:sty m:val="p"/>
          </m:rPr>
          <m:t>≥</m:t>
        </m:r>
      </m:oMath>
      <w:r>
        <w:t xml:space="preserve"> </w:t>
      </w:r>
      <w:r>
        <w:t xml:space="preserve">400, and zero divergent transitions. All reported models satisfied these criteria (maximum</w:t>
      </w:r>
      <w:r>
        <w:t xml:space="preserve"> </w:t>
      </w:r>
      <m:oMath>
        <m:acc>
          <m:accPr>
            <m:chr m:val="̂"/>
          </m:accPr>
          <m:e>
            <m:r>
              <m:t>R</m:t>
            </m:r>
          </m:e>
        </m:acc>
        <m:r>
          <m:rPr>
            <m:sty m:val="p"/>
          </m:rPr>
          <m:t>&lt;</m:t>
        </m:r>
        <m:r>
          <m:t>1.01</m:t>
        </m:r>
      </m:oMath>
      <w:r>
        <w:t xml:space="preserve">, minimum ESS</w:t>
      </w:r>
      <w:r>
        <w:t xml:space="preserve"> </w:t>
      </w:r>
      <m:oMath>
        <m:r>
          <m:rPr>
            <m:sty m:val="p"/>
          </m:rPr>
          <m:t>&gt;</m:t>
        </m:r>
        <m:r>
          <m:t>1200</m:t>
        </m:r>
      </m:oMath>
      <w:r>
        <w:t xml:space="preserve">, zero divergences).</w:t>
      </w:r>
    </w:p>
    <w:p>
      <w:pPr>
        <w:pStyle w:val="BodyText"/>
      </w:pPr>
      <w:r>
        <w:rPr>
          <w:b/>
          <w:bCs/>
        </w:rPr>
        <w:t xml:space="preserve">Model comparison.</w:t>
      </w:r>
      <w:r>
        <w:t xml:space="preserve"> </w:t>
      </w:r>
      <w:r>
        <w:t xml:space="preserve">We compared a small set of pre-specified behavioral DDM variants differing in (i) parameterization of experimental effects (baseline vs. additive) and (ii) RT timing convention (cue-locked vs. probe-onset-locked). Models were compared using Pareto-smoothed importance sampling leave-one-out cross-validation (PSIS-LOO) via the loo package</w:t>
      </w:r>
      <w:r>
        <w:t xml:space="preserve"> </w:t>
      </w:r>
      <w:r>
        <w:t xml:space="preserve">(Vehtari et al., 2017)</w:t>
      </w:r>
      <w:r>
        <w:t xml:space="preserve">. We report expected log predictive density (ELPD) and its standard error, with model differences assessed using</w:t>
      </w:r>
      <w:r>
        <w:t xml:space="preserve"> </w:t>
      </w:r>
      <w:r>
        <w:rPr>
          <w:rStyle w:val="VerbatimChar"/>
        </w:rPr>
        <w:t xml:space="preserve">loo_compare()</w:t>
      </w:r>
      <w:r>
        <w:t xml:space="preserve">, which computes the standard error of the ELPD difference accounting for correlations between models fitted to the same data</w:t>
      </w:r>
      <w:r>
        <w:t xml:space="preserve"> </w:t>
      </w:r>
      <w:r>
        <w:t xml:space="preserve">(Vehtari et al., 2017)</w:t>
      </w:r>
      <w:r>
        <w:t xml:space="preserve">. Differences in ELPD exceeding 4 are considered meaningful (approximately equivalent to Δ LOOIC &gt; 8). Pareto-k diagnostics were inspected to assess reliability of PSIS-LOO approximations. The LOO comparison table is presented in Results (</w:t>
      </w:r>
      <w:hyperlink w:anchor="tbl-loo-comparison">
        <w:r>
          <w:rPr>
            <w:rStyle w:val="Hyperlink"/>
          </w:rPr>
          <w:t xml:space="preserve">Table 3</w:t>
        </w:r>
      </w:hyperlink>
      <w:r>
        <w:t xml:space="preserve">), with the full comparison plot in Appendix~A1 (</w:t>
      </w:r>
      <w:hyperlink w:anchor="fig-loo-comparison">
        <w:r>
          <w:rPr>
            <w:rStyle w:val="Hyperlink"/>
          </w:rPr>
          <w:t xml:space="preserve">Figure 13</w:t>
        </w:r>
      </w:hyperlink>
      <w:r>
        <w:t xml:space="preserve">).</w:t>
      </w:r>
    </w:p>
    <w:p>
      <w:pPr>
        <w:pStyle w:val="BodyText"/>
      </w:pPr>
      <w:r>
        <w:rPr>
          <w:b/>
          <w:bCs/>
        </w:rPr>
        <w:t xml:space="preserve">PSIS diagnostics.</w:t>
      </w:r>
      <w:r>
        <w:t xml:space="preserve"> </w:t>
      </w:r>
      <w:r>
        <w:t xml:space="preserve">We assessed the reliability of LOO estimates using Pareto-k diagnostics. Following Vehtari et al.</w:t>
      </w:r>
      <w:r>
        <w:t xml:space="preserve"> </w:t>
      </w:r>
      <w:r>
        <w:t xml:space="preserve">(2017)</w:t>
      </w:r>
      <w:r>
        <w:t xml:space="preserve">, we flagged observations with</w:t>
      </w:r>
      <w:r>
        <w:t xml:space="preserve"> </w:t>
      </w:r>
      <m:oMath>
        <m:r>
          <m:t>k</m:t>
        </m:r>
        <m:r>
          <m:rPr>
            <m:sty m:val="p"/>
          </m:rPr>
          <m:t>&gt;</m:t>
        </m:r>
        <m:r>
          <m:t>0.7</m:t>
        </m:r>
      </m:oMath>
      <w:r>
        <w:t xml:space="preserve"> </w:t>
      </w:r>
      <w:r>
        <w:t xml:space="preserve">as potentially problematic for PSIS approximation. When aggregate Pareto-</w:t>
      </w:r>
      <m:oMath>
        <m:sSub>
          <m:e>
            <m:r>
              <m:t>k</m:t>
            </m:r>
          </m:e>
          <m:sub>
            <m:r>
              <m:rPr>
                <m:sty m:val="p"/>
              </m:rPr>
              <m:t>max</m:t>
            </m:r>
          </m:sub>
        </m:sSub>
      </m:oMath>
      <w:r>
        <w:t xml:space="preserve"> </w:t>
      </w:r>
      <w:r>
        <w:t xml:space="preserve">exceeded 0.7, we report model comparisons with appropriate caution and prioritize parameter-level inference over model selection.</w:t>
      </w:r>
    </w:p>
    <w:p>
      <w:pPr>
        <w:pStyle w:val="BodyText"/>
      </w:pPr>
      <w:r>
        <w:rPr>
          <w:b/>
          <w:bCs/>
        </w:rPr>
        <w:t xml:space="preserve">Posterior predictive checks.</w:t>
      </w:r>
      <w:r>
        <w:t xml:space="preserve"> </w:t>
      </w:r>
      <w:r>
        <w:t xml:space="preserve">Model fit was evaluated using posterior predictive checks (PPC), including subject-level and unconditional comparisons between observed and predicted data. PPC diagnostics included quantile-probability (QP) plots, Kolmogorov-Smirnov (KS) statistics, and residual heatmaps. Pre-declared PPC thresholds were: subject-wise mid-body QP RMSE</w:t>
      </w:r>
      <w:r>
        <w:t xml:space="preserve"> </w:t>
      </w:r>
      <m:oMath>
        <m:r>
          <m:rPr>
            <m:sty m:val="p"/>
          </m:rPr>
          <m:t>≤</m:t>
        </m:r>
      </m:oMath>
      <w:r>
        <w:t xml:space="preserve"> </w:t>
      </w:r>
      <w:r>
        <w:t xml:space="preserve">0.09 s, |Δ accuracy|</w:t>
      </w:r>
      <w:r>
        <w:t xml:space="preserve"> </w:t>
      </w:r>
      <m:oMath>
        <m:r>
          <m:rPr>
            <m:sty m:val="p"/>
          </m:rPr>
          <m:t>≤</m:t>
        </m:r>
      </m:oMath>
      <w:r>
        <w:t xml:space="preserve"> </w:t>
      </w:r>
      <w:r>
        <w:t xml:space="preserve">0.05, KS statistic</w:t>
      </w:r>
      <w:r>
        <w:t xml:space="preserve"> </w:t>
      </w:r>
      <m:oMath>
        <m:r>
          <m:rPr>
            <m:sty m:val="p"/>
          </m:rPr>
          <m:t>≤</m:t>
        </m:r>
      </m:oMath>
      <w:r>
        <w:t xml:space="preserve"> </w:t>
      </w:r>
      <w:r>
        <w:t xml:space="preserve">0.15, and</w:t>
      </w:r>
      <w:r>
        <w:t xml:space="preserve"> </w:t>
      </w:r>
      <m:oMath>
        <m:r>
          <m:rPr>
            <m:sty m:val="p"/>
          </m:rPr>
          <m:t>≤</m:t>
        </m:r>
      </m:oMath>
      <w:r>
        <w:t xml:space="preserve"> </w:t>
      </w:r>
      <w:r>
        <w:t xml:space="preserve">15% of cells flagged. We distinguish between</w:t>
      </w:r>
      <w:r>
        <w:t xml:space="preserve"> </w:t>
      </w:r>
      <w:r>
        <w:rPr>
          <w:b/>
          <w:bCs/>
        </w:rPr>
        <w:t xml:space="preserve">convergence diagnostics</w:t>
      </w:r>
      <w:r>
        <w:t xml:space="preserve"> </w:t>
      </w:r>
      <w:r>
        <w:t xml:space="preserve">(</w:t>
      </w:r>
      <m:oMath>
        <m:acc>
          <m:accPr>
            <m:chr m:val="̂"/>
          </m:accPr>
          <m:e>
            <m:r>
              <m:t>R</m:t>
            </m:r>
          </m:e>
        </m:acc>
      </m:oMath>
      <w:r>
        <w:t xml:space="preserve">, ESS, divergences), which must be strictly satisfied for valid inference, and</w:t>
      </w:r>
      <w:r>
        <w:t xml:space="preserve"> </w:t>
      </w:r>
      <w:r>
        <w:rPr>
          <w:b/>
          <w:bCs/>
        </w:rPr>
        <w:t xml:space="preserve">posterior predictive fit quality</w:t>
      </w:r>
      <w:r>
        <w:t xml:space="preserve">, which indicates where the model systematically deviates from data. PPC deviations in regions with sparse data (fast/slow tails) do not invalidate parameter estimates if key contrasts are robust to these deviations. We report both strict threshold-based PPC metrics (Appendix~A3,</w:t>
      </w:r>
      <w:r>
        <w:t xml:space="preserve"> </w:t>
      </w:r>
      <w:hyperlink w:anchor="tbl-convergence-ppc-gate-appendix">
        <w:r>
          <w:rPr>
            <w:rStyle w:val="Hyperlink"/>
          </w:rPr>
          <w:t xml:space="preserve">Table 14</w:t>
        </w:r>
      </w:hyperlink>
      <w:r>
        <w:t xml:space="preserve">) and visual diagnostics (QP plots, RT overlays; Appendix~A3.2,</w:t>
      </w:r>
      <w:r>
        <w:t xml:space="preserve"> </w:t>
      </w:r>
      <w:hyperlink w:anchor="fig-ch3app-ppc-rt-overlay">
        <w:r>
          <w:rPr>
            <w:rStyle w:val="Hyperlink"/>
          </w:rPr>
          <w:t xml:space="preserve">Figure 21</w:t>
        </w:r>
      </w:hyperlink>
      <w:r>
        <w:t xml:space="preserve">) to provide a complete assessment.</w:t>
      </w:r>
    </w:p>
    <w:bookmarkEnd w:id="200"/>
    <w:bookmarkEnd w:id="201"/>
    <w:bookmarkStart w:id="221" w:name="sec-appendix-a7"/>
    <w:p>
      <w:pPr>
        <w:pStyle w:val="Heading2"/>
      </w:pPr>
      <w:r>
        <w:t xml:space="preserve">A7. Manipulation Checks: Behavioral Validation</w:t>
      </w:r>
    </w:p>
    <w:p>
      <w:pPr>
        <w:pStyle w:val="FirstParagraph"/>
      </w:pPr>
      <w:r>
        <w:t xml:space="preserve">To confirm that the difficulty and effort manipulations produced the expected behavioral effects prior to and independent of DDM estimation, we conducted mixed-effects analyses on accuracy and RT. These analyses are reported here as pre-modeling validation; primary DDM results do not depend on them.</w:t>
      </w:r>
    </w:p>
    <w:bookmarkStart w:id="202" w:name="a7.1-statistical-models"/>
    <w:p>
      <w:pPr>
        <w:pStyle w:val="Heading3"/>
      </w:pPr>
      <w:r>
        <w:t xml:space="preserve">A7.1 Statistical Models</w:t>
      </w:r>
    </w:p>
    <w:p>
      <w:pPr>
        <w:pStyle w:val="FirstParagraph"/>
      </w:pPr>
      <w:r>
        <w:t xml:space="preserve">To confirm the experimental manipulations worked as intended, we conducted mixed-effects analyses on accuracy and RT independent of any DDM assumptions. These analyses serve to validate that the experimental design successfully manipulated difficulty and effort conditions before proceeding to DDM parameter estimation.</w:t>
      </w:r>
    </w:p>
    <w:p>
      <w:pPr>
        <w:pStyle w:val="BodyText"/>
      </w:pPr>
      <w:r>
        <w:rPr>
          <w:b/>
          <w:bCs/>
        </w:rPr>
        <w:t xml:space="preserve">Accuracy analysis.</w:t>
      </w:r>
      <w:r>
        <w:t xml:space="preserve"> </w:t>
      </w:r>
      <w:r>
        <w:t xml:space="preserve">Accuracy was modeled using mixed-effects logistic regression (generalized linear mixed model, GLMM) with fixed effects for difficulty, effort, and task (including interactions as needed), and random intercepts for subject. Analyses were restricted to Easy and Hard trials only (excluding Standard trials), as the difficulty manipulation is only meaningful within</w:t>
      </w:r>
      <w:r>
        <w:t xml:space="preserve"> </w:t>
      </w:r>
      <w:r>
        <w:t xml:space="preserve">“different”</w:t>
      </w:r>
      <w:r>
        <w:t xml:space="preserve"> </w:t>
      </w:r>
      <w:r>
        <w:t xml:space="preserve">trials where stimulus offsets vary.</w:t>
      </w:r>
    </w:p>
    <w:p>
      <w:pPr>
        <w:pStyle w:val="BodyText"/>
      </w:pPr>
      <w:r>
        <w:rPr>
          <w:b/>
          <w:bCs/>
        </w:rPr>
        <w:t xml:space="preserve">Reaction time analysis.</w:t>
      </w:r>
      <w:r>
        <w:t xml:space="preserve"> </w:t>
      </w:r>
      <w:r>
        <w:t xml:space="preserve">Reaction time was modeled using mixed-effects linear regression on cue-locked RT (median RT per subject-condition), with the same fixed and random effects structure as the accuracy model. Standard trials were excluded to focus on trials where difficulty manipulation is meaningful.</w:t>
      </w:r>
    </w:p>
    <w:p>
      <w:pPr>
        <w:pStyle w:val="BodyText"/>
      </w:pPr>
      <w:r>
        <w:t xml:space="preserve">Full results are reported in Sections A7.2 and A7.3 below.</w:t>
      </w:r>
    </w:p>
    <w:bookmarkEnd w:id="202"/>
    <w:bookmarkStart w:id="204" w:name="a7.2-accuracy-and-rt-results"/>
    <w:p>
      <w:pPr>
        <w:pStyle w:val="Heading3"/>
      </w:pPr>
      <w:r>
        <w:t xml:space="preserve">A7.2 Accuracy and RT Results</w:t>
      </w:r>
    </w:p>
    <w:p>
      <w:pPr>
        <w:pStyle w:val="FirstParagraph"/>
      </w:pPr>
      <w:r>
        <w:t xml:space="preserve">We confirmed that the difficulty and effort manipulations affected performance as intended using mixed-effects models independent of DDM assumptions, restricted to Easy and Hard trials (N = 14,237).</w:t>
      </w:r>
    </w:p>
    <w:p>
      <w:pPr>
        <w:pStyle w:val="BodyText"/>
      </w:pPr>
      <w:r>
        <w:t xml:space="preserve">Hard trials were significantly less accurate than Easy trials,</w:t>
      </w:r>
      <w:r>
        <w:t xml:space="preserve"> </w:t>
      </w:r>
      <m:oMath>
        <m:r>
          <m:t>β</m:t>
        </m:r>
        <m:r>
          <m:rPr>
            <m:sty m:val="p"/>
          </m:rPr>
          <m:t>=</m:t>
        </m:r>
        <m:r>
          <m:rPr>
            <m:sty m:val="p"/>
          </m:rPr>
          <m:t>−</m:t>
        </m:r>
        <m:r>
          <m:t>2.97</m:t>
        </m:r>
      </m:oMath>
      <w:r>
        <w:t xml:space="preserve">, 95% CI [−3.07, −2.88],</w:t>
      </w:r>
      <w:r>
        <w:t xml:space="preserve"> </w:t>
      </w:r>
      <m:oMath>
        <m:r>
          <m:t>p</m:t>
        </m:r>
        <m:r>
          <m:rPr>
            <m:sty m:val="p"/>
          </m:rPr>
          <m:t>&lt;</m:t>
        </m:r>
        <m:r>
          <m:t>.001</m:t>
        </m:r>
      </m:oMath>
      <w:r>
        <w:t xml:space="preserve">, with mean accuracies of 29.9% (Hard) and 85.9% (Easy) (</w:t>
      </w:r>
      <w:hyperlink w:anchor="tbl-accuracy-glmm">
        <w:r>
          <w:rPr>
            <w:rStyle w:val="Hyperlink"/>
          </w:rPr>
          <w:t xml:space="preserve">Table 21</w:t>
        </w:r>
      </w:hyperlink>
      <w:r>
        <w:t xml:space="preserve">,</w:t>
      </w:r>
      <w:r>
        <w:t xml:space="preserve"> </w:t>
      </w:r>
      <w:hyperlink w:anchor="fig-accuracy-distribution">
        <w:r>
          <w:rPr>
            <w:rStyle w:val="Hyperlink"/>
          </w:rPr>
          <w:t xml:space="preserve">Figure 29</w:t>
        </w:r>
      </w:hyperlink>
      <w:r>
        <w:t xml:space="preserve">). Accuracy was lowest in Hard+High effort cells (26.4%), indicating that difficulty and effort effects combine additively. High-effort trials showed lower accuracy than Low-effort trials (</w:t>
      </w:r>
      <m:oMath>
        <m:r>
          <m:t>β</m:t>
        </m:r>
        <m:r>
          <m:rPr>
            <m:sty m:val="p"/>
          </m:rPr>
          <m:t>=</m:t>
        </m:r>
        <m:r>
          <m:rPr>
            <m:sty m:val="p"/>
          </m:rPr>
          <m:t>−</m:t>
        </m:r>
        <m:r>
          <m:t>0.16</m:t>
        </m:r>
      </m:oMath>
      <w:r>
        <w:t xml:space="preserve">, 95% CI [−0.24, −0.07],</w:t>
      </w:r>
      <w:r>
        <w:t xml:space="preserve"> </w:t>
      </w:r>
      <m:oMath>
        <m:r>
          <m:t>p</m:t>
        </m:r>
        <m:r>
          <m:rPr>
            <m:sty m:val="p"/>
          </m:rPr>
          <m:t>&lt;</m:t>
        </m:r>
        <m:r>
          <m:t>.001</m:t>
        </m:r>
      </m:oMath>
      <w:r>
        <w:t xml:space="preserve">), with mean accuracy of 56.5% (High) versus 59% (Low).</w:t>
      </w:r>
    </w:p>
    <w:tbl>
      <w:tblPr>
        <w:tblStyle w:val="Table"/>
        <w:tblW w:type="pct" w:w="5000"/>
        <w:tblLayout w:type="fixed"/>
        <w:tblLook w:firstRow="0" w:lastRow="0" w:firstColumn="0" w:lastColumn="0" w:noHBand="0" w:noVBand="0" w:val="0000"/>
      </w:tblPr>
      <w:tblGrid>
        <w:gridCol w:w="7920"/>
      </w:tblGrid>
      <w:tr>
        <w:tc>
          <w:tcPr/>
          <w:bookmarkStart w:id="203" w:name="tbl-accuracy-glmm"/>
          <w:p>
            <w:pPr>
              <w:jc w:val="center"/>
            </w:pPr>
            <w:pPr>
              <w:jc w:val="start"/>
              <w:spacing w:before="200"/>
              <w:pStyle w:val="ImageCaption"/>
            </w:pPr>
            <w:r>
              <w:t xml:space="preserve">Table 21: Accuracy GLMM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0.11065432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18.759250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 2.29]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0.04812558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-61.915433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[-3.07, -2.89]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Effort: High_40_MVC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0.04330828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-3.619704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[-0.24, -0.07]</w:t>
                  </w:r>
                </w:p>
              </w:tc>
            </w:tr>
          </w:tbl>
          <w:bookmarkEnd w:id="203"/>
        </w:tc>
      </w:tr>
    </w:tbl>
    <w:bookmarkEnd w:id="204"/>
    <w:bookmarkStart w:id="215" w:name="a7.3-reaction-time-results"/>
    <w:p>
      <w:pPr>
        <w:pStyle w:val="Heading3"/>
      </w:pPr>
      <w:r>
        <w:t xml:space="preserve">A7.3 Reaction Time Results</w:t>
      </w:r>
    </w:p>
    <w:p>
      <w:pPr>
        <w:pStyle w:val="FirstParagraph"/>
      </w:pPr>
      <w:r>
        <w:t xml:space="preserve">Hard trials were slower than Easy trials,</w:t>
      </w:r>
      <w:r>
        <w:t xml:space="preserve"> </w:t>
      </w:r>
      <m:oMath>
        <m:r>
          <m:t>β</m:t>
        </m:r>
        <m:r>
          <m:rPr>
            <m:sty m:val="p"/>
          </m:rPr>
          <m:t>=</m:t>
        </m:r>
        <m:r>
          <m:t>0.23</m:t>
        </m:r>
        <m:r>
          <m:t> </m:t>
        </m:r>
        <m:r>
          <m:rPr>
            <m:nor/>
            <m:sty m:val="p"/>
          </m:rPr>
          <m:t>s</m:t>
        </m:r>
      </m:oMath>
      <w:r>
        <w:t xml:space="preserve">, 95% CI [0.20, 0.27],</w:t>
      </w:r>
      <w:r>
        <w:t xml:space="preserve"> </w:t>
      </w:r>
      <m:oMath>
        <m:r>
          <m:t>p</m:t>
        </m:r>
        <m:r>
          <m:rPr>
            <m:sty m:val="p"/>
          </m:rPr>
          <m:t>&lt;</m:t>
        </m:r>
        <m:r>
          <m:t>.001</m:t>
        </m:r>
      </m:oMath>
      <w:r>
        <w:t xml:space="preserve">, with median RTs of 1.01 s and 0.75 s, respectively (</w:t>
      </w:r>
      <w:hyperlink w:anchor="tbl-rt-lmm">
        <w:r>
          <w:rPr>
            <w:rStyle w:val="Hyperlink"/>
          </w:rPr>
          <w:t xml:space="preserve">Table 22</w:t>
        </w:r>
      </w:hyperlink>
      <w:r>
        <w:t xml:space="preserve">,</w:t>
      </w:r>
      <w:r>
        <w:t xml:space="preserve"> </w:t>
      </w:r>
      <w:hyperlink w:anchor="fig-rt-distribution">
        <w:r>
          <w:rPr>
            <w:rStyle w:val="Hyperlink"/>
          </w:rPr>
          <w:t xml:space="preserve">Figure 30</w:t>
        </w:r>
      </w:hyperlink>
      <w:r>
        <w:t xml:space="preserve">). The effort manipulation did not reliably affect RT (</w:t>
      </w:r>
      <m:oMath>
        <m:r>
          <m:t>β</m:t>
        </m:r>
        <m:r>
          <m:rPr>
            <m:sty m:val="p"/>
          </m:rPr>
          <m:t>=</m:t>
        </m:r>
        <m:r>
          <m:t>0.02</m:t>
        </m:r>
        <m:r>
          <m:t> </m:t>
        </m:r>
        <m:r>
          <m:rPr>
            <m:nor/>
            <m:sty m:val="p"/>
          </m:rPr>
          <m:t>s</m:t>
        </m:r>
      </m:oMath>
      <w:r>
        <w:t xml:space="preserve">, 95% CI [−0.02, 0.05]).</w:t>
      </w:r>
    </w:p>
    <w:tbl>
      <w:tblPr>
        <w:tblStyle w:val="Table"/>
        <w:tblW w:type="pct" w:w="5000"/>
        <w:tblLayout w:type="fixed"/>
        <w:tblLook w:firstRow="0" w:lastRow="0" w:firstColumn="0" w:lastColumn="0" w:noHBand="0" w:noVBand="0" w:val="0000"/>
      </w:tblPr>
      <w:tblGrid>
        <w:gridCol w:w="7920"/>
      </w:tblGrid>
      <w:tr>
        <w:tc>
          <w:tcPr/>
          <w:bookmarkStart w:id="205" w:name="tbl-rt-lmm"/>
          <w:p>
            <w:pPr>
              <w:jc w:val="center"/>
            </w:pPr>
            <w:pPr>
              <w:jc w:val="start"/>
              <w:spacing w:before="200"/>
              <w:pStyle w:val="ImageCaption"/>
            </w:pPr>
            <w:r>
              <w:t xml:space="preserve">Table 22: RT LMM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 (seconds)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0.03260457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23.836465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[0.713, 0.841]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0.01542622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15.774029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[0.213, 0.274]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Effort: High_40_MVC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0.01542622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0.721441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[-0.019, 0.041]</w:t>
                  </w:r>
                </w:p>
              </w:tc>
            </w:tr>
          </w:tbl>
          <w:bookmarkEnd w:id="205"/>
        </w:tc>
      </w:tr>
    </w:tbl>
    <w:p>
      <w:pPr>
        <w:pStyle w:val="BodyText"/>
      </w:pPr>
      <w:r>
        <w:t xml:space="preserve">Difficulty reliably affected both accuracy (</w:t>
      </w:r>
      <m:oMath>
        <m:r>
          <m:t>β</m:t>
        </m:r>
        <m:r>
          <m:rPr>
            <m:sty m:val="p"/>
          </m:rPr>
          <m:t>=</m:t>
        </m:r>
        <m:r>
          <m:rPr>
            <m:sty m:val="p"/>
          </m:rPr>
          <m:t>−</m:t>
        </m:r>
        <m:r>
          <m:t>2.97</m:t>
        </m:r>
      </m:oMath>
      <w:r>
        <w:t xml:space="preserve">, 95% CI [−3.07, −2.88],</w:t>
      </w:r>
      <w:r>
        <w:t xml:space="preserve"> </w:t>
      </w:r>
      <m:oMath>
        <m:r>
          <m:t>p</m:t>
        </m:r>
        <m:r>
          <m:rPr>
            <m:sty m:val="p"/>
          </m:rPr>
          <m:t>&lt;</m:t>
        </m:r>
        <m:r>
          <m:t>.001</m:t>
        </m:r>
      </m:oMath>
      <w:r>
        <w:t xml:space="preserve">) and RT (</w:t>
      </w:r>
      <m:oMath>
        <m:r>
          <m:t>β</m:t>
        </m:r>
        <m:r>
          <m:rPr>
            <m:sty m:val="p"/>
          </m:rPr>
          <m:t>=</m:t>
        </m:r>
        <m:r>
          <m:t>0.23</m:t>
        </m:r>
      </m:oMath>
      <w:r>
        <w:t xml:space="preserve"> </w:t>
      </w:r>
      <w:r>
        <w:t xml:space="preserve">s, 95% CI [0.20, 0.27],</w:t>
      </w:r>
      <w:r>
        <w:t xml:space="preserve"> </w:t>
      </w:r>
      <m:oMath>
        <m:r>
          <m:t>p</m:t>
        </m:r>
        <m:r>
          <m:rPr>
            <m:sty m:val="p"/>
          </m:rPr>
          <m:t>&lt;</m:t>
        </m:r>
        <m:r>
          <m:t>.001</m:t>
        </m:r>
      </m:oMath>
      <w:r>
        <w:t xml:space="preserve">). Effort reduced accuracy (</w:t>
      </w:r>
      <m:oMath>
        <m:r>
          <m:t>β</m:t>
        </m:r>
        <m:r>
          <m:rPr>
            <m:sty m:val="p"/>
          </m:rPr>
          <m:t>=</m:t>
        </m:r>
        <m:r>
          <m:rPr>
            <m:sty m:val="p"/>
          </m:rPr>
          <m:t>−</m:t>
        </m:r>
        <m:r>
          <m:t>0.16</m:t>
        </m:r>
      </m:oMath>
      <w:r>
        <w:t xml:space="preserve">, 95% CI [−0.24, −0.07],</w:t>
      </w:r>
      <w:r>
        <w:t xml:space="preserve"> </w:t>
      </w:r>
      <m:oMath>
        <m:r>
          <m:t>p</m:t>
        </m:r>
        <m:r>
          <m:rPr>
            <m:sty m:val="p"/>
          </m:rPr>
          <m:t>&lt;</m:t>
        </m:r>
        <m:r>
          <m:t>.001</m:t>
        </m:r>
      </m:oMath>
      <w:r>
        <w:t xml:space="preserve">) without reliably affecting RT (</w:t>
      </w:r>
      <m:oMath>
        <m:r>
          <m:t>β</m:t>
        </m:r>
        <m:r>
          <m:rPr>
            <m:sty m:val="p"/>
          </m:rPr>
          <m:t>=</m:t>
        </m:r>
        <m:r>
          <m:t>0.02</m:t>
        </m:r>
      </m:oMath>
      <w:r>
        <w:t xml:space="preserve"> </w:t>
      </w:r>
      <w:r>
        <w:t xml:space="preserve">s, 95% CI [−0.02, 0.05]). These patterns were consistent with successful experimental manipulation of perceptual difficulty and concurrent physical effort.</w:t>
      </w:r>
    </w:p>
    <w:p>
      <w:pPr>
        <w:pStyle w:val="BodyText"/>
      </w:pPr>
      <w:r>
        <w:t xml:space="preserve">Across Easy and Hard trials, older adults showed moderate overall accuracy (</w:t>
      </w:r>
      <w:r>
        <w:rPr>
          <w:i/>
          <w:iCs/>
        </w:rPr>
        <w:t xml:space="preserve">M</w:t>
      </w:r>
      <w:r>
        <w:t xml:space="preserve"> </w:t>
      </w:r>
      <w:r>
        <w:t xml:space="preserve">= 57.3%,</w:t>
      </w:r>
      <w:r>
        <w:t xml:space="preserve"> </w:t>
      </w:r>
      <w:r>
        <w:rPr>
          <w:i/>
          <w:iCs/>
        </w:rPr>
        <w:t xml:space="preserve">SD</w:t>
      </w:r>
      <w:r>
        <w:t xml:space="preserve"> </w:t>
      </w:r>
      <w:r>
        <w:t xml:space="preserve">= 12.9%;</w:t>
      </w:r>
      <w:r>
        <w:t xml:space="preserve"> </w:t>
      </w:r>
      <w:hyperlink w:anchor="tbl-overall-accuracy">
        <w:r>
          <w:rPr>
            <w:rStyle w:val="Hyperlink"/>
          </w:rPr>
          <w:t xml:space="preserve">Table 23</w:t>
        </w:r>
      </w:hyperlink>
      <w:r>
        <w:t xml:space="preserve">). When including Standard trials (which had near-perfect performance), overall accuracy was 63.5%. Accuracy varied substantially across individuals (range = 22.2–92.5%), consistent with the strong effects of difficulty and effort documented above.</w:t>
      </w:r>
    </w:p>
    <w:tbl>
      <w:tblPr>
        <w:tblStyle w:val="Table"/>
        <w:tblW w:type="pct" w:w="5000"/>
        <w:tblLayout w:type="fixed"/>
        <w:tblLook w:firstRow="0" w:lastRow="0" w:firstColumn="0" w:lastColumn="0" w:noHBand="0" w:noVBand="0" w:val="0000"/>
      </w:tblPr>
      <w:tblGrid>
        <w:gridCol w:w="7920"/>
      </w:tblGrid>
      <w:tr>
        <w:tc>
          <w:tcPr/>
          <w:bookmarkStart w:id="206" w:name="tbl-overall-accuracy"/>
          <w:p>
            <w:pPr>
              <w:jc w:val="center"/>
            </w:pPr>
            <w:pPr>
              <w:jc w:val="start"/>
              <w:spacing w:before="200"/>
              <w:pStyle w:val="ImageCaption"/>
            </w:pPr>
            <w:r>
              <w:t xml:space="preserve">Table 23: Overall Accuracy Summary for Easy and Hard Trials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N Subjects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Total Trials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14,237</w:t>
                  </w:r>
                </w:p>
              </w:tc>
            </w:tr>
          </w:tbl>
          <w:bookmarkEnd w:id="206"/>
        </w:tc>
      </w:tr>
    </w:tbl>
    <w:tbl>
      <w:tblPr>
        <w:tblStyle w:val="Table"/>
        <w:tblW w:type="pct" w:w="5000"/>
        <w:tblLayout w:type="fixed"/>
        <w:tblLook w:firstRow="0" w:lastRow="0" w:firstColumn="0" w:lastColumn="0" w:noHBand="0" w:noVBand="0" w:val="0000"/>
      </w:tblPr>
      <w:tblGrid>
        <w:gridCol w:w="7920"/>
      </w:tblGrid>
      <w:tr>
        <w:tc>
          <w:tcPr/>
          <w:bookmarkStart w:id="210" w:name="fig-accuracy-distribution"/>
          <w:p>
            <w:pPr>
              <w:pStyle w:val="Compact"/>
              <w:jc w:val="center"/>
            </w:pPr>
            <w:r>
              <w:drawing>
                <wp:inline>
                  <wp:extent cx="4000500" cy="2000250"/>
                  <wp:effectExtent b="0" l="0" r="0" t="0"/>
                  <wp:docPr descr="" title="" id="208" name="Picture"/>
                  <a:graphic>
                    <a:graphicData uri="http://schemas.openxmlformats.org/drawingml/2006/picture">
                      <pic:pic>
                        <pic:nvPicPr>
                          <pic:cNvPr descr="chap3_ddm_results_files/figure-docx/fig-accuracy-distribution-1.png" id="209" name="Picture"/>
                          <pic:cNvPicPr>
                            <a:picLocks noChangeArrowheads="1" noChangeAspect="1"/>
                          </pic:cNvPicPr>
                        </pic:nvPicPr>
                        <pic:blipFill>
                          <a:blip r:embed="rId207"/>
                          <a:stretch>
                            <a:fillRect/>
                          </a:stretch>
                        </pic:blipFill>
                        <pic:spPr bwMode="auto">
                          <a:xfrm>
                            <a:off x="0" y="0"/>
                            <a:ext cx="4000500" cy="2000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Accuracy distribution by condition. Individual subject trajectories (light gray) and group means by effort with approximate 95% CI (mean ± 1.96 SE). Faceted by task and difficulty. Each facet shows cell means (Low vs High effort) within that task × difficulty combination. Narrative text reports marginal mean accuracy across task × effort (Hard vs Easy only); this figure shows cell means for visual inspection.</w:t>
            </w:r>
            <w:r>
              <w:t xml:space="preserve"> </w:t>
            </w:r>
            <w:r>
              <w:rPr>
                <w:i/>
                <w:iCs/>
              </w:rPr>
              <w:t xml:space="preserve">Error bars represent within-subject standard errors calculated using the Cousineau-Morey correction to account for repeated-measures variance.</w:t>
            </w:r>
          </w:p>
          <w:bookmarkEnd w:id="210"/>
        </w:tc>
      </w:tr>
    </w:tbl>
    <w:tbl>
      <w:tblPr>
        <w:tblStyle w:val="Table"/>
        <w:tblW w:type="pct" w:w="5000"/>
        <w:tblLayout w:type="fixed"/>
        <w:tblLook w:firstRow="0" w:lastRow="0" w:firstColumn="0" w:lastColumn="0" w:noHBand="0" w:noVBand="0" w:val="0000"/>
      </w:tblPr>
      <w:tblGrid>
        <w:gridCol w:w="7920"/>
      </w:tblGrid>
      <w:tr>
        <w:tc>
          <w:tcPr/>
          <w:bookmarkStart w:id="214" w:name="fig-rt-distribution"/>
          <w:p>
            <w:pPr>
              <w:pStyle w:val="Compact"/>
              <w:jc w:val="center"/>
            </w:pPr>
            <w:r>
              <w:drawing>
                <wp:inline>
                  <wp:extent cx="4000500" cy="4000500"/>
                  <wp:effectExtent b="0" l="0" r="0" t="0"/>
                  <wp:docPr descr="" title="" id="212" name="Picture"/>
                  <a:graphic>
                    <a:graphicData uri="http://schemas.openxmlformats.org/drawingml/2006/picture">
                      <pic:pic>
                        <pic:nvPicPr>
                          <pic:cNvPr descr="chap3_ddm_results_files/figure-docx/fig-rt-distribution-1.png" id="213" name="Picture"/>
                          <pic:cNvPicPr>
                            <a:picLocks noChangeArrowheads="1" noChangeAspect="1"/>
                          </pic:cNvPicPr>
                        </pic:nvPicPr>
                        <pic:blipFill>
                          <a:blip r:embed="rId211"/>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RT Distribution by Condition. Density plots showing empirical RT distributions for each Task × Difficulty × Effort combination. The x-axis spans 0–3 s, matching the 3-s response window. RTs are strongly right-skewed, with most responses in the 0.5–1.5 s range. Easy conditions show faster RTs (peaks shifted left); Hard and Standard conditions show slower RTs (peaks shifted right). Effort effects are subtle compared to difficulty effects.</w:t>
            </w:r>
          </w:p>
          <w:bookmarkEnd w:id="214"/>
        </w:tc>
      </w:tr>
    </w:tbl>
    <w:bookmarkEnd w:id="215"/>
    <w:bookmarkStart w:id="220" w:name="a7.4-rt-timing-validation"/>
    <w:p>
      <w:pPr>
        <w:pStyle w:val="Heading3"/>
      </w:pPr>
      <w:r>
        <w:t xml:space="preserve">A7.4 RT Timing Validation</w:t>
      </w:r>
    </w:p>
    <w:p>
      <w:pPr>
        <w:pStyle w:val="FirstParagraph"/>
      </w:pPr>
      <w:r>
        <w:t xml:space="preserve">As described in Methods, we adopted probe-onset-locked RT as our primary timing convention.</w:t>
      </w:r>
      <w:r>
        <w:t xml:space="preserve"> </w:t>
      </w:r>
      <w:hyperlink w:anchor="fig-rt-distributions">
        <w:r>
          <w:rPr>
            <w:rStyle w:val="Hyperlink"/>
          </w:rPr>
          <w:t xml:space="preserve">Figure 31</w:t>
        </w:r>
      </w:hyperlink>
      <w:r>
        <w:t xml:space="preserve"> </w:t>
      </w:r>
      <w:r>
        <w:t xml:space="preserve">confirms the expected 0.35-s rightward shift between cue-locked and probe-onset-locked RT distributions, validating correct implementation of the timing transformation. The probe-onset distribution incorporates the fixed post-probe delay (0.35 s) plus the response-window RT component, whereas cue-locked RT reflects only the response-window component. Subsequent DDM analyses use probe-onset-locked RT, with cue-locked RT serving as a sensitivity check (Appendix~A4.2).</w:t>
      </w:r>
    </w:p>
    <w:tbl>
      <w:tblPr>
        <w:tblStyle w:val="Table"/>
        <w:tblW w:type="pct" w:w="5000"/>
        <w:tblLayout w:type="fixed"/>
        <w:tblLook w:firstRow="0" w:lastRow="0" w:firstColumn="0" w:lastColumn="0" w:noHBand="0" w:noVBand="0" w:val="0000"/>
      </w:tblPr>
      <w:tblGrid>
        <w:gridCol w:w="7920"/>
      </w:tblGrid>
      <w:tr>
        <w:tc>
          <w:tcPr/>
          <w:bookmarkStart w:id="219" w:name="fig-rt-distributions"/>
          <w:p>
            <w:pPr>
              <w:pStyle w:val="Compact"/>
              <w:jc w:val="center"/>
            </w:pPr>
            <w:r>
              <w:drawing>
                <wp:inline>
                  <wp:extent cx="3733800" cy="2987040"/>
                  <wp:effectExtent b="0" l="0" r="0" t="0"/>
                  <wp:docPr descr="" title="" id="217" name="Picture"/>
                  <a:graphic>
                    <a:graphicData uri="http://schemas.openxmlformats.org/drawingml/2006/picture">
                      <pic:pic>
                        <pic:nvPicPr>
                          <pic:cNvPr descr="chap3_ddm_results_files/figure-docx/fig-rt-distributions-1.png" id="218" name="Picture"/>
                          <pic:cNvPicPr>
                            <a:picLocks noChangeArrowheads="1" noChangeAspect="1"/>
                          </pic:cNvPicPr>
                        </pic:nvPicPr>
                        <pic:blipFill>
                          <a:blip r:embed="rId216"/>
                          <a:stretch>
                            <a:fillRect/>
                          </a:stretch>
                        </pic:blipFill>
                        <pic:spPr bwMode="auto">
                          <a:xfrm>
                            <a:off x="0" y="0"/>
                            <a:ext cx="3733800" cy="29870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RT Timing Convention Validation. Histograms showing the distribution of response times for cue-locked (measured from response-window onset) and probe-onset-locked (measured from probe stimulus onset) RT definitions across all trials. The probe-onset distribution is shifted rightward by approximately 0.35 s, corresponding to the fixed post-probe delay before the response window opens. This shift validates correct implementation of the timing transformation described in Methods. All primary analyses use probe-onset-locked RT.</w:t>
            </w:r>
          </w:p>
          <w:bookmarkEnd w:id="219"/>
        </w:tc>
      </w:tr>
    </w:tbl>
    <w:p>
      <w:r>
        <w:br w:type="page"/>
      </w:r>
    </w:p>
    <w:bookmarkEnd w:id="220"/>
    <w:bookmarkEnd w:id="221"/>
    <w:bookmarkEnd w:id="222"/>
    <w:bookmarkStart w:id="328" w:name="references"/>
    <w:p>
      <w:pPr>
        <w:pStyle w:val="Heading1"/>
      </w:pPr>
      <w:r>
        <w:t xml:space="preserve">References</w:t>
      </w:r>
    </w:p>
    <w:bookmarkStart w:id="327" w:name="refs"/>
    <w:bookmarkStart w:id="224" w:name="ref-quarto"/>
    <w:p>
      <w:pPr>
        <w:pStyle w:val="Bibliography"/>
      </w:pPr>
      <w:r>
        <w:t xml:space="preserve">Allaire, J., Xie, Y., Dervieux, C., McPherson, J., Luraschi, J., Ushey, K., Atkins, A., Wickham, H., Cheng, J., Chang, W., &amp; Iannone, R. (2022).</w:t>
      </w:r>
      <w:r>
        <w:t xml:space="preserve"> </w:t>
      </w:r>
      <w:r>
        <w:rPr>
          <w:i/>
          <w:iCs/>
        </w:rPr>
        <w:t xml:space="preserve">Quarto</w:t>
      </w:r>
      <w:r>
        <w:t xml:space="preserve">.</w:t>
      </w:r>
      <w:r>
        <w:t xml:space="preserve"> </w:t>
      </w:r>
      <w:hyperlink r:id="rId223">
        <w:r>
          <w:rPr>
            <w:rStyle w:val="Hyperlink"/>
          </w:rPr>
          <w:t xml:space="preserve">https://quarto.org</w:t>
        </w:r>
      </w:hyperlink>
    </w:p>
    <w:bookmarkEnd w:id="224"/>
    <w:bookmarkStart w:id="226" w:name="ref-astonjones2005"/>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r:id="rId225">
        <w:r>
          <w:rPr>
            <w:rStyle w:val="Hyperlink"/>
          </w:rPr>
          <w:t xml:space="preserve">https://doi.org/10.1146/annurev.neuro.28.061604.135709</w:t>
        </w:r>
      </w:hyperlink>
    </w:p>
    <w:bookmarkEnd w:id="226"/>
    <w:bookmarkStart w:id="228" w:name="ref-azer2023"/>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r:id="rId227">
        <w:r>
          <w:rPr>
            <w:rStyle w:val="Hyperlink"/>
          </w:rPr>
          <w:t xml:space="preserve">https://doi.org/10.1037/pag0000730</w:t>
        </w:r>
      </w:hyperlink>
    </w:p>
    <w:bookmarkEnd w:id="228"/>
    <w:bookmarkStart w:id="230" w:name="ref-beatty1982"/>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r:id="rId229">
        <w:r>
          <w:rPr>
            <w:rStyle w:val="Hyperlink"/>
          </w:rPr>
          <w:t xml:space="preserve">https://doi.org/10.1037/0033-2909.91.2.276</w:t>
        </w:r>
      </w:hyperlink>
    </w:p>
    <w:bookmarkEnd w:id="230"/>
    <w:bookmarkStart w:id="231" w:name="ref-birren1965age"/>
    <w:p>
      <w:pPr>
        <w:pStyle w:val="Bibliography"/>
      </w:pPr>
      <w:r>
        <w:t xml:space="preserve">Birren, J. E. (1965). Age changes in speed of behavior: Its central nature and physiological correlates.</w:t>
      </w:r>
      <w:r>
        <w:t xml:space="preserve"> </w:t>
      </w:r>
      <w:r>
        <w:rPr>
          <w:i/>
          <w:iCs/>
        </w:rPr>
        <w:t xml:space="preserve">Behavior, Aging, and the Nervous System</w:t>
      </w:r>
      <w:r>
        <w:t xml:space="preserve">, 191–216.</w:t>
      </w:r>
    </w:p>
    <w:bookmarkEnd w:id="231"/>
    <w:bookmarkStart w:id="232" w:name="ref-brainard1997psychophysics"/>
    <w:p>
      <w:pPr>
        <w:pStyle w:val="Bibliography"/>
      </w:pPr>
      <w:r>
        <w:t xml:space="preserve">Brainard, D. H., &amp; Vision, S. (1997). The psychophysics toolbox.</w:t>
      </w:r>
      <w:r>
        <w:t xml:space="preserve"> </w:t>
      </w:r>
      <w:r>
        <w:rPr>
          <w:i/>
          <w:iCs/>
        </w:rPr>
        <w:t xml:space="preserve">Spatial Vision</w:t>
      </w:r>
      <w:r>
        <w:t xml:space="preserve">,</w:t>
      </w:r>
      <w:r>
        <w:t xml:space="preserve"> </w:t>
      </w:r>
      <w:r>
        <w:rPr>
          <w:i/>
          <w:iCs/>
        </w:rPr>
        <w:t xml:space="preserve">10</w:t>
      </w:r>
      <w:r>
        <w:t xml:space="preserve">(4), 433–436.</w:t>
      </w:r>
    </w:p>
    <w:bookmarkEnd w:id="232"/>
    <w:bookmarkStart w:id="233" w:name="ref-brinley1965cognitive"/>
    <w:p>
      <w:pPr>
        <w:pStyle w:val="Bibliography"/>
      </w:pPr>
      <w:r>
        <w:t xml:space="preserve">Brinley, J. F. (1965). Cognitive sets, speed and accuracy of performance in the elderly.</w:t>
      </w:r>
      <w:r>
        <w:t xml:space="preserve"> </w:t>
      </w:r>
      <w:r>
        <w:rPr>
          <w:i/>
          <w:iCs/>
        </w:rPr>
        <w:t xml:space="preserve">Behavior, Aging and the Nervous System</w:t>
      </w:r>
      <w:r>
        <w:t xml:space="preserve">,</w:t>
      </w:r>
      <w:r>
        <w:t xml:space="preserve"> </w:t>
      </w:r>
      <w:r>
        <w:rPr>
          <w:i/>
          <w:iCs/>
        </w:rPr>
        <w:t xml:space="preserve">114</w:t>
      </w:r>
      <w:r>
        <w:t xml:space="preserve">, 49.</w:t>
      </w:r>
    </w:p>
    <w:bookmarkEnd w:id="233"/>
    <w:bookmarkStart w:id="235" w:name="ref-burkner2017brms"/>
    <w:p>
      <w:pPr>
        <w:pStyle w:val="Bibliography"/>
      </w:pPr>
      <w:r>
        <w:t xml:space="preserve">Bürkner, P.-C. (2017). Brms: An</w:t>
      </w:r>
      <w:r>
        <w:t xml:space="preserve"> </w:t>
      </w:r>
      <w:r>
        <w:t xml:space="preserve">R</w:t>
      </w:r>
      <w:r>
        <w:t xml:space="preserve"> </w:t>
      </w:r>
      <w:r>
        <w:t xml:space="preserve">package for bayesian 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234">
        <w:r>
          <w:rPr>
            <w:rStyle w:val="Hyperlink"/>
          </w:rPr>
          <w:t xml:space="preserve">https://doi.org/10.18637/jss.v080.i01</w:t>
        </w:r>
      </w:hyperlink>
    </w:p>
    <w:bookmarkEnd w:id="235"/>
    <w:bookmarkStart w:id="237" w:name="ref-burkner2018brms"/>
    <w:p>
      <w:pPr>
        <w:pStyle w:val="Bibliography"/>
      </w:pPr>
      <w:r>
        <w:t xml:space="preserve">Bürkner, P.-C. (2018). Advanced bayesian 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236">
        <w:r>
          <w:rPr>
            <w:rStyle w:val="Hyperlink"/>
          </w:rPr>
          <w:t xml:space="preserve">https://doi.org/10.32614/RJ-2018-017</w:t>
        </w:r>
      </w:hyperlink>
    </w:p>
    <w:bookmarkEnd w:id="237"/>
    <w:bookmarkStart w:id="239" w:name="ref-burkner2022posterior"/>
    <w:p>
      <w:pPr>
        <w:pStyle w:val="Bibliography"/>
      </w:pPr>
      <w:r>
        <w:t xml:space="preserve">Bürkner, P.-C., Gabry, J., Kay, M., &amp; Vehtari, A. (2022). Posterior: Tools for working with posterior distributions.</w:t>
      </w:r>
      <w:r>
        <w:t xml:space="preserve"> </w:t>
      </w:r>
      <w:r>
        <w:rPr>
          <w:i/>
          <w:iCs/>
        </w:rPr>
        <w:t xml:space="preserve">Journal of Statistical Software</w:t>
      </w:r>
      <w:r>
        <w:t xml:space="preserve">,</w:t>
      </w:r>
      <w:r>
        <w:t xml:space="preserve"> </w:t>
      </w:r>
      <w:r>
        <w:rPr>
          <w:i/>
          <w:iCs/>
        </w:rPr>
        <w:t xml:space="preserve">102</w:t>
      </w:r>
      <w:r>
        <w:t xml:space="preserve">(10), 1–37.</w:t>
      </w:r>
      <w:r>
        <w:t xml:space="preserve"> </w:t>
      </w:r>
      <w:hyperlink r:id="rId238">
        <w:r>
          <w:rPr>
            <w:rStyle w:val="Hyperlink"/>
          </w:rPr>
          <w:t xml:space="preserve">https://doi.org/10.18637/jss.v102.i10</w:t>
        </w:r>
      </w:hyperlink>
    </w:p>
    <w:bookmarkEnd w:id="239"/>
    <w:bookmarkStart w:id="241" w:name="ref-cavanagh2014"/>
    <w:p>
      <w:pPr>
        <w:pStyle w:val="Bibliography"/>
      </w:pPr>
      <w:r>
        <w:t xml:space="preserve">Cavanagh, J. F., Wiecki, T. V., Kochar, A., &amp; Frank, M. J. (2014). Eye tracking and pupillometry are indicators of dissociable latent decision processes.</w:t>
      </w:r>
      <w:r>
        <w:t xml:space="preserve"> </w:t>
      </w:r>
      <w:r>
        <w:rPr>
          <w:i/>
          <w:iCs/>
        </w:rPr>
        <w:t xml:space="preserve">Journal of Experimental Psychology: General</w:t>
      </w:r>
      <w:r>
        <w:t xml:space="preserve">,</w:t>
      </w:r>
      <w:r>
        <w:t xml:space="preserve"> </w:t>
      </w:r>
      <w:r>
        <w:rPr>
          <w:i/>
          <w:iCs/>
        </w:rPr>
        <w:t xml:space="preserve">143</w:t>
      </w:r>
      <w:r>
        <w:t xml:space="preserve">(4), 1476–1488.</w:t>
      </w:r>
      <w:r>
        <w:t xml:space="preserve"> </w:t>
      </w:r>
      <w:hyperlink r:id="rId240">
        <w:r>
          <w:rPr>
            <w:rStyle w:val="Hyperlink"/>
          </w:rPr>
          <w:t xml:space="preserve">https://doi.org/10.1037/a0035813</w:t>
        </w:r>
      </w:hyperlink>
    </w:p>
    <w:bookmarkEnd w:id="241"/>
    <w:bookmarkStart w:id="243" w:name="ref-cerella1985"/>
    <w:p>
      <w:pPr>
        <w:pStyle w:val="Bibliography"/>
      </w:pPr>
      <w:r>
        <w:t xml:space="preserve">Cerella, J. (1985). Information processing rates in the elderly.</w:t>
      </w:r>
      <w:r>
        <w:t xml:space="preserve"> </w:t>
      </w:r>
      <w:r>
        <w:rPr>
          <w:i/>
          <w:iCs/>
        </w:rPr>
        <w:t xml:space="preserve">Psychological Bulletin</w:t>
      </w:r>
      <w:r>
        <w:t xml:space="preserve">,</w:t>
      </w:r>
      <w:r>
        <w:t xml:space="preserve"> </w:t>
      </w:r>
      <w:r>
        <w:rPr>
          <w:i/>
          <w:iCs/>
        </w:rPr>
        <w:t xml:space="preserve">98</w:t>
      </w:r>
      <w:r>
        <w:t xml:space="preserve">(1), 67–83.</w:t>
      </w:r>
      <w:r>
        <w:t xml:space="preserve"> </w:t>
      </w:r>
      <w:hyperlink r:id="rId242">
        <w:r>
          <w:rPr>
            <w:rStyle w:val="Hyperlink"/>
          </w:rPr>
          <w:t xml:space="preserve">https://doi.org/10.1037/0033-2909.98.1.67</w:t>
        </w:r>
      </w:hyperlink>
    </w:p>
    <w:bookmarkEnd w:id="243"/>
    <w:bookmarkStart w:id="245" w:name="ref-farell1985"/>
    <w:p>
      <w:pPr>
        <w:pStyle w:val="Bibliography"/>
      </w:pPr>
      <w:r>
        <w:t xml:space="preserve">Farell, B. (1985). "Same"–"different" judgments: A review of current controversies in perceptual comparisons.</w:t>
      </w:r>
      <w:r>
        <w:t xml:space="preserve"> </w:t>
      </w:r>
      <w:r>
        <w:rPr>
          <w:i/>
          <w:iCs/>
        </w:rPr>
        <w:t xml:space="preserve">Psychological Bulletin</w:t>
      </w:r>
      <w:r>
        <w:t xml:space="preserve">,</w:t>
      </w:r>
      <w:r>
        <w:t xml:space="preserve"> </w:t>
      </w:r>
      <w:r>
        <w:rPr>
          <w:i/>
          <w:iCs/>
        </w:rPr>
        <w:t xml:space="preserve">98</w:t>
      </w:r>
      <w:r>
        <w:t xml:space="preserve">(3), 419–456.</w:t>
      </w:r>
      <w:r>
        <w:t xml:space="preserve"> </w:t>
      </w:r>
      <w:hyperlink r:id="rId244">
        <w:r>
          <w:rPr>
            <w:rStyle w:val="Hyperlink"/>
          </w:rPr>
          <w:t xml:space="preserve">https://doi.org/10.1037/0033-2909.98.3.419</w:t>
        </w:r>
      </w:hyperlink>
    </w:p>
    <w:bookmarkEnd w:id="245"/>
    <w:bookmarkStart w:id="246" w:name="ref-faul2007g"/>
    <w:p>
      <w:pPr>
        <w:pStyle w:val="Bibliography"/>
      </w:pPr>
      <w:r>
        <w:t xml:space="preserve">Faul, F., Erdfelder, E., Lang, A.-G., &amp; Buchner, A. (2007). G* 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p>
    <w:bookmarkEnd w:id="246"/>
    <w:bookmarkStart w:id="247" w:name="ref-feller1968introduction"/>
    <w:p>
      <w:pPr>
        <w:pStyle w:val="Bibliography"/>
      </w:pPr>
      <w:r>
        <w:t xml:space="preserve">Feller, W. (1968).</w:t>
      </w:r>
      <w:r>
        <w:t xml:space="preserve"> </w:t>
      </w:r>
      <w:r>
        <w:rPr>
          <w:i/>
          <w:iCs/>
        </w:rPr>
        <w:t xml:space="preserve">An introduction to probability theory and its applications</w:t>
      </w:r>
      <w:r>
        <w:t xml:space="preserve"> </w:t>
      </w:r>
      <w:r>
        <w:t xml:space="preserve">(3rd ed., Vol. 1). John Wiley &amp; Sons.</w:t>
      </w:r>
    </w:p>
    <w:bookmarkEnd w:id="247"/>
    <w:bookmarkStart w:id="249" w:name="ref-cmdstanr"/>
    <w:p>
      <w:pPr>
        <w:pStyle w:val="Bibliography"/>
      </w:pPr>
      <w:r>
        <w:t xml:space="preserve">Gabry, J., &amp; Češnovar, R. (2021).</w:t>
      </w:r>
      <w:r>
        <w:t xml:space="preserve"> </w:t>
      </w:r>
      <w:r>
        <w:rPr>
          <w:i/>
          <w:iCs/>
        </w:rPr>
        <w:t xml:space="preserve">Cmdstanr: R interface to ’CmdStan’</w:t>
      </w:r>
      <w:r>
        <w:t xml:space="preserve">.</w:t>
      </w:r>
      <w:r>
        <w:t xml:space="preserve"> </w:t>
      </w:r>
      <w:hyperlink r:id="rId248">
        <w:r>
          <w:rPr>
            <w:rStyle w:val="Hyperlink"/>
          </w:rPr>
          <w:t xml:space="preserve">https://doi.org/10.32614/RJ-2021-123</w:t>
        </w:r>
      </w:hyperlink>
    </w:p>
    <w:bookmarkEnd w:id="249"/>
    <w:bookmarkStart w:id="251" w:name="ref-degee2020pupil"/>
    <w:p>
      <w:pPr>
        <w:pStyle w:val="Bibliography"/>
      </w:pPr>
      <w:r>
        <w:t xml:space="preserve">Gee, J. W. de, Tsetsos, K., Schwabe, L., Urai, A. E., &amp; Donner, T. H. (2020). Pupil-linked phasic arousal predicts a reduction of choice bias across species and decision domains.</w:t>
      </w:r>
      <w:r>
        <w:t xml:space="preserve"> </w:t>
      </w:r>
      <w:r>
        <w:rPr>
          <w:i/>
          <w:iCs/>
        </w:rPr>
        <w:t xml:space="preserve">eLife</w:t>
      </w:r>
      <w:r>
        <w:t xml:space="preserve">,</w:t>
      </w:r>
      <w:r>
        <w:t xml:space="preserve"> </w:t>
      </w:r>
      <w:r>
        <w:rPr>
          <w:i/>
          <w:iCs/>
        </w:rPr>
        <w:t xml:space="preserve">9</w:t>
      </w:r>
      <w:r>
        <w:t xml:space="preserve">, e54014.</w:t>
      </w:r>
      <w:r>
        <w:t xml:space="preserve"> </w:t>
      </w:r>
      <w:hyperlink r:id="rId250">
        <w:r>
          <w:rPr>
            <w:rStyle w:val="Hyperlink"/>
          </w:rPr>
          <w:t xml:space="preserve">https://doi.org/10.7554/eLife.54014</w:t>
        </w:r>
      </w:hyperlink>
    </w:p>
    <w:bookmarkEnd w:id="251"/>
    <w:bookmarkStart w:id="253" w:name="ref-gelman1992inference"/>
    <w:p>
      <w:pPr>
        <w:pStyle w:val="Bibliography"/>
      </w:pPr>
      <w:r>
        <w:t xml:space="preserve">Gelman, A., &amp; Rubin, D. B. (1992). Inference from iterative simulation using multiple sequences.</w:t>
      </w:r>
      <w:r>
        <w:t xml:space="preserve"> </w:t>
      </w:r>
      <w:r>
        <w:rPr>
          <w:i/>
          <w:iCs/>
        </w:rPr>
        <w:t xml:space="preserve">Statistical Science</w:t>
      </w:r>
      <w:r>
        <w:t xml:space="preserve">,</w:t>
      </w:r>
      <w:r>
        <w:t xml:space="preserve"> </w:t>
      </w:r>
      <w:r>
        <w:rPr>
          <w:i/>
          <w:iCs/>
        </w:rPr>
        <w:t xml:space="preserve">7</w:t>
      </w:r>
      <w:r>
        <w:t xml:space="preserve">(4), 457–472.</w:t>
      </w:r>
      <w:r>
        <w:t xml:space="preserve"> </w:t>
      </w:r>
      <w:hyperlink r:id="rId252">
        <w:r>
          <w:rPr>
            <w:rStyle w:val="Hyperlink"/>
          </w:rPr>
          <w:t xml:space="preserve">https://doi.org/10.1214/ss/1177011136</w:t>
        </w:r>
      </w:hyperlink>
    </w:p>
    <w:bookmarkEnd w:id="253"/>
    <w:bookmarkStart w:id="255" w:name="ref-gilzenrat2010"/>
    <w:p>
      <w:pPr>
        <w:pStyle w:val="Bibliography"/>
      </w:pPr>
      <w:r>
        <w:t xml:space="preserve">Gilzenrat, M. S., Nieuwenhuis, S., Jepma, M., &amp; Cohen, J. D. (2010). Pupil diameter tracks changes in control state predicted by the adaptive gain theory of locus coeruleus function.</w:t>
      </w:r>
      <w:r>
        <w:t xml:space="preserve"> </w:t>
      </w:r>
      <w:r>
        <w:rPr>
          <w:i/>
          <w:iCs/>
        </w:rPr>
        <w:t xml:space="preserve">Cognitive, Affective, &amp; Behavioral Neuroscience</w:t>
      </w:r>
      <w:r>
        <w:t xml:space="preserve">,</w:t>
      </w:r>
      <w:r>
        <w:t xml:space="preserve"> </w:t>
      </w:r>
      <w:r>
        <w:rPr>
          <w:i/>
          <w:iCs/>
        </w:rPr>
        <w:t xml:space="preserve">10</w:t>
      </w:r>
      <w:r>
        <w:t xml:space="preserve">(2), 252–269.</w:t>
      </w:r>
      <w:r>
        <w:t xml:space="preserve"> </w:t>
      </w:r>
      <w:hyperlink r:id="rId254">
        <w:r>
          <w:rPr>
            <w:rStyle w:val="Hyperlink"/>
          </w:rPr>
          <w:t xml:space="preserve">https://doi.org/10.3758/CABN.10.2.252</w:t>
        </w:r>
      </w:hyperlink>
    </w:p>
    <w:bookmarkEnd w:id="255"/>
    <w:bookmarkStart w:id="257" w:name="ref-hess2012"/>
    <w:p>
      <w:pPr>
        <w:pStyle w:val="Bibliography"/>
      </w:pPr>
      <w:r>
        <w:t xml:space="preserve">Hess, T. M., &amp; Ennis, G. (2012). Age differences in the effort and costs associated with cognitive activity.</w:t>
      </w:r>
      <w:r>
        <w:t xml:space="preserve"> </w:t>
      </w:r>
      <w:r>
        <w:rPr>
          <w:i/>
          <w:iCs/>
        </w:rPr>
        <w:t xml:space="preserve">Journal of Gerontology: Psychological Sciences</w:t>
      </w:r>
      <w:r>
        <w:t xml:space="preserve">,</w:t>
      </w:r>
      <w:r>
        <w:t xml:space="preserve"> </w:t>
      </w:r>
      <w:r>
        <w:rPr>
          <w:i/>
          <w:iCs/>
        </w:rPr>
        <w:t xml:space="preserve">67B</w:t>
      </w:r>
      <w:r>
        <w:t xml:space="preserve">(4), 447–455.</w:t>
      </w:r>
      <w:r>
        <w:t xml:space="preserve"> </w:t>
      </w:r>
      <w:hyperlink r:id="rId256">
        <w:r>
          <w:rPr>
            <w:rStyle w:val="Hyperlink"/>
          </w:rPr>
          <w:t xml:space="preserve">https://doi.org/10.1093/geronb/gbr129</w:t>
        </w:r>
      </w:hyperlink>
    </w:p>
    <w:bookmarkEnd w:id="257"/>
    <w:bookmarkStart w:id="258" w:name="ref-hoffman2014nuts"/>
    <w:p>
      <w:pPr>
        <w:pStyle w:val="Bibliography"/>
      </w:pPr>
      <w:r>
        <w:t xml:space="preserve">Hoffman, M. D., &amp; Gelman, A. (2014). The no-u-turn sampler: Adaptively setting path lengths in hamiltonian monte carlo.</w:t>
      </w:r>
      <w:r>
        <w:t xml:space="preserve"> </w:t>
      </w:r>
      <w:r>
        <w:rPr>
          <w:i/>
          <w:iCs/>
        </w:rPr>
        <w:t xml:space="preserve">Journal of Machine Learning Research</w:t>
      </w:r>
      <w:r>
        <w:t xml:space="preserve">,</w:t>
      </w:r>
      <w:r>
        <w:t xml:space="preserve"> </w:t>
      </w:r>
      <w:r>
        <w:rPr>
          <w:i/>
          <w:iCs/>
        </w:rPr>
        <w:t xml:space="preserve">15</w:t>
      </w:r>
      <w:r>
        <w:t xml:space="preserve">, 1593–1623.</w:t>
      </w:r>
    </w:p>
    <w:bookmarkEnd w:id="258"/>
    <w:bookmarkStart w:id="259" w:name="ref-huang2024"/>
    <w:p>
      <w:pPr>
        <w:pStyle w:val="Bibliography"/>
      </w:pPr>
      <w:r>
        <w:t xml:space="preserve">Huang, R., &amp; Clewett, D. (2024). The locus coeruleus: Where cognitive and emotional processing meet the eye. In</w:t>
      </w:r>
      <w:r>
        <w:t xml:space="preserve"> </w:t>
      </w:r>
      <w:r>
        <w:rPr>
          <w:i/>
          <w:iCs/>
        </w:rPr>
        <w:t xml:space="preserve">Modern pupillometry</w:t>
      </w:r>
      <w:r>
        <w:t xml:space="preserve"> </w:t>
      </w:r>
      <w:r>
        <w:t xml:space="preserve">(pp. 3–75). Springer International Publishing.</w:t>
      </w:r>
    </w:p>
    <w:bookmarkEnd w:id="259"/>
    <w:bookmarkStart w:id="261" w:name="ref-gt"/>
    <w:p>
      <w:pPr>
        <w:pStyle w:val="Bibliography"/>
      </w:pPr>
      <w:r>
        <w:t xml:space="preserve">Iannone, R., Cheng, J., Schloerke, B., Hughes, E., Lauer, A., &amp; Seo, J. (2024).</w:t>
      </w:r>
      <w:r>
        <w:t xml:space="preserve"> </w:t>
      </w:r>
      <w:r>
        <w:rPr>
          <w:i/>
          <w:iCs/>
        </w:rPr>
        <w:t xml:space="preserve">Gt: Easily create presentation-ready display tables</w:t>
      </w:r>
      <w:r>
        <w:t xml:space="preserve">.</w:t>
      </w:r>
      <w:r>
        <w:t xml:space="preserve"> </w:t>
      </w:r>
      <w:hyperlink r:id="rId260">
        <w:r>
          <w:rPr>
            <w:rStyle w:val="Hyperlink"/>
          </w:rPr>
          <w:t xml:space="preserve">https://CRAN.R-project.org/package=gt</w:t>
        </w:r>
      </w:hyperlink>
    </w:p>
    <w:bookmarkEnd w:id="261"/>
    <w:bookmarkStart w:id="263" w:name="ref-joshi2016"/>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r:id="rId262">
        <w:r>
          <w:rPr>
            <w:rStyle w:val="Hyperlink"/>
          </w:rPr>
          <w:t xml:space="preserve">https://doi.org/10.1016/j.neuron.2015.11.028</w:t>
        </w:r>
      </w:hyperlink>
    </w:p>
    <w:bookmarkEnd w:id="263"/>
    <w:bookmarkStart w:id="265" w:name="ref-kahneman1966"/>
    <w:p>
      <w:pPr>
        <w:pStyle w:val="Bibliography"/>
      </w:pPr>
      <w:r>
        <w:t xml:space="preserve">Kahneman, D., &amp; Beatty, J. (1966). Pupil diameter and load on memory.</w:t>
      </w:r>
      <w:r>
        <w:t xml:space="preserve"> </w:t>
      </w:r>
      <w:r>
        <w:rPr>
          <w:i/>
          <w:iCs/>
        </w:rPr>
        <w:t xml:space="preserve">Science</w:t>
      </w:r>
      <w:r>
        <w:t xml:space="preserve">,</w:t>
      </w:r>
      <w:r>
        <w:t xml:space="preserve"> </w:t>
      </w:r>
      <w:r>
        <w:rPr>
          <w:i/>
          <w:iCs/>
        </w:rPr>
        <w:t xml:space="preserve">154</w:t>
      </w:r>
      <w:r>
        <w:t xml:space="preserve">(3756), 1583–1585.</w:t>
      </w:r>
      <w:r>
        <w:t xml:space="preserve"> </w:t>
      </w:r>
      <w:hyperlink r:id="rId264">
        <w:r>
          <w:rPr>
            <w:rStyle w:val="Hyperlink"/>
          </w:rPr>
          <w:t xml:space="preserve">https://doi.org/10.1126/science.154.3756.1583</w:t>
        </w:r>
      </w:hyperlink>
    </w:p>
    <w:bookmarkEnd w:id="265"/>
    <w:bookmarkStart w:id="266" w:name="ref-kleiner2007s"/>
    <w:p>
      <w:pPr>
        <w:pStyle w:val="Bibliography"/>
      </w:pPr>
      <w:r>
        <w:t xml:space="preserve">Kleiner, M., Brainard, D., &amp; Pelli, D. (2007).</w:t>
      </w:r>
      <w:r>
        <w:t xml:space="preserve"> </w:t>
      </w:r>
      <w:r>
        <w:rPr>
          <w:i/>
          <w:iCs/>
        </w:rPr>
        <w:t xml:space="preserve">What’s new in psychtoolbox-3?</w:t>
      </w:r>
    </w:p>
    <w:bookmarkEnd w:id="266"/>
    <w:bookmarkStart w:id="268" w:name="ref-koen2016"/>
    <w:p>
      <w:pPr>
        <w:pStyle w:val="Bibliography"/>
      </w:pPr>
      <w:r>
        <w:t xml:space="preserve">Koen, J. D., &amp; Rugg, M. D. (2016). The role of the hippocampus in difficulty-based trade-offs between memory quantity and quality.</w:t>
      </w:r>
      <w:r>
        <w:t xml:space="preserve"> </w:t>
      </w:r>
      <w:r>
        <w:rPr>
          <w:i/>
          <w:iCs/>
        </w:rPr>
        <w:t xml:space="preserve">Journal of Neuroscience</w:t>
      </w:r>
      <w:r>
        <w:t xml:space="preserve">,</w:t>
      </w:r>
      <w:r>
        <w:t xml:space="preserve"> </w:t>
      </w:r>
      <w:r>
        <w:rPr>
          <w:i/>
          <w:iCs/>
        </w:rPr>
        <w:t xml:space="preserve">36</w:t>
      </w:r>
      <w:r>
        <w:t xml:space="preserve">(28), 7483–7498.</w:t>
      </w:r>
      <w:r>
        <w:t xml:space="preserve"> </w:t>
      </w:r>
      <w:hyperlink r:id="rId267">
        <w:r>
          <w:rPr>
            <w:rStyle w:val="Hyperlink"/>
          </w:rPr>
          <w:t xml:space="preserve">https://doi.org/10.1523/JNEUROSCI.0389-16.2016</w:t>
        </w:r>
      </w:hyperlink>
    </w:p>
    <w:bookmarkEnd w:id="268"/>
    <w:bookmarkStart w:id="269" w:name="ref-loewenfeld1999"/>
    <w:p>
      <w:pPr>
        <w:pStyle w:val="Bibliography"/>
      </w:pPr>
      <w:r>
        <w:t xml:space="preserve">Loewenfeld, I. E., &amp; Lowenstein, O. (1999). The pupil: Anatomy, physiology, and clinical applications.</w:t>
      </w:r>
      <w:r>
        <w:t xml:space="preserve"> </w:t>
      </w:r>
      <w:r>
        <w:rPr>
          <w:i/>
          <w:iCs/>
        </w:rPr>
        <w:t xml:space="preserve">(No Title)</w:t>
      </w:r>
      <w:r>
        <w:t xml:space="preserve">.</w:t>
      </w:r>
    </w:p>
    <w:bookmarkEnd w:id="269"/>
    <w:bookmarkStart w:id="271" w:name="ref-madden1991"/>
    <w:p>
      <w:pPr>
        <w:pStyle w:val="Bibliography"/>
      </w:pPr>
      <w:r>
        <w:t xml:space="preserve">Madden, D. J., &amp; Allen, P. A. (1991). Adult age differences in the rate of information extraction during visual search.</w:t>
      </w:r>
      <w:r>
        <w:t xml:space="preserve"> </w:t>
      </w:r>
      <w:r>
        <w:rPr>
          <w:i/>
          <w:iCs/>
        </w:rPr>
        <w:t xml:space="preserve">Journal of Gerontology</w:t>
      </w:r>
      <w:r>
        <w:t xml:space="preserve">,</w:t>
      </w:r>
      <w:r>
        <w:t xml:space="preserve"> </w:t>
      </w:r>
      <w:r>
        <w:rPr>
          <w:i/>
          <w:iCs/>
        </w:rPr>
        <w:t xml:space="preserve">46</w:t>
      </w:r>
      <w:r>
        <w:t xml:space="preserve">(3), P124–P126.</w:t>
      </w:r>
      <w:r>
        <w:t xml:space="preserve"> </w:t>
      </w:r>
      <w:hyperlink r:id="rId270">
        <w:r>
          <w:rPr>
            <w:rStyle w:val="Hyperlink"/>
          </w:rPr>
          <w:t xml:space="preserve">https://doi.org/10.1093/geronj/46.3.P124</w:t>
        </w:r>
      </w:hyperlink>
    </w:p>
    <w:bookmarkEnd w:id="271"/>
    <w:bookmarkStart w:id="273" w:name="ref-mather2016"/>
    <w:p>
      <w:pPr>
        <w:pStyle w:val="Bibliography"/>
      </w:pPr>
      <w:r>
        <w:t xml:space="preserve">Mather, M., &amp; Harley, C. W. (2016). The locus coeruleus: Essential for maintaining cognitive function and the aging brain.</w:t>
      </w:r>
      <w:r>
        <w:t xml:space="preserve"> </w:t>
      </w:r>
      <w:r>
        <w:rPr>
          <w:i/>
          <w:iCs/>
        </w:rPr>
        <w:t xml:space="preserve">Trends in Cognitive Sciences</w:t>
      </w:r>
      <w:r>
        <w:t xml:space="preserve">,</w:t>
      </w:r>
      <w:r>
        <w:t xml:space="preserve"> </w:t>
      </w:r>
      <w:r>
        <w:rPr>
          <w:i/>
          <w:iCs/>
        </w:rPr>
        <w:t xml:space="preserve">20</w:t>
      </w:r>
      <w:r>
        <w:t xml:space="preserve">(3), 214–226.</w:t>
      </w:r>
      <w:r>
        <w:t xml:space="preserve"> </w:t>
      </w:r>
      <w:hyperlink r:id="rId272">
        <w:r>
          <w:rPr>
            <w:rStyle w:val="Hyperlink"/>
          </w:rPr>
          <w:t xml:space="preserve">https://doi.org/10.1016/j.tics.2016.01.001</w:t>
        </w:r>
      </w:hyperlink>
    </w:p>
    <w:bookmarkEnd w:id="273"/>
    <w:bookmarkStart w:id="275" w:name="ref-mikneviciute2022"/>
    <w:p>
      <w:pPr>
        <w:pStyle w:val="Bibliography"/>
      </w:pPr>
      <w:r>
        <w:t xml:space="preserve">Mikneviciute, G., Ballhausen, N., Rimmele, U., &amp; Kliegel, M. (2022). Does older adults’ cognition particularly suffer from stress? A systematic review of acute stress effects on cognition in older age.</w:t>
      </w:r>
      <w:r>
        <w:t xml:space="preserve"> </w:t>
      </w:r>
      <w:r>
        <w:rPr>
          <w:i/>
          <w:iCs/>
        </w:rPr>
        <w:t xml:space="preserve">Neuroscience &amp; Biobehavioral Reviews</w:t>
      </w:r>
      <w:r>
        <w:t xml:space="preserve">,</w:t>
      </w:r>
      <w:r>
        <w:t xml:space="preserve"> </w:t>
      </w:r>
      <w:r>
        <w:rPr>
          <w:i/>
          <w:iCs/>
        </w:rPr>
        <w:t xml:space="preserve">132</w:t>
      </w:r>
      <w:r>
        <w:t xml:space="preserve">, 583–602.</w:t>
      </w:r>
      <w:r>
        <w:t xml:space="preserve"> </w:t>
      </w:r>
      <w:hyperlink r:id="rId274">
        <w:r>
          <w:rPr>
            <w:rStyle w:val="Hyperlink"/>
          </w:rPr>
          <w:t xml:space="preserve">https://doi.org/10.1016/j.neubiorev.2021.12.010</w:t>
        </w:r>
      </w:hyperlink>
    </w:p>
    <w:bookmarkEnd w:id="275"/>
    <w:bookmarkStart w:id="277" w:name="ref-nosofsky1997palmeri"/>
    <w:p>
      <w:pPr>
        <w:pStyle w:val="Bibliography"/>
      </w:pPr>
      <w:r>
        <w:t xml:space="preserve">Nosofsky, R. M., &amp; Palmeri, T. J. (1997). An exemplar-based random walk model of speeded classification.</w:t>
      </w:r>
      <w:r>
        <w:t xml:space="preserve"> </w:t>
      </w:r>
      <w:r>
        <w:rPr>
          <w:i/>
          <w:iCs/>
        </w:rPr>
        <w:t xml:space="preserve">Psychological Review</w:t>
      </w:r>
      <w:r>
        <w:t xml:space="preserve">,</w:t>
      </w:r>
      <w:r>
        <w:t xml:space="preserve"> </w:t>
      </w:r>
      <w:r>
        <w:rPr>
          <w:i/>
          <w:iCs/>
        </w:rPr>
        <w:t xml:space="preserve">104</w:t>
      </w:r>
      <w:r>
        <w:t xml:space="preserve">(2), 266–300.</w:t>
      </w:r>
      <w:r>
        <w:t xml:space="preserve"> </w:t>
      </w:r>
      <w:hyperlink r:id="rId276">
        <w:r>
          <w:rPr>
            <w:rStyle w:val="Hyperlink"/>
          </w:rPr>
          <w:t xml:space="preserve">https://doi.org/10.1037/0033-295X.104.2.266</w:t>
        </w:r>
      </w:hyperlink>
    </w:p>
    <w:bookmarkEnd w:id="277"/>
    <w:bookmarkStart w:id="279" w:name="ref-paananen2021"/>
    <w:p>
      <w:pPr>
        <w:pStyle w:val="Bibliography"/>
      </w:pPr>
      <w:r>
        <w:t xml:space="preserve">Paananen, T., Piironen, J., Bürkner, P.-C., &amp; Vehtari, A. (2021). Implicitly adaptive importance sampling.</w:t>
      </w:r>
      <w:r>
        <w:t xml:space="preserve"> </w:t>
      </w:r>
      <w:r>
        <w:rPr>
          <w:i/>
          <w:iCs/>
        </w:rPr>
        <w:t xml:space="preserve">Statistics and Computing</w:t>
      </w:r>
      <w:r>
        <w:t xml:space="preserve">,</w:t>
      </w:r>
      <w:r>
        <w:t xml:space="preserve"> </w:t>
      </w:r>
      <w:r>
        <w:rPr>
          <w:i/>
          <w:iCs/>
        </w:rPr>
        <w:t xml:space="preserve">31</w:t>
      </w:r>
      <w:r>
        <w:t xml:space="preserve">(2), 16.</w:t>
      </w:r>
      <w:r>
        <w:t xml:space="preserve"> </w:t>
      </w:r>
      <w:hyperlink r:id="rId278">
        <w:r>
          <w:rPr>
            <w:rStyle w:val="Hyperlink"/>
          </w:rPr>
          <w:t xml:space="preserve">https://doi.org/10.1007/s11222-020-09982-2</w:t>
        </w:r>
      </w:hyperlink>
    </w:p>
    <w:bookmarkEnd w:id="279"/>
    <w:bookmarkStart w:id="281" w:name="ref-R"/>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280">
        <w:r>
          <w:rPr>
            <w:rStyle w:val="Hyperlink"/>
          </w:rPr>
          <w:t xml:space="preserve">https://www.R-project.org/</w:t>
        </w:r>
      </w:hyperlink>
    </w:p>
    <w:bookmarkEnd w:id="281"/>
    <w:bookmarkStart w:id="282" w:name="ref-rabbitt1979old"/>
    <w:p>
      <w:pPr>
        <w:pStyle w:val="Bibliography"/>
      </w:pPr>
      <w:r>
        <w:t xml:space="preserve">Rabbitt, P. (1979). How old and young subjects monitor and control responses for accuracy and speed.</w:t>
      </w:r>
      <w:r>
        <w:t xml:space="preserve"> </w:t>
      </w:r>
      <w:r>
        <w:rPr>
          <w:i/>
          <w:iCs/>
        </w:rPr>
        <w:t xml:space="preserve">British Journal of Psychology</w:t>
      </w:r>
      <w:r>
        <w:t xml:space="preserve">,</w:t>
      </w:r>
      <w:r>
        <w:t xml:space="preserve"> </w:t>
      </w:r>
      <w:r>
        <w:rPr>
          <w:i/>
          <w:iCs/>
        </w:rPr>
        <w:t xml:space="preserve">70</w:t>
      </w:r>
      <w:r>
        <w:t xml:space="preserve">(2), 305–311.</w:t>
      </w:r>
    </w:p>
    <w:bookmarkEnd w:id="282"/>
    <w:bookmarkStart w:id="284" w:name="ref-ratcliff1978theory"/>
    <w:p>
      <w:pPr>
        <w:pStyle w:val="Bibliography"/>
      </w:pPr>
      <w:r>
        <w:t xml:space="preserve">Ratcliff, R. (1978). A theory of memory retrieval.</w:t>
      </w:r>
      <w:r>
        <w:t xml:space="preserve"> </w:t>
      </w:r>
      <w:r>
        <w:rPr>
          <w:i/>
          <w:iCs/>
        </w:rPr>
        <w:t xml:space="preserve">Psychological Review</w:t>
      </w:r>
      <w:r>
        <w:t xml:space="preserve">,</w:t>
      </w:r>
      <w:r>
        <w:t xml:space="preserve"> </w:t>
      </w:r>
      <w:r>
        <w:rPr>
          <w:i/>
          <w:iCs/>
        </w:rPr>
        <w:t xml:space="preserve">85</w:t>
      </w:r>
      <w:r>
        <w:t xml:space="preserve">(2), 59–108.</w:t>
      </w:r>
      <w:r>
        <w:t xml:space="preserve"> </w:t>
      </w:r>
      <w:hyperlink r:id="rId283">
        <w:r>
          <w:rPr>
            <w:rStyle w:val="Hyperlink"/>
          </w:rPr>
          <w:t xml:space="preserve">https://doi.org/10.1037/0033-295X.85.2.59</w:t>
        </w:r>
      </w:hyperlink>
    </w:p>
    <w:bookmarkEnd w:id="284"/>
    <w:bookmarkStart w:id="286" w:name="ref-ratcliff1985"/>
    <w:p>
      <w:pPr>
        <w:pStyle w:val="Bibliography"/>
      </w:pPr>
      <w:r>
        <w:t xml:space="preserve">Ratcliff, R. (1985). Theoretical interpretations of the speed and accuracy of positive and negative responses.</w:t>
      </w:r>
      <w:r>
        <w:t xml:space="preserve"> </w:t>
      </w:r>
      <w:r>
        <w:rPr>
          <w:i/>
          <w:iCs/>
        </w:rPr>
        <w:t xml:space="preserve">Psychological Review</w:t>
      </w:r>
      <w:r>
        <w:t xml:space="preserve">,</w:t>
      </w:r>
      <w:r>
        <w:t xml:space="preserve"> </w:t>
      </w:r>
      <w:r>
        <w:rPr>
          <w:i/>
          <w:iCs/>
        </w:rPr>
        <w:t xml:space="preserve">92</w:t>
      </w:r>
      <w:r>
        <w:t xml:space="preserve">(2), 212–225.</w:t>
      </w:r>
      <w:r>
        <w:t xml:space="preserve"> </w:t>
      </w:r>
      <w:hyperlink r:id="rId285">
        <w:r>
          <w:rPr>
            <w:rStyle w:val="Hyperlink"/>
          </w:rPr>
          <w:t xml:space="preserve">https://doi.org/10.1037/0033-295X.92.2.212</w:t>
        </w:r>
      </w:hyperlink>
    </w:p>
    <w:bookmarkEnd w:id="286"/>
    <w:bookmarkStart w:id="288" w:name="ref-ratcliff2008diffusion"/>
    <w:p>
      <w:pPr>
        <w:pStyle w:val="Bibliography"/>
      </w:pPr>
      <w:r>
        <w:t xml:space="preserve">Ratcliff, R., &amp; McKoon, G. (2008). The diffusion decision model: Theory and data for two-choice decision tasks.</w:t>
      </w:r>
      <w:r>
        <w:t xml:space="preserve"> </w:t>
      </w:r>
      <w:r>
        <w:rPr>
          <w:i/>
          <w:iCs/>
        </w:rPr>
        <w:t xml:space="preserve">Neural Computation</w:t>
      </w:r>
      <w:r>
        <w:t xml:space="preserve">,</w:t>
      </w:r>
      <w:r>
        <w:t xml:space="preserve"> </w:t>
      </w:r>
      <w:r>
        <w:rPr>
          <w:i/>
          <w:iCs/>
        </w:rPr>
        <w:t xml:space="preserve">20</w:t>
      </w:r>
      <w:r>
        <w:t xml:space="preserve">(4), 873–922.</w:t>
      </w:r>
      <w:r>
        <w:t xml:space="preserve"> </w:t>
      </w:r>
      <w:hyperlink r:id="rId287">
        <w:r>
          <w:rPr>
            <w:rStyle w:val="Hyperlink"/>
          </w:rPr>
          <w:t xml:space="preserve">https://doi.org/10.1162/neco.2008.12-06-420</w:t>
        </w:r>
      </w:hyperlink>
    </w:p>
    <w:bookmarkEnd w:id="288"/>
    <w:bookmarkStart w:id="290" w:name="ref-ratcliff2001aging"/>
    <w:p>
      <w:pPr>
        <w:pStyle w:val="Bibliography"/>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289">
        <w:r>
          <w:rPr>
            <w:rStyle w:val="Hyperlink"/>
          </w:rPr>
          <w:t xml:space="preserve">https://doi.org/10.1037/0882-7974.16.2.323</w:t>
        </w:r>
      </w:hyperlink>
    </w:p>
    <w:bookmarkEnd w:id="290"/>
    <w:bookmarkStart w:id="292" w:name="ref-ratcliff2004aging"/>
    <w:p>
      <w:pPr>
        <w:pStyle w:val="Bibliography"/>
      </w:pPr>
      <w:r>
        <w:t xml:space="preserve">Ratcliff, R., Thapar, A., &amp; McKoon, G. (2004). A diffusion model analysis of the effects of aging in the lexical-decision task.</w:t>
      </w:r>
      <w:r>
        <w:t xml:space="preserve"> </w:t>
      </w:r>
      <w:r>
        <w:rPr>
          <w:i/>
          <w:iCs/>
        </w:rPr>
        <w:t xml:space="preserve">Psychology and Aging</w:t>
      </w:r>
      <w:r>
        <w:t xml:space="preserve">,</w:t>
      </w:r>
      <w:r>
        <w:t xml:space="preserve"> </w:t>
      </w:r>
      <w:r>
        <w:rPr>
          <w:i/>
          <w:iCs/>
        </w:rPr>
        <w:t xml:space="preserve">19</w:t>
      </w:r>
      <w:r>
        <w:t xml:space="preserve">(2), 278–289.</w:t>
      </w:r>
      <w:r>
        <w:t xml:space="preserve"> </w:t>
      </w:r>
      <w:hyperlink r:id="rId291">
        <w:r>
          <w:rPr>
            <w:rStyle w:val="Hyperlink"/>
          </w:rPr>
          <w:t xml:space="preserve">https://doi.org/10.1037/0882-7974.19.2.278</w:t>
        </w:r>
      </w:hyperlink>
    </w:p>
    <w:bookmarkEnd w:id="292"/>
    <w:bookmarkStart w:id="294" w:name="ref-ratcliff2002estimating"/>
    <w:p>
      <w:pPr>
        <w:pStyle w:val="Bibliography"/>
      </w:pPr>
      <w:r>
        <w:t xml:space="preserve">Ratcliff, R., &amp; Tuerlinckx, F. (2002). Estimating parameters of the diffusion model: Approaches to dealing with contaminant reaction times and parameter variability.</w:t>
      </w:r>
      <w:r>
        <w:t xml:space="preserve"> </w:t>
      </w:r>
      <w:r>
        <w:rPr>
          <w:i/>
          <w:iCs/>
        </w:rPr>
        <w:t xml:space="preserve">Psychonomic Bulletin &amp; Review</w:t>
      </w:r>
      <w:r>
        <w:t xml:space="preserve">,</w:t>
      </w:r>
      <w:r>
        <w:t xml:space="preserve"> </w:t>
      </w:r>
      <w:r>
        <w:rPr>
          <w:i/>
          <w:iCs/>
        </w:rPr>
        <w:t xml:space="preserve">9</w:t>
      </w:r>
      <w:r>
        <w:t xml:space="preserve">(3), 438–481.</w:t>
      </w:r>
      <w:r>
        <w:t xml:space="preserve"> </w:t>
      </w:r>
      <w:hyperlink r:id="rId293">
        <w:r>
          <w:rPr>
            <w:rStyle w:val="Hyperlink"/>
          </w:rPr>
          <w:t xml:space="preserve">https://doi.org/10.3758/BF03196302</w:t>
        </w:r>
      </w:hyperlink>
    </w:p>
    <w:bookmarkEnd w:id="294"/>
    <w:bookmarkStart w:id="295" w:name="ref-salthouse1985speed"/>
    <w:p>
      <w:pPr>
        <w:pStyle w:val="Bibliography"/>
      </w:pPr>
      <w:r>
        <w:t xml:space="preserve">Salthouse, T. A. (1985).</w:t>
      </w:r>
      <w:r>
        <w:t xml:space="preserve"> </w:t>
      </w:r>
      <w:r>
        <w:rPr>
          <w:i/>
          <w:iCs/>
        </w:rPr>
        <w:t xml:space="preserve">Speed of behavior and its implications for cognition.</w:t>
      </w:r>
    </w:p>
    <w:bookmarkEnd w:id="295"/>
    <w:bookmarkStart w:id="297" w:name="ref-salthouse1996"/>
    <w:p>
      <w:pPr>
        <w:pStyle w:val="Bibliography"/>
      </w:pPr>
      <w:r>
        <w:t xml:space="preserve">Salthouse, T. A. (1996). The processing-speed theory of adult age differences in cognition.</w:t>
      </w:r>
      <w:r>
        <w:t xml:space="preserve"> </w:t>
      </w:r>
      <w:r>
        <w:rPr>
          <w:i/>
          <w:iCs/>
        </w:rPr>
        <w:t xml:space="preserve">Psychological Review</w:t>
      </w:r>
      <w:r>
        <w:t xml:space="preserve">,</w:t>
      </w:r>
      <w:r>
        <w:t xml:space="preserve"> </w:t>
      </w:r>
      <w:r>
        <w:rPr>
          <w:i/>
          <w:iCs/>
        </w:rPr>
        <w:t xml:space="preserve">103</w:t>
      </w:r>
      <w:r>
        <w:t xml:space="preserve">(3), 403–428.</w:t>
      </w:r>
      <w:r>
        <w:t xml:space="preserve"> </w:t>
      </w:r>
      <w:hyperlink r:id="rId296">
        <w:r>
          <w:rPr>
            <w:rStyle w:val="Hyperlink"/>
          </w:rPr>
          <w:t xml:space="preserve">https://doi.org/10.1037/0033-295X.103.3.403</w:t>
        </w:r>
      </w:hyperlink>
    </w:p>
    <w:bookmarkEnd w:id="297"/>
    <w:bookmarkStart w:id="299" w:name="ref-spaniol2006"/>
    <w:p>
      <w:pPr>
        <w:pStyle w:val="Bibliography"/>
      </w:pPr>
      <w:r>
        <w:t xml:space="preserve">Spaniol, J., Madden, D. J., &amp; Voss, A. (2006). A diffusion model analysis of adult age differences in episodic and semantic long-term memory retrieval.</w:t>
      </w:r>
      <w:r>
        <w:t xml:space="preserve"> </w:t>
      </w:r>
      <w:r>
        <w:rPr>
          <w:i/>
          <w:iCs/>
        </w:rPr>
        <w:t xml:space="preserve">Journal of Experimental Psychology: Learning, Memory, and Cognition</w:t>
      </w:r>
      <w:r>
        <w:t xml:space="preserve">,</w:t>
      </w:r>
      <w:r>
        <w:t xml:space="preserve"> </w:t>
      </w:r>
      <w:r>
        <w:rPr>
          <w:i/>
          <w:iCs/>
        </w:rPr>
        <w:t xml:space="preserve">32</w:t>
      </w:r>
      <w:r>
        <w:t xml:space="preserve">(1), 101–117.</w:t>
      </w:r>
      <w:r>
        <w:t xml:space="preserve"> </w:t>
      </w:r>
      <w:hyperlink r:id="rId298">
        <w:r>
          <w:rPr>
            <w:rStyle w:val="Hyperlink"/>
          </w:rPr>
          <w:t xml:space="preserve">https://doi.org/10.1037/0278-7393.32.1.101</w:t>
        </w:r>
      </w:hyperlink>
    </w:p>
    <w:bookmarkEnd w:id="299"/>
    <w:bookmarkStart w:id="301" w:name="ref-cmdstan2024"/>
    <w:p>
      <w:pPr>
        <w:pStyle w:val="Bibliography"/>
      </w:pPr>
      <w:r>
        <w:t xml:space="preserve">Stan Development Team. (2024).</w:t>
      </w:r>
      <w:r>
        <w:t xml:space="preserve"> </w:t>
      </w:r>
      <w:r>
        <w:rPr>
          <w:i/>
          <w:iCs/>
        </w:rPr>
        <w:t xml:space="preserve">CmdStan user’s guide</w:t>
      </w:r>
      <w:r>
        <w:t xml:space="preserve"> </w:t>
      </w:r>
      <w:r>
        <w:t xml:space="preserve">(Version 2.34).</w:t>
      </w:r>
      <w:r>
        <w:t xml:space="preserve"> </w:t>
      </w:r>
      <w:hyperlink r:id="rId300">
        <w:r>
          <w:rPr>
            <w:rStyle w:val="Hyperlink"/>
          </w:rPr>
          <w:t xml:space="preserve">https://mc-stan.org/docs/cmdstan-guide/</w:t>
        </w:r>
      </w:hyperlink>
    </w:p>
    <w:bookmarkEnd w:id="301"/>
    <w:bookmarkStart w:id="303" w:name="ref-starns2010"/>
    <w:p>
      <w:pPr>
        <w:pStyle w:val="Bibliography"/>
      </w:pPr>
      <w:r>
        <w:t xml:space="preserve">Starns, J. J., &amp; Ratcliff, R. (2010). The effects of aging on the speed–accuracy compromise: Boundary optimality in the diffusion model.</w:t>
      </w:r>
      <w:r>
        <w:t xml:space="preserve"> </w:t>
      </w:r>
      <w:r>
        <w:rPr>
          <w:i/>
          <w:iCs/>
        </w:rPr>
        <w:t xml:space="preserve">Psychology and Aging</w:t>
      </w:r>
      <w:r>
        <w:t xml:space="preserve">,</w:t>
      </w:r>
      <w:r>
        <w:t xml:space="preserve"> </w:t>
      </w:r>
      <w:r>
        <w:rPr>
          <w:i/>
          <w:iCs/>
        </w:rPr>
        <w:t xml:space="preserve">25</w:t>
      </w:r>
      <w:r>
        <w:t xml:space="preserve">(2), 377–390.</w:t>
      </w:r>
      <w:r>
        <w:t xml:space="preserve"> </w:t>
      </w:r>
      <w:hyperlink r:id="rId302">
        <w:r>
          <w:rPr>
            <w:rStyle w:val="Hyperlink"/>
          </w:rPr>
          <w:t xml:space="preserve">https://doi.org/10.1037/a0018022</w:t>
        </w:r>
      </w:hyperlink>
    </w:p>
    <w:bookmarkEnd w:id="303"/>
    <w:bookmarkStart w:id="305" w:name="ref-vangerven2004"/>
    <w:p>
      <w:pPr>
        <w:pStyle w:val="Bibliography"/>
      </w:pPr>
      <w:r>
        <w:t xml:space="preserve">Van Gerven, P. W., Paas, F., Van Merriënboer, J. J., &amp; Schmidt, H. G. (2004). Memory load and the cognitive pupillary response in aging.</w:t>
      </w:r>
      <w:r>
        <w:t xml:space="preserve"> </w:t>
      </w:r>
      <w:r>
        <w:rPr>
          <w:i/>
          <w:iCs/>
        </w:rPr>
        <w:t xml:space="preserve">Psychophysiology</w:t>
      </w:r>
      <w:r>
        <w:t xml:space="preserve">,</w:t>
      </w:r>
      <w:r>
        <w:t xml:space="preserve"> </w:t>
      </w:r>
      <w:r>
        <w:rPr>
          <w:i/>
          <w:iCs/>
        </w:rPr>
        <w:t xml:space="preserve">41</w:t>
      </w:r>
      <w:r>
        <w:t xml:space="preserve">(2), 167–174.</w:t>
      </w:r>
      <w:r>
        <w:t xml:space="preserve"> </w:t>
      </w:r>
      <w:hyperlink r:id="rId304">
        <w:r>
          <w:rPr>
            <w:rStyle w:val="Hyperlink"/>
          </w:rPr>
          <w:t xml:space="preserve">https://doi.org/10.1111/j.1469-8986.2003.00148.x</w:t>
        </w:r>
      </w:hyperlink>
    </w:p>
    <w:bookmarkEnd w:id="305"/>
    <w:bookmarkStart w:id="307" w:name="ref-vehtari2017loo"/>
    <w:p>
      <w:pPr>
        <w:pStyle w:val="Bibliography"/>
      </w:pPr>
      <w:r>
        <w:t xml:space="preserve">Vehtari, A., Gelman, A., &amp; Gabry, J. (2017). Practical bayesian 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306">
        <w:r>
          <w:rPr>
            <w:rStyle w:val="Hyperlink"/>
          </w:rPr>
          <w:t xml:space="preserve">https://doi.org/10.1007/s11222-016-9696-4</w:t>
        </w:r>
      </w:hyperlink>
    </w:p>
    <w:bookmarkEnd w:id="307"/>
    <w:bookmarkStart w:id="309" w:name="ref-vehtari2021rank"/>
    <w:p>
      <w:pPr>
        <w:pStyle w:val="Bibliography"/>
      </w:pPr>
      <w:r>
        <w:t xml:space="preserve">Vehtari, A., Gelman, A., Simpson, D., Carpenter, B., &amp; Bürkner, P.-C. (2021). Rank-normalization, folding, and localization: An improved</w:t>
      </w:r>
      <w:r>
        <w:t xml:space="preserve"> </w:t>
      </w:r>
      <w:r>
        <w:t xml:space="preserve">R̂</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308">
        <w:r>
          <w:rPr>
            <w:rStyle w:val="Hyperlink"/>
          </w:rPr>
          <w:t xml:space="preserve">https://doi.org/10.1214/20-BA1221</w:t>
        </w:r>
      </w:hyperlink>
    </w:p>
    <w:bookmarkEnd w:id="309"/>
    <w:bookmarkStart w:id="311" w:name="ref-verhaeghen2003"/>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r:id="rId310">
        <w:r>
          <w:rPr>
            <w:rStyle w:val="Hyperlink"/>
          </w:rPr>
          <w:t xml:space="preserve">https://doi.org/10.1037/0882-7974.18.3.443</w:t>
        </w:r>
      </w:hyperlink>
    </w:p>
    <w:bookmarkEnd w:id="311"/>
    <w:bookmarkStart w:id="312" w:name="ref-voss2004interpreting"/>
    <w:p>
      <w:pPr>
        <w:pStyle w:val="Bibliography"/>
      </w:pPr>
      <w:r>
        <w:t xml:space="preserve">Voss, A., Rothermund, K., &amp; Voss, J. (2004). Interpreting the parameters of the diffusion model: An empirical validation.</w:t>
      </w:r>
      <w:r>
        <w:t xml:space="preserve"> </w:t>
      </w:r>
      <w:r>
        <w:rPr>
          <w:i/>
          <w:iCs/>
        </w:rPr>
        <w:t xml:space="preserve">Memory &amp; Cognition</w:t>
      </w:r>
      <w:r>
        <w:t xml:space="preserve">,</w:t>
      </w:r>
      <w:r>
        <w:t xml:space="preserve"> </w:t>
      </w:r>
      <w:r>
        <w:rPr>
          <w:i/>
          <w:iCs/>
        </w:rPr>
        <w:t xml:space="preserve">32</w:t>
      </w:r>
      <w:r>
        <w:t xml:space="preserve">(7), 1206–1220.</w:t>
      </w:r>
    </w:p>
    <w:bookmarkEnd w:id="312"/>
    <w:bookmarkStart w:id="314" w:name="ref-wickens2008"/>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r:id="rId313">
        <w:r>
          <w:rPr>
            <w:rStyle w:val="Hyperlink"/>
          </w:rPr>
          <w:t xml:space="preserve">https://doi.org/10.1518/001872008X288394</w:t>
        </w:r>
      </w:hyperlink>
    </w:p>
    <w:bookmarkEnd w:id="314"/>
    <w:bookmarkStart w:id="316" w:name="ref-wickham2016ggplot2"/>
    <w:p>
      <w:pPr>
        <w:pStyle w:val="Bibliography"/>
      </w:pPr>
      <w:r>
        <w:t xml:space="preserve">Wickham, H. (2016).</w:t>
      </w:r>
      <w:r>
        <w:t xml:space="preserve"> </w:t>
      </w:r>
      <w:r>
        <w:rPr>
          <w:i/>
          <w:iCs/>
        </w:rPr>
        <w:t xml:space="preserve">ggplot2: Elegant graphics for data analysis</w:t>
      </w:r>
      <w:r>
        <w:t xml:space="preserve">. Springer-Verlag New York.</w:t>
      </w:r>
      <w:r>
        <w:t xml:space="preserve"> </w:t>
      </w:r>
      <w:hyperlink r:id="rId315">
        <w:r>
          <w:rPr>
            <w:rStyle w:val="Hyperlink"/>
          </w:rPr>
          <w:t xml:space="preserve">https://ggplot2.tidyverse.org</w:t>
        </w:r>
      </w:hyperlink>
    </w:p>
    <w:bookmarkEnd w:id="316"/>
    <w:bookmarkStart w:id="318" w:name="ref-dplyr"/>
    <w:p>
      <w:pPr>
        <w:pStyle w:val="Bibliography"/>
      </w:pPr>
      <w:r>
        <w:t xml:space="preserve">Wickham, H., François, R., Henry, L., Müller, K., &amp; Vaughan, D. (2023).</w:t>
      </w:r>
      <w:r>
        <w:t xml:space="preserve"> </w:t>
      </w:r>
      <w:r>
        <w:rPr>
          <w:i/>
          <w:iCs/>
        </w:rPr>
        <w:t xml:space="preserve">Dplyr: A grammar of data manipulation</w:t>
      </w:r>
      <w:r>
        <w:t xml:space="preserve">.</w:t>
      </w:r>
      <w:r>
        <w:t xml:space="preserve"> </w:t>
      </w:r>
      <w:hyperlink r:id="rId317">
        <w:r>
          <w:rPr>
            <w:rStyle w:val="Hyperlink"/>
          </w:rPr>
          <w:t xml:space="preserve">https://CRAN.R-project.org/package=dplyr</w:t>
        </w:r>
      </w:hyperlink>
    </w:p>
    <w:bookmarkEnd w:id="318"/>
    <w:bookmarkStart w:id="320" w:name="ref-readr"/>
    <w:p>
      <w:pPr>
        <w:pStyle w:val="Bibliography"/>
      </w:pPr>
      <w:r>
        <w:t xml:space="preserve">Wickham, H., Hester, J., François, R., &amp; Bryan, J. (2024).</w:t>
      </w:r>
      <w:r>
        <w:t xml:space="preserve"> </w:t>
      </w:r>
      <w:r>
        <w:rPr>
          <w:i/>
          <w:iCs/>
        </w:rPr>
        <w:t xml:space="preserve">Readr: Read rectangular text data</w:t>
      </w:r>
      <w:r>
        <w:t xml:space="preserve">.</w:t>
      </w:r>
      <w:r>
        <w:t xml:space="preserve"> </w:t>
      </w:r>
      <w:hyperlink r:id="rId319">
        <w:r>
          <w:rPr>
            <w:rStyle w:val="Hyperlink"/>
          </w:rPr>
          <w:t xml:space="preserve">https://CRAN.R-project.org/package=readr</w:t>
        </w:r>
      </w:hyperlink>
    </w:p>
    <w:bookmarkEnd w:id="320"/>
    <w:bookmarkStart w:id="322" w:name="ref-tidyr"/>
    <w:p>
      <w:pPr>
        <w:pStyle w:val="Bibliography"/>
      </w:pPr>
      <w:r>
        <w:t xml:space="preserve">Wickham, H., Vaughan, D., &amp; Girlich, M. (2023).</w:t>
      </w:r>
      <w:r>
        <w:t xml:space="preserve"> </w:t>
      </w:r>
      <w:r>
        <w:rPr>
          <w:i/>
          <w:iCs/>
        </w:rPr>
        <w:t xml:space="preserve">Tidyr: Tidy messy data</w:t>
      </w:r>
      <w:r>
        <w:t xml:space="preserve">.</w:t>
      </w:r>
      <w:r>
        <w:t xml:space="preserve"> </w:t>
      </w:r>
      <w:hyperlink r:id="rId321">
        <w:r>
          <w:rPr>
            <w:rStyle w:val="Hyperlink"/>
          </w:rPr>
          <w:t xml:space="preserve">https://CRAN.R-project.org/package=tidyr</w:t>
        </w:r>
      </w:hyperlink>
    </w:p>
    <w:bookmarkEnd w:id="322"/>
    <w:bookmarkStart w:id="324" w:name="ref-wiecki2013hddm"/>
    <w:p>
      <w:pPr>
        <w:pStyle w:val="Bibliography"/>
      </w:pPr>
      <w:r>
        <w:t xml:space="preserve">Wiecki, T. V., Sofer, I., &amp; Frank, M. J. (2013). HDDM: Hierarchical bayesian estimation of the drift-diffusion model in python.</w:t>
      </w:r>
      <w:r>
        <w:t xml:space="preserve"> </w:t>
      </w:r>
      <w:r>
        <w:rPr>
          <w:i/>
          <w:iCs/>
        </w:rPr>
        <w:t xml:space="preserve">Frontiers in Neuroinformatics</w:t>
      </w:r>
      <w:r>
        <w:t xml:space="preserve">,</w:t>
      </w:r>
      <w:r>
        <w:t xml:space="preserve"> </w:t>
      </w:r>
      <w:r>
        <w:rPr>
          <w:i/>
          <w:iCs/>
        </w:rPr>
        <w:t xml:space="preserve">7</w:t>
      </w:r>
      <w:r>
        <w:t xml:space="preserve">, 14.</w:t>
      </w:r>
      <w:r>
        <w:t xml:space="preserve"> </w:t>
      </w:r>
      <w:hyperlink r:id="rId323">
        <w:r>
          <w:rPr>
            <w:rStyle w:val="Hyperlink"/>
          </w:rPr>
          <w:t xml:space="preserve">https://doi.org/10.3389/fninf.2013.00014</w:t>
        </w:r>
      </w:hyperlink>
    </w:p>
    <w:bookmarkEnd w:id="324"/>
    <w:bookmarkStart w:id="326" w:name="ref-yerkes1908"/>
    <w:p>
      <w:pPr>
        <w:pStyle w:val="Bibliography"/>
      </w:pPr>
      <w:r>
        <w:t xml:space="preserve">Yerkes, R. M., &amp; Dodson, J. D. (1908). The relation of strength of stimulus to rapidity of habit-formation.</w:t>
      </w:r>
      <w:r>
        <w:t xml:space="preserve"> </w:t>
      </w:r>
      <w:r>
        <w:rPr>
          <w:i/>
          <w:iCs/>
        </w:rPr>
        <w:t xml:space="preserve">Journal of Comparative Neurology and Psychology</w:t>
      </w:r>
      <w:r>
        <w:t xml:space="preserve">,</w:t>
      </w:r>
      <w:r>
        <w:t xml:space="preserve"> </w:t>
      </w:r>
      <w:r>
        <w:rPr>
          <w:i/>
          <w:iCs/>
        </w:rPr>
        <w:t xml:space="preserve">18</w:t>
      </w:r>
      <w:r>
        <w:t xml:space="preserve">(5), 459–482.</w:t>
      </w:r>
      <w:r>
        <w:t xml:space="preserve"> </w:t>
      </w:r>
      <w:hyperlink r:id="rId325">
        <w:r>
          <w:rPr>
            <w:rStyle w:val="Hyperlink"/>
          </w:rPr>
          <w:t xml:space="preserve">https://doi.org/10.1002/cne.920180503</w:t>
        </w:r>
      </w:hyperlink>
    </w:p>
    <w:bookmarkEnd w:id="326"/>
    <w:bookmarkEnd w:id="327"/>
    <w:bookmarkEnd w:id="3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4" Target="media/rId194.png" /><Relationship Type="http://schemas.openxmlformats.org/officeDocument/2006/relationships/image" Id="rId144" Target="media/rId144.pdf" /><Relationship Type="http://schemas.openxmlformats.org/officeDocument/2006/relationships/image" Id="rId148" Target="media/rId148.pdf" /><Relationship Type="http://schemas.openxmlformats.org/officeDocument/2006/relationships/image" Id="rId130" Target="media/rId130.png" /><Relationship Type="http://schemas.openxmlformats.org/officeDocument/2006/relationships/image" Id="rId162" Target="media/rId162.png" /><Relationship Type="http://schemas.openxmlformats.org/officeDocument/2006/relationships/image" Id="rId207" Target="media/rId207.png" /><Relationship Type="http://schemas.openxmlformats.org/officeDocument/2006/relationships/image" Id="rId176" Target="media/rId176.png" /><Relationship Type="http://schemas.openxmlformats.org/officeDocument/2006/relationships/image" Id="rId158" Target="media/rId158.png" /><Relationship Type="http://schemas.openxmlformats.org/officeDocument/2006/relationships/image" Id="rId71" Target="media/rId71.png" /><Relationship Type="http://schemas.openxmlformats.org/officeDocument/2006/relationships/image" Id="rId121" Target="media/rId121.png" /><Relationship Type="http://schemas.openxmlformats.org/officeDocument/2006/relationships/image" Id="rId138" Target="media/rId138.png" /><Relationship Type="http://schemas.openxmlformats.org/officeDocument/2006/relationships/image" Id="rId54" Target="media/rId54.png" /><Relationship Type="http://schemas.openxmlformats.org/officeDocument/2006/relationships/image" Id="rId62" Target="media/rId62.png" /><Relationship Type="http://schemas.openxmlformats.org/officeDocument/2006/relationships/image" Id="rId58" Target="media/rId58.png" /><Relationship Type="http://schemas.openxmlformats.org/officeDocument/2006/relationships/image" Id="rId75" Target="media/rId75.png" /><Relationship Type="http://schemas.openxmlformats.org/officeDocument/2006/relationships/image" Id="rId108" Target="media/rId108.png" /><Relationship Type="http://schemas.openxmlformats.org/officeDocument/2006/relationships/image" Id="rId104" Target="media/rId104.png" /><Relationship Type="http://schemas.openxmlformats.org/officeDocument/2006/relationships/image" Id="rId117" Target="media/rId117.png" /><Relationship Type="http://schemas.openxmlformats.org/officeDocument/2006/relationships/image" Id="rId85" Target="media/rId85.png" /><Relationship Type="http://schemas.openxmlformats.org/officeDocument/2006/relationships/image" Id="rId211" Target="media/rId211.png" /><Relationship Type="http://schemas.openxmlformats.org/officeDocument/2006/relationships/image" Id="rId216" Target="media/rId216.png" /><Relationship Type="http://schemas.openxmlformats.org/officeDocument/2006/relationships/image" Id="rId126" Target="media/rId126.png" /><Relationship Type="http://schemas.openxmlformats.org/officeDocument/2006/relationships/image" Id="rId113" Target="media/rId113.png" /><Relationship Type="http://schemas.openxmlformats.org/officeDocument/2006/relationships/image" Id="rId172" Target="media/rId172.png" /><Relationship Type="http://schemas.openxmlformats.org/officeDocument/2006/relationships/image" Id="rId167" Target="media/rId167.png" /><Relationship Type="http://schemas.openxmlformats.org/officeDocument/2006/relationships/hyperlink" Id="rId317" Target="https://CRAN.R-project.org/package=dplyr" TargetMode="External" /><Relationship Type="http://schemas.openxmlformats.org/officeDocument/2006/relationships/hyperlink" Id="rId260" Target="https://CRAN.R-project.org/package=gt" TargetMode="External" /><Relationship Type="http://schemas.openxmlformats.org/officeDocument/2006/relationships/hyperlink" Id="rId319" Target="https://CRAN.R-project.org/package=readr" TargetMode="External" /><Relationship Type="http://schemas.openxmlformats.org/officeDocument/2006/relationships/hyperlink" Id="rId321" Target="https://CRAN.R-project.org/package=tidyr" TargetMode="External" /><Relationship Type="http://schemas.openxmlformats.org/officeDocument/2006/relationships/hyperlink" Id="rId325" Target="https://doi.org/10.1002/cne.920180503" TargetMode="External" /><Relationship Type="http://schemas.openxmlformats.org/officeDocument/2006/relationships/hyperlink" Id="rId306" Target="https://doi.org/10.1007/s11222-016-9696-4" TargetMode="External" /><Relationship Type="http://schemas.openxmlformats.org/officeDocument/2006/relationships/hyperlink" Id="rId278" Target="https://doi.org/10.1007/s11222-020-09982-2" TargetMode="External" /><Relationship Type="http://schemas.openxmlformats.org/officeDocument/2006/relationships/hyperlink" Id="rId274" Target="https://doi.org/10.1016/j.neubiorev.2021.12.010" TargetMode="External" /><Relationship Type="http://schemas.openxmlformats.org/officeDocument/2006/relationships/hyperlink" Id="rId262" Target="https://doi.org/10.1016/j.neuron.2015.11.028" TargetMode="External" /><Relationship Type="http://schemas.openxmlformats.org/officeDocument/2006/relationships/hyperlink" Id="rId272" Target="https://doi.org/10.1016/j.tics.2016.01.001" TargetMode="External" /><Relationship Type="http://schemas.openxmlformats.org/officeDocument/2006/relationships/hyperlink" Id="rId229" Target="https://doi.org/10.1037/0033-2909.91.2.276" TargetMode="External" /><Relationship Type="http://schemas.openxmlformats.org/officeDocument/2006/relationships/hyperlink" Id="rId242" Target="https://doi.org/10.1037/0033-2909.98.1.67" TargetMode="External" /><Relationship Type="http://schemas.openxmlformats.org/officeDocument/2006/relationships/hyperlink" Id="rId244" Target="https://doi.org/10.1037/0033-2909.98.3.419" TargetMode="External" /><Relationship Type="http://schemas.openxmlformats.org/officeDocument/2006/relationships/hyperlink" Id="rId296" Target="https://doi.org/10.1037/0033-295X.103.3.403" TargetMode="External" /><Relationship Type="http://schemas.openxmlformats.org/officeDocument/2006/relationships/hyperlink" Id="rId276" Target="https://doi.org/10.1037/0033-295X.104.2.266" TargetMode="External" /><Relationship Type="http://schemas.openxmlformats.org/officeDocument/2006/relationships/hyperlink" Id="rId283" Target="https://doi.org/10.1037/0033-295X.85.2.59" TargetMode="External" /><Relationship Type="http://schemas.openxmlformats.org/officeDocument/2006/relationships/hyperlink" Id="rId285" Target="https://doi.org/10.1037/0033-295X.92.2.212" TargetMode="External" /><Relationship Type="http://schemas.openxmlformats.org/officeDocument/2006/relationships/hyperlink" Id="rId298" Target="https://doi.org/10.1037/0278-7393.32.1.101" TargetMode="External" /><Relationship Type="http://schemas.openxmlformats.org/officeDocument/2006/relationships/hyperlink" Id="rId289" Target="https://doi.org/10.1037/0882-7974.16.2.323" TargetMode="External" /><Relationship Type="http://schemas.openxmlformats.org/officeDocument/2006/relationships/hyperlink" Id="rId310" Target="https://doi.org/10.1037/0882-7974.18.3.443" TargetMode="External" /><Relationship Type="http://schemas.openxmlformats.org/officeDocument/2006/relationships/hyperlink" Id="rId291" Target="https://doi.org/10.1037/0882-7974.19.2.278" TargetMode="External" /><Relationship Type="http://schemas.openxmlformats.org/officeDocument/2006/relationships/hyperlink" Id="rId302" Target="https://doi.org/10.1037/a0018022" TargetMode="External" /><Relationship Type="http://schemas.openxmlformats.org/officeDocument/2006/relationships/hyperlink" Id="rId240" Target="https://doi.org/10.1037/a0035813" TargetMode="External" /><Relationship Type="http://schemas.openxmlformats.org/officeDocument/2006/relationships/hyperlink" Id="rId227" Target="https://doi.org/10.1037/pag0000730" TargetMode="External" /><Relationship Type="http://schemas.openxmlformats.org/officeDocument/2006/relationships/hyperlink" Id="rId256" Target="https://doi.org/10.1093/geronb/gbr129" TargetMode="External" /><Relationship Type="http://schemas.openxmlformats.org/officeDocument/2006/relationships/hyperlink" Id="rId270" Target="https://doi.org/10.1093/geronj/46.3.P124" TargetMode="External" /><Relationship Type="http://schemas.openxmlformats.org/officeDocument/2006/relationships/hyperlink" Id="rId304" Target="https://doi.org/10.1111/j.1469-8986.2003.00148.x" TargetMode="External" /><Relationship Type="http://schemas.openxmlformats.org/officeDocument/2006/relationships/hyperlink" Id="rId264" Target="https://doi.org/10.1126/science.154.3756.1583" TargetMode="External" /><Relationship Type="http://schemas.openxmlformats.org/officeDocument/2006/relationships/hyperlink" Id="rId225" Target="https://doi.org/10.1146/annurev.neuro.28.061604.135709" TargetMode="External" /><Relationship Type="http://schemas.openxmlformats.org/officeDocument/2006/relationships/hyperlink" Id="rId287" Target="https://doi.org/10.1162/neco.2008.12-06-420" TargetMode="External" /><Relationship Type="http://schemas.openxmlformats.org/officeDocument/2006/relationships/hyperlink" Id="rId308" Target="https://doi.org/10.1214/20-BA1221" TargetMode="External" /><Relationship Type="http://schemas.openxmlformats.org/officeDocument/2006/relationships/hyperlink" Id="rId252" Target="https://doi.org/10.1214/ss/1177011136" TargetMode="External" /><Relationship Type="http://schemas.openxmlformats.org/officeDocument/2006/relationships/hyperlink" Id="rId313" Target="https://doi.org/10.1518/001872008X288394" TargetMode="External" /><Relationship Type="http://schemas.openxmlformats.org/officeDocument/2006/relationships/hyperlink" Id="rId267" Target="https://doi.org/10.1523/JNEUROSCI.0389-16.2016" TargetMode="External" /><Relationship Type="http://schemas.openxmlformats.org/officeDocument/2006/relationships/hyperlink" Id="rId234" Target="https://doi.org/10.18637/jss.v080.i01" TargetMode="External" /><Relationship Type="http://schemas.openxmlformats.org/officeDocument/2006/relationships/hyperlink" Id="rId238" Target="https://doi.org/10.18637/jss.v102.i10" TargetMode="External" /><Relationship Type="http://schemas.openxmlformats.org/officeDocument/2006/relationships/hyperlink" Id="rId236" Target="https://doi.org/10.32614/RJ-2018-017" TargetMode="External" /><Relationship Type="http://schemas.openxmlformats.org/officeDocument/2006/relationships/hyperlink" Id="rId248" Target="https://doi.org/10.32614/RJ-2021-123" TargetMode="External" /><Relationship Type="http://schemas.openxmlformats.org/officeDocument/2006/relationships/hyperlink" Id="rId323" Target="https://doi.org/10.3389/fninf.2013.00014" TargetMode="External" /><Relationship Type="http://schemas.openxmlformats.org/officeDocument/2006/relationships/hyperlink" Id="rId293" Target="https://doi.org/10.3758/BF03196302" TargetMode="External" /><Relationship Type="http://schemas.openxmlformats.org/officeDocument/2006/relationships/hyperlink" Id="rId254" Target="https://doi.org/10.3758/CABN.10.2.252" TargetMode="External" /><Relationship Type="http://schemas.openxmlformats.org/officeDocument/2006/relationships/hyperlink" Id="rId101" Target="https://doi.org/10.5281/zenodo.18205123" TargetMode="External" /><Relationship Type="http://schemas.openxmlformats.org/officeDocument/2006/relationships/hyperlink" Id="rId250" Target="https://doi.org/10.7554/eLife.54014" TargetMode="External" /><Relationship Type="http://schemas.openxmlformats.org/officeDocument/2006/relationships/hyperlink" Id="rId315" Target="https://ggplot2.tidyverse.org" TargetMode="External" /><Relationship Type="http://schemas.openxmlformats.org/officeDocument/2006/relationships/hyperlink" Id="rId100" Target="https://github.com/mohdasti/modeling-pupil-DDM" TargetMode="External" /><Relationship Type="http://schemas.openxmlformats.org/officeDocument/2006/relationships/hyperlink" Id="rId300" Target="https://mc-stan.org/docs/cmdstan-guide/" TargetMode="External" /><Relationship Type="http://schemas.openxmlformats.org/officeDocument/2006/relationships/hyperlink" Id="rId223" Target="https://quarto.org" TargetMode="External" /><Relationship Type="http://schemas.openxmlformats.org/officeDocument/2006/relationships/hyperlink" Id="rId28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17" Target="https://CRAN.R-project.org/package=dplyr" TargetMode="External" /><Relationship Type="http://schemas.openxmlformats.org/officeDocument/2006/relationships/hyperlink" Id="rId260" Target="https://CRAN.R-project.org/package=gt" TargetMode="External" /><Relationship Type="http://schemas.openxmlformats.org/officeDocument/2006/relationships/hyperlink" Id="rId319" Target="https://CRAN.R-project.org/package=readr" TargetMode="External" /><Relationship Type="http://schemas.openxmlformats.org/officeDocument/2006/relationships/hyperlink" Id="rId321" Target="https://CRAN.R-project.org/package=tidyr" TargetMode="External" /><Relationship Type="http://schemas.openxmlformats.org/officeDocument/2006/relationships/hyperlink" Id="rId325" Target="https://doi.org/10.1002/cne.920180503" TargetMode="External" /><Relationship Type="http://schemas.openxmlformats.org/officeDocument/2006/relationships/hyperlink" Id="rId306" Target="https://doi.org/10.1007/s11222-016-9696-4" TargetMode="External" /><Relationship Type="http://schemas.openxmlformats.org/officeDocument/2006/relationships/hyperlink" Id="rId278" Target="https://doi.org/10.1007/s11222-020-09982-2" TargetMode="External" /><Relationship Type="http://schemas.openxmlformats.org/officeDocument/2006/relationships/hyperlink" Id="rId274" Target="https://doi.org/10.1016/j.neubiorev.2021.12.010" TargetMode="External" /><Relationship Type="http://schemas.openxmlformats.org/officeDocument/2006/relationships/hyperlink" Id="rId262" Target="https://doi.org/10.1016/j.neuron.2015.11.028" TargetMode="External" /><Relationship Type="http://schemas.openxmlformats.org/officeDocument/2006/relationships/hyperlink" Id="rId272" Target="https://doi.org/10.1016/j.tics.2016.01.001" TargetMode="External" /><Relationship Type="http://schemas.openxmlformats.org/officeDocument/2006/relationships/hyperlink" Id="rId229" Target="https://doi.org/10.1037/0033-2909.91.2.276" TargetMode="External" /><Relationship Type="http://schemas.openxmlformats.org/officeDocument/2006/relationships/hyperlink" Id="rId242" Target="https://doi.org/10.1037/0033-2909.98.1.67" TargetMode="External" /><Relationship Type="http://schemas.openxmlformats.org/officeDocument/2006/relationships/hyperlink" Id="rId244" Target="https://doi.org/10.1037/0033-2909.98.3.419" TargetMode="External" /><Relationship Type="http://schemas.openxmlformats.org/officeDocument/2006/relationships/hyperlink" Id="rId296" Target="https://doi.org/10.1037/0033-295X.103.3.403" TargetMode="External" /><Relationship Type="http://schemas.openxmlformats.org/officeDocument/2006/relationships/hyperlink" Id="rId276" Target="https://doi.org/10.1037/0033-295X.104.2.266" TargetMode="External" /><Relationship Type="http://schemas.openxmlformats.org/officeDocument/2006/relationships/hyperlink" Id="rId283" Target="https://doi.org/10.1037/0033-295X.85.2.59" TargetMode="External" /><Relationship Type="http://schemas.openxmlformats.org/officeDocument/2006/relationships/hyperlink" Id="rId285" Target="https://doi.org/10.1037/0033-295X.92.2.212" TargetMode="External" /><Relationship Type="http://schemas.openxmlformats.org/officeDocument/2006/relationships/hyperlink" Id="rId298" Target="https://doi.org/10.1037/0278-7393.32.1.101" TargetMode="External" /><Relationship Type="http://schemas.openxmlformats.org/officeDocument/2006/relationships/hyperlink" Id="rId289" Target="https://doi.org/10.1037/0882-7974.16.2.323" TargetMode="External" /><Relationship Type="http://schemas.openxmlformats.org/officeDocument/2006/relationships/hyperlink" Id="rId310" Target="https://doi.org/10.1037/0882-7974.18.3.443" TargetMode="External" /><Relationship Type="http://schemas.openxmlformats.org/officeDocument/2006/relationships/hyperlink" Id="rId291" Target="https://doi.org/10.1037/0882-7974.19.2.278" TargetMode="External" /><Relationship Type="http://schemas.openxmlformats.org/officeDocument/2006/relationships/hyperlink" Id="rId302" Target="https://doi.org/10.1037/a0018022" TargetMode="External" /><Relationship Type="http://schemas.openxmlformats.org/officeDocument/2006/relationships/hyperlink" Id="rId240" Target="https://doi.org/10.1037/a0035813" TargetMode="External" /><Relationship Type="http://schemas.openxmlformats.org/officeDocument/2006/relationships/hyperlink" Id="rId227" Target="https://doi.org/10.1037/pag0000730" TargetMode="External" /><Relationship Type="http://schemas.openxmlformats.org/officeDocument/2006/relationships/hyperlink" Id="rId256" Target="https://doi.org/10.1093/geronb/gbr129" TargetMode="External" /><Relationship Type="http://schemas.openxmlformats.org/officeDocument/2006/relationships/hyperlink" Id="rId270" Target="https://doi.org/10.1093/geronj/46.3.P124" TargetMode="External" /><Relationship Type="http://schemas.openxmlformats.org/officeDocument/2006/relationships/hyperlink" Id="rId304" Target="https://doi.org/10.1111/j.1469-8986.2003.00148.x" TargetMode="External" /><Relationship Type="http://schemas.openxmlformats.org/officeDocument/2006/relationships/hyperlink" Id="rId264" Target="https://doi.org/10.1126/science.154.3756.1583" TargetMode="External" /><Relationship Type="http://schemas.openxmlformats.org/officeDocument/2006/relationships/hyperlink" Id="rId225" Target="https://doi.org/10.1146/annurev.neuro.28.061604.135709" TargetMode="External" /><Relationship Type="http://schemas.openxmlformats.org/officeDocument/2006/relationships/hyperlink" Id="rId287" Target="https://doi.org/10.1162/neco.2008.12-06-420" TargetMode="External" /><Relationship Type="http://schemas.openxmlformats.org/officeDocument/2006/relationships/hyperlink" Id="rId308" Target="https://doi.org/10.1214/20-BA1221" TargetMode="External" /><Relationship Type="http://schemas.openxmlformats.org/officeDocument/2006/relationships/hyperlink" Id="rId252" Target="https://doi.org/10.1214/ss/1177011136" TargetMode="External" /><Relationship Type="http://schemas.openxmlformats.org/officeDocument/2006/relationships/hyperlink" Id="rId313" Target="https://doi.org/10.1518/001872008X288394" TargetMode="External" /><Relationship Type="http://schemas.openxmlformats.org/officeDocument/2006/relationships/hyperlink" Id="rId267" Target="https://doi.org/10.1523/JNEUROSCI.0389-16.2016" TargetMode="External" /><Relationship Type="http://schemas.openxmlformats.org/officeDocument/2006/relationships/hyperlink" Id="rId234" Target="https://doi.org/10.18637/jss.v080.i01" TargetMode="External" /><Relationship Type="http://schemas.openxmlformats.org/officeDocument/2006/relationships/hyperlink" Id="rId238" Target="https://doi.org/10.18637/jss.v102.i10" TargetMode="External" /><Relationship Type="http://schemas.openxmlformats.org/officeDocument/2006/relationships/hyperlink" Id="rId236" Target="https://doi.org/10.32614/RJ-2018-017" TargetMode="External" /><Relationship Type="http://schemas.openxmlformats.org/officeDocument/2006/relationships/hyperlink" Id="rId248" Target="https://doi.org/10.32614/RJ-2021-123" TargetMode="External" /><Relationship Type="http://schemas.openxmlformats.org/officeDocument/2006/relationships/hyperlink" Id="rId323" Target="https://doi.org/10.3389/fninf.2013.00014" TargetMode="External" /><Relationship Type="http://schemas.openxmlformats.org/officeDocument/2006/relationships/hyperlink" Id="rId293" Target="https://doi.org/10.3758/BF03196302" TargetMode="External" /><Relationship Type="http://schemas.openxmlformats.org/officeDocument/2006/relationships/hyperlink" Id="rId254" Target="https://doi.org/10.3758/CABN.10.2.252" TargetMode="External" /><Relationship Type="http://schemas.openxmlformats.org/officeDocument/2006/relationships/hyperlink" Id="rId101" Target="https://doi.org/10.5281/zenodo.18205123" TargetMode="External" /><Relationship Type="http://schemas.openxmlformats.org/officeDocument/2006/relationships/hyperlink" Id="rId250" Target="https://doi.org/10.7554/eLife.54014" TargetMode="External" /><Relationship Type="http://schemas.openxmlformats.org/officeDocument/2006/relationships/hyperlink" Id="rId315" Target="https://ggplot2.tidyverse.org" TargetMode="External" /><Relationship Type="http://schemas.openxmlformats.org/officeDocument/2006/relationships/hyperlink" Id="rId100" Target="https://github.com/mohdasti/modeling-pupil-DDM" TargetMode="External" /><Relationship Type="http://schemas.openxmlformats.org/officeDocument/2006/relationships/hyperlink" Id="rId300" Target="https://mc-stan.org/docs/cmdstan-guide/" TargetMode="External" /><Relationship Type="http://schemas.openxmlformats.org/officeDocument/2006/relationships/hyperlink" Id="rId223" Target="https://quarto.org" TargetMode="External" /><Relationship Type="http://schemas.openxmlformats.org/officeDocument/2006/relationships/hyperlink" Id="rId28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Physical Effort Selectively Impairs Evidence Accumulation Without Altering Response Caution in Older Adults: A Diffusion Model Analysis</dc:title>
  <dc:creator>Mohammad Dastgheib</dc:creator>
  <cp:keywords/>
  <dcterms:created xsi:type="dcterms:W3CDTF">2026-03-13T10:30:33Z</dcterms:created>
  <dcterms:modified xsi:type="dcterms:W3CDTF">2026-03-13T10:30:33Z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apa-7th-edition.csl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rams">
    <vt:lpwstr/>
  </property>
  <property fmtid="{D5CDD505-2E9C-101B-9397-08002B2CF9AE}" pid="14" name="toc-title">
    <vt:lpwstr>Table of contents</vt:lpwstr>
  </property>
</Properties>
</file>