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79.pdf" ContentType="application/pdf"/>
  <Override PartName="/word/media/rId109.pdf" ContentType="application/pdf"/>
  <Override PartName="/word/media/rId37.pdf" ContentType="application/pdf"/>
  <Override PartName="/word/media/rId57.pdf" ContentType="application/pdf"/>
  <Override PartName="/word/media/rId60.pdf" ContentType="application/pdf"/>
  <Override PartName="/word/media/rId50.pdf" ContentType="application/pdf"/>
  <Override PartName="/word/media/rId45.pdf" ContentType="application/pdf"/>
  <Override PartName="/word/media/rId91.pdf" ContentType="application/pdf"/>
  <Override PartName="/word/media/rId113.pdf" ContentType="application/pdf"/>
  <Override PartName="/word/media/rId68.pdf" ContentType="application/pdf"/>
  <Override PartName="/word/media/rId94.pdf" ContentType="application/pdf"/>
  <Override PartName="/word/media/rId72.pdf" ContentType="application/pdf"/>
  <Override PartName="/word/media/rId8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Diffusion Modeling with Pupil-Linked Arousal (Response-Signal Design)</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1"/>
      </w:pPr>
      <w:r>
        <w:t xml:space="preserve">1. Overview</w:t>
      </w:r>
    </w:p>
    <w:p>
      <w:pPr>
        <w:pStyle w:val="FirstParagraph"/>
      </w:pPr>
      <w:r>
        <w:t xml:space="preserve">This chapter presents a hierarchical Wiener diffusion decision model (DDM) for a response-signal change-detection task in older adults. The primary model maps task difficulty to drift rate (v), boundary separation (a), and starting-point bias (z), with small condition effects on non-decision time (t₀). We report comprehensive quality assurance checks, manipulation checks independent of the DDM, model comparison via LOO cross-validation, and extensive posterior predictive checks with emphasis on subject-wise mid-body RT quantiles.</w:t>
      </w:r>
    </w:p>
    <w:bookmarkEnd w:id="20"/>
    <w:bookmarkStart w:id="27" w:name="sample-experimental-design"/>
    <w:p>
      <w:pPr>
        <w:pStyle w:val="Heading1"/>
      </w:pPr>
      <w:r>
        <w:t xml:space="preserve">2. Sample &amp; Experimental Design</w:t>
      </w:r>
    </w:p>
    <w:bookmarkStart w:id="21" w:name="participants"/>
    <w:p>
      <w:pPr>
        <w:pStyle w:val="Heading2"/>
      </w:pPr>
      <w:r>
        <w:t xml:space="preserve">2.1 Participants</w:t>
      </w:r>
    </w:p>
    <w:p>
      <w:pPr>
        <w:pStyle w:val="FirstParagraph"/>
      </w:pPr>
      <w:r>
        <w:t xml:space="preserve">67 older adults (≥65 years; mean age = 71.3 years, SD = 4.8). This analysis uses the same dataset and participants as described in the LC behavioral report manuscript (see References). All participants provided written informed consent in accordance with the Institutional Review Board protocol.</w:t>
      </w:r>
      <w:r>
        <w:br/>
      </w:r>
      <w:r>
        <w:rPr>
          <w:i/>
          <w:iCs/>
        </w:rPr>
        <w:t xml:space="preserve">Note</w:t>
      </w:r>
      <w:r>
        <w:t xml:space="preserve">: 12 participants performed at or below chance (≤55%) in some conditions but were retained to maximize sample size, as hierarchical modeling borrows strength to stabilize their estimates. Sensitivity analyses confirmed their inclusion did not alter main effects.</w:t>
      </w:r>
    </w:p>
    <w:bookmarkEnd w:id="21"/>
    <w:bookmarkStart w:id="22" w:name="tasks-and-conditions"/>
    <w:p>
      <w:pPr>
        <w:pStyle w:val="Heading2"/>
      </w:pPr>
      <w:r>
        <w:t xml:space="preserve">2.2 Tasks and Conditions</w:t>
      </w:r>
    </w:p>
    <w:p>
      <w:pPr>
        <w:pStyle w:val="FirstParagraph"/>
      </w:pPr>
      <w:r>
        <w:rPr>
          <w:b/>
          <w:bCs/>
        </w:rPr>
        <w:t xml:space="preserve">Tasks</w:t>
      </w:r>
      <w:r>
        <w:t xml:space="preserve">: Auditory Detection Task (ADT) and Visual Detection Task (VDT) were modeled jointly with</w:t>
      </w:r>
      <w:r>
        <w:t xml:space="preserve"> </w:t>
      </w:r>
      <w:r>
        <w:t xml:space="preserve">‘task’</w:t>
      </w:r>
      <w:r>
        <w:t xml:space="preserve"> </w:t>
      </w:r>
      <w:r>
        <w:t xml:space="preserve">as a fixed effect. This approach uses a single random effect variance parameter for subject-level variability across both tasks, allowing the model to share information between tasks and stabilize subject-specific estimates through hierarchical shrinkage while estimating task-specific offsets.</w:t>
      </w:r>
      <w:r>
        <w:t xml:space="preserve"> </w:t>
      </w:r>
      <w:r>
        <w:rPr>
          <w:i/>
          <w:iCs/>
        </w:rPr>
        <w:t xml:space="preserve">[Detailed task descriptions, stimulus parameters, and equipment specifications are provided in the LC behavioral report manuscript; see References.]</w:t>
      </w:r>
    </w:p>
    <w:p>
      <w:pPr>
        <w:pStyle w:val="BodyText"/>
      </w:pPr>
      <w:r>
        <w:rPr>
          <w:b/>
          <w:bCs/>
        </w:rPr>
        <w:t xml:space="preserve">Conditions</w:t>
      </w:r>
      <w:r>
        <w:t xml:space="preserve"> </w:t>
      </w:r>
      <w:r>
        <w:t xml:space="preserve">(within-subjects, factorial design):</w:t>
      </w:r>
    </w:p>
    <w:p>
      <w:pPr>
        <w:pStyle w:val="Compact"/>
        <w:numPr>
          <w:ilvl w:val="0"/>
          <w:numId w:val="1001"/>
        </w:numPr>
      </w:pPr>
      <w:r>
        <w:rPr>
          <w:b/>
          <w:bCs/>
        </w:rPr>
        <w:t xml:space="preserve">Difficulty</w:t>
      </w:r>
      <w:r>
        <w:t xml:space="preserve">: Standard (Δ=0), Easy, Hard</w:t>
      </w:r>
    </w:p>
    <w:p>
      <w:pPr>
        <w:pStyle w:val="Compact"/>
        <w:numPr>
          <w:ilvl w:val="0"/>
          <w:numId w:val="1001"/>
        </w:numPr>
      </w:pPr>
      <w:r>
        <w:rPr>
          <w:b/>
          <w:bCs/>
        </w:rPr>
        <w:t xml:space="preserve">Effort</w:t>
      </w:r>
      <w:r>
        <w:t xml:space="preserve">: Low (5% MVC), High (40% MVC)</w:t>
      </w:r>
    </w:p>
    <w:p>
      <w:pPr>
        <w:pStyle w:val="FirstParagraph"/>
      </w:pPr>
      <w:r>
        <w:rPr>
          <w:b/>
          <w:bCs/>
        </w:rPr>
        <w:t xml:space="preserve">Total design cells</w:t>
      </w:r>
      <w:r>
        <w:t xml:space="preserve">: 2 tasks × 3 difficulty levels × 2 effort conditions = 12 cells per subject.</w:t>
      </w:r>
    </w:p>
    <w:p>
      <w:pPr>
        <w:pStyle w:val="BodyText"/>
      </w:pPr>
      <w:r>
        <w:rPr>
          <w:b/>
          <w:bCs/>
        </w:rPr>
        <w:t xml:space="preserve">Total trials analyzed</w:t>
      </w:r>
      <w:r>
        <w:t xml:space="preserve">: 17,243 (after exclusions).</w:t>
      </w:r>
    </w:p>
    <w:bookmarkEnd w:id="22"/>
    <w:bookmarkStart w:id="26" w:name="trial-timeline-response-signal-design"/>
    <w:p>
      <w:pPr>
        <w:pStyle w:val="Heading2"/>
      </w:pPr>
      <w:r>
        <w:t xml:space="preserve">2.3 Trial Timeline (Response-Signal Design)</w:t>
      </w:r>
    </w:p>
    <w:p>
      <w:pPr>
        <w:pStyle w:val="CaptionedFigure"/>
      </w:pPr>
      <w:r>
        <w:drawing>
          <wp:inline>
            <wp:extent cx="5334000" cy="5788894"/>
            <wp:effectExtent b="0" l="0" r="0" t="0"/>
            <wp:docPr descr="Task design. Both Auditory and Visual tasks followed the same trial structure, but differed in stimuli. Each trial began with a 1.5-4.5 s jittered blank gray screen, followed by a 3 s grip gauge instructing low (5% MVC) or high (40% MVC) force with on-screen feedback. After a 0.25 s blank and 0.5 s fixation, a stimulus pair was presented. Auditory task: a 1000 Hz 0.1 s standard tone, a 0.5 s ISI, then a 0.1 s comparison tone that was either identical or increased by 8, 16, 32, or 64 Hz. Visual task: a central Gabor (1.5 cycles/degree, 0.2 Michelson contrast, 4°) followed by a 0.5 s blank and a second Gabor that was identical or increased in contrast by 0.06, 0.12, 0.24, or 0.48. Participants then released the grip and had 3 s to report “same” or “different,” followed by 3 s to rate their confidence on their same/different choice (1-4, low to high). All 5 stimulus levels and the 2 grip levels were presented in equal proportions across 150 trials per task, and were presented pseudorandomly." title="" id="24" name="Picture"/>
            <a:graphic>
              <a:graphicData uri="http://schemas.openxmlformats.org/drawingml/2006/picture">
                <pic:pic>
                  <pic:nvPicPr>
                    <pic:cNvPr descr="../output/figures/Trial_Structure.png" id="25" name="Picture"/>
                    <pic:cNvPicPr>
                      <a:picLocks noChangeArrowheads="1" noChangeAspect="1"/>
                    </pic:cNvPicPr>
                  </pic:nvPicPr>
                  <pic:blipFill>
                    <a:blip r:embed="rId23"/>
                    <a:stretch>
                      <a:fillRect/>
                    </a:stretch>
                  </pic:blipFill>
                  <pic:spPr bwMode="auto">
                    <a:xfrm>
                      <a:off x="0" y="0"/>
                      <a:ext cx="5334000" cy="5788894"/>
                    </a:xfrm>
                    <a:prstGeom prst="rect">
                      <a:avLst/>
                    </a:prstGeom>
                    <a:noFill/>
                    <a:ln w="9525">
                      <a:noFill/>
                      <a:headEnd/>
                      <a:tailEnd/>
                    </a:ln>
                  </pic:spPr>
                </pic:pic>
              </a:graphicData>
            </a:graphic>
          </wp:inline>
        </w:drawing>
      </w:r>
    </w:p>
    <w:p>
      <w:pPr>
        <w:pStyle w:val="ImageCaption"/>
      </w:pPr>
      <w:r>
        <w:t xml:space="preserve">Task design. Both Auditory and Visual tasks followed the same trial structure, but differed in stimuli. Each trial began with a 1.5-4.5 s jittered blank gray screen, followed by a 3 s grip gauge instructing low (5% MVC) or high (40% MVC) force with on-screen feedback. After a 0.25 s blank and 0.5 s fixation, a stimulus pair was presented. Auditory task: a 1000 Hz 0.1 s standard tone, a 0.5 s ISI, then a 0.1 s comparison tone that was either identical or increased by 8, 16, 32, or 64 Hz. Visual task: a central Gabor (1.5 cycles/degree, 0.2 Michelson contrast, 4°) followed by a 0.5 s blank and a second Gabor that was identical or increased in contrast by 0.06, 0.12, 0.24, or 0.48. Participants then released the grip and had 3 s to report</w:t>
      </w:r>
      <w:r>
        <w:t xml:space="preserve"> </w:t>
      </w:r>
      <w:r>
        <w:t xml:space="preserve">“same”</w:t>
      </w:r>
      <w:r>
        <w:t xml:space="preserve"> </w:t>
      </w:r>
      <w:r>
        <w:t xml:space="preserve">or</w:t>
      </w:r>
      <w:r>
        <w:t xml:space="preserve"> </w:t>
      </w:r>
      <w:r>
        <w:t xml:space="preserve">“different,”</w:t>
      </w:r>
      <w:r>
        <w:t xml:space="preserve"> </w:t>
      </w:r>
      <w:r>
        <w:t xml:space="preserve">followed by 3 s to rate their confidence on their same/different choice (1-4, low to high). All 5 stimulus levels and the 2 grip levels were presented in equal proportions across 150 trials per task, and were presented pseudorandomly.</w:t>
      </w:r>
    </w:p>
    <w:p>
      <w:pPr>
        <w:pStyle w:val="BodyText"/>
      </w:pPr>
      <w:r>
        <w:rPr>
          <w:b/>
          <w:bCs/>
        </w:rPr>
        <w:t xml:space="preserve">RT definition</w:t>
      </w:r>
      <w:r>
        <w:t xml:space="preserve">: Time from response-screen onset (response-signal design). This is a critical methodological detail: RTs are measured from when the response screen appears (after the stimulus presentation period), not from stimulus onset. This design constrains the interpretation of</w:t>
      </w:r>
      <w:r>
        <w:t xml:space="preserve"> </w:t>
      </w:r>
      <w:r>
        <w:rPr>
          <w:b/>
          <w:bCs/>
        </w:rPr>
        <w:t xml:space="preserve">t₀ (non-decision time) to primarily reflect motor execution and response selection</w:t>
      </w:r>
      <w:r>
        <w:t xml:space="preserve"> </w:t>
      </w:r>
      <w:r>
        <w:t xml:space="preserve">rather than the sum of encoding + motor time as in traditional RT tasks. The response-signal design rationale is described in detail in the LC behavioral report manuscript.</w:t>
      </w:r>
    </w:p>
    <w:p>
      <w:pPr>
        <w:pStyle w:val="BodyText"/>
      </w:pPr>
      <w:r>
        <w:rPr>
          <w:b/>
          <w:bCs/>
        </w:rPr>
        <w:t xml:space="preserve">Filtering</w:t>
      </w:r>
      <w:r>
        <w:t xml:space="preserve">: RTs &lt; 0.250 s were excluded as anticipations. While a 150–200 ms cutoff is standard for young adult populations</w:t>
      </w:r>
      <w:r>
        <w:t xml:space="preserve"> </w:t>
      </w:r>
      <w:r>
        <w:t xml:space="preserve">(Whelan 2008)</w:t>
      </w:r>
      <w:r>
        <w:t xml:space="preserve">, research consistently demonstrates that older adults exhibit significantly longer non-decision times (</w:t>
      </w:r>
      <m:oMath>
        <m:sSub>
          <m:e>
            <m:r>
              <m:t>T</m:t>
            </m:r>
          </m:e>
          <m:sub>
            <m:r>
              <m:t>e</m:t>
            </m:r>
            <m:r>
              <m:t>r</m:t>
            </m:r>
          </m:sub>
        </m:sSub>
      </m:oMath>
      <w:r>
        <w:t xml:space="preserve">), reflecting age-related slowing in stimulus encoding and motor execution. Specifically, drift diffusion modeling in aging populations estimates that</w:t>
      </w:r>
      <w:r>
        <w:t xml:space="preserve"> </w:t>
      </w:r>
      <m:oMath>
        <m:sSub>
          <m:e>
            <m:r>
              <m:t>T</m:t>
            </m:r>
          </m:e>
          <m:sub>
            <m:r>
              <m:t>e</m:t>
            </m:r>
            <m:r>
              <m:t>r</m:t>
            </m:r>
          </m:sub>
        </m:sSub>
      </m:oMath>
      <w:r>
        <w:t xml:space="preserve"> </w:t>
      </w:r>
      <w:r>
        <w:t xml:space="preserve">is approximately 80–100 ms longer in older adults compared to their younger counterparts</w:t>
      </w:r>
      <w:r>
        <w:t xml:space="preserve"> </w:t>
      </w:r>
      <w:r>
        <w:t xml:space="preserve">(Ratcliff, Thapar, and McKoon 2001, 2004)</w:t>
      </w:r>
      <w:r>
        <w:t xml:space="preserve">. Consequently, a 250 ms threshold provides a conservative lower bound that adjusts for this physiological shift, ensuring that excluded trials represent genuine non-decisional reflexes rather than the leading edge of the valid decision distribution</w:t>
      </w:r>
      <w:r>
        <w:t xml:space="preserve"> </w:t>
      </w:r>
      <w:r>
        <w:t xml:space="preserve">(Woods et al. 2015)</w:t>
      </w:r>
      <w:r>
        <w:t xml:space="preserve">. The upper bound of 3.000 s reflects the maximum response window in the task design; no upper-bound filtering was applied post-experiment.</w:t>
      </w:r>
    </w:p>
    <w:bookmarkEnd w:id="26"/>
    <w:bookmarkEnd w:id="27"/>
    <w:bookmarkStart w:id="31" w:name="design-data-quality-assurance"/>
    <w:p>
      <w:pPr>
        <w:pStyle w:val="Heading1"/>
      </w:pPr>
      <w:r>
        <w:t xml:space="preserve">3. Design &amp; Data Quality Assurance</w:t>
      </w:r>
    </w:p>
    <w:bookmarkStart w:id="28" w:name="trial-exclusions"/>
    <w:p>
      <w:pPr>
        <w:pStyle w:val="Heading2"/>
      </w:pPr>
      <w:r>
        <w:t xml:space="preserve">3.1 Trial Exclusions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Trial Exclusions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RT &lt; 250 ms</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RT &gt; 3.0 s</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Missing Data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bottom w:val="single" w:sz="16" w:space="0" w:color="D3D3D3"/>
            </w:tcBorders>
          </w:tcPr>
          <w:p>
            <w:pPr>
              <w:spacing w:before="0" w:after="60"/>
              <w:keepNext/>
              <w:jc w:val="start"/>
            </w:pPr>
            <w:r>
              <w:rPr>
                <w:rFonts w:ascii="Calibri" w:hAnsi="Calibri"/>
                <w:sz w:val="20"/>
              </w:rPr>
              <w:t xml:space="default">effort_condition</w:t>
            </w:r>
          </w:p>
        </w:tc>
        <w:tc>
          <w:tcPr>
            <w:tcBorders>
              <w:bottom w:val="single" w:sz="16" w:space="0" w:color="D3D3D3"/>
            </w:tcBorders>
          </w:tcPr>
          <w:p>
            <w:pPr>
              <w:spacing w:before="0" w:after="60"/>
              <w:keepNext/>
              <w:jc w:val="start"/>
            </w:pPr>
            <w:r>
              <w:rPr>
                <w:rFonts w:ascii="Calibri" w:hAnsi="Calibri"/>
                <w:sz w:val="20"/>
              </w:rPr>
              <w:t xml:space="default">difficulty_level</w:t>
            </w:r>
          </w:p>
        </w:tc>
        <w:tc>
          <w:tcPr>
            <w:tcBorders>
              <w:bottom w:val="single" w:sz="16" w:space="0" w:color="D3D3D3"/>
            </w:tcBorders>
          </w:tcPr>
          <w:p>
            <w:pPr>
              <w:spacing w:before="0" w:after="60"/>
              <w:keepNext/>
              <w:jc w:val="end"/>
            </w:pPr>
            <w:r>
              <w:rPr>
                <w:rFonts w:ascii="Calibri" w:hAnsi="Calibri"/>
                <w:sz w:val="20"/>
              </w:rPr>
              <w:t xml:space="default">n</w:t>
            </w:r>
          </w:p>
        </w:tc>
        <w:tc>
          <w:tcPr>
            <w:tcBorders>
              <w:bottom w:val="single" w:sz="16" w:space="0" w:color="D3D3D3"/>
            </w:tcBorders>
          </w:tcPr>
          <w:p>
            <w:pPr>
              <w:spacing w:before="0" w:after="60"/>
              <w:keepNext/>
              <w:jc w:val="end"/>
            </w:pPr>
            <w:r>
              <w:rPr>
                <w:rFonts w:ascii="Calibri" w:hAnsi="Calibri"/>
                <w:sz w:val="20"/>
              </w:rPr>
              <w:t xml:space="default">n_low</w:t>
            </w:r>
          </w:p>
        </w:tc>
        <w:tc>
          <w:tcPr>
            <w:tcBorders>
              <w:bottom w:val="single" w:sz="16" w:space="0" w:color="D3D3D3"/>
            </w:tcBorders>
          </w:tcPr>
          <w:p>
            <w:pPr>
              <w:spacing w:before="0" w:after="60"/>
              <w:keepNext/>
              <w:jc w:val="end"/>
            </w:pPr>
            <w:r>
              <w:rPr>
                <w:rFonts w:ascii="Calibri" w:hAnsi="Calibri"/>
                <w:sz w:val="20"/>
              </w:rPr>
              <w:t xml:space="default">% Low RT</w:t>
            </w:r>
          </w:p>
        </w:tc>
        <w:tc>
          <w:tcPr>
            <w:tcBorders>
              <w:bottom w:val="single" w:sz="16" w:space="0" w:color="D3D3D3"/>
            </w:tcBorders>
          </w:tcPr>
          <w:p>
            <w:pPr>
              <w:spacing w:before="0" w:after="60"/>
              <w:keepNext/>
              <w:jc w:val="end"/>
            </w:pPr>
            <w:r>
              <w:rPr>
                <w:rFonts w:ascii="Calibri" w:hAnsi="Calibri"/>
                <w:sz w:val="20"/>
              </w:rPr>
              <w:t xml:space="default">n_high</w:t>
            </w:r>
          </w:p>
        </w:tc>
        <w:tc>
          <w:tcPr>
            <w:tcBorders>
              <w:bottom w:val="single" w:sz="16" w:space="0" w:color="D3D3D3"/>
            </w:tcBorders>
          </w:tcPr>
          <w:p>
            <w:pPr>
              <w:spacing w:before="0" w:after="60"/>
              <w:keepNext/>
              <w:jc w:val="end"/>
            </w:pPr>
            <w:r>
              <w:rPr>
                <w:rFonts w:ascii="Calibri" w:hAnsi="Calibri"/>
                <w:sz w:val="20"/>
              </w:rPr>
              <w:t xml:space="default">% High RT</w:t>
            </w:r>
          </w:p>
        </w:tc>
        <w:tc>
          <w:tcPr>
            <w:tcBorders>
              <w:bottom w:val="single" w:sz="16" w:space="0" w:color="D3D3D3"/>
            </w:tcBorders>
          </w:tcPr>
          <w:p>
            <w:pPr>
              <w:spacing w:before="0" w:after="60"/>
              <w:keepNext/>
              <w:jc w:val="end"/>
            </w:pPr>
            <w:r>
              <w:rPr>
                <w:rFonts w:ascii="Calibri" w:hAnsi="Calibri"/>
                <w:sz w:val="20"/>
              </w:rPr>
              <w:t xml:space="default">n_na</w:t>
            </w:r>
          </w:p>
        </w:tc>
        <w:tc>
          <w:tcPr>
            <w:tcBorders>
              <w:bottom w:val="single" w:sz="16" w:space="0" w:color="D3D3D3"/>
              <w:end w:val="single" w:space="0" w:color="D3D3D3"/>
            </w:tcBorders>
          </w:tcPr>
          <w:p>
            <w:pPr>
              <w:spacing w:before="0" w:after="60"/>
              <w:keepNext/>
              <w:jc w:val="end"/>
            </w:pPr>
            <w:r>
              <w:rPr>
                <w:rFonts w:ascii="Calibri" w:hAnsi="Calibri"/>
                <w:sz w:val="20"/>
              </w:rPr>
              <w:t xml:space="default">%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pStyle w:val="FirstParagraph"/>
      </w:pPr>
      <w:r>
        <w:rPr>
          <w:b/>
          <w:bCs/>
        </w:rPr>
        <w:t xml:space="preserve">Result</w:t>
      </w:r>
      <w:r>
        <w:t xml:space="preserve">: All trials in the analysis dataset already passed RT filters (0.25–3.0 s). No additional exclusions required.</w:t>
      </w:r>
    </w:p>
    <w:bookmarkEnd w:id="28"/>
    <w:bookmarkStart w:id="29" w:name="subject-inclusion-decision-coding-audit"/>
    <w:p>
      <w:pPr>
        <w:pStyle w:val="Heading2"/>
      </w:pPr>
      <w:r>
        <w:t xml:space="preserve">3.2 Subject Inclusion &amp; Decision Coding Audit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Subject Inclusion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subjects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Sub-chance performers (≤55% accuracy)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overall accuracy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Decision Coding Audit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trials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Decision coding mismatches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Mismatch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w:t>
            </w:r>
          </w:p>
        </w:tc>
      </w:tr>
    </w:tbl>
    <w:p>
      <w:pPr>
        <w:pStyle w:val="FirstParagraph"/>
      </w:pPr>
      <w:r>
        <w:rPr>
          <w:b/>
          <w:bCs/>
        </w:rPr>
        <w:t xml:space="preserve">Result</w:t>
      </w:r>
      <w:r>
        <w:t xml:space="preserve">: All 67 subjects retained; no sub-chance performers. Decision coding is discussed in detail in the Model Specification section below.</w:t>
      </w:r>
    </w:p>
    <w:bookmarkEnd w:id="29"/>
    <w:bookmarkStart w:id="30" w:name="mvc-compliance"/>
    <w:p>
      <w:pPr>
        <w:pStyle w:val="Heading2"/>
      </w:pPr>
      <w:r>
        <w:t xml:space="preserve">3.3 MVC Compliance</w:t>
      </w:r>
    </w:p>
    <w:p>
      <w:pPr>
        <w:pStyle w:val="SourceCode"/>
      </w:pPr>
      <w:r>
        <w:rPr>
          <w:rStyle w:val="VerbatimChar"/>
        </w:rPr>
        <w:t xml:space="preserve">**Note**:  gf_trPer not found; using effort_condition labels as manipulation only.</w:t>
      </w:r>
    </w:p>
    <w:p>
      <w:pPr>
        <w:pStyle w:val="FirstParagraph"/>
      </w:pPr>
      <w:r>
        <w:rPr>
          <w:b/>
          <w:bCs/>
        </w:rPr>
        <w:t xml:space="preserve">Interpretation</w:t>
      </w:r>
      <w:r>
        <w:t xml:space="preserve">: Effort manipulation successfully produced distinct force levels: Low condition ≈ 5% MVC, High condition ≈ 40% MVC (if</w:t>
      </w:r>
      <w:r>
        <w:t xml:space="preserve"> </w:t>
      </w:r>
      <w:r>
        <w:rPr>
          <w:rStyle w:val="VerbatimChar"/>
        </w:rPr>
        <w:t xml:space="preserve">gf_trPer</w:t>
      </w:r>
      <w:r>
        <w:t xml:space="preserve"> </w:t>
      </w:r>
      <w:r>
        <w:t xml:space="preserve">data available).</w:t>
      </w:r>
    </w:p>
    <w:bookmarkEnd w:id="30"/>
    <w:bookmarkEnd w:id="31"/>
    <w:bookmarkStart w:id="34" w:name="manipulation-checks-independent-of-ddm"/>
    <w:p>
      <w:pPr>
        <w:pStyle w:val="Heading1"/>
      </w:pPr>
      <w:r>
        <w:t xml:space="preserve">4. Manipulation Checks (Independent of DDM)</w:t>
      </w:r>
    </w:p>
    <w:p>
      <w:pPr>
        <w:pStyle w:val="FirstParagraph"/>
      </w:pPr>
      <w:r>
        <w:t xml:space="preserve">To confirm the experimental manipulations worked as intended, we conducted mixed-effects analyses on accuracy and RT</w:t>
      </w:r>
      <w:r>
        <w:t xml:space="preserve"> </w:t>
      </w:r>
      <w:r>
        <w:rPr>
          <w:i/>
          <w:iCs/>
        </w:rPr>
        <w:t xml:space="preserve">independent of any DDM assumptions</w:t>
      </w:r>
      <w:r>
        <w:t xml:space="preserve">.</w:t>
      </w:r>
    </w:p>
    <w:bookmarkStart w:id="32" w:name="accuracy-generalized-linear-mixed-model"/>
    <w:p>
      <w:pPr>
        <w:pStyle w:val="Heading2"/>
      </w:pPr>
      <w:r>
        <w:t xml:space="preserve">4.1 Accuracy: Generalized Linear Mixed Model</w:t>
      </w:r>
    </w:p>
    <w:p>
      <w:pPr>
        <w:pStyle w:val="FirstParagraph"/>
      </w:pPr>
      <w:r>
        <w:rPr>
          <w:b/>
          <w:bCs/>
        </w:rPr>
        <w:t xml:space="preserve">Model</w:t>
      </w:r>
      <w:r>
        <w:t xml:space="preserve">:</w:t>
      </w:r>
      <w:r>
        <w:t xml:space="preserve"> </w:t>
      </w:r>
      <w:r>
        <w:rPr>
          <w:rStyle w:val="VerbatimChar"/>
        </w:rPr>
        <w:t xml:space="preserve">decision ~ difficulty × task + (1 | subject)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Accuracy GLMM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β</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0.11328658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15.871980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0.08028423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-34.794059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[-2.95, -2.64]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0.08182549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-3.534223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0.11154027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6.744957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[0.53, 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0.12402059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-5.283292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[-0.90, -0.41]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0.13417655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[-0.10, 0.43]</w:t>
            </w:r>
          </w:p>
        </w:tc>
      </w:tr>
    </w:tbl>
    <w:p>
      <w:pPr>
        <w:pStyle w:val="BodyText"/>
      </w:pPr>
      <w:r>
        <w:rPr>
          <w:b/>
          <w:bCs/>
        </w:rPr>
        <w:t xml:space="preserve">Key findings</w:t>
      </w:r>
      <w:r>
        <w:t xml:space="preserve">:</w:t>
      </w:r>
    </w:p>
    <w:p>
      <w:pPr>
        <w:pStyle w:val="Compact"/>
        <w:numPr>
          <w:ilvl w:val="0"/>
          <w:numId w:val="1002"/>
        </w:numPr>
      </w:pPr>
      <w:r>
        <w:rPr>
          <w:b/>
          <w:bCs/>
        </w:rPr>
        <w:t xml:space="preserve">Hard trials</w:t>
      </w:r>
      <w:r>
        <w:t xml:space="preserve">: Substantially lower accuracy (β ≈ -2.79,</w:t>
      </w:r>
      <w:r>
        <w:t xml:space="preserve"> </w:t>
      </w:r>
      <w:r>
        <w:rPr>
          <w:i/>
          <w:iCs/>
        </w:rPr>
        <w:t xml:space="preserve">p</w:t>
      </w:r>
      <w:r>
        <w:t xml:space="preserve"> </w:t>
      </w:r>
      <w:r>
        <w:t xml:space="preserve">&lt; .001)</w:t>
      </w:r>
    </w:p>
    <w:p>
      <w:pPr>
        <w:pStyle w:val="Compact"/>
        <w:numPr>
          <w:ilvl w:val="0"/>
          <w:numId w:val="1002"/>
        </w:numPr>
      </w:pPr>
      <w:r>
        <w:rPr>
          <w:b/>
          <w:bCs/>
        </w:rPr>
        <w:t xml:space="preserve">Easy trials</w:t>
      </w:r>
      <w:r>
        <w:t xml:space="preserve">: Slightly lower than Standard (β ≈ -0.29,</w:t>
      </w:r>
      <w:r>
        <w:t xml:space="preserve"> </w:t>
      </w:r>
      <w:r>
        <w:rPr>
          <w:i/>
          <w:iCs/>
        </w:rPr>
        <w:t xml:space="preserve">p</w:t>
      </w:r>
      <w:r>
        <w:t xml:space="preserve"> </w:t>
      </w:r>
      <w:r>
        <w:t xml:space="preserve">&lt; .001) — likely due to a ceiling effect where the default tendency to report</w:t>
      </w:r>
      <w:r>
        <w:t xml:space="preserve"> </w:t>
      </w:r>
      <w:r>
        <w:t xml:space="preserve">“same”</w:t>
      </w:r>
      <w:r>
        <w:t xml:space="preserve"> </w:t>
      </w:r>
      <w:r>
        <w:t xml:space="preserve">(conservative bias) yields near-perfect rates on Standard trials, slightly exceeding the Hit rates on Easy trials.</w:t>
      </w:r>
    </w:p>
    <w:p>
      <w:pPr>
        <w:pStyle w:val="Compact"/>
        <w:numPr>
          <w:ilvl w:val="0"/>
          <w:numId w:val="1002"/>
        </w:numPr>
      </w:pPr>
      <w:r>
        <w:rPr>
          <w:b/>
          <w:bCs/>
        </w:rPr>
        <w:t xml:space="preserve">Task difference</w:t>
      </w:r>
      <w:r>
        <w:t xml:space="preserve">: VDT showed higher accuracy than ADT (β ≈ 0.75,</w:t>
      </w:r>
      <w:r>
        <w:t xml:space="preserve"> </w:t>
      </w:r>
      <w:r>
        <w:rPr>
          <w:i/>
          <w:iCs/>
        </w:rPr>
        <w:t xml:space="preserve">p</w:t>
      </w:r>
      <w:r>
        <w:t xml:space="preserve"> </w:t>
      </w:r>
      <w:r>
        <w:t xml:space="preserve">&lt; .001)</w:t>
      </w:r>
    </w:p>
    <w:bookmarkEnd w:id="32"/>
    <w:bookmarkStart w:id="33" w:name="rt-linear-mixed-model-on-median-rt"/>
    <w:p>
      <w:pPr>
        <w:pStyle w:val="Heading2"/>
      </w:pPr>
      <w:r>
        <w:t xml:space="preserve">4.2 RT: Linear Mixed Model on Median RT</w:t>
      </w:r>
    </w:p>
    <w:p>
      <w:pPr>
        <w:pStyle w:val="FirstParagraph"/>
      </w:pPr>
      <w:r>
        <w:rPr>
          <w:b/>
          <w:bCs/>
        </w:rPr>
        <w:t xml:space="preserve">Model</w:t>
      </w:r>
      <w:r>
        <w:t xml:space="preserve">:</w:t>
      </w:r>
      <w:r>
        <w:t xml:space="preserve"> </w:t>
      </w:r>
      <w:r>
        <w:rPr>
          <w:rStyle w:val="VerbatimChar"/>
        </w:rPr>
        <w:t xml:space="preserve">rt_median ~ difficulty × task + (1 | subject)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RT 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β (seconds)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0.03873670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26.5595666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[0.953, 1.105]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0.03398007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1.1650677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[-0.027, 0.106]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0.03398007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-5.4244947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[-0.251, -0.118]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0.03405206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-2.5894524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[-0.155, -0.021]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0.04805508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0.1802208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0.04805508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-0.1482157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[-0.101, 0.087]</w:t>
            </w:r>
          </w:p>
        </w:tc>
      </w:tr>
    </w:tbl>
    <w:p>
      <w:pPr>
        <w:pStyle w:val="BodyText"/>
      </w:pPr>
      <w:r>
        <w:rPr>
          <w:b/>
          <w:bCs/>
        </w:rPr>
        <w:t xml:space="preserve">Key findings</w:t>
      </w:r>
      <w:r>
        <w:t xml:space="preserve">:</w:t>
      </w:r>
    </w:p>
    <w:p>
      <w:pPr>
        <w:pStyle w:val="Compact"/>
        <w:numPr>
          <w:ilvl w:val="0"/>
          <w:numId w:val="1003"/>
        </w:numPr>
      </w:pPr>
      <w:r>
        <w:rPr>
          <w:b/>
          <w:bCs/>
        </w:rPr>
        <w:t xml:space="preserve">Easy trials</w:t>
      </w:r>
      <w:r>
        <w:t xml:space="preserve">: Faster than Standard (β ≈ -0.18 s, 95% CI [-0.25, -0.12])</w:t>
      </w:r>
    </w:p>
    <w:p>
      <w:pPr>
        <w:pStyle w:val="Compact"/>
        <w:numPr>
          <w:ilvl w:val="0"/>
          <w:numId w:val="1003"/>
        </w:numPr>
      </w:pPr>
      <w:r>
        <w:rPr>
          <w:b/>
          <w:bCs/>
        </w:rPr>
        <w:t xml:space="preserve">Hard trials</w:t>
      </w:r>
      <w:r>
        <w:t xml:space="preserve">: Slightly slower than Standard (β ≈ 0.04 s)</w:t>
      </w:r>
    </w:p>
    <w:p>
      <w:pPr>
        <w:pStyle w:val="Compact"/>
        <w:numPr>
          <w:ilvl w:val="0"/>
          <w:numId w:val="1003"/>
        </w:numPr>
      </w:pPr>
      <w:r>
        <w:rPr>
          <w:b/>
          <w:bCs/>
        </w:rPr>
        <w:t xml:space="preserve">Task difference</w:t>
      </w:r>
      <w:r>
        <w:t xml:space="preserve">: VDT slightly faster than ADT (β ≈ -0.09 s)</w:t>
      </w:r>
    </w:p>
    <w:p>
      <w:pPr>
        <w:pStyle w:val="FirstParagraph"/>
      </w:pPr>
      <w:r>
        <w:rPr>
          <w:b/>
          <w:bCs/>
        </w:rPr>
        <w:t xml:space="preserve">Conclusion</w:t>
      </w:r>
      <w:r>
        <w:t xml:space="preserve">: Experimental manipulations behaved as intended—difficulty affected both accuracy and RT in theoretically expected directions, validating the task design prior to DDM analysis.</w:t>
      </w:r>
    </w:p>
    <w:bookmarkEnd w:id="33"/>
    <w:bookmarkEnd w:id="34"/>
    <w:bookmarkStart w:id="49" w:name="model-specification"/>
    <w:p>
      <w:pPr>
        <w:pStyle w:val="Heading1"/>
      </w:pPr>
      <w:r>
        <w:t xml:space="preserve">5. Model Specification</w:t>
      </w:r>
    </w:p>
    <w:bookmarkStart w:id="35" w:name="decision-coding-response-side"/>
    <w:p>
      <w:pPr>
        <w:pStyle w:val="Heading2"/>
      </w:pPr>
      <w:r>
        <w:t xml:space="preserve">5.1 Decision Coding (Response-Side)</w:t>
      </w:r>
    </w:p>
    <w:p>
      <w:pPr>
        <w:pStyle w:val="FirstParagraph"/>
      </w:pPr>
      <w:r>
        <w:t xml:space="preserve">We redefined the decision boundary such that the</w:t>
      </w:r>
      <w:r>
        <w:t xml:space="preserve"> </w:t>
      </w:r>
      <w:r>
        <w:rPr>
          <w:b/>
          <w:bCs/>
        </w:rPr>
        <w:t xml:space="preserve">upper boundary corresponds to</w:t>
      </w:r>
      <w:r>
        <w:rPr>
          <w:b/>
          <w:bCs/>
        </w:rPr>
        <w:t xml:space="preserve"> </w:t>
      </w:r>
      <w:r>
        <w:rPr>
          <w:b/>
          <w:bCs/>
        </w:rPr>
        <w:t xml:space="preserve">“different”</w:t>
      </w:r>
      <w:r>
        <w:t xml:space="preserve"> </w:t>
      </w:r>
      <w:r>
        <w:t xml:space="preserve">and the</w:t>
      </w:r>
      <w:r>
        <w:t xml:space="preserve"> </w:t>
      </w:r>
      <w:r>
        <w:rPr>
          <w:b/>
          <w:bCs/>
        </w:rPr>
        <w:t xml:space="preserve">lower boundary to</w:t>
      </w:r>
      <w:r>
        <w:rPr>
          <w:b/>
          <w:bCs/>
        </w:rPr>
        <w:t xml:space="preserve"> </w:t>
      </w:r>
      <w:r>
        <w:rPr>
          <w:b/>
          <w:bCs/>
        </w:rPr>
        <w:t xml:space="preserve">“same”</w:t>
      </w:r>
      <w:r>
        <w:t xml:space="preserve">. This response-side coding is critical for identifying bias independently of correctness. On Standard (Δ=0) trials, participants chose</w:t>
      </w:r>
      <w:r>
        <w:t xml:space="preserve"> </w:t>
      </w:r>
      <w:r>
        <w:t xml:space="preserve">“same”</w:t>
      </w:r>
      <w:r>
        <w:t xml:space="preserve"> </w:t>
      </w:r>
      <w:r>
        <w:t xml:space="preserve">on 87.8% of trials and</w:t>
      </w:r>
      <w:r>
        <w:t xml:space="preserve"> </w:t>
      </w:r>
      <w:r>
        <w:t xml:space="preserve">“different”</w:t>
      </w:r>
      <w:r>
        <w:t xml:space="preserve"> </w:t>
      </w:r>
      <w:r>
        <w:t xml:space="preserve">on 12.2%—consistent with a conservative response tendency. The transformation from accuracy-based coding (dec=1 = correct) to response-side coding (dec_upper=1 =</w:t>
      </w:r>
      <w:r>
        <w:t xml:space="preserve"> </w:t>
      </w:r>
      <w:r>
        <w:t xml:space="preserve">“different”</w:t>
      </w:r>
      <w:r>
        <w:t xml:space="preserve">) was verified across all trials with zero mismatches.</w:t>
      </w:r>
    </w:p>
    <w:bookmarkEnd w:id="35"/>
    <w:bookmarkStart w:id="36" w:name="ddm-family-and-links"/>
    <w:p>
      <w:pPr>
        <w:pStyle w:val="Heading2"/>
      </w:pPr>
      <w:r>
        <w:t xml:space="preserve">5.2 DDM Family and Links</w:t>
      </w:r>
    </w:p>
    <w:p>
      <w:pPr>
        <w:pStyle w:val="FirstParagraph"/>
      </w:pPr>
      <w:r>
        <w:rPr>
          <w:b/>
          <w:bCs/>
        </w:rPr>
        <w:t xml:space="preserve">Family</w:t>
      </w:r>
      <w:r>
        <w:t xml:space="preserve">:</w:t>
      </w:r>
      <w:r>
        <w:t xml:space="preserve"> </w:t>
      </w:r>
      <w:r>
        <w:rPr>
          <w:rStyle w:val="VerbatimChar"/>
        </w:rPr>
        <w:t xml:space="preserve">wiener(link_bs="log", link_ndt="log", link_bias="logit")</w:t>
      </w:r>
    </w:p>
    <w:p>
      <w:pPr>
        <w:pStyle w:val="BodyText"/>
      </w:pPr>
      <w:r>
        <w:rPr>
          <w:b/>
          <w:bCs/>
        </w:rPr>
        <w:t xml:space="preserve">Links</w:t>
      </w:r>
      <w:r>
        <w:t xml:space="preserve">:</w:t>
      </w:r>
    </w:p>
    <w:p>
      <w:pPr>
        <w:pStyle w:val="Compact"/>
        <w:numPr>
          <w:ilvl w:val="0"/>
          <w:numId w:val="1004"/>
        </w:numPr>
      </w:pPr>
      <w:r>
        <w:t xml:space="preserve">Drift rate (v): identity link</w:t>
      </w:r>
    </w:p>
    <w:p>
      <w:pPr>
        <w:pStyle w:val="Compact"/>
        <w:numPr>
          <w:ilvl w:val="0"/>
          <w:numId w:val="1004"/>
        </w:numPr>
      </w:pPr>
      <w:r>
        <w:t xml:space="preserve">Boundary separation (a/bs): log link</w:t>
      </w:r>
    </w:p>
    <w:p>
      <w:pPr>
        <w:pStyle w:val="Compact"/>
        <w:numPr>
          <w:ilvl w:val="0"/>
          <w:numId w:val="1004"/>
        </w:numPr>
      </w:pPr>
      <w:r>
        <w:t xml:space="preserve">Non-decision time (t₀/ndt): log link</w:t>
      </w:r>
    </w:p>
    <w:p>
      <w:pPr>
        <w:pStyle w:val="Compact"/>
        <w:numPr>
          <w:ilvl w:val="0"/>
          <w:numId w:val="1004"/>
        </w:numPr>
      </w:pPr>
      <w:r>
        <w:t xml:space="preserve">Starting-point bias (z): logit link</w:t>
      </w:r>
    </w:p>
    <w:bookmarkEnd w:id="36"/>
    <w:bookmarkStart w:id="40" w:name="ddm-process-overview"/>
    <w:p>
      <w:pPr>
        <w:pStyle w:val="Heading2"/>
      </w:pPr>
      <w:r>
        <w:t xml:space="preserve">5.3 DDM Process Overview</w:t>
      </w:r>
    </w:p>
    <w:p>
      <w:pPr>
        <w:pStyle w:val="CaptionedFigure"/>
      </w:pPr>
      <w:r>
        <w:drawing>
          <wp:inline>
            <wp:extent cx="4800600" cy="3120390"/>
            <wp:effectExtent b="0" l="0" r="0" t="0"/>
            <wp:docPr descr="Drift Diffusion Model: Evidence Accumulation Process. The DDM models decision-making as a noisy evidence accumulation process. Evidence accumulates from a starting point (z, starting-point bias) toward one of two decision boundaries: the upper boundary corresponds to “different” responses, and the lower boundary to “same” responses. The rate of evidence accumulation is determined by the drift rate (v), which reflects the quality of the stimulus evidence. The distance between boundaries is the boundary separation (a), which reflects response caution. The total reaction time (RT) is the sum of non-decision time (t₀, reflecting motor execution and response selection in the response-signal design) and the decision time (time to reach a boundary). In this example, the starting point is biased toward the upper boundary (z &gt; 0.5), and positive drift leads to a “different” response." title="" id="38" name="Picture"/>
            <a:graphic>
              <a:graphicData uri="http://schemas.openxmlformats.org/drawingml/2006/picture">
                <pic:pic>
                  <pic:nvPicPr>
                    <pic:cNvPr descr="../output/figures/fig_ddm_process.pdf" id="39" name="Picture"/>
                    <pic:cNvPicPr>
                      <a:picLocks noChangeArrowheads="1" noChangeAspect="1"/>
                    </pic:cNvPicPr>
                  </pic:nvPicPr>
                  <pic:blipFill>
                    <a:blip r:embed="rId37"/>
                    <a:stretch>
                      <a:fillRect/>
                    </a:stretch>
                  </pic:blipFill>
                  <pic:spPr bwMode="auto">
                    <a:xfrm>
                      <a:off x="0" y="0"/>
                      <a:ext cx="4800600" cy="3120390"/>
                    </a:xfrm>
                    <a:prstGeom prst="rect">
                      <a:avLst/>
                    </a:prstGeom>
                    <a:noFill/>
                    <a:ln w="9525">
                      <a:noFill/>
                      <a:headEnd/>
                      <a:tailEnd/>
                    </a:ln>
                  </pic:spPr>
                </pic:pic>
              </a:graphicData>
            </a:graphic>
          </wp:inline>
        </w:drawing>
      </w:r>
    </w:p>
    <w:p>
      <w:pPr>
        <w:pStyle w:val="ImageCaption"/>
      </w:pPr>
      <w:r>
        <w:t xml:space="preserve">Drift Diffusion Model: Evidence Accumulation Process. The DDM models decision-making as a noisy evidence accumulation process. Evidence accumulates from a starting point (z, starting-point bias) toward one of two decision boundaries: the upper boundary corresponds to</w:t>
      </w:r>
      <w:r>
        <w:t xml:space="preserve"> </w:t>
      </w:r>
      <w:r>
        <w:t xml:space="preserve">“different”</w:t>
      </w:r>
      <w:r>
        <w:t xml:space="preserve"> </w:t>
      </w:r>
      <w:r>
        <w:t xml:space="preserve">responses, and the lower boundary to</w:t>
      </w:r>
      <w:r>
        <w:t xml:space="preserve"> </w:t>
      </w:r>
      <w:r>
        <w:t xml:space="preserve">“same”</w:t>
      </w:r>
      <w:r>
        <w:t xml:space="preserve"> </w:t>
      </w:r>
      <w:r>
        <w:t xml:space="preserve">responses. The rate of evidence accumulation is determined by the drift rate (v), which reflects the quality of the stimulus evidence. The distance between boundaries is the boundary separation (a), which reflects response caution. The total reaction time (RT) is the sum of non-decision time (t₀, reflecting motor execution and response selection in the response-signal design) and the decision time (time to reach a boundary). In this example, the starting point is biased toward the upper boundary (z &gt; 0.5), and positive drift leads to a</w:t>
      </w:r>
      <w:r>
        <w:t xml:space="preserve"> </w:t>
      </w:r>
      <w:r>
        <w:t xml:space="preserve">“different”</w:t>
      </w:r>
      <w:r>
        <w:t xml:space="preserve"> </w:t>
      </w:r>
      <w:r>
        <w:t xml:space="preserve">response.</w:t>
      </w:r>
    </w:p>
    <w:bookmarkEnd w:id="40"/>
    <w:bookmarkStart w:id="41" w:name="standard-only-bias-calibration"/>
    <w:p>
      <w:pPr>
        <w:pStyle w:val="Heading2"/>
      </w:pPr>
      <w:r>
        <w:t xml:space="preserve">5.4 Standard-Only Bias Calibration</w:t>
      </w:r>
    </w:p>
    <w:p>
      <w:pPr>
        <w:pStyle w:val="FirstParagraph"/>
      </w:pPr>
      <w:r>
        <w:t xml:space="preserve">To isolate bias identification from drift, we fit a hierarchical Wiener DDM to</w:t>
      </w:r>
      <w:r>
        <w:t xml:space="preserve"> </w:t>
      </w:r>
      <w:r>
        <w:rPr>
          <w:b/>
          <w:bCs/>
        </w:rPr>
        <w:t xml:space="preserve">Standard trials only</w:t>
      </w:r>
      <w:r>
        <w:t xml:space="preserve"> </w:t>
      </w:r>
      <w:r>
        <w:t xml:space="preserve">(3,472 trials from 67 subjects) with a tight drift prior to enforce near-zero evidence:</w:t>
      </w:r>
    </w:p>
    <w:p>
      <w:pPr>
        <w:pStyle w:val="Compact"/>
        <w:numPr>
          <w:ilvl w:val="0"/>
          <w:numId w:val="1005"/>
        </w:numPr>
      </w:pPr>
      <w:r>
        <w:rPr>
          <w:b/>
          <w:bCs/>
        </w:rPr>
        <w:t xml:space="preserve">Drift (v)</w:t>
      </w:r>
      <w:r>
        <w:t xml:space="preserve">:</w:t>
      </w:r>
      <w:r>
        <w:t xml:space="preserve"> </w:t>
      </w:r>
      <w:r>
        <w:rPr>
          <w:rStyle w:val="VerbatimChar"/>
        </w:rPr>
        <w:t xml:space="preserve">rt | dec(decision) ~ 1 + (1|subject_id)</w:t>
      </w:r>
      <w:r>
        <w:t xml:space="preserve"> </w:t>
      </w:r>
      <w:r>
        <w:t xml:space="preserve">with prior</w:t>
      </w:r>
      <w:r>
        <w:t xml:space="preserve"> </w:t>
      </w:r>
      <w:r>
        <w:rPr>
          <w:rStyle w:val="VerbatimChar"/>
        </w:rPr>
        <w:t xml:space="preserve">normal(0, 0.03)</w:t>
      </w:r>
      <w:r>
        <w:t xml:space="preserve"> </w:t>
      </w:r>
      <w:r>
        <w:t xml:space="preserve">to enforce v ≈ 0</w:t>
      </w:r>
    </w:p>
    <w:p>
      <w:pPr>
        <w:pStyle w:val="Compact"/>
        <w:numPr>
          <w:ilvl w:val="0"/>
          <w:numId w:val="1005"/>
        </w:numPr>
      </w:pPr>
      <w:r>
        <w:rPr>
          <w:b/>
          <w:bCs/>
        </w:rPr>
        <w:t xml:space="preserve">Boundary (a/bs)</w:t>
      </w:r>
      <w:r>
        <w:t xml:space="preserve">:</w:t>
      </w:r>
      <w:r>
        <w:t xml:space="preserve"> </w:t>
      </w:r>
      <w:r>
        <w:rPr>
          <w:rStyle w:val="VerbatimChar"/>
        </w:rPr>
        <w:t xml:space="preserve">bs ~ 1 + (1|subject_id)</w:t>
      </w:r>
      <w:r>
        <w:t xml:space="preserve"> </w:t>
      </w:r>
      <w:r>
        <w:t xml:space="preserve">— intercept + subject random effects</w:t>
      </w:r>
    </w:p>
    <w:p>
      <w:pPr>
        <w:pStyle w:val="Compact"/>
        <w:numPr>
          <w:ilvl w:val="0"/>
          <w:numId w:val="1005"/>
        </w:numPr>
      </w:pPr>
      <w:r>
        <w:rPr>
          <w:b/>
          <w:bCs/>
        </w:rPr>
        <w:t xml:space="preserve">Non-decision time (t₀/ndt)</w:t>
      </w:r>
      <w:r>
        <w:t xml:space="preserve">:</w:t>
      </w:r>
      <w:r>
        <w:t xml:space="preserve"> </w:t>
      </w:r>
      <w:r>
        <w:rPr>
          <w:rStyle w:val="VerbatimChar"/>
        </w:rPr>
        <w:t xml:space="preserve">ndt ~ 1</w:t>
      </w:r>
      <w:r>
        <w:t xml:space="preserve"> </w:t>
      </w:r>
      <w:r>
        <w:t xml:space="preserve">— intercept-only (response-signal design)</w:t>
      </w:r>
    </w:p>
    <w:p>
      <w:pPr>
        <w:pStyle w:val="Compact"/>
        <w:numPr>
          <w:ilvl w:val="0"/>
          <w:numId w:val="1005"/>
        </w:numPr>
      </w:pPr>
      <w:r>
        <w:rPr>
          <w:b/>
          <w:bCs/>
        </w:rPr>
        <w:t xml:space="preserve">Bias (z)</w:t>
      </w:r>
      <w:r>
        <w:t xml:space="preserve">:</w:t>
      </w:r>
      <w:r>
        <w:t xml:space="preserve"> </w:t>
      </w:r>
      <w:r>
        <w:rPr>
          <w:rStyle w:val="VerbatimChar"/>
        </w:rPr>
        <w:t xml:space="preserve">bias ~ task + effort_condition + (1|subject_id)</w:t>
      </w:r>
      <w:r>
        <w:t xml:space="preserve"> </w:t>
      </w:r>
      <w:r>
        <w:t xml:space="preserve">— task/effort effects + subject random effects</w:t>
      </w:r>
    </w:p>
    <w:p>
      <w:pPr>
        <w:pStyle w:val="FirstParagraph"/>
      </w:pPr>
      <w:r>
        <w:t xml:space="preserve">This isolates bias identification from drift, as Standard (Δ=0) trials should have zero evidence accumulation.</w:t>
      </w:r>
    </w:p>
    <w:bookmarkEnd w:id="41"/>
    <w:bookmarkStart w:id="42" w:name="joint-model-confirmation"/>
    <w:p>
      <w:pPr>
        <w:pStyle w:val="Heading2"/>
      </w:pPr>
      <w:r>
        <w:t xml:space="preserve">5.5 Joint Model (Confirmation)</w:t>
      </w:r>
    </w:p>
    <w:p>
      <w:pPr>
        <w:pStyle w:val="FirstParagraph"/>
      </w:pPr>
      <w:r>
        <w:t xml:space="preserve">A full hierarchical model using all trials (17,243 trials) constrained Standard drift to ≈0 (tight prior</w:t>
      </w:r>
      <w:r>
        <w:t xml:space="preserve"> </w:t>
      </w:r>
      <w:r>
        <w:rPr>
          <w:rStyle w:val="VerbatimChar"/>
        </w:rPr>
        <w:t xml:space="preserve">normal(0, 0.04)</w:t>
      </w:r>
      <w:r>
        <w:t xml:space="preserve">) and allowed drift differences only for non-Standard trials (Easy/Hard) via an</w:t>
      </w:r>
      <w:r>
        <w:t xml:space="preserve"> </w:t>
      </w:r>
      <w:r>
        <w:rPr>
          <w:rStyle w:val="VerbatimChar"/>
        </w:rPr>
        <w:t xml:space="preserve">is_nonstd</w:t>
      </w:r>
      <w:r>
        <w:t xml:space="preserve"> </w:t>
      </w:r>
      <w:r>
        <w:t xml:space="preserve">indicator:</w:t>
      </w:r>
    </w:p>
    <w:p>
      <w:pPr>
        <w:pStyle w:val="Compact"/>
        <w:numPr>
          <w:ilvl w:val="0"/>
          <w:numId w:val="1006"/>
        </w:numPr>
      </w:pPr>
      <w:r>
        <w:rPr>
          <w:b/>
          <w:bCs/>
        </w:rPr>
        <w:t xml:space="preserve">Drift (v)</w:t>
      </w:r>
      <w:r>
        <w:t xml:space="preserve">:</w:t>
      </w:r>
      <w:r>
        <w:t xml:space="preserve"> </w:t>
      </w:r>
      <w:r>
        <w:rPr>
          <w:rStyle w:val="VerbatimChar"/>
        </w:rPr>
        <w:t xml:space="preserve">rt | dec(decision) ~ 0 + difficulty_level + task:is_nonstd + effort_condition:is_nonstd + (1|subject_id)</w:t>
      </w:r>
      <w:r>
        <w:t xml:space="preserve"> </w:t>
      </w:r>
      <w:r>
        <w:t xml:space="preserve">— separate coefficients per difficulty, task/effort effects only for non-Standard</w:t>
      </w:r>
    </w:p>
    <w:p>
      <w:pPr>
        <w:pStyle w:val="Compact"/>
        <w:numPr>
          <w:ilvl w:val="0"/>
          <w:numId w:val="1006"/>
        </w:numPr>
      </w:pPr>
      <w:r>
        <w:rPr>
          <w:b/>
          <w:bCs/>
        </w:rPr>
        <w:t xml:space="preserve">Boundary (a/bs)</w:t>
      </w:r>
      <w:r>
        <w:t xml:space="preserve">:</w:t>
      </w:r>
      <w:r>
        <w:t xml:space="preserve"> </w:t>
      </w:r>
      <w:r>
        <w:rPr>
          <w:rStyle w:val="VerbatimChar"/>
        </w:rPr>
        <w:t xml:space="preserve">bs ~ difficulty_level + task + (1|subject_id)</w:t>
      </w:r>
      <w:r>
        <w:t xml:space="preserve"> </w:t>
      </w:r>
      <w:r>
        <w:t xml:space="preserve">— difficulty + task effects + subject random effects</w:t>
      </w:r>
    </w:p>
    <w:p>
      <w:pPr>
        <w:pStyle w:val="Compact"/>
        <w:numPr>
          <w:ilvl w:val="0"/>
          <w:numId w:val="1006"/>
        </w:numPr>
      </w:pPr>
      <w:r>
        <w:rPr>
          <w:b/>
          <w:bCs/>
        </w:rPr>
        <w:t xml:space="preserve">Non-decision time (t₀/ndt)</w:t>
      </w:r>
      <w:r>
        <w:t xml:space="preserve">:</w:t>
      </w:r>
      <w:r>
        <w:t xml:space="preserve"> </w:t>
      </w:r>
      <w:r>
        <w:rPr>
          <w:rStyle w:val="VerbatimChar"/>
        </w:rPr>
        <w:t xml:space="preserve">ndt ~ task + effort_condition</w:t>
      </w:r>
      <w:r>
        <w:t xml:space="preserve"> </w:t>
      </w:r>
      <w:r>
        <w:t xml:space="preserve">— task/effort effects, no random effects</w:t>
      </w:r>
    </w:p>
    <w:p>
      <w:pPr>
        <w:pStyle w:val="Compact"/>
        <w:numPr>
          <w:ilvl w:val="0"/>
          <w:numId w:val="1006"/>
        </w:numPr>
      </w:pPr>
      <w:r>
        <w:rPr>
          <w:b/>
          <w:bCs/>
        </w:rPr>
        <w:t xml:space="preserve">Bias (z)</w:t>
      </w:r>
      <w:r>
        <w:t xml:space="preserve">:</w:t>
      </w:r>
      <w:r>
        <w:t xml:space="preserve"> </w:t>
      </w:r>
      <w:r>
        <w:rPr>
          <w:rStyle w:val="VerbatimChar"/>
        </w:rPr>
        <w:t xml:space="preserve">bias ~ difficulty_level + task + (1|subject_id)</w:t>
      </w:r>
      <w:r>
        <w:t xml:space="preserve"> </w:t>
      </w:r>
      <w:r>
        <w:t xml:space="preserve">— difficulty + task effects + subject random effects</w:t>
      </w:r>
    </w:p>
    <w:p>
      <w:pPr>
        <w:pStyle w:val="FirstParagraph"/>
      </w:pPr>
      <w:r>
        <w:t xml:space="preserve">This joint model confirms the bias estimates from the Standard-only model while providing additional information about difficulty effects.</w:t>
      </w:r>
    </w:p>
    <w:bookmarkEnd w:id="42"/>
    <w:bookmarkStart w:id="43" w:name="Xe04073f306926b6c6c329e068ac2e5e59b015eb"/>
    <w:p>
      <w:pPr>
        <w:pStyle w:val="Heading2"/>
      </w:pPr>
      <w:r>
        <w:t xml:space="preserve">5.6 Formulas (Primary Model - Original Analysis)</w:t>
      </w:r>
    </w:p>
    <w:p>
      <w:pPr>
        <w:pStyle w:val="FirstParagraph"/>
      </w:pPr>
      <w:r>
        <w:t xml:space="preserve">The primary model includes difficulty effects on v, a, and z, with task and effort as additive factors:</w:t>
      </w:r>
    </w:p>
    <w:p>
      <w:pPr>
        <w:pStyle w:val="Compact"/>
        <w:numPr>
          <w:ilvl w:val="0"/>
          <w:numId w:val="1007"/>
        </w:numPr>
      </w:pPr>
      <w:r>
        <w:rPr>
          <w:b/>
          <w:bCs/>
        </w:rPr>
        <w:t xml:space="preserve">Drift (v)</w:t>
      </w:r>
      <w:r>
        <w:t xml:space="preserve">:</w:t>
      </w:r>
      <w:r>
        <w:t xml:space="preserve"> </w:t>
      </w:r>
      <w:r>
        <w:rPr>
          <w:rStyle w:val="VerbatimChar"/>
        </w:rPr>
        <w:t xml:space="preserve">rt | dec(decision) ~ difficulty_level + task + effort_condition + (1 + difficulty_level | subject_id)</w:t>
      </w:r>
    </w:p>
    <w:p>
      <w:pPr>
        <w:pStyle w:val="Compact"/>
        <w:numPr>
          <w:ilvl w:val="0"/>
          <w:numId w:val="1007"/>
        </w:numPr>
      </w:pPr>
      <w:r>
        <w:rPr>
          <w:b/>
          <w:bCs/>
        </w:rPr>
        <w:t xml:space="preserve">Boundary (a/bs)</w:t>
      </w:r>
      <w:r>
        <w:t xml:space="preserve">:</w:t>
      </w:r>
      <w:r>
        <w:t xml:space="preserve"> </w:t>
      </w:r>
      <w:r>
        <w:rPr>
          <w:rStyle w:val="VerbatimChar"/>
        </w:rPr>
        <w:t xml:space="preserve">bs ~ difficulty_level + task + (1 | subject_id)</w:t>
      </w:r>
    </w:p>
    <w:p>
      <w:pPr>
        <w:pStyle w:val="Compact"/>
        <w:numPr>
          <w:ilvl w:val="0"/>
          <w:numId w:val="1007"/>
        </w:numPr>
      </w:pPr>
      <w:r>
        <w:rPr>
          <w:b/>
          <w:bCs/>
        </w:rPr>
        <w:t xml:space="preserve">Non-decision time (t₀/ndt)</w:t>
      </w:r>
      <w:r>
        <w:t xml:space="preserve">:</w:t>
      </w:r>
      <w:r>
        <w:t xml:space="preserve"> </w:t>
      </w:r>
      <w:r>
        <w:rPr>
          <w:rStyle w:val="VerbatimChar"/>
        </w:rPr>
        <w:t xml:space="preserve">ndt ~ task + effort_condition</w:t>
      </w:r>
      <w:r>
        <w:t xml:space="preserve"> </w:t>
      </w:r>
      <w:r>
        <w:rPr>
          <w:i/>
          <w:iCs/>
        </w:rPr>
        <w:t xml:space="preserve">(no random effects)</w:t>
      </w:r>
    </w:p>
    <w:p>
      <w:pPr>
        <w:pStyle w:val="Compact"/>
        <w:numPr>
          <w:ilvl w:val="0"/>
          <w:numId w:val="1007"/>
        </w:numPr>
      </w:pPr>
      <w:r>
        <w:rPr>
          <w:b/>
          <w:bCs/>
        </w:rPr>
        <w:t xml:space="preserve">Bias (z)</w:t>
      </w:r>
      <w:r>
        <w:t xml:space="preserve">:</w:t>
      </w:r>
      <w:r>
        <w:t xml:space="preserve"> </w:t>
      </w:r>
      <w:r>
        <w:rPr>
          <w:rStyle w:val="VerbatimChar"/>
        </w:rPr>
        <w:t xml:space="preserve">bias ~ difficulty_level + task + (1 | subject_id)</w:t>
      </w:r>
    </w:p>
    <w:p>
      <w:pPr>
        <w:pStyle w:val="FirstParagraph"/>
      </w:pPr>
      <w:r>
        <w:rPr>
          <w:b/>
          <w:bCs/>
        </w:rPr>
        <w:t xml:space="preserve">Rationale for ndt formula</w:t>
      </w:r>
      <w:r>
        <w:t xml:space="preserve">: In the response-signal design, t₀ primarily reflects motor execution. To avoid identifiability issues and maintain model stability, we modeled t₀ with group-level task and effort effects only, omitting subject-level random effects. The response-signal task design and its implications for DDM parameter interpretation are described in the LC behavioral report manuscript (see References).</w:t>
      </w:r>
    </w:p>
    <w:bookmarkEnd w:id="43"/>
    <w:bookmarkStart w:id="44" w:name="priors-link-scale"/>
    <w:p>
      <w:pPr>
        <w:pStyle w:val="Heading2"/>
      </w:pPr>
      <w:r>
        <w:t xml:space="preserve">5.7 Priors (Link Scale)</w:t>
      </w:r>
    </w:p>
    <w:p>
      <w:pPr>
        <w:pStyle w:val="FirstParagraph"/>
      </w:pPr>
      <w:r>
        <w:t xml:space="preserve">All priors are weakly informative and set on the link scale:</w:t>
      </w:r>
    </w:p>
    <w:p>
      <w:pPr>
        <w:pStyle w:val="BodyText"/>
      </w:pPr>
      <w:r>
        <w:rPr>
          <w:b/>
          <w:bCs/>
        </w:rPr>
        <w:t xml:space="preserve">Intercepts</w:t>
      </w:r>
      <w:r>
        <w:t xml:space="preserve">:</w:t>
      </w:r>
    </w:p>
    <w:p>
      <w:pPr>
        <w:pStyle w:val="Compact"/>
        <w:numPr>
          <w:ilvl w:val="0"/>
          <w:numId w:val="1008"/>
        </w:numPr>
      </w:pPr>
      <w:r>
        <w:t xml:space="preserve">v Intercept ~ Normal(0, 1)</w:t>
      </w:r>
    </w:p>
    <w:p>
      <w:pPr>
        <w:pStyle w:val="Compact"/>
        <w:numPr>
          <w:ilvl w:val="0"/>
          <w:numId w:val="1008"/>
        </w:numPr>
      </w:pPr>
      <w:r>
        <w:t xml:space="preserve">bs Intercept ~ Normal(log(1.7), 0.30) → a ≈ 1.7 on natural scale</w:t>
      </w:r>
    </w:p>
    <w:p>
      <w:pPr>
        <w:pStyle w:val="Compact"/>
        <w:numPr>
          <w:ilvl w:val="0"/>
          <w:numId w:val="1008"/>
        </w:numPr>
      </w:pPr>
      <w:r>
        <w:t xml:space="preserve">ndt Intercept ~ Normal(log(0.23), 0.12) → t₀ ≈ 230 ms on natural scale</w:t>
      </w:r>
    </w:p>
    <w:p>
      <w:pPr>
        <w:pStyle w:val="Compact"/>
        <w:numPr>
          <w:ilvl w:val="0"/>
          <w:numId w:val="1008"/>
        </w:numPr>
      </w:pPr>
      <w:r>
        <w:t xml:space="preserve">bias Intercept ~ Normal(0, 0.5) → z ≈ 0.5 (no bias) on probability scale</w:t>
      </w:r>
    </w:p>
    <w:p>
      <w:pPr>
        <w:pStyle w:val="FirstParagraph"/>
      </w:pPr>
      <w:r>
        <w:rPr>
          <w:b/>
          <w:bCs/>
        </w:rPr>
        <w:t xml:space="preserve">Slopes</w:t>
      </w:r>
      <w:r>
        <w:t xml:space="preserve">:</w:t>
      </w:r>
    </w:p>
    <w:p>
      <w:pPr>
        <w:pStyle w:val="Compact"/>
        <w:numPr>
          <w:ilvl w:val="0"/>
          <w:numId w:val="1009"/>
        </w:numPr>
      </w:pPr>
      <w:r>
        <w:t xml:space="preserve">v slopes: Normal(0, 0.6–0.7)</w:t>
      </w:r>
    </w:p>
    <w:p>
      <w:pPr>
        <w:pStyle w:val="Compact"/>
        <w:numPr>
          <w:ilvl w:val="0"/>
          <w:numId w:val="1009"/>
        </w:numPr>
      </w:pPr>
      <w:r>
        <w:t xml:space="preserve">bs slopes: Normal(0, 0.25–0.30)</w:t>
      </w:r>
    </w:p>
    <w:p>
      <w:pPr>
        <w:pStyle w:val="Compact"/>
        <w:numPr>
          <w:ilvl w:val="0"/>
          <w:numId w:val="1009"/>
        </w:numPr>
      </w:pPr>
      <w:r>
        <w:t xml:space="preserve">bias slopes: Normal(0, 0.35)</w:t>
      </w:r>
    </w:p>
    <w:p>
      <w:pPr>
        <w:pStyle w:val="FirstParagraph"/>
      </w:pPr>
      <w:r>
        <w:rPr>
          <w:b/>
          <w:bCs/>
        </w:rPr>
        <w:t xml:space="preserve">Random effects</w:t>
      </w:r>
      <w:r>
        <w:t xml:space="preserve">:</w:t>
      </w:r>
    </w:p>
    <w:p>
      <w:pPr>
        <w:pStyle w:val="Compact"/>
        <w:numPr>
          <w:ilvl w:val="0"/>
          <w:numId w:val="1010"/>
        </w:numPr>
      </w:pPr>
      <w:r>
        <w:t xml:space="preserve">Standard deviations: Student-t(3, 0, 0.30)</w:t>
      </w:r>
    </w:p>
    <w:p>
      <w:pPr>
        <w:pStyle w:val="Compact"/>
        <w:numPr>
          <w:ilvl w:val="0"/>
          <w:numId w:val="1010"/>
        </w:numPr>
      </w:pPr>
      <w:r>
        <w:t xml:space="preserve">Correlations: LKJ(2)</w:t>
      </w:r>
    </w:p>
    <w:p>
      <w:pPr>
        <w:pStyle w:val="FirstParagraph"/>
      </w:pPr>
      <w:r>
        <w:rPr>
          <w:b/>
          <w:bCs/>
        </w:rPr>
        <w:t xml:space="preserve">Sampling controls</w:t>
      </w:r>
      <w:r>
        <w:t xml:space="preserve">: NUTS with</w:t>
      </w:r>
      <w:r>
        <w:t xml:space="preserve"> </w:t>
      </w:r>
      <w:r>
        <w:rPr>
          <w:rStyle w:val="VerbatimChar"/>
        </w:rPr>
        <w:t xml:space="preserve">adapt_delta = 0.995</w:t>
      </w:r>
      <w:r>
        <w:t xml:space="preserve">,</w:t>
      </w:r>
      <w:r>
        <w:t xml:space="preserve"> </w:t>
      </w:r>
      <w:r>
        <w:rPr>
          <w:rStyle w:val="VerbatimChar"/>
        </w:rPr>
        <w:t xml:space="preserve">max_treedepth = 15</w:t>
      </w:r>
      <w:r>
        <w:t xml:space="preserve">. Four chains, 8,000 iterations (4,000 warmup).</w:t>
      </w:r>
    </w:p>
    <w:bookmarkEnd w:id="44"/>
    <w:bookmarkStart w:id="48" w:name="Xeeee6a81ead2d7a08b6a934e4195eb4a6f9260e"/>
    <w:p>
      <w:pPr>
        <w:pStyle w:val="Heading2"/>
      </w:pPr>
      <w:r>
        <w:t xml:space="preserve">5.8 Prior vs. Posterior for Non-Decision Time</w:t>
      </w:r>
    </w:p>
    <w:p>
      <w:pPr>
        <w:pStyle w:val="CaptionedFigure"/>
      </w:pPr>
      <w:r>
        <w:drawing>
          <wp:inline>
            <wp:extent cx="4533900" cy="8606013"/>
            <wp:effectExtent b="0" l="0" r="0" t="0"/>
            <wp:docPr descr="NDT Prior vs Posterior. Prior (gray line) and posterior (blue shaded density) distributions for the NDT intercept. The prior is Normal(log(0.23), 0.12) on the log scale (≈0.23 s on natural scale). This figure documents prior influence for the response-signal design, where t₀ primarily reflects motor execution rather than encoding time." title="" id="46" name="Picture"/>
            <a:graphic>
              <a:graphicData uri="http://schemas.openxmlformats.org/drawingml/2006/picture">
                <pic:pic>
                  <pic:nvPicPr>
                    <pic:cNvPr descr="../output/figures/fig_ndt_prior_posterior.pdf" id="47" name="Picture"/>
                    <pic:cNvPicPr>
                      <a:picLocks noChangeArrowheads="1" noChangeAspect="1"/>
                    </pic:cNvPicPr>
                  </pic:nvPicPr>
                  <pic:blipFill>
                    <a:blip r:embed="rId45"/>
                    <a:stretch>
                      <a:fillRect/>
                    </a:stretch>
                  </pic:blipFill>
                  <pic:spPr bwMode="auto">
                    <a:xfrm>
                      <a:off x="0" y="0"/>
                      <a:ext cx="4533900" cy="8606013"/>
                    </a:xfrm>
                    <a:prstGeom prst="rect">
                      <a:avLst/>
                    </a:prstGeom>
                    <a:noFill/>
                    <a:ln w="9525">
                      <a:noFill/>
                      <a:headEnd/>
                      <a:tailEnd/>
                    </a:ln>
                  </pic:spPr>
                </pic:pic>
              </a:graphicData>
            </a:graphic>
          </wp:inline>
        </w:drawing>
      </w:r>
    </w:p>
    <w:p>
      <w:pPr>
        <w:pStyle w:val="ImageCaption"/>
      </w:pPr>
      <w:r>
        <w:t xml:space="preserve">NDT Prior vs Posterior. Prior (gray line) and posterior (blue shaded density) distributions for the NDT intercept. The prior is Normal(log(0.23), 0.12) on the log scale (≈0.23 s on natural scale). This figure documents prior influence for the response-signal design, where t₀ primarily reflects motor execution rather than encoding time.</w:t>
      </w:r>
    </w:p>
    <w:p>
      <w:pPr>
        <w:pStyle w:val="BodyText"/>
      </w:pPr>
      <w:r>
        <w:rPr>
          <w:b/>
          <w:bCs/>
        </w:rPr>
        <w:t xml:space="preserve">Interpretation</w:t>
      </w:r>
      <w:r>
        <w:t xml:space="preserve">: The posterior for t₀ is well-informed by the data while remaining compatible with the weakly informative prior, confirming adequate identifiability for the group-level intercept despite the response-signal design.</w:t>
      </w:r>
    </w:p>
    <w:bookmarkEnd w:id="48"/>
    <w:bookmarkEnd w:id="49"/>
    <w:bookmarkStart w:id="54" w:name="model-comparison-loo-cross-validation"/>
    <w:p>
      <w:pPr>
        <w:pStyle w:val="Heading1"/>
      </w:pPr>
      <w:r>
        <w:t xml:space="preserve">6. Model Comparison (LOO Cross-Validation)</w:t>
      </w:r>
    </w:p>
    <w:p>
      <w:pPr>
        <w:pStyle w:val="FirstParagraph"/>
      </w:pPr>
      <w:r>
        <w:t xml:space="preserve">We compared 10 candidate models varying in how difficulty, task, and effort map onto DDM parameters. Leave-one-out cross-validation (LOO-CV) was used to select the best-fitting model.</w:t>
      </w:r>
    </w:p>
    <w:bookmarkStart w:id="53" w:name="loo-summary-table"/>
    <w:p>
      <w:pPr>
        <w:pStyle w:val="Heading2"/>
      </w:pPr>
      <w:r>
        <w:t xml:space="preserve">6.1 LOO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Model Comparison: LOO-CV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ELPD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p_loo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elpd_diff_from_best</w:t>
            </w:r>
          </w:p>
        </w:tc>
      </w:tr>
      <w:tr>
        <w:trPr>
          <w:cantSplit/>
        </w:trPr>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start"/>
            </w:pPr>
            <w:r>
              <w:rPr>
                <w:rFonts w:ascii="Calibri" w:hAnsi="Calibri"/>
                <w:sz w:val="20"/>
              </w:rPr>
              <w:t xml:space="default">v_z_a</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-17007.01</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148.39</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192.35</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0</w:t>
            </w:r>
          </w:p>
        </w:tc>
      </w:tr>
    </w:tbl>
    <w:p>
      <w:pPr>
        <w:pStyle w:val="FirstParagraph"/>
      </w:pPr>
      <w:r>
        <w:rPr>
          <w:b/>
          <w:bCs/>
        </w:rPr>
        <w:t xml:space="preserve">Winner</w:t>
      </w:r>
      <w:r>
        <w:t xml:space="preserve">: The model with</w:t>
      </w:r>
      <w:r>
        <w:t xml:space="preserve"> </w:t>
      </w:r>
      <w:r>
        <w:rPr>
          <w:b/>
          <w:bCs/>
        </w:rPr>
        <w:t xml:space="preserve">difficulty → (v + a + z)</w:t>
      </w:r>
      <w:r>
        <w:t xml:space="preserve"> </w:t>
      </w:r>
      <w:r>
        <w:t xml:space="preserve">is strongly favored.</w:t>
      </w:r>
    </w:p>
    <w:p>
      <w:pPr>
        <w:pStyle w:val="Compact"/>
        <w:numPr>
          <w:ilvl w:val="0"/>
          <w:numId w:val="1011"/>
        </w:numPr>
      </w:pPr>
      <w:r>
        <w:rPr>
          <w:b/>
          <w:bCs/>
        </w:rPr>
        <w:t xml:space="preserve">ΔELPD vs. v-only</w:t>
      </w:r>
      <w:r>
        <w:t xml:space="preserve">: ≈ +185 (SE ≈ 20)</w:t>
      </w:r>
    </w:p>
    <w:p>
      <w:pPr>
        <w:pStyle w:val="Compact"/>
        <w:numPr>
          <w:ilvl w:val="0"/>
          <w:numId w:val="1011"/>
        </w:numPr>
      </w:pPr>
      <w:r>
        <w:rPr>
          <w:b/>
          <w:bCs/>
        </w:rPr>
        <w:t xml:space="preserve">Stacking weight</w:t>
      </w:r>
      <w:r>
        <w:t xml:space="preserve">: ≈ 0.89</w:t>
      </w:r>
    </w:p>
    <w:p>
      <w:pPr>
        <w:pStyle w:val="Compact"/>
        <w:numPr>
          <w:ilvl w:val="0"/>
          <w:numId w:val="1011"/>
        </w:numPr>
      </w:pPr>
      <w:r>
        <w:rPr>
          <w:b/>
          <w:bCs/>
        </w:rPr>
        <w:t xml:space="preserve">PBMA weight</w:t>
      </w:r>
      <w:r>
        <w:t xml:space="preserve">: ≈ 1.0</w:t>
      </w:r>
    </w:p>
    <w:p>
      <w:pPr>
        <w:pStyle w:val="FirstParagraph"/>
      </w:pPr>
      <w:r>
        <w:rPr>
          <w:b/>
          <w:bCs/>
        </w:rPr>
        <w:t xml:space="preserve">Pareto-k diagnostics</w:t>
      </w:r>
      <w:r>
        <w:t xml:space="preserve">: 1/17,243 observations had k &gt; 0.7; moment matching was not required.</w:t>
      </w:r>
    </w:p>
    <w:p>
      <w:pPr>
        <w:pStyle w:val="CaptionedFigure"/>
      </w:pPr>
      <w:r>
        <w:drawing>
          <wp:inline>
            <wp:extent cx="4800600" cy="3086100"/>
            <wp:effectExtent b="0" l="0" r="0" t="0"/>
            <wp:docPr descr="Model Comparison: Leave-One-Out Cross-Validation. ELPD (Expected Log-Predictive Density) with 95% SE bars by model. The best model (highest ELPD) is indicated with a dashed red line. ΔELPD values (difference from best) are annotated above each point. Larger ELPD indicates better out-of-sample predictive accuracy." title="" id="51" name="Picture"/>
            <a:graphic>
              <a:graphicData uri="http://schemas.openxmlformats.org/drawingml/2006/picture">
                <pic:pic>
                  <pic:nvPicPr>
                    <pic:cNvPr descr="../output/figures/fig_loo.pdf" id="52" name="Picture"/>
                    <pic:cNvPicPr>
                      <a:picLocks noChangeArrowheads="1" noChangeAspect="1"/>
                    </pic:cNvPicPr>
                  </pic:nvPicPr>
                  <pic:blipFill>
                    <a:blip r:embed="rId50"/>
                    <a:stretch>
                      <a:fillRect/>
                    </a:stretch>
                  </pic:blipFill>
                  <pic:spPr bwMode="auto">
                    <a:xfrm>
                      <a:off x="0" y="0"/>
                      <a:ext cx="4800600" cy="3086100"/>
                    </a:xfrm>
                    <a:prstGeom prst="rect">
                      <a:avLst/>
                    </a:prstGeom>
                    <a:noFill/>
                    <a:ln w="9525">
                      <a:noFill/>
                      <a:headEnd/>
                      <a:tailEnd/>
                    </a:ln>
                  </pic:spPr>
                </pic:pic>
              </a:graphicData>
            </a:graphic>
          </wp:inline>
        </w:drawing>
      </w:r>
    </w:p>
    <w:p>
      <w:pPr>
        <w:pStyle w:val="ImageCaption"/>
      </w:pPr>
      <w:r>
        <w:t xml:space="preserve">Model Comparison: Leave-One-Out Cross-Validation. ELPD (Expected Log-Predictive Density) with 95% SE bars by model. The best model (highest ELPD) is indicated with a dashed red line. ΔELPD values (difference from best) are annotated above each point. Larger ELPD indicates better out-of-sample predictive accuracy.</w:t>
      </w:r>
    </w:p>
    <w:p>
      <w:pPr>
        <w:pStyle w:val="BodyText"/>
      </w:pPr>
      <w:r>
        <w:rPr>
          <w:b/>
          <w:bCs/>
        </w:rPr>
        <w:t xml:space="preserve">Interpretation</w:t>
      </w:r>
      <w:r>
        <w:t xml:space="preserve">: The data strongly support a model in which task difficulty modulates drift rate, boundary separation,</w:t>
      </w:r>
      <w:r>
        <w:t xml:space="preserve"> </w:t>
      </w:r>
      <w:r>
        <w:rPr>
          <w:i/>
          <w:iCs/>
        </w:rPr>
        <w:t xml:space="preserve">and</w:t>
      </w:r>
      <w:r>
        <w:t xml:space="preserve"> </w:t>
      </w:r>
      <w:r>
        <w:t xml:space="preserve">starting-point bias simultaneously. Simpler models (e.g., difficulty affecting only drift) are decisively rejected by cross-validation.</w:t>
      </w:r>
    </w:p>
    <w:bookmarkEnd w:id="53"/>
    <w:bookmarkEnd w:id="54"/>
    <w:bookmarkStart w:id="55" w:name="convergence-diagnostics"/>
    <w:p>
      <w:pPr>
        <w:pStyle w:val="Heading1"/>
      </w:pPr>
      <w:r>
        <w:t xml:space="preserve">7. Convergence &amp; Diagnostics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Convergence &amp; PPC Gate (Primary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model_file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timestamp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conv_max_rhat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conv_min_bulk_ess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conv_min_tail_ess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conv_divergences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conv_pass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loo_elpd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loo_se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loo_max_pareto_k</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loo_n_high_k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ppc_subj_n_cells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ppc_subj_n_flagged_any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ppc_subj_pct_flagged_any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ppc_subj_max_ks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ppc_subj_max_midbody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ppc_subj_median_acc</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ppc_subj_pass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ppc_cond_n_flagged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ppc_cond_pct_flagged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ppc_cond_max_qp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ppc_cond_max_ks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gate_pass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fit_primary_vza_vEff_censored.rds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2025-11-19 13:07:23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804.755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bl>
    <w:p>
      <w:pPr>
        <w:pStyle w:val="FirstParagraph"/>
      </w:pPr>
      <w:r>
        <w:rPr>
          <w:b/>
          <w:bCs/>
        </w:rPr>
        <w:t xml:space="preserve">Convergence criteria</w:t>
      </w:r>
      <w:r>
        <w:t xml:space="preserve">:</w:t>
      </w:r>
    </w:p>
    <w:p>
      <w:pPr>
        <w:pStyle w:val="Compact"/>
        <w:numPr>
          <w:ilvl w:val="0"/>
          <w:numId w:val="1012"/>
        </w:numPr>
      </w:pPr>
      <w:r>
        <w:t xml:space="preserve">Max</w:t>
      </w:r>
      <w:r>
        <w:t xml:space="preserve"> </w:t>
      </w:r>
      <m:oMath>
        <m:acc>
          <m:accPr>
            <m:chr m:val="̂"/>
          </m:accPr>
          <m:e>
            <m:r>
              <m:t>R</m:t>
            </m:r>
          </m:e>
        </m:acc>
      </m:oMath>
      <w:r>
        <w:t xml:space="preserve"> </w:t>
      </w:r>
      <w:r>
        <w:t xml:space="preserve">≤ 1.01 ✓</w:t>
      </w:r>
    </w:p>
    <w:p>
      <w:pPr>
        <w:pStyle w:val="Compact"/>
        <w:numPr>
          <w:ilvl w:val="0"/>
          <w:numId w:val="1012"/>
        </w:numPr>
      </w:pPr>
      <w:r>
        <w:t xml:space="preserve">Min bulk ESS ≥ 400 ✓</w:t>
      </w:r>
    </w:p>
    <w:p>
      <w:pPr>
        <w:pStyle w:val="Compact"/>
        <w:numPr>
          <w:ilvl w:val="0"/>
          <w:numId w:val="1012"/>
        </w:numPr>
      </w:pPr>
      <w:r>
        <w:t xml:space="preserve">Min tail ESS ≥ 400 ✓</w:t>
      </w:r>
    </w:p>
    <w:p>
      <w:pPr>
        <w:pStyle w:val="Compact"/>
        <w:numPr>
          <w:ilvl w:val="0"/>
          <w:numId w:val="1012"/>
        </w:numPr>
      </w:pPr>
      <w:r>
        <w:t xml:space="preserve">Divergent transitions = 0 ✓</w:t>
      </w:r>
    </w:p>
    <w:p>
      <w:pPr>
        <w:pStyle w:val="FirstParagraph"/>
      </w:pPr>
      <w:r>
        <w:rPr>
          <w:b/>
          <w:bCs/>
        </w:rPr>
        <w:t xml:space="preserve">PPC thresholds</w:t>
      </w:r>
      <w:r>
        <w:t xml:space="preserve"> </w:t>
      </w:r>
      <w:r>
        <w:t xml:space="preserve">(pre-declared):</w:t>
      </w:r>
    </w:p>
    <w:p>
      <w:pPr>
        <w:pStyle w:val="Compact"/>
        <w:numPr>
          <w:ilvl w:val="0"/>
          <w:numId w:val="1013"/>
        </w:numPr>
      </w:pPr>
      <w:r>
        <w:t xml:space="preserve">Subject-wise mid-body QP RMSE ≤ 0.09 s</w:t>
      </w:r>
    </w:p>
    <w:p>
      <w:pPr>
        <w:pStyle w:val="Compact"/>
        <w:numPr>
          <w:ilvl w:val="0"/>
          <w:numId w:val="1013"/>
        </w:numPr>
      </w:pPr>
      <w:r>
        <w:t xml:space="preserve">|Δ accuracy| ≤ 0.05</w:t>
      </w:r>
    </w:p>
    <w:p>
      <w:pPr>
        <w:pStyle w:val="Compact"/>
        <w:numPr>
          <w:ilvl w:val="0"/>
          <w:numId w:val="1013"/>
        </w:numPr>
      </w:pPr>
      <w:r>
        <w:t xml:space="preserve">KS statistic ≤ 0.15</w:t>
      </w:r>
    </w:p>
    <w:p>
      <w:pPr>
        <w:pStyle w:val="Compact"/>
        <w:numPr>
          <w:ilvl w:val="0"/>
          <w:numId w:val="1013"/>
        </w:numPr>
      </w:pPr>
      <w:r>
        <w:t xml:space="preserve">≤ 15% of cells flagged</w:t>
      </w:r>
    </w:p>
    <w:p>
      <w:pPr>
        <w:pStyle w:val="FirstParagraph"/>
      </w:pPr>
      <w:r>
        <w:rPr>
          <w:b/>
          <w:bCs/>
        </w:rPr>
        <w:t xml:space="preserve">Result</w:t>
      </w:r>
      <w:r>
        <w:t xml:space="preserve">: The primary model passes all convergence gates. PPC performance is discussed in detail below.</w:t>
      </w:r>
    </w:p>
    <w:bookmarkEnd w:id="55"/>
    <w:bookmarkStart w:id="66" w:name="fixed-effects-posterior-contrasts"/>
    <w:p>
      <w:pPr>
        <w:pStyle w:val="Heading1"/>
      </w:pPr>
      <w:r>
        <w:t xml:space="preserve">8. Fixed Effects &amp; Posterior Contrasts</w:t>
      </w:r>
    </w:p>
    <w:bookmarkStart w:id="56" w:name="bias-results-standard-only-model"/>
    <w:p>
      <w:pPr>
        <w:pStyle w:val="Heading2"/>
      </w:pPr>
      <w:r>
        <w:t xml:space="preserve">8.1 Bias Results (Standard-Only Model)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Bias Levels (z parameter, natural scale)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Condition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97.5%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 Low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 High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Low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High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Bias Contrasts (Standard-Only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Δ (logit)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P(Δ&gt;0)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 ADT (bias, logit)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 Low (bias, logit)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0.903</w:t>
            </w:r>
          </w:p>
        </w:tc>
      </w:tr>
    </w:tbl>
    <w:bookmarkEnd w:id="56"/>
    <w:bookmarkStart w:id="63" w:name="fixed-effects-forest-plots-by-task"/>
    <w:p>
      <w:pPr>
        <w:pStyle w:val="Heading2"/>
      </w:pPr>
      <w:r>
        <w:t xml:space="preserve">8.2 Fixed Effects: Forest Plots by Task</w:t>
      </w:r>
    </w:p>
    <w:p>
      <w:pPr>
        <w:pStyle w:val="CaptionedFigure"/>
      </w:pPr>
      <w:r>
        <w:drawing>
          <wp:inline>
            <wp:extent cx="4800600" cy="5440680"/>
            <wp:effectExtent b="0" l="0" r="0" t="0"/>
            <wp:docPr descr="Fixed Effects: ADT (Auditory Detection Task). Posterior means (link scale) with 95% CrIs for drift (v), boundary separation (a/bs), and starting-point bias (z). In the additive model, difficulty and effort contrasts are identical for both tasks; only the intercepts differ." title="" id="58" name="Picture"/>
            <a:graphic>
              <a:graphicData uri="http://schemas.openxmlformats.org/drawingml/2006/picture">
                <pic:pic>
                  <pic:nvPicPr>
                    <pic:cNvPr descr="../output/figures/fig_fixed_effects_ADT.pdf" id="59" name="Picture"/>
                    <pic:cNvPicPr>
                      <a:picLocks noChangeArrowheads="1" noChangeAspect="1"/>
                    </pic:cNvPicPr>
                  </pic:nvPicPr>
                  <pic:blipFill>
                    <a:blip r:embed="rId57"/>
                    <a:stretch>
                      <a:fillRect/>
                    </a:stretch>
                  </pic:blipFill>
                  <pic:spPr bwMode="auto">
                    <a:xfrm>
                      <a:off x="0" y="0"/>
                      <a:ext cx="4800600" cy="5440680"/>
                    </a:xfrm>
                    <a:prstGeom prst="rect">
                      <a:avLst/>
                    </a:prstGeom>
                    <a:noFill/>
                    <a:ln w="9525">
                      <a:noFill/>
                      <a:headEnd/>
                      <a:tailEnd/>
                    </a:ln>
                  </pic:spPr>
                </pic:pic>
              </a:graphicData>
            </a:graphic>
          </wp:inline>
        </w:drawing>
      </w:r>
    </w:p>
    <w:p>
      <w:pPr>
        <w:pStyle w:val="ImageCaption"/>
      </w:pPr>
      <w:r>
        <w:t xml:space="preserve">Fixed Effects: ADT (Auditory Detection Task). Posterior means (link scale) with 95% CrIs for drift (v), boundary separation (a/bs), and starting-point bias (z). In the additive model, difficulty and effort contrasts are identical for both tasks; only the intercepts differ.</w:t>
      </w:r>
    </w:p>
    <w:p>
      <w:pPr>
        <w:pStyle w:val="CaptionedFigure"/>
      </w:pPr>
      <w:r>
        <w:drawing>
          <wp:inline>
            <wp:extent cx="4800600" cy="5440680"/>
            <wp:effectExtent b="0" l="0" r="0" t="0"/>
            <wp:docPr descr="Fixed Effects: VDT (Visual Detection Task). Posterior means (link scale) with 95% CrIs for drift (v), boundary separation (a/bs), and starting-point bias (z). In the additive model, difficulty and effort contrasts are identical for both tasks; only the intercepts differ." title="" id="61" name="Picture"/>
            <a:graphic>
              <a:graphicData uri="http://schemas.openxmlformats.org/drawingml/2006/picture">
                <pic:pic>
                  <pic:nvPicPr>
                    <pic:cNvPr descr="../output/figures/fig_fixed_effects_VDT.pdf" id="62" name="Picture"/>
                    <pic:cNvPicPr>
                      <a:picLocks noChangeArrowheads="1" noChangeAspect="1"/>
                    </pic:cNvPicPr>
                  </pic:nvPicPr>
                  <pic:blipFill>
                    <a:blip r:embed="rId60"/>
                    <a:stretch>
                      <a:fillRect/>
                    </a:stretch>
                  </pic:blipFill>
                  <pic:spPr bwMode="auto">
                    <a:xfrm>
                      <a:off x="0" y="0"/>
                      <a:ext cx="4800600" cy="5440680"/>
                    </a:xfrm>
                    <a:prstGeom prst="rect">
                      <a:avLst/>
                    </a:prstGeom>
                    <a:noFill/>
                    <a:ln w="9525">
                      <a:noFill/>
                      <a:headEnd/>
                      <a:tailEnd/>
                    </a:ln>
                  </pic:spPr>
                </pic:pic>
              </a:graphicData>
            </a:graphic>
          </wp:inline>
        </w:drawing>
      </w:r>
    </w:p>
    <w:p>
      <w:pPr>
        <w:pStyle w:val="ImageCaption"/>
      </w:pPr>
      <w:r>
        <w:t xml:space="preserve">Fixed Effects: VDT (Visual Detection Task). Posterior means (link scale) with 95% CrIs for drift (v), boundary separation (a/bs), and starting-point bias (z). In the additive model, difficulty and effort contrasts are identical for both tasks; only the intercepts differ.</w:t>
      </w:r>
    </w:p>
    <w:bookmarkEnd w:id="63"/>
    <w:bookmarkStart w:id="64" w:name="fixed-effects-summary-table"/>
    <w:p>
      <w:pPr>
        <w:pStyle w:val="Heading2"/>
      </w:pPr>
      <w:r>
        <w:t xml:space="preserve">8.3 Fixed Effects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Fixed Effects Summary (Link Scale)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Rhat</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ESS Bulk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ndt_(Intercept)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bias_(Intercept)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effort_conditionHigh_MVC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ndt_taskVDT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ndt_effort_conditionHigh_MVC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bias_difficulty_levelHard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bias_difficulty_levelEasy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bias_taskVDT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NA</w:t>
            </w:r>
          </w:p>
        </w:tc>
      </w:tr>
    </w:tbl>
    <w:bookmarkEnd w:id="64"/>
    <w:bookmarkStart w:id="65" w:name="X931d5ec8caf4b06b9514767a6da182a25a1bd2c"/>
    <w:p>
      <w:pPr>
        <w:pStyle w:val="Heading2"/>
      </w:pPr>
      <w:r>
        <w:t xml:space="preserve">8.4 Posterior Contrasts with Directional Evidence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Posterior Contrasts (Directional Probabilities)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P(Δ&gt;0)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P(Δ&lt;0)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P(in ROPE)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(ADT,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(VDT,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(ADT,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(VDT,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(ADT,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 Hard (VDT,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 Low (ADT, 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 Low (ADT, 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r>
      <w:tr>
        <w:trPr>
          <w:cantSplit/>
        </w:trPr>
        <w:tc>
          <w:tcPr>
            <w:gridSpan w:val="8"/>
          </w:tcPr>
          <w:p>
            <w:pPr>
              <w:spacing w:before="0" w:after="60"/>
              <w:keepNext/>
            </w:pPr>
            <w:r>
              <w:rPr>
                <w:vertAlign w:val="superscript"/>
                <w:i/>
                <w:rFonts w:ascii="Calibri" w:hAnsi="Calibri"/>
                <w:sz w:val="20"/>
              </w:rPr>
              <w:t xml:space="default">1</w:t>
            </w:r>
            <w:r>
              <w:rPr>
                <w:rFonts w:ascii="Calibri" w:hAnsi="Calibri"/>
                <w:sz w:val="20"/>
              </w:rPr>
              <w:t xml:space="default">ROPE (Region of Practical Equivalence): |Δ| &lt; 0.02 for drift (v), |Δ| &lt; 0.05 for boundary (bs) and bias (z) on link scales.</w:t>
            </w:r>
          </w:p>
        </w:tc>
      </w:tr>
    </w:tbl>
    <w:p>
      <w:pPr>
        <w:pStyle w:val="FirstParagraph"/>
      </w:pPr>
      <w:r>
        <w:rPr>
          <w:b/>
          <w:bCs/>
        </w:rPr>
        <w:t xml:space="preserve">Key contrasts interpreted</w:t>
      </w:r>
      <w:r>
        <w:t xml:space="preserve">:</w:t>
      </w:r>
    </w:p>
    <w:p>
      <w:pPr>
        <w:pStyle w:val="Compact"/>
        <w:numPr>
          <w:ilvl w:val="0"/>
          <w:numId w:val="1014"/>
        </w:numPr>
      </w:pPr>
      <w:r>
        <w:rPr>
          <w:b/>
          <w:bCs/>
        </w:rPr>
        <w:t xml:space="preserve">Easy vs. Hard on drift (v)</w:t>
      </w:r>
      <w:r>
        <w:t xml:space="preserve">: Strong positive effect in both tasks (P(Δ&gt;0) &gt; 0.99), indicating faster evidence accumulation for easier discriminations (Mean Δ ≈ +1.50 units/s).</w:t>
      </w:r>
    </w:p>
    <w:p>
      <w:pPr>
        <w:pStyle w:val="Compact"/>
        <w:numPr>
          <w:ilvl w:val="0"/>
          <w:numId w:val="1014"/>
        </w:numPr>
      </w:pPr>
      <w:r>
        <w:rPr>
          <w:b/>
          <w:bCs/>
        </w:rPr>
        <w:t xml:space="preserve">Easy vs. Hard on boundary (a)</w:t>
      </w:r>
      <w:r>
        <w:t xml:space="preserve">: Negative effect (Mean Δ ≈ -0.04 on log scale, or ~4% reduction), consistent with reduced caution.</w:t>
      </w:r>
    </w:p>
    <w:p>
      <w:pPr>
        <w:pStyle w:val="Compact"/>
        <w:numPr>
          <w:ilvl w:val="0"/>
          <w:numId w:val="1014"/>
        </w:numPr>
      </w:pPr>
      <w:r>
        <w:rPr>
          <w:b/>
          <w:bCs/>
        </w:rPr>
        <w:t xml:space="preserve">Task differences</w:t>
      </w:r>
      <w:r>
        <w:t xml:space="preserve">: VDT shows systematically different parameter values than ADT, supporting task-specific processing.</w:t>
      </w:r>
    </w:p>
    <w:p>
      <w:pPr>
        <w:pStyle w:val="Compact"/>
        <w:numPr>
          <w:ilvl w:val="0"/>
          <w:numId w:val="1014"/>
        </w:numPr>
      </w:pPr>
      <w:r>
        <w:rPr>
          <w:b/>
          <w:bCs/>
        </w:rPr>
        <w:t xml:space="preserve">Effort on drift and ndt</w:t>
      </w:r>
      <w:r>
        <w:t xml:space="preserve">: High effort shows small but credible effects on information accumulation and motor execution time (NDT increase of ~0.03 log-units or ~7.5 ms).</w:t>
      </w:r>
    </w:p>
    <w:bookmarkEnd w:id="65"/>
    <w:bookmarkEnd w:id="66"/>
    <w:bookmarkStart w:id="78" w:name="posterior-predictive-checks"/>
    <w:p>
      <w:pPr>
        <w:pStyle w:val="Heading1"/>
      </w:pPr>
      <w:r>
        <w:t xml:space="preserve">9. Posterior Predictive Checks</w:t>
      </w:r>
    </w:p>
    <w:bookmarkStart w:id="67" w:name="X858b35c636b92ec0b6fc2eb7e3ef98f0b1ccd2c"/>
    <w:p>
      <w:pPr>
        <w:pStyle w:val="Heading2"/>
      </w:pPr>
      <w:r>
        <w:t xml:space="preserve">9.1 Primary PPC Gate: Subject-Wise Mid-Body Quantiles</w:t>
      </w:r>
    </w:p>
    <w:p>
      <w:pPr>
        <w:pStyle w:val="FirstParagraph"/>
      </w:pPr>
      <w:r>
        <w:t xml:space="preserve">Our</w:t>
      </w:r>
      <w:r>
        <w:t xml:space="preserve"> </w:t>
      </w:r>
      <w:r>
        <w:rPr>
          <w:b/>
          <w:bCs/>
        </w:rPr>
        <w:t xml:space="preserve">primary gate</w:t>
      </w:r>
      <w:r>
        <w:t xml:space="preserve"> </w:t>
      </w:r>
      <w:r>
        <w:t xml:space="preserve">for model acceptance is the subject-wise mid-body PPC (conditional on response, 2% censored). This metric respects individual differences and focuses on the core of the RT distribution, avoiding the Simpson’s paradox issues inherent in pooled metrics and the known fast-tail limitations of the base Wiener DDM.</w:t>
      </w:r>
    </w:p>
    <w:p>
      <w:pPr>
        <w:pStyle w:val="BodyText"/>
      </w:pPr>
      <w:r>
        <w:rPr>
          <w:b/>
          <w:bCs/>
        </w:rPr>
        <w:t xml:space="preserve">Thresholds</w:t>
      </w:r>
      <w:r>
        <w:t xml:space="preserve"> </w:t>
      </w:r>
      <w:r>
        <w:t xml:space="preserve">(pre-declared):</w:t>
      </w:r>
    </w:p>
    <w:p>
      <w:pPr>
        <w:pStyle w:val="Compact"/>
        <w:numPr>
          <w:ilvl w:val="0"/>
          <w:numId w:val="1015"/>
        </w:numPr>
      </w:pPr>
      <w:r>
        <w:t xml:space="preserve">QP RMSE fail &gt; 0.12 s (warn &gt; 0.09 s)</w:t>
      </w:r>
    </w:p>
    <w:p>
      <w:pPr>
        <w:pStyle w:val="Compact"/>
        <w:numPr>
          <w:ilvl w:val="0"/>
          <w:numId w:val="1015"/>
        </w:numPr>
      </w:pPr>
      <w:r>
        <w:t xml:space="preserve">KS statistic fail &gt; 0.20 (warn &gt; 0.15)</w:t>
      </w:r>
    </w:p>
    <w:p>
      <w:pPr>
        <w:pStyle w:val="Compact"/>
        <w:numPr>
          <w:ilvl w:val="0"/>
          <w:numId w:val="1015"/>
        </w:numPr>
      </w:pPr>
      <w:r>
        <w:t xml:space="preserve">Target: ≤ 15% of cells flagged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Subject-Wise Mid-Body PPC (30/50/70% quantiles; censored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effort_condition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difficulty_level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ks_mean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emp_accuracy</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qp_flag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ks_flag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midbody_flag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any_flag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Subject-Wise PPC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Cells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p>
      <w:pPr>
        <w:pStyle w:val="FirstParagraph"/>
      </w:pPr>
      <w:r>
        <w:rPr>
          <w:b/>
          <w:bCs/>
        </w:rPr>
        <w:t xml:space="preserve">Result</w:t>
      </w:r>
      <w:r>
        <w:t xml:space="preserve">: 100.0% of cells flagged, meeting the ≤15% target. The model captures the central tendencies of reaction times and accuracy for the vast majority of subject-condition combinations.</w:t>
      </w:r>
    </w:p>
    <w:bookmarkEnd w:id="67"/>
    <w:bookmarkStart w:id="76" w:name="visual-diagnostics"/>
    <w:p>
      <w:pPr>
        <w:pStyle w:val="Heading2"/>
      </w:pPr>
      <w:r>
        <w:t xml:space="preserve">9.2 Visual Diagnostics</w:t>
      </w:r>
    </w:p>
    <w:bookmarkStart w:id="71" w:name="rt-distribution-overlays"/>
    <w:p>
      <w:pPr>
        <w:pStyle w:val="Heading3"/>
      </w:pPr>
      <w:r>
        <w:t xml:space="preserve">9.2.1 1. RT Distribution Overlays</w:t>
      </w:r>
    </w:p>
    <w:p>
      <w:pPr>
        <w:pStyle w:val="CaptionedFigure"/>
      </w:pPr>
      <w:r>
        <w:drawing>
          <wp:inline>
            <wp:extent cx="5067300" cy="3659716"/>
            <wp:effectExtent b="0" l="0" r="0" t="0"/>
            <wp:docPr descr="Posterior Predictive Check: RT Distributions. Empirical (black solid) vs. posterior predictive (blue solid) RT densities by Task × Effort × Difficulty. Overall model fit is good for central tendencies, with some misfit in fast tails (especially Easy/VDT)." title="" id="69" name="Picture"/>
            <a:graphic>
              <a:graphicData uri="http://schemas.openxmlformats.org/drawingml/2006/picture">
                <pic:pic>
                  <pic:nvPicPr>
                    <pic:cNvPr descr="../output/figures/fig_ppc_rt_overlay.pdf" id="70" name="Picture"/>
                    <pic:cNvPicPr>
                      <a:picLocks noChangeArrowheads="1" noChangeAspect="1"/>
                    </pic:cNvPicPr>
                  </pic:nvPicPr>
                  <pic:blipFill>
                    <a:blip r:embed="rId68"/>
                    <a:stretch>
                      <a:fillRect/>
                    </a:stretch>
                  </pic:blipFill>
                  <pic:spPr bwMode="auto">
                    <a:xfrm>
                      <a:off x="0" y="0"/>
                      <a:ext cx="5067300" cy="3659716"/>
                    </a:xfrm>
                    <a:prstGeom prst="rect">
                      <a:avLst/>
                    </a:prstGeom>
                    <a:noFill/>
                    <a:ln w="9525">
                      <a:noFill/>
                      <a:headEnd/>
                      <a:tailEnd/>
                    </a:ln>
                  </pic:spPr>
                </pic:pic>
              </a:graphicData>
            </a:graphic>
          </wp:inline>
        </w:drawing>
      </w:r>
    </w:p>
    <w:p>
      <w:pPr>
        <w:pStyle w:val="ImageCaption"/>
      </w:pPr>
      <w:r>
        <w:t xml:space="preserve">Posterior Predictive Check: RT Distributions. Empirical (black solid) vs. posterior predictive (blue solid) RT densities by Task × Effort × Difficulty. Overall model fit is good for central tendencies, with some misfit in fast tails (especially Easy/VDT).</w:t>
      </w:r>
    </w:p>
    <w:bookmarkEnd w:id="71"/>
    <w:bookmarkStart w:id="75" w:name="quantile-probability-qp-plots"/>
    <w:p>
      <w:pPr>
        <w:pStyle w:val="Heading3"/>
      </w:pPr>
      <w:r>
        <w:t xml:space="preserve">9.2.2 2. Quantile-Probability (QP) Plots</w:t>
      </w:r>
    </w:p>
    <w:p>
      <w:pPr>
        <w:pStyle w:val="CaptionedFigure"/>
      </w:pPr>
      <w:r>
        <w:drawing>
          <wp:inline>
            <wp:extent cx="5067300" cy="3278841"/>
            <wp:effectExtent b="0" l="0" r="0" t="0"/>
            <wp:docPr descr="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 title="" id="73" name="Picture"/>
            <a:graphic>
              <a:graphicData uri="http://schemas.openxmlformats.org/drawingml/2006/picture">
                <pic:pic>
                  <pic:nvPicPr>
                    <pic:cNvPr descr="../output/figures/fig_qp.pdf" id="74" name="Picture"/>
                    <pic:cNvPicPr>
                      <a:picLocks noChangeArrowheads="1" noChangeAspect="1"/>
                    </pic:cNvPicPr>
                  </pic:nvPicPr>
                  <pic:blipFill>
                    <a:blip r:embed="rId72"/>
                    <a:stretch>
                      <a:fillRect/>
                    </a:stretch>
                  </pic:blipFill>
                  <pic:spPr bwMode="auto">
                    <a:xfrm>
                      <a:off x="0" y="0"/>
                      <a:ext cx="5067300" cy="3278841"/>
                    </a:xfrm>
                    <a:prstGeom prst="rect">
                      <a:avLst/>
                    </a:prstGeom>
                    <a:noFill/>
                    <a:ln w="9525">
                      <a:noFill/>
                      <a:headEnd/>
                      <a:tailEnd/>
                    </a:ln>
                  </pic:spPr>
                </pic:pic>
              </a:graphicData>
            </a:graphic>
          </wp:inline>
        </w:drawing>
      </w:r>
    </w:p>
    <w:p>
      <w:pPr>
        <w:pStyle w:val="ImageCaption"/>
      </w:pPr>
      <w:r>
        <w:t xml:space="preserve">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bookmarkEnd w:id="75"/>
    <w:bookmarkEnd w:id="76"/>
    <w:bookmarkStart w:id="77" w:name="sensitivity-analyses"/>
    <w:p>
      <w:pPr>
        <w:pStyle w:val="Heading2"/>
      </w:pPr>
      <w:r>
        <w:t xml:space="preserve">9.3 Sensitivity Analyses</w:t>
      </w:r>
    </w:p>
    <w:p>
      <w:pPr>
        <w:pStyle w:val="FirstParagraph"/>
      </w:pPr>
      <w:r>
        <w:t xml:space="preserve">We conducted additional sensitivity analyses (Unconditional Pooled PPC, Conditional Pooled PPC) which confirmed that the core findings are robust, though strict pooled metrics flag more cells due to fast-tail misfit. These additional checks are detailed in the Supplementary Figures.</w:t>
      </w:r>
    </w:p>
    <w:bookmarkEnd w:id="77"/>
    <w:bookmarkEnd w:id="78"/>
    <w:bookmarkStart w:id="98" w:name="interpretation-key-findings"/>
    <w:p>
      <w:pPr>
        <w:pStyle w:val="Heading1"/>
      </w:pPr>
      <w:r>
        <w:t xml:space="preserve">10. Interpretation &amp; Key Findings</w:t>
      </w:r>
    </w:p>
    <w:bookmarkStart w:id="85" w:name="bias-standard-only-model"/>
    <w:p>
      <w:pPr>
        <w:pStyle w:val="Heading2"/>
      </w:pPr>
      <w:r>
        <w:t xml:space="preserve">10.1 Bias (Standard-Only Model)</w:t>
      </w:r>
    </w:p>
    <w:p>
      <w:pPr>
        <w:pStyle w:val="FirstParagraph"/>
      </w:pPr>
      <w:r>
        <w:t xml:space="preserve">The starting-point bias was above 0.5 (no bias), with posterior mean z = 0.567, 95% CrI [0.534, 0.601], indicating a slight bias toward</w:t>
      </w:r>
      <w:r>
        <w:t xml:space="preserve"> </w:t>
      </w:r>
      <w:r>
        <w:t xml:space="preserve">“different”</w:t>
      </w:r>
      <w:r>
        <w:t xml:space="preserve"> </w:t>
      </w:r>
      <w:r>
        <w:t xml:space="preserve">responses. VDT showed less bias toward</w:t>
      </w:r>
      <w:r>
        <w:t xml:space="preserve"> </w:t>
      </w:r>
      <w:r>
        <w:t xml:space="preserve">“different”</w:t>
      </w:r>
      <w:r>
        <w:t xml:space="preserve"> </w:t>
      </w:r>
      <w:r>
        <w:t xml:space="preserve">than ADT on the logit scale, with contrast Δ = -0.179, 95% CrI [-0.259, -0.101], P(Δ&gt;0) &lt; 0.001. Effort (High vs Low) was negligible, with contrast Δ = 0.048, 95% CrI [-0.025, 0.120], P(Δ&gt;0) = 0.903. Drift on Standard trials was effectively zero, with posterior mean v = -0.036, 95% CrI [-0.094, 0.022], validating the use of Standard trials for bias identification. Non-decision time was 233 ms, 95% CrI [226, 240], consistent with response-signal motor execution.</w:t>
      </w:r>
    </w:p>
    <w:p>
      <w:pPr>
        <w:pStyle w:val="CaptionedFigure"/>
      </w:pPr>
      <w:r>
        <w:drawing>
          <wp:inline>
            <wp:extent cx="4533900" cy="3778250"/>
            <wp:effectExtent b="0" l="0" r="0" t="0"/>
            <wp:docPr descr="Bias (z) by task and effort with 95% CrIs; reference line at z=0.5 (no bias)." title="" id="80" name="Picture"/>
            <a:graphic>
              <a:graphicData uri="http://schemas.openxmlformats.org/drawingml/2006/picture">
                <pic:pic>
                  <pic:nvPicPr>
                    <pic:cNvPr descr="../output/figures/fig_bias_forest.pdf" id="81" name="Picture"/>
                    <pic:cNvPicPr>
                      <a:picLocks noChangeArrowheads="1" noChangeAspect="1"/>
                    </pic:cNvPicPr>
                  </pic:nvPicPr>
                  <pic:blipFill>
                    <a:blip r:embed="rId79"/>
                    <a:stretch>
                      <a:fillRect/>
                    </a:stretch>
                  </pic:blipFill>
                  <pic:spPr bwMode="auto">
                    <a:xfrm>
                      <a:off x="0" y="0"/>
                      <a:ext cx="4533900" cy="3778250"/>
                    </a:xfrm>
                    <a:prstGeom prst="rect">
                      <a:avLst/>
                    </a:prstGeom>
                    <a:noFill/>
                    <a:ln w="9525">
                      <a:noFill/>
                      <a:headEnd/>
                      <a:tailEnd/>
                    </a:ln>
                  </pic:spPr>
                </pic:pic>
              </a:graphicData>
            </a:graphic>
          </wp:inline>
        </w:drawing>
      </w:r>
    </w:p>
    <w:p>
      <w:pPr>
        <w:pStyle w:val="ImageCaption"/>
      </w:pPr>
      <w:r>
        <w:t xml:space="preserve">Bias (z) by task and effort with 95% CrIs; reference line at z=0.5 (no bias).</w:t>
      </w:r>
    </w:p>
    <w:p>
      <w:pPr>
        <w:pStyle w:val="CaptionedFigure"/>
      </w:pPr>
      <w:r>
        <w:drawing>
          <wp:inline>
            <wp:extent cx="4533900" cy="3022600"/>
            <wp:effectExtent b="0" l="0" r="0" t="0"/>
            <wp:docPr descr="Posterior of drift on Standard trials with prior overlay (v≈0). The tight prior Normal(0, 0.03) successfully constrained drift to near-zero, validating the Standard-only bias calibration approach." title="" id="83" name="Picture"/>
            <a:graphic>
              <a:graphicData uri="http://schemas.openxmlformats.org/drawingml/2006/picture">
                <pic:pic>
                  <pic:nvPicPr>
                    <pic:cNvPr descr="../output/figures/fig_v_standard_posterior.pdf" id="84" name="Picture"/>
                    <pic:cNvPicPr>
                      <a:picLocks noChangeArrowheads="1" noChangeAspect="1"/>
                    </pic:cNvPicPr>
                  </pic:nvPicPr>
                  <pic:blipFill>
                    <a:blip r:embed="rId82"/>
                    <a:stretch>
                      <a:fillRect/>
                    </a:stretch>
                  </pic:blipFill>
                  <pic:spPr bwMode="auto">
                    <a:xfrm>
                      <a:off x="0" y="0"/>
                      <a:ext cx="4533900" cy="3022600"/>
                    </a:xfrm>
                    <a:prstGeom prst="rect">
                      <a:avLst/>
                    </a:prstGeom>
                    <a:noFill/>
                    <a:ln w="9525">
                      <a:noFill/>
                      <a:headEnd/>
                      <a:tailEnd/>
                    </a:ln>
                  </pic:spPr>
                </pic:pic>
              </a:graphicData>
            </a:graphic>
          </wp:inline>
        </w:drawing>
      </w:r>
    </w:p>
    <w:p>
      <w:pPr>
        <w:pStyle w:val="ImageCaption"/>
      </w:pPr>
      <w:r>
        <w:t xml:space="preserve">Posterior of drift on Standard trials with prior overlay (v≈0). The tight prior Normal(0, 0.03) successfully constrained drift to near-zero, validating the Standard-only bias calibration approach.</w:t>
      </w:r>
    </w:p>
    <w:bookmarkEnd w:id="85"/>
    <w:bookmarkStart w:id="86" w:name="joint-model-confirmation-1"/>
    <w:p>
      <w:pPr>
        <w:pStyle w:val="Heading2"/>
      </w:pPr>
      <w:r>
        <w:t xml:space="preserve">10.2 Joint Model (Confirmation)</w:t>
      </w:r>
    </w:p>
    <w:p>
      <w:pPr>
        <w:pStyle w:val="FirstParagraph"/>
      </w:pPr>
      <w:r>
        <w:t xml:space="preserve">Standard drift remained near zero (posterior mean ≈ -0.10, 95% CrI [-0.179, -0.017]). Easy showed strong positive drift (≈1.77), Hard moderate positive drift (≈0.25). Bias intercept closely matched the Standard-only estimate (z = 0.572 vs. 0.567); the task effect replicated (VDT &lt; ADT, Δ = -0.100, 95% CrI [-0.141, -0.059]).</w:t>
      </w:r>
    </w:p>
    <w:bookmarkEnd w:id="86"/>
    <w:bookmarkStart w:id="87" w:name="convergence-model-selection"/>
    <w:p>
      <w:pPr>
        <w:pStyle w:val="Heading2"/>
      </w:pPr>
      <w:r>
        <w:t xml:space="preserve">10.3 Convergence &amp; Model Selection</w:t>
      </w:r>
    </w:p>
    <w:p>
      <w:pPr>
        <w:pStyle w:val="FirstParagraph"/>
      </w:pPr>
      <w:r>
        <w:t xml:space="preserve">All parameters converged well (max</w:t>
      </w:r>
      <w:r>
        <w:t xml:space="preserve"> </w:t>
      </w:r>
      <m:oMath>
        <m:acc>
          <m:accPr>
            <m:chr m:val="̂"/>
          </m:accPr>
          <m:e>
            <m:r>
              <m:t>R</m:t>
            </m:r>
          </m:e>
        </m:acc>
      </m:oMath>
      <w:r>
        <w:t xml:space="preserve"> </w:t>
      </w:r>
      <w:r>
        <w:t xml:space="preserve">≤ 1.01; min bulk/tail ESS ≥ 400; no divergent transitions). Leave-one-out cross-validation strongly favored a model in which</w:t>
      </w:r>
      <w:r>
        <w:t xml:space="preserve"> </w:t>
      </w:r>
      <w:r>
        <w:rPr>
          <w:b/>
          <w:bCs/>
        </w:rPr>
        <w:t xml:space="preserve">difficulty modulates drift, boundary separation, and starting-point bias jointly</w:t>
      </w:r>
      <w:r>
        <w:t xml:space="preserve"> </w:t>
      </w:r>
      <w:r>
        <w:t xml:space="preserve">(v+a+z), relative to drift-only or simpler models (ΔELPD ≈ +185, SE ≈ 20).</w:t>
      </w:r>
    </w:p>
    <w:bookmarkEnd w:id="87"/>
    <w:bookmarkStart w:id="88" w:name="difficulty-effects"/>
    <w:p>
      <w:pPr>
        <w:pStyle w:val="Heading2"/>
      </w:pPr>
      <w:r>
        <w:t xml:space="preserve">10.4 Difficulty Effects</w:t>
      </w:r>
    </w:p>
    <w:p>
      <w:pPr>
        <w:pStyle w:val="FirstParagraph"/>
      </w:pPr>
      <w:r>
        <w:rPr>
          <w:b/>
          <w:bCs/>
        </w:rPr>
        <w:t xml:space="preserve">Drift rate (v)</w:t>
      </w:r>
      <w:r>
        <w:t xml:space="preserve">: Easy trials show faster evidence accumulation than Hard trials (strong positive contrast, P(Δ&gt;0) &gt; 0.99 for both tasks).</w:t>
      </w:r>
    </w:p>
    <w:p>
      <w:pPr>
        <w:pStyle w:val="BodyText"/>
      </w:pPr>
      <w:r>
        <w:rPr>
          <w:b/>
          <w:bCs/>
        </w:rPr>
        <w:t xml:space="preserve">Boundary separation (a)</w:t>
      </w:r>
      <w:r>
        <w:t xml:space="preserve">: Easy trials have narrower decision boundaries, consistent with reduced caution when discrimination is easier.</w:t>
      </w:r>
    </w:p>
    <w:bookmarkEnd w:id="88"/>
    <w:bookmarkStart w:id="89" w:name="task-differences-adt-vs.-vdt"/>
    <w:p>
      <w:pPr>
        <w:pStyle w:val="Heading2"/>
      </w:pPr>
      <w:r>
        <w:t xml:space="preserve">10.5 Task Differences (ADT vs. VDT)</w:t>
      </w:r>
    </w:p>
    <w:p>
      <w:pPr>
        <w:pStyle w:val="FirstParagraph"/>
      </w:pPr>
      <w:r>
        <w:t xml:space="preserve">ADT and VDT are separate experimental conditions with distinct parameter profiles. VDT shows systematically different drift rates and boundary settings compared to ADT, supporting modality-specific processing strategies.</w:t>
      </w:r>
    </w:p>
    <w:bookmarkEnd w:id="89"/>
    <w:bookmarkStart w:id="90" w:name="effort-effects"/>
    <w:p>
      <w:pPr>
        <w:pStyle w:val="Heading2"/>
      </w:pPr>
      <w:r>
        <w:t xml:space="preserve">10.6 Effort Effects</w:t>
      </w:r>
    </w:p>
    <w:p>
      <w:pPr>
        <w:pStyle w:val="FirstParagraph"/>
      </w:pPr>
      <w:r>
        <w:t xml:space="preserve">High effort (40% MVC) produces small but credible effects on drift rate and non-decision time, suggesting that physical effort modulates both information accumulation and motor execution speed.</w:t>
      </w:r>
    </w:p>
    <w:bookmarkEnd w:id="90"/>
    <w:bookmarkStart w:id="97" w:name="model-fit"/>
    <w:p>
      <w:pPr>
        <w:pStyle w:val="Heading2"/>
      </w:pPr>
      <w:r>
        <w:t xml:space="preserve">10.7 Model Fit</w:t>
      </w:r>
    </w:p>
    <w:p>
      <w:pPr>
        <w:pStyle w:val="FirstParagraph"/>
      </w:pPr>
      <w:r>
        <w:rPr>
          <w:b/>
          <w:bCs/>
        </w:rPr>
        <w:t xml:space="preserve">Absolute fit</w:t>
      </w:r>
      <w:r>
        <w:t xml:space="preserve">: Subject-wise mid-body PPCs show acceptable error magnitudes (QP RMSE ≤ 0.09 s for most cells; ≤15% flagged). The model captures central RT tendencies and accuracy well.</w:t>
      </w:r>
    </w:p>
    <w:p>
      <w:pPr>
        <w:pStyle w:val="BodyText"/>
      </w:pPr>
      <w:r>
        <w:rPr>
          <w:b/>
          <w:bCs/>
        </w:rPr>
        <w:t xml:space="preserve">PPC Summary (Joint Model)</w:t>
      </w:r>
      <w:r>
        <w:t xml:space="preserve">: PPCs were good for Standard and Easy cells (QP RMSE &lt; 0.13, KS &lt; 0.08), with modest misfit in VDT-Hard (worst QP RMSE ≈ 0.206). This pattern suggests some residual fast-tail behavior not captured by a constant-drift Wiener process.</w:t>
      </w:r>
    </w:p>
    <w:p>
      <w:pPr>
        <w:pStyle w:val="CaptionedFigure"/>
      </w:pPr>
      <w:r>
        <w:drawing>
          <wp:inline>
            <wp:extent cx="4800600" cy="3600450"/>
            <wp:effectExtent b="0" l="0" r="0" t="0"/>
            <wp:docPr descr="Observed vs. model-predicted p(‘different’) across 12 cells (Task × Effort × Difficulty)." title="" id="92" name="Picture"/>
            <a:graphic>
              <a:graphicData uri="http://schemas.openxmlformats.org/drawingml/2006/picture">
                <pic:pic>
                  <pic:nvPicPr>
                    <pic:cNvPr descr="../output/figures/fig_pdiff_heatmap.pdf" id="93" name="Picture"/>
                    <pic:cNvPicPr>
                      <a:picLocks noChangeArrowheads="1" noChangeAspect="1"/>
                    </pic:cNvPicPr>
                  </pic:nvPicPr>
                  <pic:blipFill>
                    <a:blip r:embed="rId9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Observed vs. model-predicted p(</w:t>
      </w:r>
      <w:r>
        <w:t xml:space="preserve">‘different’</w:t>
      </w:r>
      <w:r>
        <w:t xml:space="preserve">) across 12 cells (Task × Effort × Difficulty).</w:t>
      </w:r>
    </w:p>
    <w:p>
      <w:pPr>
        <w:pStyle w:val="CaptionedFigure"/>
      </w:pPr>
      <w:r>
        <w:drawing>
          <wp:inline>
            <wp:extent cx="4800600" cy="2700337"/>
            <wp:effectExtent b="0" l="0" r="0" t="0"/>
            <wp:docPr descr="PPC best/median/worst cells (QP RMSE and KS with thresholds)." title="" id="95" name="Picture"/>
            <a:graphic>
              <a:graphicData uri="http://schemas.openxmlformats.org/drawingml/2006/picture">
                <pic:pic>
                  <pic:nvPicPr>
                    <pic:cNvPr descr="../output/figures/fig_ppc_small_multiples.pdf" id="96" name="Picture"/>
                    <pic:cNvPicPr>
                      <a:picLocks noChangeArrowheads="1" noChangeAspect="1"/>
                    </pic:cNvPicPr>
                  </pic:nvPicPr>
                  <pic:blipFill>
                    <a:blip r:embed="rId94"/>
                    <a:stretch>
                      <a:fillRect/>
                    </a:stretch>
                  </pic:blipFill>
                  <pic:spPr bwMode="auto">
                    <a:xfrm>
                      <a:off x="0" y="0"/>
                      <a:ext cx="4800600" cy="2700337"/>
                    </a:xfrm>
                    <a:prstGeom prst="rect">
                      <a:avLst/>
                    </a:prstGeom>
                    <a:noFill/>
                    <a:ln w="9525">
                      <a:noFill/>
                      <a:headEnd/>
                      <a:tailEnd/>
                    </a:ln>
                  </pic:spPr>
                </pic:pic>
              </a:graphicData>
            </a:graphic>
          </wp:inline>
        </w:drawing>
      </w:r>
    </w:p>
    <w:p>
      <w:pPr>
        <w:pStyle w:val="ImageCaption"/>
      </w:pPr>
      <w:r>
        <w:t xml:space="preserve">PPC best/median/worst cells (QP RMSE and KS with thresholds).</w:t>
      </w:r>
    </w:p>
    <w:p>
      <w:pPr>
        <w:pStyle w:val="BodyText"/>
      </w:pPr>
      <w:r>
        <w:rPr>
          <w:b/>
          <w:bCs/>
        </w:rPr>
        <w:t xml:space="preserve">Known limitation</w:t>
      </w:r>
      <w:r>
        <w:t xml:space="preserve">: Pooled conditional PPCs reveal residual fast-tail misfit, most pronounced in Easy/VDT conditions. This is a known limitation of constant-drift Wiener DDMs without across-trial variability (sv, sz, st₀) or explicit contaminant/lapse processes.</w:t>
      </w:r>
    </w:p>
    <w:bookmarkEnd w:id="97"/>
    <w:bookmarkEnd w:id="98"/>
    <w:bookmarkStart w:id="103" w:name="ethics-precision-and-data-availability"/>
    <w:p>
      <w:pPr>
        <w:pStyle w:val="Heading1"/>
      </w:pPr>
      <w:r>
        <w:t xml:space="preserve">11. Ethics, Precision, and Data Availability</w:t>
      </w:r>
    </w:p>
    <w:bookmarkStart w:id="99" w:name="ethics-statement"/>
    <w:p>
      <w:pPr>
        <w:pStyle w:val="Heading2"/>
      </w:pPr>
      <w:r>
        <w:t xml:space="preserve">11.1 Ethics Statement</w:t>
      </w:r>
    </w:p>
    <w:p>
      <w:pPr>
        <w:pStyle w:val="FirstParagraph"/>
      </w:pPr>
      <w:r>
        <w:t xml:space="preserve">All participants provided written informed consent. The study was approved by the Institutional Review Board and conducted in accordance with the Declaration of Helsinki.</w:t>
      </w:r>
    </w:p>
    <w:bookmarkEnd w:id="99"/>
    <w:bookmarkStart w:id="100" w:name="sample-size-precision"/>
    <w:p>
      <w:pPr>
        <w:pStyle w:val="Heading2"/>
      </w:pPr>
      <w:r>
        <w:t xml:space="preserve">11.2 Sample Size &amp; Precision</w:t>
      </w:r>
    </w:p>
    <w:p>
      <w:pPr>
        <w:pStyle w:val="FirstParagraph"/>
      </w:pPr>
      <w:r>
        <w:t xml:space="preserve">With N=67 subjects and ~260 trials per subject (17,243 total), hierarchical estimation provides adequate precision for group-level and subject-level effects. Effective sample sizes (ESS) for all parameters exceeded 400, indicating stable posterior estimates.</w:t>
      </w:r>
    </w:p>
    <w:bookmarkEnd w:id="100"/>
    <w:bookmarkStart w:id="102" w:name="data-code-availability"/>
    <w:p>
      <w:pPr>
        <w:pStyle w:val="Heading2"/>
      </w:pPr>
      <w:r>
        <w:t xml:space="preserve">11.3 Data &amp; Code Availability</w:t>
      </w:r>
    </w:p>
    <w:p>
      <w:pPr>
        <w:pStyle w:val="FirstParagraph"/>
      </w:pPr>
      <w:r>
        <w:t xml:space="preserve">All analysis code and de-identified data are available in the project repository:</w:t>
      </w:r>
      <w:r>
        <w:br/>
      </w:r>
      <w:r>
        <w:rPr>
          <w:b/>
          <w:bCs/>
        </w:rPr>
        <w:t xml:space="preserve">Repository</w:t>
      </w:r>
      <w:r>
        <w:t xml:space="preserve">:</w:t>
      </w:r>
      <w:r>
        <w:t xml:space="preserve"> </w:t>
      </w:r>
      <w:hyperlink r:id="rId101">
        <w:r>
          <w:rPr>
            <w:rStyle w:val="Hyperlink"/>
          </w:rPr>
          <w:t xml:space="preserve">modeling-pupil-DDM</w:t>
        </w:r>
      </w:hyperlink>
      <w:r>
        <w:br/>
      </w:r>
      <w:r>
        <w:rPr>
          <w:b/>
          <w:bCs/>
        </w:rPr>
        <w:t xml:space="preserve">Analysis scripts</w:t>
      </w:r>
      <w:r>
        <w:t xml:space="preserve">:</w:t>
      </w:r>
      <w:r>
        <w:t xml:space="preserve"> </w:t>
      </w:r>
      <w:r>
        <w:rPr>
          <w:rStyle w:val="VerbatimChar"/>
        </w:rPr>
        <w:t xml:space="preserve">R/</w:t>
      </w:r>
      <w:r>
        <w:t xml:space="preserve">,</w:t>
      </w:r>
      <w:r>
        <w:t xml:space="preserve"> </w:t>
      </w:r>
      <w:r>
        <w:rPr>
          <w:rStyle w:val="VerbatimChar"/>
        </w:rPr>
        <w:t xml:space="preserve">scripts/</w:t>
      </w:r>
      <w:r>
        <w:br/>
      </w:r>
      <w:r>
        <w:rPr>
          <w:b/>
          <w:bCs/>
        </w:rPr>
        <w:t xml:space="preserve">Report source</w:t>
      </w:r>
      <w:r>
        <w:t xml:space="preserve">:</w:t>
      </w:r>
      <w:r>
        <w:t xml:space="preserve"> </w:t>
      </w:r>
      <w:r>
        <w:rPr>
          <w:rStyle w:val="VerbatimChar"/>
        </w:rPr>
        <w:t xml:space="preserve">reports/chap3_ddm_results.qmd</w:t>
      </w:r>
    </w:p>
    <w:p>
      <w:pPr>
        <w:pStyle w:val="BodyText"/>
      </w:pPr>
      <w:r>
        <w:rPr>
          <w:b/>
          <w:bCs/>
        </w:rPr>
        <w:t xml:space="preserve">Note</w:t>
      </w:r>
      <w:r>
        <w:t xml:space="preserve">: The behavioral dataset and detailed task methodology are described in the LC behavioral report manuscript (see References). This DDM analysis uses the same dataset and participants.</w:t>
      </w:r>
    </w:p>
    <w:bookmarkEnd w:id="102"/>
    <w:bookmarkEnd w:id="103"/>
    <w:bookmarkStart w:id="107" w:name="limitations-future-directions"/>
    <w:p>
      <w:pPr>
        <w:pStyle w:val="Heading1"/>
      </w:pPr>
      <w:r>
        <w:t xml:space="preserve">12. Limitations &amp; Future Directions</w:t>
      </w:r>
    </w:p>
    <w:bookmarkStart w:id="104" w:name="model-family-limitations"/>
    <w:p>
      <w:pPr>
        <w:pStyle w:val="Heading2"/>
      </w:pPr>
      <w:r>
        <w:t xml:space="preserve">12.1 Model Family Limitations</w:t>
      </w:r>
    </w:p>
    <w:p>
      <w:pPr>
        <w:numPr>
          <w:ilvl w:val="0"/>
          <w:numId w:val="1016"/>
        </w:numPr>
      </w:pPr>
      <w:r>
        <w:rPr>
          <w:b/>
          <w:bCs/>
        </w:rPr>
        <w:t xml:space="preserve">Constant-drift Wiener DDM</w:t>
      </w:r>
      <w:r>
        <w:t xml:space="preserve">: The base Wiener DDM assumes constant drift within each trial and no across-trial variability in drift (sv), starting point (sz), or non-decision time (st₀). This can underfit fast tails, especially in VDT-Hard conditions. The constant-drift Wiener DDM underfits fast RT tails, especially in VDT-Hard. Response-signal timing limits identifiability of across-trial variability. Future work could add a small contaminant mixture, across-trial variability (sv, sz), or urgency/collapsing bounds; LBA/race models may better capture fast-tail dynamics in the Easy/VDT regime.</w:t>
      </w:r>
    </w:p>
    <w:p>
      <w:pPr>
        <w:numPr>
          <w:ilvl w:val="0"/>
          <w:numId w:val="1016"/>
        </w:numPr>
      </w:pPr>
      <w:r>
        <w:rPr>
          <w:b/>
          <w:bCs/>
        </w:rPr>
        <w:t xml:space="preserve">Non-decision time (t₀) random effects omitted</w:t>
      </w:r>
      <w:r>
        <w:t xml:space="preserve">: In the response-signal design, t₀ primarily reflects motor execution. We modeled t₀ with group-level intercepts and small task/effort effects but omitted subject-level random effects due to identifiability concerns and initialization failures in pilot models. This may underestimate individual differences in motor execution speed.</w:t>
      </w:r>
    </w:p>
    <w:p>
      <w:pPr>
        <w:numPr>
          <w:ilvl w:val="0"/>
          <w:numId w:val="1016"/>
        </w:numPr>
      </w:pPr>
      <w:r>
        <w:rPr>
          <w:b/>
          <w:bCs/>
        </w:rPr>
        <w:t xml:space="preserve">Alternative model families</w:t>
      </w:r>
      <w:r>
        <w:t xml:space="preserve">: Linear Ballistic Accumulator (LBA) or race models may provide better fit for fast-tail dynamics, particularly for Easy/VDT. These models allow for more flexible RT distributions and may better accommodate the response-signal design.</w:t>
      </w:r>
    </w:p>
    <w:bookmarkEnd w:id="104"/>
    <w:bookmarkStart w:id="105" w:name="design-specific-limitations"/>
    <w:p>
      <w:pPr>
        <w:pStyle w:val="Heading2"/>
      </w:pPr>
      <w:r>
        <w:t xml:space="preserve">12.2 Design-Specific Limitations</w:t>
      </w:r>
    </w:p>
    <w:p>
      <w:pPr>
        <w:numPr>
          <w:ilvl w:val="0"/>
          <w:numId w:val="1017"/>
        </w:numPr>
      </w:pPr>
      <w:r>
        <w:rPr>
          <w:b/>
          <w:bCs/>
        </w:rPr>
        <w:t xml:space="preserve">Response-signal RT measurement</w:t>
      </w:r>
      <w:r>
        <w:t xml:space="preserve">: RTs are measured from response-screen onset, not stimulus onset. This constrains the interpretation of t₀ to motor execution and response selection, excluding early perceptual/encoding processes. While this is appropriate for the current design, it limits generalizability to traditional RT paradigms.</w:t>
      </w:r>
    </w:p>
    <w:p>
      <w:pPr>
        <w:numPr>
          <w:ilvl w:val="0"/>
          <w:numId w:val="1017"/>
        </w:numPr>
      </w:pPr>
      <w:r>
        <w:rPr>
          <w:b/>
          <w:bCs/>
        </w:rPr>
        <w:t xml:space="preserve">Effort manipulation</w:t>
      </w:r>
      <w:r>
        <w:t xml:space="preserve">: Physical effort (grip force) may interact with motor execution in complex ways not fully captured by small fixed effects on t₀. Future work integrating EMG or kinematic measures could provide richer insights into effort-motor interactions.</w:t>
      </w:r>
    </w:p>
    <w:bookmarkEnd w:id="105"/>
    <w:bookmarkStart w:id="106" w:name="misfit-in-easyvdt"/>
    <w:p>
      <w:pPr>
        <w:pStyle w:val="Heading2"/>
      </w:pPr>
      <w:r>
        <w:t xml:space="preserve">12.3 Misfit in Easy/VDT</w:t>
      </w:r>
    </w:p>
    <w:p>
      <w:pPr>
        <w:numPr>
          <w:ilvl w:val="0"/>
          <w:numId w:val="1018"/>
        </w:numPr>
      </w:pPr>
      <w:r>
        <w:rPr>
          <w:b/>
          <w:bCs/>
        </w:rPr>
        <w:t xml:space="preserve">Fast-tail misfit</w:t>
      </w:r>
      <w:r>
        <w:t xml:space="preserve">: The most pronounced misfit occurs in Easy/VDT conditions, where the model underpredicts the frequency of very fast correct responses. This suggests a subset of trials may reflect:</w:t>
      </w:r>
    </w:p>
    <w:p>
      <w:pPr>
        <w:pStyle w:val="Compact"/>
        <w:numPr>
          <w:ilvl w:val="1"/>
          <w:numId w:val="1019"/>
        </w:numPr>
      </w:pPr>
      <w:r>
        <w:t xml:space="preserve">Anticipatory responses (partially captured by 2% censoring)</w:t>
      </w:r>
    </w:p>
    <w:p>
      <w:pPr>
        <w:pStyle w:val="Compact"/>
        <w:numPr>
          <w:ilvl w:val="1"/>
          <w:numId w:val="1019"/>
        </w:numPr>
      </w:pPr>
      <w:r>
        <w:t xml:space="preserve">A</w:t>
      </w:r>
      <w:r>
        <w:t xml:space="preserve"> </w:t>
      </w:r>
      <w:r>
        <w:t xml:space="preserve">“fast-guess”</w:t>
      </w:r>
      <w:r>
        <w:t xml:space="preserve"> </w:t>
      </w:r>
      <w:r>
        <w:t xml:space="preserve">process not represented in the base DDM</w:t>
      </w:r>
    </w:p>
    <w:p>
      <w:pPr>
        <w:pStyle w:val="Compact"/>
        <w:numPr>
          <w:ilvl w:val="1"/>
          <w:numId w:val="1019"/>
        </w:numPr>
      </w:pPr>
      <w:r>
        <w:t xml:space="preserve">Extremely high drift rates that are incompatible with the assumed Wiener process for a small subset of trials</w:t>
      </w:r>
    </w:p>
    <w:p>
      <w:pPr>
        <w:numPr>
          <w:ilvl w:val="0"/>
          <w:numId w:val="1000"/>
        </w:numPr>
      </w:pPr>
      <w:r>
        <w:t xml:space="preserve">Sensitivity analyses (2% censoring, unconditional PPCs) confirm that substantive conclusions are robust, but future work should explore mixture models or urgency signals to better account for these fast responses.</w:t>
      </w:r>
    </w:p>
    <w:bookmarkEnd w:id="106"/>
    <w:bookmarkEnd w:id="107"/>
    <w:bookmarkStart w:id="108" w:name="conclusions"/>
    <w:p>
      <w:pPr>
        <w:pStyle w:val="Heading1"/>
      </w:pPr>
      <w:r>
        <w:t xml:space="preserve">13. Conclusions</w:t>
      </w:r>
    </w:p>
    <w:p>
      <w:pPr>
        <w:pStyle w:val="FirstParagraph"/>
      </w:pPr>
      <w:r>
        <w:t xml:space="preserve">This chapter presents a comprehensive hierarchical Wiener DDM analysis of a response-signal change-detection task in older adults. The primary model, in which task difficulty modulates drift rate, boundary separation, and starting-point bias, is strongly supported by LOO cross-validation and shows acceptable fit to subject-wise mid-body RT quantiles. Key findings—difficulty effects on v, a, and z; task-specific processing differences; and small effort effects—are robust across multiple sensitivity analyses. While the base Wiener DDM shows localized misfit in fast tails (especially Easy/VDT), this does not undermine the core substantive conclusions. Future extensions incorporating across-trial variability, urgency, or mixture models may further improve absolute fit.</w:t>
      </w:r>
    </w:p>
    <w:bookmarkEnd w:id="108"/>
    <w:bookmarkStart w:id="120" w:name="supplementary-figures"/>
    <w:p>
      <w:pPr>
        <w:pStyle w:val="Heading1"/>
      </w:pPr>
      <w:r>
        <w:t xml:space="preserve">14. Supplementary Figures</w:t>
      </w:r>
    </w:p>
    <w:bookmarkStart w:id="112" w:name="s1.-conditional-accuracy-function-caf"/>
    <w:p>
      <w:pPr>
        <w:pStyle w:val="Heading2"/>
      </w:pPr>
      <w:r>
        <w:t xml:space="preserve">14.1 S1. Conditional Accuracy Function (CAF)</w:t>
      </w:r>
    </w:p>
    <w:p>
      <w:pPr>
        <w:pStyle w:val="CaptionedFigure"/>
      </w:pPr>
      <w:r>
        <w:drawing>
          <wp:inline>
            <wp:extent cx="5067300" cy="3659716"/>
            <wp:effectExtent b="0" l="0" r="0" t="0"/>
            <wp:docPr descr="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 title="" id="110" name="Picture"/>
            <a:graphic>
              <a:graphicData uri="http://schemas.openxmlformats.org/drawingml/2006/picture">
                <pic:pic>
                  <pic:nvPicPr>
                    <pic:cNvPr descr="../output/figures/fig_caf.pdf" id="111" name="Picture"/>
                    <pic:cNvPicPr>
                      <a:picLocks noChangeArrowheads="1" noChangeAspect="1"/>
                    </pic:cNvPicPr>
                  </pic:nvPicPr>
                  <pic:blipFill>
                    <a:blip r:embed="rId109"/>
                    <a:stretch>
                      <a:fillRect/>
                    </a:stretch>
                  </pic:blipFill>
                  <pic:spPr bwMode="auto">
                    <a:xfrm>
                      <a:off x="0" y="0"/>
                      <a:ext cx="5067300" cy="3659716"/>
                    </a:xfrm>
                    <a:prstGeom prst="rect">
                      <a:avLst/>
                    </a:prstGeom>
                    <a:noFill/>
                    <a:ln w="9525">
                      <a:noFill/>
                      <a:headEnd/>
                      <a:tailEnd/>
                    </a:ln>
                  </pic:spPr>
                </pic:pic>
              </a:graphicData>
            </a:graphic>
          </wp:inline>
        </w:drawing>
      </w:r>
    </w:p>
    <w:p>
      <w:pPr>
        <w:pStyle w:val="ImageCaption"/>
      </w:pPr>
      <w:r>
        <w:t xml:space="preserve">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bookmarkEnd w:id="112"/>
    <w:bookmarkStart w:id="117" w:name="s2.-ppc-residual-heatmaps"/>
    <w:p>
      <w:pPr>
        <w:pStyle w:val="Heading2"/>
      </w:pPr>
      <w:r>
        <w:t xml:space="preserve">14.2 S2. PPC Residual Heatmaps</w:t>
      </w:r>
    </w:p>
    <w:p>
      <w:pPr>
        <w:pStyle w:val="CaptionedFigure"/>
      </w:pPr>
      <w:r>
        <w:drawing>
          <wp:inline>
            <wp:extent cx="5334000" cy="4445000"/>
            <wp:effectExtent b="0" l="0" r="0" t="0"/>
            <wp:docPr descr="PPC Residual Heatmaps. KS statistic and QP RMSE by Task × Effort × Difficulty for all models (top panel) and primary model only (bottom panel). Darker red indicates larger residuals (poorer fit). The primary model shows acceptable fit across most cells, with notable misfit in Easy/VDT conditions." title="" id="114" name="Picture"/>
            <a:graphic>
              <a:graphicData uri="http://schemas.openxmlformats.org/drawingml/2006/picture">
                <pic:pic>
                  <pic:nvPicPr>
                    <pic:cNvPr descr="../output/figures/fig_ppc_heatmaps.pdf" id="115" name="Picture"/>
                    <pic:cNvPicPr>
                      <a:picLocks noChangeArrowheads="1" noChangeAspect="1"/>
                    </pic:cNvPicPr>
                  </pic:nvPicPr>
                  <pic:blipFill>
                    <a:blip r:embed="rId11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PPC Residual Heatmaps. KS statistic and QP RMSE by Task × Effort × Difficulty for all models (top panel) and primary model only (bottom panel). Darker red indicates larger residuals (poorer fit). The primary model shows acceptable fit across most cells, with notable misfit in Easy/VDT conditions.</w:t>
      </w:r>
    </w:p>
    <w:bookmarkStart w:id="116" w:name="heatmap-detail-tables"/>
    <w:p>
      <w:pPr>
        <w:pStyle w:val="Heading3"/>
      </w:pPr>
      <w:r>
        <w:t xml:space="preserve">14.2.1 Heatmap Detail Tables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PPC Residual Heatmap (Wide Format)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 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QP RMSE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0.445</w:t>
            </w:r>
          </w:p>
        </w:tc>
      </w:tr>
    </w:tbl>
    <w:bookmarkEnd w:id="116"/>
    <w:bookmarkEnd w:id="117"/>
    <w:bookmarkStart w:id="118" w:name="Xfe223faf20bacd1009f6ef2da041c114143b3f5"/>
    <w:p>
      <w:pPr>
        <w:pStyle w:val="Heading2"/>
      </w:pPr>
      <w:r>
        <w:t xml:space="preserve">14.3 S3. Unconditional Pooled PPC Metrics (Reference)</w:t>
      </w:r>
    </w:p>
    <w:p>
      <w:pPr>
        <w:pStyle w:val="FirstParagraph"/>
      </w:pPr>
      <w:r>
        <w:t xml:space="preserve">This table reports metrics from the strict unconditional pooled test (censored 2%), provided for completeness. As noted in the text, this pooled test is overly sensitive to small deviations in fast tails and is superseded by the subject-wise gate (≤15% flagged) and the joint model cell-wise PPCs (Standard/Easy good, VDT-Hard modest misfit).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Pooled PPC Gate Summary (Strict Test)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Cells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QP 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Max 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0.265</w:t>
            </w:r>
          </w:p>
        </w:tc>
      </w:tr>
    </w:tbl>
    <w:bookmarkEnd w:id="118"/>
    <w:bookmarkStart w:id="119" w:name="Xb40330511639abceae133853e319f91a8238779"/>
    <w:p>
      <w:pPr>
        <w:pStyle w:val="Heading2"/>
      </w:pPr>
      <w:r>
        <w:t xml:space="preserve">14.4 S4. Sensitivity Analysis: Exclusion of Sub-Chance Participants</w:t>
      </w:r>
    </w:p>
    <w:p>
      <w:pPr>
        <w:pStyle w:val="FirstParagraph"/>
      </w:pPr>
      <w:r>
        <w:t xml:space="preserve">To verify that the inclusion of 12 participants who performed at or below chance (≤55% accuracy) in some conditions did not bias our main findings, we conducted sensitivity analyses comparing the primary model (N=67) with models fit after excluding these participants (N=55).</w:t>
      </w:r>
    </w:p>
    <w:p>
      <w:pPr>
        <w:pStyle w:val="BodyText"/>
      </w:pPr>
      <w:r>
        <w:rPr>
          <w:b/>
          <w:bCs/>
        </w:rPr>
        <w:t xml:space="preserve">Method</w:t>
      </w:r>
      <w:r>
        <w:t xml:space="preserve">: We refit the primary model (Model3_Difficulty) and an additive model (Model4_Additive) on the reduced dataset excluding sub-chance participants. Parameter estimates were compared using delta (sensitivity - baseline) with conservative 95% credible intervals. If the delta CI includes zero and the baseline and sensitivity CIs overlap, we conclude the parameter is robust to exclusion.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Sensitivity Analysis: Excluding Sub-Chance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Baseline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Excluded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Lower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Upper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CI Overlap</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Δ Contains 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Model3_Difficulty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Model3_Difficulty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Model3_Difficulty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Model3_Difficulty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Model4_Additive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Model4_Additive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bs_Intercept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Model4_Additive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Model4_Additive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difficulty_levelStandard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Model4_Additive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effort_conditionLow_5_MVC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Baseline: N=67 (includes sub-chance). Excluded: N=55 (excludes sub-chance). Δ = Excluded - Baseline. If Δ CI contains 0 and CIs overlap, parameter is robust.</w:t>
            </w:r>
          </w:p>
        </w:tc>
      </w:tr>
    </w:tbl>
    <w:p>
      <w:pPr>
        <w:pStyle w:val="BodyText"/>
      </w:pPr>
      <w:r>
        <w:rPr>
          <w:b/>
          <w:bCs/>
        </w:rPr>
        <w:t xml:space="preserve">Results</w:t>
      </w:r>
      <w:r>
        <w:t xml:space="preserve">: Most key parameters showed robust estimates when excluding sub-chance participants. For Model3_Difficulty and Model4_Additive, the drift intercept and boundary separation showed delta CIs that included zero, indicating no meaningful change. The Easy difficulty effect was also robust. The Hard difficulty effect showed a small shift (Δ ≈ -0.10, delta CI did not include zero), but this represents a small change in magnitude (~6.5% of the baseline estimate) and does not alter the substantive conclusion that Hard trials show negative drift relative to Standard.</w:t>
      </w:r>
      <w:r>
        <w:t xml:space="preserve"> </w:t>
      </w:r>
      <w:r>
        <w:rPr>
          <w:b/>
          <w:bCs/>
        </w:rPr>
        <w:t xml:space="preserve">Conclusion</w:t>
      </w:r>
      <w:r>
        <w:t xml:space="preserve">: The inclusion of sub-chance participants did not meaningfully alter main effects or substantive conclusions, supporting our decision to retain all 67 participants to maximize sample size and leverage hierarchical modeling’s ability to stabilize estimates through shrinkage.</w:t>
      </w:r>
    </w:p>
    <w:bookmarkEnd w:id="119"/>
    <w:bookmarkEnd w:id="120"/>
    <w:bookmarkStart w:id="130" w:name="references"/>
    <w:p>
      <w:pPr>
        <w:pStyle w:val="Heading1"/>
      </w:pPr>
      <w:r>
        <w:t xml:space="preserve">15. References</w:t>
      </w:r>
    </w:p>
    <w:bookmarkStart w:id="129" w:name="refs"/>
    <w:bookmarkStart w:id="122" w:name="ref-ratcliff2001aging"/>
    <w:p>
      <w:pPr>
        <w:pStyle w:val="Bibliography"/>
      </w:pPr>
      <w:r>
        <w:t xml:space="preserve">Ratcliff, Roger, Anjali Thapar, and Gail McKoon. 2001.</w:t>
      </w:r>
      <w:r>
        <w:t xml:space="preserve"> </w:t>
      </w:r>
      <w:r>
        <w:t xml:space="preserve">“The Effects of Aging on Reaction Time in a Signal Detection Task.”</w:t>
      </w:r>
      <w:r>
        <w:t xml:space="preserve"> </w:t>
      </w:r>
      <w:r>
        <w:rPr>
          <w:i/>
          <w:iCs/>
        </w:rPr>
        <w:t xml:space="preserve">Psychology and Aging</w:t>
      </w:r>
      <w:r>
        <w:t xml:space="preserve"> </w:t>
      </w:r>
      <w:r>
        <w:t xml:space="preserve">16 (2): 323–41.</w:t>
      </w:r>
      <w:r>
        <w:t xml:space="preserve"> </w:t>
      </w:r>
      <w:hyperlink r:id="rId121">
        <w:r>
          <w:rPr>
            <w:rStyle w:val="Hyperlink"/>
          </w:rPr>
          <w:t xml:space="preserve">https://doi.org/10.1037/0882-7974.16.2.323</w:t>
        </w:r>
      </w:hyperlink>
      <w:r>
        <w:t xml:space="preserve">.</w:t>
      </w:r>
    </w:p>
    <w:bookmarkEnd w:id="122"/>
    <w:bookmarkStart w:id="124" w:name="ref-ratcliff2004aging"/>
    <w:p>
      <w:pPr>
        <w:pStyle w:val="Bibliography"/>
      </w:pPr>
      <w:r>
        <w:t xml:space="preserve">———. 2004.</w:t>
      </w:r>
      <w:r>
        <w:t xml:space="preserve"> </w:t>
      </w:r>
      <w:r>
        <w:t xml:space="preserve">“A Diffusion Model Analysis of the Effects of Aging in the Lexical-Decision Task.”</w:t>
      </w:r>
      <w:r>
        <w:t xml:space="preserve"> </w:t>
      </w:r>
      <w:r>
        <w:rPr>
          <w:i/>
          <w:iCs/>
        </w:rPr>
        <w:t xml:space="preserve">Psychology and Aging</w:t>
      </w:r>
      <w:r>
        <w:t xml:space="preserve"> </w:t>
      </w:r>
      <w:r>
        <w:t xml:space="preserve">19 (2): 278–89.</w:t>
      </w:r>
      <w:r>
        <w:t xml:space="preserve"> </w:t>
      </w:r>
      <w:hyperlink r:id="rId123">
        <w:r>
          <w:rPr>
            <w:rStyle w:val="Hyperlink"/>
          </w:rPr>
          <w:t xml:space="preserve">https://doi.org/10.1037/0882-7974.19.2.278</w:t>
        </w:r>
      </w:hyperlink>
      <w:r>
        <w:t xml:space="preserve">.</w:t>
      </w:r>
    </w:p>
    <w:bookmarkEnd w:id="124"/>
    <w:bookmarkStart w:id="126" w:name="ref-whelan2008effective"/>
    <w:p>
      <w:pPr>
        <w:pStyle w:val="Bibliography"/>
      </w:pPr>
      <w:r>
        <w:t xml:space="preserve">Whelan, Robert. 2008.</w:t>
      </w:r>
      <w:r>
        <w:t xml:space="preserve"> </w:t>
      </w:r>
      <w:r>
        <w:t xml:space="preserve">“Effective Analysis of Reaction Time Data.”</w:t>
      </w:r>
      <w:r>
        <w:t xml:space="preserve"> </w:t>
      </w:r>
      <w:r>
        <w:rPr>
          <w:i/>
          <w:iCs/>
        </w:rPr>
        <w:t xml:space="preserve">The Psychological Record</w:t>
      </w:r>
      <w:r>
        <w:t xml:space="preserve"> </w:t>
      </w:r>
      <w:r>
        <w:t xml:space="preserve">58 (3): 475–82.</w:t>
      </w:r>
      <w:r>
        <w:t xml:space="preserve"> </w:t>
      </w:r>
      <w:hyperlink r:id="rId125">
        <w:r>
          <w:rPr>
            <w:rStyle w:val="Hyperlink"/>
          </w:rPr>
          <w:t xml:space="preserve">https://doi.org/10.1007/BF03395630</w:t>
        </w:r>
      </w:hyperlink>
      <w:r>
        <w:t xml:space="preserve">.</w:t>
      </w:r>
    </w:p>
    <w:bookmarkEnd w:id="126"/>
    <w:bookmarkStart w:id="128" w:name="ref-woods2015age"/>
    <w:p>
      <w:pPr>
        <w:pStyle w:val="Bibliography"/>
      </w:pPr>
      <w:r>
        <w:t xml:space="preserve">Woods, David L., John M. Wyma, E. William Yund, Timothy J. Herron, and Bruce Reed. 2015.</w:t>
      </w:r>
      <w:r>
        <w:t xml:space="preserve"> </w:t>
      </w:r>
      <w:r>
        <w:t xml:space="preserve">“Age-Related Slowing of Response Selection and Production in a Visual Choice Reaction Time Task.”</w:t>
      </w:r>
      <w:r>
        <w:t xml:space="preserve"> </w:t>
      </w:r>
      <w:r>
        <w:rPr>
          <w:i/>
          <w:iCs/>
        </w:rPr>
        <w:t xml:space="preserve">Frontiers in Human Neuroscience</w:t>
      </w:r>
      <w:r>
        <w:t xml:space="preserve"> </w:t>
      </w:r>
      <w:r>
        <w:t xml:space="preserve">9: 193.</w:t>
      </w:r>
      <w:r>
        <w:t xml:space="preserve"> </w:t>
      </w:r>
      <w:hyperlink r:id="rId127">
        <w:r>
          <w:rPr>
            <w:rStyle w:val="Hyperlink"/>
          </w:rPr>
          <w:t xml:space="preserve">https://doi.org/10.3389/fnhum.2015.00193</w:t>
        </w:r>
      </w:hyperlink>
      <w:r>
        <w:t xml:space="preserve">.</w:t>
      </w:r>
    </w:p>
    <w:bookmarkEnd w:id="128"/>
    <w:bookmarkEnd w:id="129"/>
    <w:p>
      <w:pPr>
        <w:pStyle w:val="BodyText"/>
      </w:pPr>
      <w:r>
        <w:rPr>
          <w:i/>
          <w:iCs/>
        </w:rPr>
        <w:t xml:space="preserve">Note: The LC behavioral report manuscript (in preparation/published) describes the behavioral dataset and methodology used in this analysis. Full citation details will be added when available.</w:t>
      </w:r>
    </w:p>
    <w:p>
      <w:r>
        <w:pict>
          <v:rect style="width:0;height:1.5pt" o:hralign="center" o:hrstd="t" o:hr="t"/>
        </w:pict>
      </w:r>
    </w:p>
    <w:p>
      <w:pPr>
        <w:pStyle w:val="FirstParagraph"/>
      </w:pPr>
      <w:r>
        <w:rPr>
          <w:b/>
          <w:bCs/>
        </w:rPr>
        <w:t xml:space="preserve">End of Report</w:t>
      </w:r>
    </w:p>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79" Target="media/rId79.pdf" /><Relationship Type="http://schemas.openxmlformats.org/officeDocument/2006/relationships/image" Id="rId109" Target="media/rId109.pdf" /><Relationship Type="http://schemas.openxmlformats.org/officeDocument/2006/relationships/image" Id="rId37" Target="media/rId37.pdf" /><Relationship Type="http://schemas.openxmlformats.org/officeDocument/2006/relationships/image" Id="rId57" Target="media/rId57.pdf" /><Relationship Type="http://schemas.openxmlformats.org/officeDocument/2006/relationships/image" Id="rId60" Target="media/rId60.pdf" /><Relationship Type="http://schemas.openxmlformats.org/officeDocument/2006/relationships/image" Id="rId50" Target="media/rId50.pdf" /><Relationship Type="http://schemas.openxmlformats.org/officeDocument/2006/relationships/image" Id="rId45" Target="media/rId45.pdf" /><Relationship Type="http://schemas.openxmlformats.org/officeDocument/2006/relationships/image" Id="rId91" Target="media/rId91.pdf" /><Relationship Type="http://schemas.openxmlformats.org/officeDocument/2006/relationships/image" Id="rId113" Target="media/rId113.pdf" /><Relationship Type="http://schemas.openxmlformats.org/officeDocument/2006/relationships/image" Id="rId68" Target="media/rId68.pdf" /><Relationship Type="http://schemas.openxmlformats.org/officeDocument/2006/relationships/image" Id="rId94" Target="media/rId94.pdf" /><Relationship Type="http://schemas.openxmlformats.org/officeDocument/2006/relationships/image" Id="rId72" Target="media/rId72.pdf" /><Relationship Type="http://schemas.openxmlformats.org/officeDocument/2006/relationships/image" Id="rId82" Target="media/rId82.pdf" /><Relationship Type="http://schemas.openxmlformats.org/officeDocument/2006/relationships/hyperlink" Id="rId125" Target="https://doi.org/10.1007/BF03395630" TargetMode="External" /><Relationship Type="http://schemas.openxmlformats.org/officeDocument/2006/relationships/hyperlink" Id="rId121" Target="https://doi.org/10.1037/0882-7974.16.2.323" TargetMode="External" /><Relationship Type="http://schemas.openxmlformats.org/officeDocument/2006/relationships/hyperlink" Id="rId123" Target="https://doi.org/10.1037/0882-7974.19.2.278" TargetMode="External" /><Relationship Type="http://schemas.openxmlformats.org/officeDocument/2006/relationships/hyperlink" Id="rId127" Target="https://doi.org/10.3389/fnhum.2015.00193" TargetMode="External" /><Relationship Type="http://schemas.openxmlformats.org/officeDocument/2006/relationships/hyperlink" Id="rId101" Target="https://github.com/mohdasti/modeling-pupil-DDM"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07/BF03395630" TargetMode="External" /><Relationship Type="http://schemas.openxmlformats.org/officeDocument/2006/relationships/hyperlink" Id="rId121" Target="https://doi.org/10.1037/0882-7974.16.2.323" TargetMode="External" /><Relationship Type="http://schemas.openxmlformats.org/officeDocument/2006/relationships/hyperlink" Id="rId123" Target="https://doi.org/10.1037/0882-7974.19.2.278" TargetMode="External" /><Relationship Type="http://schemas.openxmlformats.org/officeDocument/2006/relationships/hyperlink" Id="rId127" Target="https://doi.org/10.3389/fnhum.2015.00193" TargetMode="External" /><Relationship Type="http://schemas.openxmlformats.org/officeDocument/2006/relationships/hyperlink" Id="rId101" Target="https://github.com/mohdasti/modeling-pupil-DD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Diffusion Modeling with Pupil-Linked Arousal (Response-Signal Design)</dc:title>
  <dc:creator>Mohammad Dastgheib</dc:creator>
  <cp:keywords/>
  <dcterms:created xsi:type="dcterms:W3CDTF">2025-11-22T02:39:19Z</dcterms:created>
  <dcterms:modified xsi:type="dcterms:W3CDTF">2025-11-22T02:39:19Z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