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Pharmacology II - Study Guide</w:t>
      </w:r>
    </w:p>
    <w:p>
      <w:r>
        <w:t>Course: NUR-420</w:t>
      </w:r>
    </w:p>
    <w:p>
      <w:r>
        <w:t>Professor: Maria Chen</w:t>
      </w:r>
    </w:p>
    <w:p>
      <w:r>
        <w:t>Fall 2026</w:t>
      </w:r>
    </w:p>
    <w:p/>
    <w:p>
      <w:pPr>
        <w:pStyle w:val="Heading2"/>
      </w:pPr>
      <w:r>
        <w:t>Unit 6: Cardiovascular Pharmacology</w:t>
      </w:r>
    </w:p>
    <w:p>
      <w:r>
        <w:t>Beta Blockers - Metoprolol, Atenolol - nursing considerations: check HR/BP before admin</w:t>
      </w:r>
    </w:p>
    <w:p>
      <w:r>
        <w:t>ACE Inhibitors - Lisinopril, Enalapril - monitor for cough, angioedema</w:t>
      </w:r>
    </w:p>
    <w:p>
      <w:r>
        <w:t>Calcium Channel Blockers - Amlodipine, Diltiazem - avoid grapefruit juice</w:t>
      </w:r>
    </w:p>
    <w:p>
      <w:r>
        <w:t>Diuretics - Furosemide, HCTZ - monitor potassium, renal function</w:t>
      </w:r>
    </w:p>
    <w:p/>
    <w:p>
      <w:pPr>
        <w:pStyle w:val="Heading2"/>
      </w:pPr>
      <w:r>
        <w:t>Unit 7: Respiratory Pharmacology</w:t>
      </w:r>
    </w:p>
    <w:p>
      <w:r>
        <w:t>Albuterol - short acting beta agonist, monitor for tachycardia</w:t>
      </w:r>
    </w:p>
    <w:p>
      <w:r>
        <w:t>Ipratropium - anticholinergic, contraindicated in glaucoma</w:t>
      </w:r>
    </w:p>
    <w:p>
      <w:r>
        <w:t>Inhaled Corticosteroids - Fluticasone - rinse mouth after use</w:t>
      </w:r>
    </w:p>
    <w:p/>
    <w:p>
      <w:pPr>
        <w:pStyle w:val="Heading2"/>
      </w:pPr>
      <w:r>
        <w:t>Unit 8: CNS Agents</w:t>
      </w:r>
    </w:p>
    <w:p>
      <w:r>
        <w:t>Opioids - Morphine, Fentanyl - monitor respiratory depression</w:t>
      </w:r>
    </w:p>
    <w:p>
      <w:r>
        <w:t>Benzodiazepines - Lorazepam, Diazepam - fall risk in elderly</w:t>
      </w:r>
    </w:p>
    <w:p>
      <w:r>
        <w:t>SSRIs - Sertraline, Fluoxetine - serotonin syndrome warning</w:t>
      </w:r>
    </w:p>
    <w:p/>
    <w:p>
      <w:pPr>
        <w:pStyle w:val="Heading2"/>
      </w:pPr>
      <w:r>
        <w:t>Unit 9: Antibiotics</w:t>
      </w:r>
    </w:p>
    <w:p>
      <w:r>
        <w:t>Penicillins - Amoxicillin - check for allergy before admin</w:t>
      </w:r>
    </w:p>
    <w:p>
      <w:r>
        <w:t>Cephalosporins - Ceftriaxone - cross reactivity with penicillin</w:t>
      </w:r>
    </w:p>
    <w:p>
      <w:r>
        <w:t>Fluoroquinolones - Ciprofloxacin - tendon rupture risk</w:t>
      </w:r>
    </w:p>
    <w:p/>
    <w:p>
      <w:pPr>
        <w:pStyle w:val="Heading2"/>
      </w:pPr>
      <w:r>
        <w:t>Unit 10: Endocrine Agents</w:t>
      </w:r>
    </w:p>
    <w:p>
      <w:r>
        <w:t>Insulin - rapid vs long acting, onset/peak/duration</w:t>
      </w:r>
    </w:p>
    <w:p>
      <w:r>
        <w:t>Metformin - hold for contrast dye studies</w:t>
      </w:r>
    </w:p>
    <w:p>
      <w:r>
        <w:t>Levothyroxine - take on empty stomach, same time daily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