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MagikLayout: An AI-Guided Debugging Studio for Teaching Java Swing Layout Managers</w:t>
      </w:r>
    </w:p>
    <w:p>
      <w:pPr>
        <w:spacing w:after="60"/>
        <w:jc w:val="center"/>
      </w:pPr>
      <w:r>
        <w:rPr>
          <w:rFonts w:ascii="Times New Roman" w:cs="Times New Roman" w:eastAsia="Times New Roman" w:hAnsi="Times New Roman"/>
          <w:i/>
          <w:iCs/>
          <w:sz w:val="22"/>
          <w:szCs w:val="22"/>
          <w:highlight w:val="yellow"/>
          <w:highlightCs w:val="yellow"/>
        </w:rPr>
        <w:t xml:space="preserve">[Author Name]</w:t>
      </w:r>
      <w:r>
        <w:rPr>
          <w:rFonts w:ascii="Times New Roman" w:cs="Times New Roman" w:eastAsia="Times New Roman" w:hAnsi="Times New Roman"/>
          <w:sz w:val="22"/>
          <w:szCs w:val="22"/>
          <w:vertAlign w:val="superscript"/>
        </w:rPr>
        <w:t xml:space="preserve">a*</w:t>
      </w:r>
    </w:p>
    <w:p>
      <w:pPr>
        <w:spacing w:after="0"/>
        <w:jc w:val="center"/>
      </w:pPr>
      <w:r>
        <w:rPr>
          <w:rFonts w:ascii="Times New Roman" w:cs="Times New Roman" w:eastAsia="Times New Roman" w:hAnsi="Times New Roman"/>
          <w:sz w:val="22"/>
          <w:szCs w:val="22"/>
          <w:vertAlign w:val="superscript"/>
        </w:rPr>
        <w:t xml:space="preserve">a </w:t>
      </w:r>
      <w:r>
        <w:rPr>
          <w:rFonts w:ascii="Times New Roman" w:cs="Times New Roman" w:eastAsia="Times New Roman" w:hAnsi="Times New Roman"/>
          <w:i/>
          <w:iCs/>
          <w:sz w:val="22"/>
          <w:szCs w:val="22"/>
          <w:highlight w:val="yellow"/>
          <w:highlightCs w:val="yellow"/>
        </w:rPr>
        <w:t xml:space="preserve">[Department / Unit]</w:t>
      </w:r>
    </w:p>
    <w:p>
      <w:pPr>
        <w:spacing w:after="200"/>
        <w:jc w:val="center"/>
      </w:pPr>
      <w:r>
        <w:rPr>
          <w:rFonts w:ascii="Times New Roman" w:cs="Times New Roman" w:eastAsia="Times New Roman" w:hAnsi="Times New Roman"/>
          <w:sz w:val="22"/>
          <w:szCs w:val="22"/>
        </w:rPr>
        <w:t xml:space="preserve">Pusat Latihan Pengajar dan Kemahiran Lanjutan (CIAST), Shah Alam, Malaysia</w:t>
      </w:r>
    </w:p>
    <w:p>
      <w:pPr>
        <w:spacing w:after="40"/>
        <w:jc w:val="center"/>
      </w:pPr>
      <w:r>
        <w:rPr>
          <w:rFonts w:ascii="Times New Roman" w:cs="Times New Roman" w:eastAsia="Times New Roman" w:hAnsi="Times New Roman"/>
          <w:i/>
          <w:iCs/>
          <w:sz w:val="20"/>
          <w:szCs w:val="20"/>
        </w:rPr>
        <w:t xml:space="preserve">*Corresponding Author</w:t>
      </w:r>
    </w:p>
    <w:p>
      <w:pPr>
        <w:spacing w:after="300"/>
        <w:jc w:val="center"/>
      </w:pPr>
      <w:r>
        <w:rPr>
          <w:rFonts w:ascii="Times New Roman" w:cs="Times New Roman" w:eastAsia="Times New Roman" w:hAnsi="Times New Roman"/>
          <w:sz w:val="20"/>
          <w:szCs w:val="20"/>
        </w:rPr>
        <w:t xml:space="preserve">E-mail: mhdazlanabaziz@gmail.com</w:t>
      </w:r>
    </w:p>
    <w:p>
      <w:pPr>
        <w:spacing w:after="120" w:before="120"/>
      </w:pPr>
      <w:r>
        <w:rPr>
          <w:rFonts w:ascii="Times New Roman" w:cs="Times New Roman" w:eastAsia="Times New Roman" w:hAnsi="Times New Roman"/>
          <w:b/>
          <w:bCs/>
          <w:sz w:val="22"/>
          <w:szCs w:val="22"/>
        </w:rPr>
        <w:t xml:space="preserve">Extended Abstract</w:t>
      </w:r>
    </w:p>
    <w:p>
      <w:pPr>
        <w:spacing w:after="160" w:line="276"/>
        <w:jc w:val="both"/>
      </w:pPr>
      <w:r>
        <w:rPr>
          <w:rFonts w:ascii="Times New Roman" w:cs="Times New Roman" w:eastAsia="Times New Roman" w:hAnsi="Times New Roman"/>
          <w:sz w:val="22"/>
          <w:szCs w:val="22"/>
        </w:rPr>
        <w:t xml:space="preserve">The Java-Based Application Development course (Session I, 2026/2027) at the Centre for Instructor and Advanced Skill Training (CIAST), Shah Alam, trains TVET instructor-trainees to build, and later teach, Graphical User Interface (GUI) programming with Java Swing — knowledge these trainees carry forward into their own polytechnic and community-college classrooms. A persistent difficulty in this course, and in the classrooms its graduates go on to run, is that learners can read Java statements without being able to predict the runtime geometry a layout manager will produce: why a second button silently disappears from a BorderLayout region, or why GridLayout ignores a component's preferred size. Conventional drag-and-drop GUI builders hide this cause-and-effect relationship, and a general-purpose AI chatbot can describe the rule in the abstract but has never seen the learner's actual broken component tree. This gap between reading code and predicting behaviour is the problem this innovation addresses. MagikLayout (https://magik-layout.mhdazlan.cc/#/) is a browser-based teaching tool built around this problem, and its AI Debugging Studio is the AI DigiTeach submission described here: a visual repair lab in which the interface itself is the lesson, and a retrieval-grounded, guarded AI coach — never the grader — explains why a repair works.</w:t>
      </w:r>
    </w:p>
    <w:p>
      <w:pPr>
        <w:spacing w:after="30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bilingual AI hinting, Java Swing GUI programming, retrieval-augmented generation, TVET instructor training, visual debugging</w:t>
      </w:r>
    </w:p>
    <w:p>
      <w:pPr>
        <w:spacing w:after="120" w:before="240"/>
      </w:pPr>
      <w:r>
        <w:rPr>
          <w:rFonts w:ascii="Times New Roman" w:cs="Times New Roman" w:eastAsia="Times New Roman" w:hAnsi="Times New Roman"/>
          <w:b/>
          <w:bCs/>
          <w:sz w:val="22"/>
          <w:szCs w:val="22"/>
        </w:rPr>
        <w:t xml:space="preserve">1. Background / Problem Statement</w:t>
      </w:r>
    </w:p>
    <w:p>
      <w:pPr>
        <w:spacing w:after="160" w:line="276"/>
        <w:jc w:val="both"/>
      </w:pPr>
      <w:r>
        <w:rPr>
          <w:rFonts w:ascii="Times New Roman" w:cs="Times New Roman" w:eastAsia="Times New Roman" w:hAnsi="Times New Roman"/>
          <w:sz w:val="22"/>
          <w:szCs w:val="22"/>
        </w:rPr>
        <w:t xml:space="preserve">Java Swing remains part of introductory GUI programming in polytechnics and TVET instructor-training institutions, including this course, because it teaches layout computation explicitly rather than hiding it behind a flexbox-style abstraction. Instructor-trainees in this course must not only use BorderLayout, FlowLayout and GridLayout correctly, but must be able to explain the underlying rule clearly enough to teach it to their own future students — a demand conventional teaching materials do not meet.</w:t>
      </w:r>
    </w:p>
    <w:p>
      <w:pPr>
        <w:spacing w:after="160" w:line="276"/>
        <w:jc w:val="both"/>
      </w:pPr>
      <w:r>
        <w:rPr>
          <w:rFonts w:ascii="Times New Roman" w:cs="Times New Roman" w:eastAsia="Times New Roman" w:hAnsi="Times New Roman"/>
          <w:sz w:val="22"/>
          <w:szCs w:val="22"/>
        </w:rPr>
        <w:t xml:space="preserve">In practice, learners resolve layout confusion by trial-and-compile: change the code, recompile, observe, repeat. This is slow, does not build a transferable mental model, and gives an instructor no visibility into what a struggling learner actually misunderstands. A general chatbot can be asked for help, but it answers about Swing in the abstract; it cannot see the learner's live component tree, cannot confirm whether a claimed fix is structurally correct, and offers no record an instructor can audit afterward. This is the gap MagikLayout's AI Debugging Studio is built to close: an AI that only speaks once it can point to the exact broken region and the exact retrieved rule behind its answer.</w:t>
      </w:r>
    </w:p>
    <w:p>
      <w:pPr>
        <w:spacing w:after="120" w:before="240"/>
      </w:pPr>
      <w:r>
        <w:rPr>
          <w:rFonts w:ascii="Times New Roman" w:cs="Times New Roman" w:eastAsia="Times New Roman" w:hAnsi="Times New Roman"/>
          <w:b/>
          <w:bCs/>
          <w:sz w:val="22"/>
          <w:szCs w:val="22"/>
        </w:rPr>
        <w:t xml:space="preserve">2. Innovation Objective</w:t>
      </w:r>
    </w:p>
    <w:p>
      <w:pPr>
        <w:spacing w:after="160" w:line="276"/>
        <w:jc w:val="both"/>
      </w:pPr>
      <w:r>
        <w:rPr>
          <w:rFonts w:ascii="Times New Roman" w:cs="Times New Roman" w:eastAsia="Times New Roman" w:hAnsi="Times New Roman"/>
          <w:sz w:val="22"/>
          <w:szCs w:val="22"/>
        </w:rPr>
        <w:t xml:space="preserve">The main objective is to produce an AI-integrated digital teaching video, built around the MagikLayout AI Debugging Studio, that models a replicable, evidence-grounded method of teaching Java Swing layout managers. The specific objectives are to:</w:t>
      </w:r>
    </w:p>
    <w:p>
      <w:pPr>
        <w:pStyle w:val="ListParagraph"/>
        <w:numPr>
          <w:ilvl w:val="0"/>
          <w:numId w:val="1"/>
        </w:numPr>
        <w:spacing w:after="100"/>
      </w:pPr>
      <w:r>
        <w:rPr>
          <w:rFonts w:ascii="Times New Roman" w:cs="Times New Roman" w:eastAsia="Times New Roman" w:hAnsi="Times New Roman"/>
          <w:sz w:val="22"/>
          <w:szCs w:val="22"/>
        </w:rPr>
        <w:t xml:space="preserve">demonstrate a visual-first, structural-diagnosis approach to layout debugging that a generic chatbot cannot replicate;</w:t>
      </w:r>
    </w:p>
    <w:p>
      <w:pPr>
        <w:pStyle w:val="ListParagraph"/>
        <w:numPr>
          <w:ilvl w:val="0"/>
          <w:numId w:val="1"/>
        </w:numPr>
        <w:spacing w:after="100"/>
      </w:pPr>
      <w:r>
        <w:rPr>
          <w:rFonts w:ascii="Times New Roman" w:cs="Times New Roman" w:eastAsia="Times New Roman" w:hAnsi="Times New Roman"/>
          <w:sz w:val="22"/>
          <w:szCs w:val="22"/>
        </w:rPr>
        <w:t xml:space="preserve">demonstrate a retrieval-augmented, guarded AI hinting pipeline that explains without ever grading or revealing the answer outright; and</w:t>
      </w:r>
    </w:p>
    <w:p>
      <w:pPr>
        <w:pStyle w:val="ListParagraph"/>
        <w:numPr>
          <w:ilvl w:val="0"/>
          <w:numId w:val="1"/>
        </w:numPr>
        <w:spacing w:after="200"/>
      </w:pPr>
      <w:r>
        <w:rPr>
          <w:rFonts w:ascii="Times New Roman" w:cs="Times New Roman" w:eastAsia="Times New Roman" w:hAnsi="Times New Roman"/>
          <w:sz w:val="22"/>
          <w:szCs w:val="22"/>
        </w:rPr>
        <w:t xml:space="preserve">equip CIAST instructor-trainees with a ready-to-adopt, bilingual (EN/BM) teaching aid they can carry into their own TVET classrooms.</w:t>
      </w:r>
    </w:p>
    <w:p>
      <w:pPr>
        <w:spacing w:after="120" w:before="240"/>
      </w:pPr>
      <w:r>
        <w:rPr>
          <w:rFonts w:ascii="Times New Roman" w:cs="Times New Roman" w:eastAsia="Times New Roman" w:hAnsi="Times New Roman"/>
          <w:b/>
          <w:bCs/>
          <w:sz w:val="22"/>
          <w:szCs w:val="22"/>
        </w:rPr>
        <w:t xml:space="preserve">3. Description of Innovation</w:t>
      </w:r>
    </w:p>
    <w:p>
      <w:pPr>
        <w:spacing w:after="160" w:line="276"/>
        <w:jc w:val="both"/>
      </w:pPr>
      <w:r>
        <w:rPr>
          <w:rFonts w:ascii="Times New Roman" w:cs="Times New Roman" w:eastAsia="Times New Roman" w:hAnsi="Times New Roman"/>
          <w:sz w:val="22"/>
          <w:szCs w:val="22"/>
        </w:rPr>
        <w:t xml:space="preserve">MagikLayout is a browser-based pedagogical sandbox for Java Swing layout managers, built on one deterministic layout engine that faithfully ports the real JDK algorithms for BorderLayout, FlowLayout and GridLayout. It has four surfaces — a free-exploration Playground, a graded Challenges area, a NOSS-aligned AR Lab, and the AI Debugging Studio submitted here as the AI DigiTeach video's teaching vehicle.</w:t>
      </w:r>
    </w:p>
    <w:p>
      <w:pPr>
        <w:spacing w:after="160" w:line="276"/>
        <w:jc w:val="both"/>
      </w:pPr>
      <w:r>
        <w:rPr>
          <w:rFonts w:ascii="Times New Roman" w:cs="Times New Roman" w:eastAsia="Times New Roman" w:hAnsi="Times New Roman"/>
          <w:sz w:val="22"/>
          <w:szCs w:val="22"/>
        </w:rPr>
        <w:t xml:space="preserve">The AI Debugging Studio (route #/classroom) presents twelve repair missions spanning BorderLayout collisions, FlowLayout ordering, GridLayout dimensions, and nested-panel reasoning. In each mission the learner sees a broken interface, predicts the cause before any hint is given, repairs the component structure, and may request one bilingual, source-grounded hint. The product rule governing every hint is stated plainly to learners and instructors alike: </w:t>
      </w:r>
      <w:r>
        <w:rPr>
          <w:rFonts w:ascii="Times New Roman" w:cs="Times New Roman" w:eastAsia="Times New Roman" w:hAnsi="Times New Roman"/>
          <w:i/>
          <w:iCs/>
          <w:sz w:val="22"/>
          <w:szCs w:val="22"/>
        </w:rPr>
        <w:t xml:space="preserve">“The engine judges. Retrieval grounds. Haiku explains. The guard controls delivery.”</w:t>
      </w:r>
    </w:p>
    <w:p>
      <w:pPr>
        <w:spacing w:after="160" w:line="276"/>
        <w:jc w:val="both"/>
      </w:pPr>
      <w:r>
        <w:rPr>
          <w:rFonts w:ascii="Times New Roman" w:cs="Times New Roman" w:eastAsia="Times New Roman" w:hAnsi="Times New Roman"/>
          <w:sz w:val="22"/>
          <w:szCs w:val="22"/>
        </w:rPr>
        <w:t xml:space="preserve">An evidence drawer makes this pipeline inspectable in real time — retrieved chunk ids, the cited source, guard status, model/corpus version and latency are all shown alongside the repair, so an instructor can audit exactly what the AI did and did not do.</w:t>
      </w:r>
    </w:p>
    <w:p>
      <w:pPr>
        <w:spacing w:after="120" w:before="240"/>
      </w:pPr>
      <w:r>
        <w:rPr>
          <w:rFonts w:ascii="Times New Roman" w:cs="Times New Roman" w:eastAsia="Times New Roman" w:hAnsi="Times New Roman"/>
          <w:b/>
          <w:bCs/>
          <w:sz w:val="22"/>
          <w:szCs w:val="22"/>
        </w:rPr>
        <w:t xml:space="preserve">4. Methodology / Development Process</w:t>
      </w:r>
    </w:p>
    <w:p>
      <w:pPr>
        <w:spacing w:after="160" w:line="276"/>
        <w:jc w:val="both"/>
      </w:pPr>
      <w:r>
        <w:rPr>
          <w:rFonts w:ascii="Times New Roman" w:cs="Times New Roman" w:eastAsia="Times New Roman" w:hAnsi="Times New Roman"/>
          <w:sz w:val="22"/>
          <w:szCs w:val="22"/>
        </w:rPr>
        <w:t xml:space="preserve">MagikLayout is implemented in React 19 and TypeScript, built with Vite, with zero UI or state-management dependencies beyond React itself. The AI Debugging Studio's coach follows a fixed six-stage pipeline: </w:t>
      </w:r>
      <w:r>
        <w:rPr>
          <w:rFonts w:ascii="Times New Roman" w:cs="Times New Roman" w:eastAsia="Times New Roman" w:hAnsi="Times New Roman"/>
          <w:b/>
          <w:bCs/>
          <w:sz w:val="22"/>
          <w:szCs w:val="22"/>
        </w:rPr>
        <w:t xml:space="preserve">Observe → Diagnose → Retrieve → Compose → Guard → Log.</w:t>
      </w:r>
    </w:p>
    <w:p>
      <w:pPr>
        <w:spacing w:after="160" w:line="276"/>
        <w:jc w:val="both"/>
      </w:pPr>
      <w:r>
        <w:rPr>
          <w:rFonts w:ascii="Times New Roman" w:cs="Times New Roman" w:eastAsia="Times New Roman" w:hAnsi="Times New Roman"/>
          <w:sz w:val="22"/>
          <w:szCs w:val="22"/>
        </w:rPr>
        <w:t xml:space="preserve">A deterministic engine (unchanged by the AI work) grades every repair attempt and maps the result to one of 23 stable misconception codes across 8 families. Retrieval is metadata-first over a versioned, in-repo bilingual corpus of 112 reviewed chunks (56 English/Bahasa Malaysia pairs, corpus v1.0) — retrieval keys off the misconception code the engine already knows, rather than an embedding search, which keeps the system auditable at the corpus's present size. Only when retrieval is confident is Claude Haiku (claude-haiku-4-5) called to compose one short Socratic hint from the retrieved passages, citing only their chunk ids; Haiku never decides correctness, never edits the learner's structure, and never generates the authoritative Java. Every model response passes an automated guard that checks citation validity, solution leakage, output language, length, and contradiction with the engine's own finding; a failure silently substitutes reviewed corpus text instead of blocking the lesson.</w:t>
      </w:r>
    </w:p>
    <w:p>
      <w:pPr>
        <w:spacing w:after="160" w:line="276"/>
        <w:jc w:val="both"/>
      </w:pPr>
      <w:r>
        <w:rPr>
          <w:rFonts w:ascii="Times New Roman" w:cs="Times New Roman" w:eastAsia="Times New Roman" w:hAnsi="Times New Roman"/>
          <w:sz w:val="22"/>
          <w:szCs w:val="22"/>
        </w:rPr>
        <w:t xml:space="preserve">The video itself was developed through a standard three-stage production process — storyboard and script (pre-production), screen-captured demonstration of a live mission alongside narration (production), and edit/caption pass (post-production) — using the Studio's real, running state throughout, so nothing shown in the video is a mock-up.</w:t>
      </w:r>
    </w:p>
    <w:p>
      <w:pPr>
        <w:spacing w:after="160" w:line="276"/>
        <w:jc w:val="both"/>
      </w:pPr>
      <w:r>
        <w:rPr>
          <w:rFonts w:ascii="Times New Roman" w:cs="Times New Roman" w:eastAsia="Times New Roman" w:hAnsi="Times New Roman"/>
          <w:sz w:val="22"/>
          <w:szCs w:val="22"/>
        </w:rPr>
        <w:t xml:space="preserve">Validation is automated rather than anecdotal: an acceptance gate (</w:t>
      </w:r>
      <w:r>
        <w:rPr>
          <w:rFonts w:ascii="Courier New" w:cs="Courier New" w:eastAsia="Courier New" w:hAnsi="Courier New"/>
          <w:sz w:val="22"/>
          <w:szCs w:val="22"/>
        </w:rPr>
        <w:t xml:space="preserve">npm run eval:rag</w:t>
      </w:r>
      <w:r>
        <w:rPr>
          <w:rFonts w:ascii="Times New Roman" w:cs="Times New Roman" w:eastAsia="Times New Roman" w:hAnsi="Times New Roman"/>
          <w:sz w:val="22"/>
          <w:szCs w:val="22"/>
        </w:rPr>
        <w:t xml:space="preserve">) runs 138 cases — every supported misconception code × hint levels 1–3 × both languages — in two modes. In deterministic mode (AI switched off) the gate reports 100% retrieval precision, 100% top-source accuracy, 100% coverage, 0% contradiction and 0% leakage. In adversarial mode, a composer deliberately engineered to leak Java, invent citations, contradict the engine and answer in the wrong language is run against the same guard; zero of its responses reach a simulated student, because the guard substitutes approved text every time. This proves the AI is bounded even under a hostile composer, not only under normal operation.</w:t>
      </w:r>
    </w:p>
    <w:p>
      <w:pPr>
        <w:spacing w:after="120" w:before="240"/>
      </w:pPr>
      <w:r>
        <w:rPr>
          <w:rFonts w:ascii="Times New Roman" w:cs="Times New Roman" w:eastAsia="Times New Roman" w:hAnsi="Times New Roman"/>
          <w:b/>
          <w:bCs/>
          <w:sz w:val="22"/>
          <w:szCs w:val="22"/>
        </w:rPr>
        <w:t xml:space="preserve">5. Innovation Value Proposition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shd w:fill="D9D9D9"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Component</w:t>
            </w:r>
          </w:p>
        </w:tc>
        <w:tc>
          <w:tcPr>
            <w:tcW w:type="dxa" w:w="6926"/>
            <w:shd w:fill="D9D9D9"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Description</w:t>
            </w:r>
          </w:p>
        </w:tc>
      </w:tr>
      <w:tr>
        <w:tc>
          <w:tcPr>
            <w:tcW w:type="dxa" w:w="2100"/>
            <w:tcMar>
              <w:top w:type="dxa" w:w="100"/>
              <w:left w:type="dxa" w:w="120"/>
              <w:bottom w:type="dxa" w:w="100"/>
              <w:right w:type="dxa" w:w="120"/>
            </w:tcMar>
            <w:vAlign w:val="top"/>
          </w:tcPr>
          <w:p>
            <w:r>
              <w:rPr>
                <w:rFonts w:ascii="Times New Roman" w:cs="Times New Roman" w:eastAsia="Times New Roman" w:hAnsi="Times New Roman"/>
                <w:b/>
                <w:bCs/>
                <w:sz w:val="20"/>
                <w:szCs w:val="20"/>
              </w:rPr>
              <w:t xml:space="preserve">Novelty</w:t>
            </w:r>
          </w:p>
        </w:tc>
        <w:tc>
          <w:tcPr>
            <w:tcW w:type="dxa" w:w="6926"/>
            <w:tcMar>
              <w:top w:type="dxa" w:w="100"/>
              <w:left w:type="dxa" w:w="120"/>
              <w:bottom w:type="dxa" w:w="100"/>
              <w:right w:type="dxa" w:w="120"/>
            </w:tcMar>
            <w:vAlign w:val="top"/>
          </w:tcPr>
          <w:p>
            <w:pPr>
              <w:jc w:val="both"/>
            </w:pPr>
            <w:r>
              <w:rPr>
                <w:rFonts w:ascii="Times New Roman" w:cs="Times New Roman" w:eastAsia="Times New Roman" w:hAnsi="Times New Roman"/>
                <w:sz w:val="20"/>
                <w:szCs w:val="20"/>
              </w:rPr>
              <w:t xml:space="preserve">A deterministic structural grader paired with a retrieval-augmented, guarded AI explainer is a different architecture from both drag-and-drop builders and unrestricted chatbot tutoring: retrieval keys off an engine-verified misconception code rather than an embedding search, so every hint is traceable to a specific, reviewed source.</w:t>
            </w:r>
          </w:p>
        </w:tc>
      </w:tr>
      <w:tr>
        <w:tc>
          <w:tcPr>
            <w:tcW w:type="dxa" w:w="2100"/>
            <w:tcMar>
              <w:top w:type="dxa" w:w="100"/>
              <w:left w:type="dxa" w:w="120"/>
              <w:bottom w:type="dxa" w:w="100"/>
              <w:right w:type="dxa" w:w="120"/>
            </w:tcMar>
            <w:vAlign w:val="top"/>
          </w:tcPr>
          <w:p>
            <w:r>
              <w:rPr>
                <w:rFonts w:ascii="Times New Roman" w:cs="Times New Roman" w:eastAsia="Times New Roman" w:hAnsi="Times New Roman"/>
                <w:b/>
                <w:bCs/>
                <w:sz w:val="20"/>
                <w:szCs w:val="20"/>
              </w:rPr>
              <w:t xml:space="preserve">Usefulness</w:t>
            </w:r>
          </w:p>
        </w:tc>
        <w:tc>
          <w:tcPr>
            <w:tcW w:type="dxa" w:w="6926"/>
            <w:tcMar>
              <w:top w:type="dxa" w:w="100"/>
              <w:left w:type="dxa" w:w="120"/>
              <w:bottom w:type="dxa" w:w="100"/>
              <w:right w:type="dxa" w:w="120"/>
            </w:tcMar>
            <w:vAlign w:val="top"/>
          </w:tcPr>
          <w:p>
            <w:pPr>
              <w:jc w:val="both"/>
            </w:pPr>
            <w:r>
              <w:rPr>
                <w:rFonts w:ascii="Times New Roman" w:cs="Times New Roman" w:eastAsia="Times New Roman" w:hAnsi="Times New Roman"/>
                <w:sz w:val="20"/>
                <w:szCs w:val="20"/>
              </w:rPr>
              <w:t xml:space="preserve">Learners see the exact broken component tree, predict the cause, repair it, and receive a bounded bilingual hint only when needed — directly targeting the trial-and-compile pattern that slows down Swing learning in this course.</w:t>
            </w:r>
          </w:p>
        </w:tc>
      </w:tr>
      <w:tr>
        <w:tc>
          <w:tcPr>
            <w:tcW w:type="dxa" w:w="2100"/>
            <w:tcMar>
              <w:top w:type="dxa" w:w="100"/>
              <w:left w:type="dxa" w:w="120"/>
              <w:bottom w:type="dxa" w:w="100"/>
              <w:right w:type="dxa" w:w="120"/>
            </w:tcMar>
            <w:vAlign w:val="top"/>
          </w:tcPr>
          <w:p>
            <w:r>
              <w:rPr>
                <w:rFonts w:ascii="Times New Roman" w:cs="Times New Roman" w:eastAsia="Times New Roman" w:hAnsi="Times New Roman"/>
                <w:b/>
                <w:bCs/>
                <w:sz w:val="20"/>
                <w:szCs w:val="20"/>
              </w:rPr>
              <w:t xml:space="preserve">Replicability</w:t>
            </w:r>
          </w:p>
        </w:tc>
        <w:tc>
          <w:tcPr>
            <w:tcW w:type="dxa" w:w="6926"/>
            <w:tcMar>
              <w:top w:type="dxa" w:w="100"/>
              <w:left w:type="dxa" w:w="120"/>
              <w:bottom w:type="dxa" w:w="100"/>
              <w:right w:type="dxa" w:w="120"/>
            </w:tcMar>
            <w:vAlign w:val="top"/>
          </w:tcPr>
          <w:p>
            <w:pPr>
              <w:jc w:val="both"/>
            </w:pPr>
            <w:r>
              <w:rPr>
                <w:rFonts w:ascii="Times New Roman" w:cs="Times New Roman" w:eastAsia="Times New Roman" w:hAnsi="Times New Roman"/>
                <w:sz w:val="20"/>
                <w:szCs w:val="20"/>
              </w:rPr>
              <w:t xml:space="preserve">The Studio, its 12 missions and its bilingual corpus are code and content, not a one-off recording; CIAST instructor-trainees can adopt the same tool, and the corpus-authoring workflow (documented in the project's RAG governance notes) lets any reviewing teacher add new missions or languages without touching the retrieval or guard code.</w:t>
            </w:r>
          </w:p>
        </w:tc>
      </w:tr>
      <w:tr>
        <w:tc>
          <w:tcPr>
            <w:tcW w:type="dxa" w:w="2100"/>
            <w:tcMar>
              <w:top w:type="dxa" w:w="100"/>
              <w:left w:type="dxa" w:w="120"/>
              <w:bottom w:type="dxa" w:w="100"/>
              <w:right w:type="dxa" w:w="120"/>
            </w:tcMar>
            <w:vAlign w:val="top"/>
          </w:tcPr>
          <w:p>
            <w:r>
              <w:rPr>
                <w:rFonts w:ascii="Times New Roman" w:cs="Times New Roman" w:eastAsia="Times New Roman" w:hAnsi="Times New Roman"/>
                <w:b/>
                <w:bCs/>
                <w:sz w:val="20"/>
                <w:szCs w:val="20"/>
              </w:rPr>
              <w:t xml:space="preserve">Cost Effectiveness</w:t>
            </w:r>
          </w:p>
        </w:tc>
        <w:tc>
          <w:tcPr>
            <w:tcW w:type="dxa" w:w="6926"/>
            <w:tcMar>
              <w:top w:type="dxa" w:w="100"/>
              <w:left w:type="dxa" w:w="120"/>
              <w:bottom w:type="dxa" w:w="100"/>
              <w:right w:type="dxa" w:w="120"/>
            </w:tcMar>
            <w:vAlign w:val="top"/>
          </w:tcPr>
          <w:p>
            <w:pPr>
              <w:jc w:val="both"/>
            </w:pPr>
            <w:r>
              <w:rPr>
                <w:rFonts w:ascii="Times New Roman" w:cs="Times New Roman" w:eastAsia="Times New Roman" w:hAnsi="Times New Roman"/>
                <w:sz w:val="20"/>
                <w:szCs w:val="20"/>
              </w:rPr>
              <w:t xml:space="preserve">The tool requires no sign-up, no per-seat licence and no vendor lock-in; deterministic grading and layout rendering run entirely client-side, and the optional AI call is a single short composition per hint, keeping inference cost per lesson low.</w:t>
            </w:r>
          </w:p>
        </w:tc>
      </w:tr>
      <w:tr>
        <w:tc>
          <w:tcPr>
            <w:tcW w:type="dxa" w:w="2100"/>
            <w:tcMar>
              <w:top w:type="dxa" w:w="100"/>
              <w:left w:type="dxa" w:w="120"/>
              <w:bottom w:type="dxa" w:w="100"/>
              <w:right w:type="dxa" w:w="120"/>
            </w:tcMar>
            <w:vAlign w:val="top"/>
          </w:tcPr>
          <w:p>
            <w:r>
              <w:rPr>
                <w:rFonts w:ascii="Times New Roman" w:cs="Times New Roman" w:eastAsia="Times New Roman" w:hAnsi="Times New Roman"/>
                <w:b/>
                <w:bCs/>
                <w:sz w:val="20"/>
                <w:szCs w:val="20"/>
              </w:rPr>
              <w:t xml:space="preserve">Sustainability</w:t>
            </w:r>
          </w:p>
        </w:tc>
        <w:tc>
          <w:tcPr>
            <w:tcW w:type="dxa" w:w="6926"/>
            <w:tcMar>
              <w:top w:type="dxa" w:w="100"/>
              <w:left w:type="dxa" w:w="120"/>
              <w:bottom w:type="dxa" w:w="100"/>
              <w:right w:type="dxa" w:w="120"/>
            </w:tcMar>
            <w:vAlign w:val="top"/>
          </w:tcPr>
          <w:p>
            <w:pPr>
              <w:jc w:val="both"/>
            </w:pPr>
            <w:r>
              <w:rPr>
                <w:rFonts w:ascii="Times New Roman" w:cs="Times New Roman" w:eastAsia="Times New Roman" w:hAnsi="Times New Roman"/>
                <w:sz w:val="20"/>
                <w:szCs w:val="20"/>
              </w:rPr>
              <w:t xml:space="preserve">The deterministic learning and grading loop works with AI switched off entirely, so the lesson never depends on network access or model availability during a live class; the reviewed corpus is a versioned artefact a teaching team can maintain long after initial development.</w:t>
            </w:r>
          </w:p>
        </w:tc>
      </w:tr>
      <w:tr>
        <w:tc>
          <w:tcPr>
            <w:tcW w:type="dxa" w:w="2100"/>
            <w:tcMar>
              <w:top w:type="dxa" w:w="100"/>
              <w:left w:type="dxa" w:w="120"/>
              <w:bottom w:type="dxa" w:w="100"/>
              <w:right w:type="dxa" w:w="120"/>
            </w:tcMar>
            <w:vAlign w:val="top"/>
          </w:tcPr>
          <w:p>
            <w:r>
              <w:rPr>
                <w:rFonts w:ascii="Times New Roman" w:cs="Times New Roman" w:eastAsia="Times New Roman" w:hAnsi="Times New Roman"/>
                <w:b/>
                <w:bCs/>
                <w:sz w:val="20"/>
                <w:szCs w:val="20"/>
              </w:rPr>
              <w:t xml:space="preserve">Scalability</w:t>
            </w:r>
          </w:p>
        </w:tc>
        <w:tc>
          <w:tcPr>
            <w:tcW w:type="dxa" w:w="6926"/>
            <w:tcMar>
              <w:top w:type="dxa" w:w="100"/>
              <w:left w:type="dxa" w:w="120"/>
              <w:bottom w:type="dxa" w:w="100"/>
              <w:right w:type="dxa" w:w="120"/>
            </w:tcMar>
            <w:vAlign w:val="top"/>
          </w:tcPr>
          <w:p>
            <w:pPr>
              <w:jc w:val="both"/>
            </w:pPr>
            <w:r>
              <w:rPr>
                <w:rFonts w:ascii="Times New Roman" w:cs="Times New Roman" w:eastAsia="Times New Roman" w:hAnsi="Times New Roman"/>
                <w:sz w:val="20"/>
                <w:szCs w:val="20"/>
              </w:rPr>
              <w:t xml:space="preserve">Because the corpus is metadata-governed rather than tied to a specific classroom deployment, the same missions and guard logic can extend to further TVET institutions, additional layout managers (e.g., GridBagLayout), or additional languages without re-architecting the pipeline.</w:t>
            </w:r>
          </w:p>
        </w:tc>
      </w:tr>
    </w:tbl>
    <w:p>
      <w:pPr>
        <w:spacing w:after="200"/>
      </w:pPr>
    </w:p>
    <w:p>
      <w:pPr>
        <w:spacing w:after="120" w:before="240"/>
      </w:pPr>
      <w:r>
        <w:rPr>
          <w:rFonts w:ascii="Times New Roman" w:cs="Times New Roman" w:eastAsia="Times New Roman" w:hAnsi="Times New Roman"/>
          <w:b/>
          <w:bCs/>
          <w:sz w:val="22"/>
          <w:szCs w:val="22"/>
        </w:rPr>
        <w:t xml:space="preserve">6. Findings, Validation and Evidence of Effectiveness</w:t>
      </w:r>
    </w:p>
    <w:p>
      <w:pPr>
        <w:spacing w:after="160" w:line="276"/>
        <w:jc w:val="both"/>
      </w:pPr>
      <w:r>
        <w:rPr>
          <w:rFonts w:ascii="Times New Roman" w:cs="Times New Roman" w:eastAsia="Times New Roman" w:hAnsi="Times New Roman"/>
          <w:sz w:val="22"/>
          <w:szCs w:val="22"/>
        </w:rPr>
        <w:t xml:space="preserve">The figures below are reproducible from the project repository by rerunning </w:t>
      </w:r>
      <w:r>
        <w:rPr>
          <w:rFonts w:ascii="Courier New" w:cs="Courier New" w:eastAsia="Courier New" w:hAnsi="Courier New"/>
          <w:sz w:val="22"/>
          <w:szCs w:val="22"/>
        </w:rPr>
        <w:t xml:space="preserve">npm test</w:t>
      </w:r>
      <w:r>
        <w:rPr>
          <w:rFonts w:ascii="Times New Roman" w:cs="Times New Roman" w:eastAsia="Times New Roman" w:hAnsi="Times New Roman"/>
          <w:sz w:val="22"/>
          <w:szCs w:val="22"/>
        </w:rPr>
        <w:t xml:space="preserve"> and </w:t>
      </w:r>
      <w:r>
        <w:rPr>
          <w:rFonts w:ascii="Courier New" w:cs="Courier New" w:eastAsia="Courier New" w:hAnsi="Courier New"/>
          <w:sz w:val="22"/>
          <w:szCs w:val="22"/>
        </w:rPr>
        <w:t xml:space="preserve">npm run eval:rag</w:t>
      </w:r>
      <w:r>
        <w:rPr>
          <w:rFonts w:ascii="Times New Roman" w:cs="Times New Roman" w:eastAsia="Times New Roman" w:hAnsi="Times New Roman"/>
          <w:sz w:val="22"/>
          <w:szCs w:val="22"/>
        </w:rPr>
        <w:t xml:space="preserve"> and are reported here as evaluation-gate results, not classroom outcomes. They establish technical acceptance of the AI pipeline; they are deliberately not framed as a learning-gain claim.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00"/>
        <w:gridCol w:w="2326"/>
      </w:tblGrid>
      <w:tr>
        <w:tc>
          <w:tcPr>
            <w:tcW w:type="dxa" w:w="2500"/>
            <w:shd w:fill="D9D9D9"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Evidence Item</w:t>
            </w:r>
          </w:p>
        </w:tc>
        <w:tc>
          <w:tcPr>
            <w:tcW w:type="dxa" w:w="2000"/>
            <w:shd w:fill="D9D9D9"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Before / Baseline</w:t>
            </w:r>
          </w:p>
        </w:tc>
        <w:tc>
          <w:tcPr>
            <w:tcW w:type="dxa" w:w="2200"/>
            <w:shd w:fill="D9D9D9"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After / Result</w:t>
            </w:r>
          </w:p>
        </w:tc>
        <w:tc>
          <w:tcPr>
            <w:tcW w:type="dxa" w:w="2326"/>
            <w:shd w:fill="D9D9D9"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Interpretation</w:t>
            </w:r>
          </w:p>
        </w:tc>
      </w:tr>
      <w:tr>
        <w:tc>
          <w:tcPr>
            <w:tcW w:type="dxa" w:w="2500"/>
            <w:tcMar>
              <w:top w:type="dxa" w:w="100"/>
              <w:left w:type="dxa" w:w="120"/>
              <w:bottom w:type="dxa" w:w="100"/>
              <w:right w:type="dxa" w:w="120"/>
            </w:tcMar>
            <w:vAlign w:val="top"/>
          </w:tcPr>
          <w:p>
            <w:r>
              <w:rPr>
                <w:rFonts w:ascii="Times New Roman" w:cs="Times New Roman" w:eastAsia="Times New Roman" w:hAnsi="Times New Roman"/>
                <w:sz w:val="20"/>
                <w:szCs w:val="20"/>
              </w:rPr>
              <w:t xml:space="preserve">Retrieval precision (138-case gate, deterministic mode)</w:t>
            </w:r>
          </w:p>
        </w:tc>
        <w:tc>
          <w:tcPr>
            <w:tcW w:type="dxa" w:w="2000"/>
            <w:tcMar>
              <w:top w:type="dxa" w:w="100"/>
              <w:left w:type="dxa" w:w="120"/>
              <w:bottom w:type="dxa" w:w="100"/>
              <w:right w:type="dxa" w:w="120"/>
            </w:tcMar>
            <w:vAlign w:val="top"/>
          </w:tcPr>
          <w:p>
            <w:r>
              <w:rPr>
                <w:rFonts w:ascii="Times New Roman" w:cs="Times New Roman" w:eastAsia="Times New Roman" w:hAnsi="Times New Roman"/>
                <w:sz w:val="20"/>
                <w:szCs w:val="20"/>
              </w:rPr>
              <w:t xml:space="preserve">No governed retrieval baseline</w:t>
            </w:r>
          </w:p>
        </w:tc>
        <w:tc>
          <w:tcPr>
            <w:tcW w:type="dxa" w:w="2200"/>
            <w:tcMar>
              <w:top w:type="dxa" w:w="100"/>
              <w:left w:type="dxa" w:w="120"/>
              <w:bottom w:type="dxa" w:w="100"/>
              <w:right w:type="dxa" w:w="120"/>
            </w:tcMar>
            <w:vAlign w:val="top"/>
          </w:tcPr>
          <w:p>
            <w:r>
              <w:rPr>
                <w:rFonts w:ascii="Times New Roman" w:cs="Times New Roman" w:eastAsia="Times New Roman" w:hAnsi="Times New Roman"/>
                <w:sz w:val="20"/>
                <w:szCs w:val="20"/>
              </w:rPr>
              <w:t xml:space="preserve">100%</w:t>
            </w:r>
          </w:p>
        </w:tc>
        <w:tc>
          <w:tcPr>
            <w:tcW w:type="dxa" w:w="2326"/>
            <w:tcMar>
              <w:top w:type="dxa" w:w="100"/>
              <w:left w:type="dxa" w:w="120"/>
              <w:bottom w:type="dxa" w:w="100"/>
              <w:right w:type="dxa" w:w="120"/>
            </w:tcMar>
            <w:vAlign w:val="top"/>
          </w:tcPr>
          <w:p>
            <w:pPr>
              <w:jc w:val="both"/>
            </w:pPr>
            <w:r>
              <w:rPr>
                <w:rFonts w:ascii="Times New Roman" w:cs="Times New Roman" w:eastAsia="Times New Roman" w:hAnsi="Times New Roman"/>
                <w:sz w:val="20"/>
                <w:szCs w:val="20"/>
              </w:rPr>
              <w:t xml:space="preserve">Every supported misconception retrieves at least one approved, correctly matched source.</w:t>
            </w:r>
          </w:p>
        </w:tc>
      </w:tr>
      <w:tr>
        <w:tc>
          <w:tcPr>
            <w:tcW w:type="dxa" w:w="2500"/>
            <w:tcMar>
              <w:top w:type="dxa" w:w="100"/>
              <w:left w:type="dxa" w:w="120"/>
              <w:bottom w:type="dxa" w:w="100"/>
              <w:right w:type="dxa" w:w="120"/>
            </w:tcMar>
            <w:vAlign w:val="top"/>
          </w:tcPr>
          <w:p>
            <w:r>
              <w:rPr>
                <w:rFonts w:ascii="Times New Roman" w:cs="Times New Roman" w:eastAsia="Times New Roman" w:hAnsi="Times New Roman"/>
                <w:sz w:val="20"/>
                <w:szCs w:val="20"/>
              </w:rPr>
              <w:t xml:space="preserve">Hint contradiction rate (138-case gate)</w:t>
            </w:r>
          </w:p>
        </w:tc>
        <w:tc>
          <w:tcPr>
            <w:tcW w:type="dxa" w:w="2000"/>
            <w:tcMar>
              <w:top w:type="dxa" w:w="100"/>
              <w:left w:type="dxa" w:w="120"/>
              <w:bottom w:type="dxa" w:w="100"/>
              <w:right w:type="dxa" w:w="120"/>
            </w:tcMar>
            <w:vAlign w:val="top"/>
          </w:tcPr>
          <w:p>
            <w:r>
              <w:rPr>
                <w:rFonts w:ascii="Times New Roman" w:cs="Times New Roman" w:eastAsia="Times New Roman" w:hAnsi="Times New Roman"/>
                <w:sz w:val="20"/>
                <w:szCs w:val="20"/>
              </w:rPr>
              <w:t xml:space="preserve">n/a</w:t>
            </w:r>
          </w:p>
        </w:tc>
        <w:tc>
          <w:tcPr>
            <w:tcW w:type="dxa" w:w="2200"/>
            <w:tcMar>
              <w:top w:type="dxa" w:w="100"/>
              <w:left w:type="dxa" w:w="120"/>
              <w:bottom w:type="dxa" w:w="100"/>
              <w:right w:type="dxa" w:w="120"/>
            </w:tcMar>
            <w:vAlign w:val="top"/>
          </w:tcPr>
          <w:p>
            <w:r>
              <w:rPr>
                <w:rFonts w:ascii="Times New Roman" w:cs="Times New Roman" w:eastAsia="Times New Roman" w:hAnsi="Times New Roman"/>
                <w:sz w:val="20"/>
                <w:szCs w:val="20"/>
              </w:rPr>
              <w:t xml:space="preserve">0%</w:t>
            </w:r>
          </w:p>
        </w:tc>
        <w:tc>
          <w:tcPr>
            <w:tcW w:type="dxa" w:w="2326"/>
            <w:tcMar>
              <w:top w:type="dxa" w:w="100"/>
              <w:left w:type="dxa" w:w="120"/>
              <w:bottom w:type="dxa" w:w="100"/>
              <w:right w:type="dxa" w:w="120"/>
            </w:tcMar>
            <w:vAlign w:val="top"/>
          </w:tcPr>
          <w:p>
            <w:pPr>
              <w:jc w:val="both"/>
            </w:pPr>
            <w:r>
              <w:rPr>
                <w:rFonts w:ascii="Times New Roman" w:cs="Times New Roman" w:eastAsia="Times New Roman" w:hAnsi="Times New Roman"/>
                <w:sz w:val="20"/>
                <w:szCs w:val="20"/>
              </w:rPr>
              <w:t xml:space="preserve">No hint composed by the pipeline contradicted the deterministic engine's own finding.</w:t>
            </w:r>
          </w:p>
        </w:tc>
      </w:tr>
      <w:tr>
        <w:tc>
          <w:tcPr>
            <w:tcW w:type="dxa" w:w="2500"/>
            <w:tcMar>
              <w:top w:type="dxa" w:w="100"/>
              <w:left w:type="dxa" w:w="120"/>
              <w:bottom w:type="dxa" w:w="100"/>
              <w:right w:type="dxa" w:w="120"/>
            </w:tcMar>
            <w:vAlign w:val="top"/>
          </w:tcPr>
          <w:p>
            <w:r>
              <w:rPr>
                <w:rFonts w:ascii="Times New Roman" w:cs="Times New Roman" w:eastAsia="Times New Roman" w:hAnsi="Times New Roman"/>
                <w:sz w:val="20"/>
                <w:szCs w:val="20"/>
              </w:rPr>
              <w:t xml:space="preserve">Adversarial guard hold rate</w:t>
            </w:r>
          </w:p>
        </w:tc>
        <w:tc>
          <w:tcPr>
            <w:tcW w:type="dxa" w:w="2000"/>
            <w:tcMar>
              <w:top w:type="dxa" w:w="100"/>
              <w:left w:type="dxa" w:w="120"/>
              <w:bottom w:type="dxa" w:w="100"/>
              <w:right w:type="dxa" w:w="120"/>
            </w:tcMar>
            <w:vAlign w:val="top"/>
          </w:tcPr>
          <w:p>
            <w:r>
              <w:rPr>
                <w:rFonts w:ascii="Times New Roman" w:cs="Times New Roman" w:eastAsia="Times New Roman" w:hAnsi="Times New Roman"/>
                <w:sz w:val="20"/>
                <w:szCs w:val="20"/>
              </w:rPr>
              <w:t xml:space="preserve">n/a (hostile composer, no guard)</w:t>
            </w:r>
          </w:p>
        </w:tc>
        <w:tc>
          <w:tcPr>
            <w:tcW w:type="dxa" w:w="2200"/>
            <w:tcMar>
              <w:top w:type="dxa" w:w="100"/>
              <w:left w:type="dxa" w:w="120"/>
              <w:bottom w:type="dxa" w:w="100"/>
              <w:right w:type="dxa" w:w="120"/>
            </w:tcMar>
            <w:vAlign w:val="top"/>
          </w:tcPr>
          <w:p>
            <w:r>
              <w:rPr>
                <w:rFonts w:ascii="Times New Roman" w:cs="Times New Roman" w:eastAsia="Times New Roman" w:hAnsi="Times New Roman"/>
                <w:sz w:val="20"/>
                <w:szCs w:val="20"/>
              </w:rPr>
              <w:t xml:space="preserve">100% blocked</w:t>
            </w:r>
          </w:p>
        </w:tc>
        <w:tc>
          <w:tcPr>
            <w:tcW w:type="dxa" w:w="2326"/>
            <w:tcMar>
              <w:top w:type="dxa" w:w="100"/>
              <w:left w:type="dxa" w:w="120"/>
              <w:bottom w:type="dxa" w:w="100"/>
              <w:right w:type="dxa" w:w="120"/>
            </w:tcMar>
            <w:vAlign w:val="top"/>
          </w:tcPr>
          <w:p>
            <w:pPr>
              <w:jc w:val="both"/>
            </w:pPr>
            <w:r>
              <w:rPr>
                <w:rFonts w:ascii="Times New Roman" w:cs="Times New Roman" w:eastAsia="Times New Roman" w:hAnsi="Times New Roman"/>
                <w:sz w:val="20"/>
                <w:szCs w:val="20"/>
              </w:rPr>
              <w:t xml:space="preserve">A composer designed to leak solutions, fabricate citations and switch language was stopped in every case; approved text was served instead.</w:t>
            </w:r>
          </w:p>
        </w:tc>
      </w:tr>
      <w:tr>
        <w:tc>
          <w:tcPr>
            <w:tcW w:type="dxa" w:w="2500"/>
            <w:tcMar>
              <w:top w:type="dxa" w:w="100"/>
              <w:left w:type="dxa" w:w="120"/>
              <w:bottom w:type="dxa" w:w="100"/>
              <w:right w:type="dxa" w:w="120"/>
            </w:tcMar>
            <w:vAlign w:val="top"/>
          </w:tcPr>
          <w:p>
            <w:r>
              <w:rPr>
                <w:rFonts w:ascii="Times New Roman" w:cs="Times New Roman" w:eastAsia="Times New Roman" w:hAnsi="Times New Roman"/>
                <w:sz w:val="20"/>
                <w:szCs w:val="20"/>
              </w:rPr>
              <w:t xml:space="preserve">Deterministic fallback coverage</w:t>
            </w:r>
          </w:p>
        </w:tc>
        <w:tc>
          <w:tcPr>
            <w:tcW w:type="dxa" w:w="2000"/>
            <w:tcMar>
              <w:top w:type="dxa" w:w="100"/>
              <w:left w:type="dxa" w:w="120"/>
              <w:bottom w:type="dxa" w:w="100"/>
              <w:right w:type="dxa" w:w="120"/>
            </w:tcMar>
            <w:vAlign w:val="top"/>
          </w:tcPr>
          <w:p>
            <w:r>
              <w:rPr>
                <w:rFonts w:ascii="Times New Roman" w:cs="Times New Roman" w:eastAsia="Times New Roman" w:hAnsi="Times New Roman"/>
                <w:sz w:val="20"/>
                <w:szCs w:val="20"/>
              </w:rPr>
              <w:t xml:space="preserve">n/a</w:t>
            </w:r>
          </w:p>
        </w:tc>
        <w:tc>
          <w:tcPr>
            <w:tcW w:type="dxa" w:w="2200"/>
            <w:tcMar>
              <w:top w:type="dxa" w:w="100"/>
              <w:left w:type="dxa" w:w="120"/>
              <w:bottom w:type="dxa" w:w="100"/>
              <w:right w:type="dxa" w:w="120"/>
            </w:tcMar>
            <w:vAlign w:val="top"/>
          </w:tcPr>
          <w:p>
            <w:r>
              <w:rPr>
                <w:rFonts w:ascii="Times New Roman" w:cs="Times New Roman" w:eastAsia="Times New Roman" w:hAnsi="Times New Roman"/>
                <w:sz w:val="20"/>
                <w:szCs w:val="20"/>
              </w:rPr>
              <w:t xml:space="preserve">100% of lesson flow</w:t>
            </w:r>
          </w:p>
        </w:tc>
        <w:tc>
          <w:tcPr>
            <w:tcW w:type="dxa" w:w="2326"/>
            <w:tcMar>
              <w:top w:type="dxa" w:w="100"/>
              <w:left w:type="dxa" w:w="120"/>
              <w:bottom w:type="dxa" w:w="100"/>
              <w:right w:type="dxa" w:w="120"/>
            </w:tcMar>
            <w:vAlign w:val="top"/>
          </w:tcPr>
          <w:p>
            <w:pPr>
              <w:jc w:val="both"/>
            </w:pPr>
            <w:r>
              <w:rPr>
                <w:rFonts w:ascii="Times New Roman" w:cs="Times New Roman" w:eastAsia="Times New Roman" w:hAnsi="Times New Roman"/>
                <w:sz w:val="20"/>
                <w:szCs w:val="20"/>
              </w:rPr>
              <w:t xml:space="preserve">The repair-and-grade loop is verified to work correctly with the AI layer disabled entirely.</w:t>
            </w:r>
          </w:p>
        </w:tc>
      </w:tr>
    </w:tbl>
    <w:p>
      <w:pPr>
        <w:spacing w:after="100" w:before="200"/>
      </w:pPr>
    </w:p>
    <w:p>
      <w:pPr>
        <w:spacing w:after="160" w:line="276"/>
        <w:jc w:val="both"/>
      </w:pPr>
      <w:r>
        <w:rPr>
          <w:rFonts w:ascii="Times New Roman" w:cs="Times New Roman" w:eastAsia="Times New Roman" w:hAnsi="Times New Roman"/>
          <w:i/>
          <w:iCs/>
          <w:sz w:val="22"/>
          <w:szCs w:val="22"/>
          <w:highlight w:val="yellow"/>
          <w:highlightCs w:val="yellow"/>
        </w:rPr>
        <w:t xml:space="preserve">[Insert instructor-trainee formative feedback here if a small-group trial was run before submission, e.g., number of trainees, task completion time, or a short quote — otherwise state plainly that only technical/evaluation-gate evidence is available at submission time, consistent with the honesty framing above.]</w:t>
      </w:r>
    </w:p>
    <w:p>
      <w:pPr>
        <w:spacing w:after="120" w:before="240"/>
      </w:pPr>
      <w:r>
        <w:rPr>
          <w:rFonts w:ascii="Times New Roman" w:cs="Times New Roman" w:eastAsia="Times New Roman" w:hAnsi="Times New Roman"/>
          <w:b/>
          <w:bCs/>
          <w:sz w:val="22"/>
          <w:szCs w:val="22"/>
        </w:rPr>
        <w:t xml:space="preserve">7. Impact of Innovation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D9D9D9"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Impact Area</w:t>
            </w:r>
          </w:p>
        </w:tc>
        <w:tc>
          <w:tcPr>
            <w:tcW w:type="dxa" w:w="6626"/>
            <w:shd w:fill="D9D9D9"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Description</w:t>
            </w:r>
          </w:p>
        </w:tc>
      </w:tr>
      <w:tr>
        <w:tc>
          <w:tcPr>
            <w:tcW w:type="dxa" w:w="2400"/>
            <w:tcMar>
              <w:top w:type="dxa" w:w="100"/>
              <w:left w:type="dxa" w:w="120"/>
              <w:bottom w:type="dxa" w:w="100"/>
              <w:right w:type="dxa" w:w="120"/>
            </w:tcMar>
            <w:vAlign w:val="top"/>
          </w:tcPr>
          <w:p>
            <w:r>
              <w:rPr>
                <w:rFonts w:ascii="Times New Roman" w:cs="Times New Roman" w:eastAsia="Times New Roman" w:hAnsi="Times New Roman"/>
                <w:b/>
                <w:bCs/>
                <w:sz w:val="20"/>
                <w:szCs w:val="20"/>
              </w:rPr>
              <w:t xml:space="preserve">Academic / Learning Impact</w:t>
            </w:r>
          </w:p>
        </w:tc>
        <w:tc>
          <w:tcPr>
            <w:tcW w:type="dxa" w:w="6626"/>
            <w:tcMar>
              <w:top w:type="dxa" w:w="100"/>
              <w:left w:type="dxa" w:w="120"/>
              <w:bottom w:type="dxa" w:w="100"/>
              <w:right w:type="dxa" w:w="120"/>
            </w:tcMar>
            <w:vAlign w:val="top"/>
          </w:tcPr>
          <w:p>
            <w:pPr>
              <w:jc w:val="both"/>
            </w:pPr>
            <w:r>
              <w:rPr>
                <w:rFonts w:ascii="Times New Roman" w:cs="Times New Roman" w:eastAsia="Times New Roman" w:hAnsi="Times New Roman"/>
                <w:sz w:val="20"/>
                <w:szCs w:val="20"/>
              </w:rPr>
              <w:t xml:space="preserve">Structural, source-cited feedback replaces trial-and-compile guessing; the evidence drawer gives instructor-trainees a concrete example of AI-assisted formative feedback they can later reproduce in their own teaching.</w:t>
            </w:r>
          </w:p>
        </w:tc>
      </w:tr>
      <w:tr>
        <w:tc>
          <w:tcPr>
            <w:tcW w:type="dxa" w:w="2400"/>
            <w:tcMar>
              <w:top w:type="dxa" w:w="100"/>
              <w:left w:type="dxa" w:w="120"/>
              <w:bottom w:type="dxa" w:w="100"/>
              <w:right w:type="dxa" w:w="120"/>
            </w:tcMar>
            <w:vAlign w:val="top"/>
          </w:tcPr>
          <w:p>
            <w:r>
              <w:rPr>
                <w:rFonts w:ascii="Times New Roman" w:cs="Times New Roman" w:eastAsia="Times New Roman" w:hAnsi="Times New Roman"/>
                <w:b/>
                <w:bCs/>
                <w:sz w:val="20"/>
                <w:szCs w:val="20"/>
              </w:rPr>
              <w:t xml:space="preserve">Operational / Institutional Impact</w:t>
            </w:r>
          </w:p>
        </w:tc>
        <w:tc>
          <w:tcPr>
            <w:tcW w:type="dxa" w:w="6626"/>
            <w:tcMar>
              <w:top w:type="dxa" w:w="100"/>
              <w:left w:type="dxa" w:w="120"/>
              <w:bottom w:type="dxa" w:w="100"/>
              <w:right w:type="dxa" w:w="120"/>
            </w:tcMar>
            <w:vAlign w:val="top"/>
          </w:tcPr>
          <w:p>
            <w:pPr>
              <w:jc w:val="both"/>
            </w:pPr>
            <w:r>
              <w:rPr>
                <w:rFonts w:ascii="Times New Roman" w:cs="Times New Roman" w:eastAsia="Times New Roman" w:hAnsi="Times New Roman"/>
                <w:sz w:val="20"/>
                <w:szCs w:val="20"/>
              </w:rPr>
              <w:t xml:space="preserve">As a ready-made, versioned teaching aid, the Studio can seed CIAST's shared bank of PdP materials (Bank Bahan PdP) referenced in the MIPAC TVET 2026 briefing, reducing the need for each instructor to build equivalent material from scratch.</w:t>
            </w:r>
          </w:p>
        </w:tc>
      </w:tr>
      <w:tr>
        <w:tc>
          <w:tcPr>
            <w:tcW w:type="dxa" w:w="2400"/>
            <w:tcMar>
              <w:top w:type="dxa" w:w="100"/>
              <w:left w:type="dxa" w:w="120"/>
              <w:bottom w:type="dxa" w:w="100"/>
              <w:right w:type="dxa" w:w="120"/>
            </w:tcMar>
            <w:vAlign w:val="top"/>
          </w:tcPr>
          <w:p>
            <w:r>
              <w:rPr>
                <w:rFonts w:ascii="Times New Roman" w:cs="Times New Roman" w:eastAsia="Times New Roman" w:hAnsi="Times New Roman"/>
                <w:b/>
                <w:bCs/>
                <w:sz w:val="20"/>
                <w:szCs w:val="20"/>
              </w:rPr>
              <w:t xml:space="preserve">Community / Industry / Market Impact</w:t>
            </w:r>
          </w:p>
        </w:tc>
        <w:tc>
          <w:tcPr>
            <w:tcW w:type="dxa" w:w="6626"/>
            <w:tcMar>
              <w:top w:type="dxa" w:w="100"/>
              <w:left w:type="dxa" w:w="120"/>
              <w:bottom w:type="dxa" w:w="100"/>
              <w:right w:type="dxa" w:w="120"/>
            </w:tcMar>
            <w:vAlign w:val="top"/>
          </w:tcPr>
          <w:p>
            <w:pPr>
              <w:jc w:val="both"/>
            </w:pPr>
            <w:r>
              <w:rPr>
                <w:rFonts w:ascii="Times New Roman" w:cs="Times New Roman" w:eastAsia="Times New Roman" w:hAnsi="Times New Roman"/>
                <w:sz w:val="20"/>
                <w:szCs w:val="20"/>
              </w:rPr>
              <w:t xml:space="preserve">Because the corpus and missions are metadata-governed rather than hard-wired to one classroom, the tool is designed to be adapted by other polytechnics and TVET institutions teaching Java GUI programming.</w:t>
            </w:r>
          </w:p>
        </w:tc>
      </w:tr>
      <w:tr>
        <w:tc>
          <w:tcPr>
            <w:tcW w:type="dxa" w:w="2400"/>
            <w:tcMar>
              <w:top w:type="dxa" w:w="100"/>
              <w:left w:type="dxa" w:w="120"/>
              <w:bottom w:type="dxa" w:w="100"/>
              <w:right w:type="dxa" w:w="120"/>
            </w:tcMar>
            <w:vAlign w:val="top"/>
          </w:tcPr>
          <w:p>
            <w:r>
              <w:rPr>
                <w:rFonts w:ascii="Times New Roman" w:cs="Times New Roman" w:eastAsia="Times New Roman" w:hAnsi="Times New Roman"/>
                <w:b/>
                <w:bCs/>
                <w:sz w:val="20"/>
                <w:szCs w:val="20"/>
              </w:rPr>
              <w:t xml:space="preserve">Commercialization Potential</w:t>
            </w:r>
          </w:p>
        </w:tc>
        <w:tc>
          <w:tcPr>
            <w:tcW w:type="dxa" w:w="6626"/>
            <w:tcMar>
              <w:top w:type="dxa" w:w="100"/>
              <w:left w:type="dxa" w:w="120"/>
              <w:bottom w:type="dxa" w:w="100"/>
              <w:right w:type="dxa" w:w="120"/>
            </w:tcMar>
            <w:vAlign w:val="top"/>
          </w:tcPr>
          <w:p>
            <w:pPr>
              <w:jc w:val="both"/>
            </w:pPr>
            <w:r>
              <w:rPr>
                <w:rFonts w:ascii="Times New Roman" w:cs="Times New Roman" w:eastAsia="Times New Roman" w:hAnsi="Times New Roman"/>
                <w:sz w:val="20"/>
                <w:szCs w:val="20"/>
              </w:rPr>
              <w:t xml:space="preserve">The application is free to use with no account or API key required; commercialisation has not been pursued and is not claimed at this stage.</w:t>
            </w:r>
          </w:p>
        </w:tc>
      </w:tr>
      <w:tr>
        <w:tc>
          <w:tcPr>
            <w:tcW w:type="dxa" w:w="2400"/>
            <w:tcMar>
              <w:top w:type="dxa" w:w="100"/>
              <w:left w:type="dxa" w:w="120"/>
              <w:bottom w:type="dxa" w:w="100"/>
              <w:right w:type="dxa" w:w="120"/>
            </w:tcMar>
            <w:vAlign w:val="top"/>
          </w:tcPr>
          <w:p>
            <w:r>
              <w:rPr>
                <w:rFonts w:ascii="Times New Roman" w:cs="Times New Roman" w:eastAsia="Times New Roman" w:hAnsi="Times New Roman"/>
                <w:b/>
                <w:bCs/>
                <w:sz w:val="20"/>
                <w:szCs w:val="20"/>
              </w:rPr>
              <w:t xml:space="preserve">Policy / TVET Ecosystem Impact</w:t>
            </w:r>
          </w:p>
        </w:tc>
        <w:tc>
          <w:tcPr>
            <w:tcW w:type="dxa" w:w="6626"/>
            <w:tcMar>
              <w:top w:type="dxa" w:w="100"/>
              <w:left w:type="dxa" w:w="120"/>
              <w:bottom w:type="dxa" w:w="100"/>
              <w:right w:type="dxa" w:w="120"/>
            </w:tcMar>
            <w:vAlign w:val="top"/>
          </w:tcPr>
          <w:p>
            <w:pPr>
              <w:jc w:val="both"/>
            </w:pPr>
            <w:r>
              <w:rPr>
                <w:rFonts w:ascii="Times New Roman" w:cs="Times New Roman" w:eastAsia="Times New Roman" w:hAnsi="Times New Roman"/>
                <w:sz w:val="20"/>
                <w:szCs w:val="20"/>
              </w:rPr>
              <w:t xml:space="preserve">The project directly supports MIPAC TVET 2026's stated objective of strengthening TVET instructors' digital and AI competency, and models a disclosed, guarded, auditable pattern for using AI in PdP content — rather than an unrestricted chatbot integration.</w:t>
            </w:r>
          </w:p>
        </w:tc>
      </w:tr>
    </w:tbl>
    <w:p>
      <w:pPr>
        <w:spacing w:after="200"/>
      </w:pPr>
    </w:p>
    <w:p>
      <w:pPr>
        <w:spacing w:after="120" w:before="240"/>
      </w:pPr>
      <w:r>
        <w:rPr>
          <w:rFonts w:ascii="Times New Roman" w:cs="Times New Roman" w:eastAsia="Times New Roman" w:hAnsi="Times New Roman"/>
          <w:b/>
          <w:bCs/>
          <w:sz w:val="22"/>
          <w:szCs w:val="22"/>
        </w:rPr>
        <w:t xml:space="preserve">8. Conclusion</w:t>
      </w:r>
    </w:p>
    <w:p>
      <w:pPr>
        <w:spacing w:after="160" w:line="276"/>
        <w:jc w:val="both"/>
      </w:pPr>
      <w:r>
        <w:rPr>
          <w:rFonts w:ascii="Times New Roman" w:cs="Times New Roman" w:eastAsia="Times New Roman" w:hAnsi="Times New Roman"/>
          <w:sz w:val="22"/>
          <w:szCs w:val="22"/>
        </w:rPr>
        <w:t xml:space="preserve">MagikLayout's AI Debugging Studio is implemented, provides twelve interactive repair missions, performs runtime retrieval over a governed bilingual corpus, optionally composes hints with Claude Haiku under an automated guard, and grades every repair deterministically. Its acceptance gate reports 100% retrieval precision and zero hint contradictions across 138 evaluation cases, and the deterministic lesson loop is verified to function with the AI layer switched off entirely. It is not yet accurate to claim a measured learning gain, broad institutional adoption, or market leadership, and this abstract makes none of those claims: no classroom pre/post study has been run at the time of submission. The innovation's near-term readiness lies in its technical completeness and its auditability, and its next step toward wider TVET adoption is a small, same-learner pre/post pilot with CIAST instructor-trainees.</w:t>
      </w:r>
    </w:p>
    <w:p>
      <w:pPr>
        <w:spacing w:after="120" w:before="240"/>
      </w:pPr>
      <w:r>
        <w:rPr>
          <w:rFonts w:ascii="Times New Roman" w:cs="Times New Roman" w:eastAsia="Times New Roman" w:hAnsi="Times New Roman"/>
          <w:b/>
          <w:bCs/>
          <w:sz w:val="22"/>
          <w:szCs w:val="22"/>
        </w:rPr>
        <w:t xml:space="preserve">Acknowledgements (Optional):</w:t>
      </w:r>
      <w:r>
        <w:rPr>
          <w:rFonts w:ascii="Times New Roman" w:cs="Times New Roman" w:eastAsia="Times New Roman" w:hAnsi="Times New Roman"/>
          <w:sz w:val="22"/>
          <w:szCs w:val="22"/>
        </w:rPr>
        <w:t xml:space="preserve"> </w:t>
      </w:r>
    </w:p>
    <w:p>
      <w:pPr>
        <w:spacing w:after="160" w:line="276"/>
        <w:jc w:val="both"/>
      </w:pPr>
      <w:r>
        <w:rPr>
          <w:rFonts w:ascii="Times New Roman" w:cs="Times New Roman" w:eastAsia="Times New Roman" w:hAnsi="Times New Roman"/>
          <w:i/>
          <w:iCs/>
          <w:sz w:val="22"/>
          <w:szCs w:val="22"/>
          <w:highlight w:val="yellow"/>
          <w:highlightCs w:val="yellow"/>
        </w:rPr>
        <w:t xml:space="preserve">[Add any acknowledgements here — e.g., CIAST colleagues, RII division, or trainees who piloted the Studio — or delete this section if not applicable.]</w:t>
      </w:r>
    </w:p>
    <w:p>
      <w:pPr>
        <w:spacing w:after="120" w:before="240"/>
      </w:pPr>
      <w:r>
        <w:rPr>
          <w:rFonts w:ascii="Times New Roman" w:cs="Times New Roman" w:eastAsia="Times New Roman" w:hAnsi="Times New Roman"/>
          <w:b/>
          <w:bCs/>
          <w:sz w:val="22"/>
          <w:szCs w:val="22"/>
        </w:rPr>
        <w:t xml:space="preserve">Disclosure of AI Tool Use</w:t>
      </w:r>
    </w:p>
    <w:p>
      <w:pPr>
        <w:spacing w:after="160" w:line="276"/>
        <w:jc w:val="both"/>
      </w:pPr>
      <w:r>
        <w:rPr>
          <w:rFonts w:ascii="Times New Roman" w:cs="Times New Roman" w:eastAsia="Times New Roman" w:hAnsi="Times New Roman"/>
          <w:sz w:val="22"/>
          <w:szCs w:val="22"/>
        </w:rPr>
        <w:t xml:space="preserve">Claude (Anthropic; Sonnet 5 for manuscript and script drafting, and Haiku 4.5 as the in-product composition model) was used in two distinct ways in this submission. First, it assisted in drafting and structuring this manuscript and the accompanying video script; all AI-assisted text was reviewed, checked against the project's technical documentation and evaluation logs, and edited by the author(s) before submission. Second, Claude Haiku is the runtime language model inside the AI Debugging Studio's guarded retrieval pipeline described in Sections 3–4, where it composes short hint text strictly from retrieved, human-reviewed corpus passages and is bounded by an automated citation/leakage/language/contradiction guard; it has no role in grading, in editing the learner's work, or in generating the authoritative Java code shown to learners.</w:t>
      </w:r>
    </w:p>
    <w:p>
      <w:pPr>
        <w:spacing w:after="120" w:before="240"/>
      </w:pPr>
      <w:r>
        <w:rPr>
          <w:rFonts w:ascii="Times New Roman" w:cs="Times New Roman" w:eastAsia="Times New Roman" w:hAnsi="Times New Roman"/>
          <w:b/>
          <w:bCs/>
          <w:sz w:val="22"/>
          <w:szCs w:val="22"/>
        </w:rPr>
        <w:t xml:space="preserve">Declaration</w:t>
      </w:r>
    </w:p>
    <w:p>
      <w:pPr>
        <w:spacing w:after="160" w:line="276"/>
        <w:jc w:val="both"/>
      </w:pPr>
      <w:r>
        <w:rPr>
          <w:rFonts w:ascii="Times New Roman" w:cs="Times New Roman" w:eastAsia="Times New Roman" w:hAnsi="Times New Roman"/>
          <w:sz w:val="22"/>
          <w:szCs w:val="22"/>
        </w:rPr>
        <w:t xml:space="preserve">The authors declare that:</w:t>
      </w:r>
    </w:p>
    <w:p>
      <w:pPr>
        <w:pStyle w:val="ListParagraph"/>
        <w:numPr>
          <w:ilvl w:val="0"/>
          <w:numId w:val="1"/>
        </w:numPr>
        <w:spacing w:after="100"/>
      </w:pPr>
      <w:r>
        <w:rPr>
          <w:rFonts w:ascii="Times New Roman" w:cs="Times New Roman" w:eastAsia="Times New Roman" w:hAnsi="Times New Roman"/>
          <w:sz w:val="22"/>
          <w:szCs w:val="22"/>
        </w:rPr>
        <w:t xml:space="preserve">The work is original;</w:t>
      </w:r>
    </w:p>
    <w:p>
      <w:pPr>
        <w:pStyle w:val="ListParagraph"/>
        <w:numPr>
          <w:ilvl w:val="0"/>
          <w:numId w:val="1"/>
        </w:numPr>
        <w:spacing w:after="100"/>
      </w:pPr>
      <w:r>
        <w:rPr>
          <w:rFonts w:ascii="Times New Roman" w:cs="Times New Roman" w:eastAsia="Times New Roman" w:hAnsi="Times New Roman"/>
          <w:sz w:val="22"/>
          <w:szCs w:val="22"/>
        </w:rPr>
        <w:t xml:space="preserve">All authors have contributed substantially;</w:t>
      </w:r>
    </w:p>
    <w:p>
      <w:pPr>
        <w:pStyle w:val="ListParagraph"/>
        <w:numPr>
          <w:ilvl w:val="0"/>
          <w:numId w:val="1"/>
        </w:numPr>
        <w:spacing w:after="100"/>
      </w:pPr>
      <w:r>
        <w:rPr>
          <w:rFonts w:ascii="Times New Roman" w:cs="Times New Roman" w:eastAsia="Times New Roman" w:hAnsi="Times New Roman"/>
          <w:sz w:val="22"/>
          <w:szCs w:val="22"/>
        </w:rPr>
        <w:t xml:space="preserve">No plagiarism has occurred;</w:t>
      </w:r>
    </w:p>
    <w:p>
      <w:pPr>
        <w:pStyle w:val="ListParagraph"/>
        <w:numPr>
          <w:ilvl w:val="0"/>
          <w:numId w:val="1"/>
        </w:numPr>
        <w:spacing w:after="100"/>
      </w:pPr>
      <w:r>
        <w:rPr>
          <w:rFonts w:ascii="Times New Roman" w:cs="Times New Roman" w:eastAsia="Times New Roman" w:hAnsi="Times New Roman"/>
          <w:sz w:val="22"/>
          <w:szCs w:val="22"/>
        </w:rPr>
        <w:t xml:space="preserve">AI-generated content, if used, has been reviewed and validated by the authors;</w:t>
      </w:r>
    </w:p>
    <w:p>
      <w:pPr>
        <w:pStyle w:val="ListParagraph"/>
        <w:numPr>
          <w:ilvl w:val="0"/>
          <w:numId w:val="1"/>
        </w:numPr>
        <w:spacing w:after="100"/>
      </w:pPr>
      <w:r>
        <w:rPr>
          <w:rFonts w:ascii="Times New Roman" w:cs="Times New Roman" w:eastAsia="Times New Roman" w:hAnsi="Times New Roman"/>
          <w:sz w:val="22"/>
          <w:szCs w:val="22"/>
        </w:rPr>
        <w:t xml:space="preserve">All data presented are accurate and can be verified upon request.</w:t>
      </w:r>
    </w:p>
    <w:p>
      <w:pPr>
        <w:spacing w:after="120" w:before="240"/>
      </w:pPr>
      <w:r>
        <w:rPr>
          <w:rFonts w:ascii="Times New Roman" w:cs="Times New Roman" w:eastAsia="Times New Roman" w:hAnsi="Times New Roman"/>
          <w:b/>
          <w:bCs/>
          <w:sz w:val="22"/>
          <w:szCs w:val="22"/>
        </w:rPr>
        <w:t xml:space="preserve">References</w:t>
      </w:r>
    </w:p>
    <w:p>
      <w:pPr>
        <w:spacing w:after="160"/>
        <w:ind w:left="360" w:hanging="360"/>
        <w:jc w:val="both"/>
      </w:pPr>
      <w:r>
        <w:rPr>
          <w:rFonts w:ascii="Times New Roman" w:cs="Times New Roman" w:eastAsia="Times New Roman" w:hAnsi="Times New Roman"/>
          <w:sz w:val="22"/>
          <w:szCs w:val="22"/>
        </w:rPr>
        <w:t xml:space="preserve">Lewis, P., Perez, E., Piktus, A., Petroni, F., Karpukhin, V., Goyal, N., Küttler, H., Lewis, M., Yih, W., Rocktäschel, T., Riedel, S., &amp; Kiela, D. (2020). Retrieval-augmented generation for knowledge-intensive NLP tasks. Advances in Neural Information Processing Systems, 33, 9459–9474.</w:t>
      </w:r>
    </w:p>
    <w:p>
      <w:pPr>
        <w:spacing w:after="160"/>
        <w:ind w:left="360" w:hanging="360"/>
        <w:jc w:val="both"/>
      </w:pPr>
      <w:r>
        <w:rPr>
          <w:rFonts w:ascii="Times New Roman" w:cs="Times New Roman" w:eastAsia="Times New Roman" w:hAnsi="Times New Roman"/>
          <w:sz w:val="22"/>
          <w:szCs w:val="22"/>
        </w:rPr>
        <w:t xml:space="preserve">Anthropic. (2026). Claude (Sonnet 5 and Haiku 4.5) [Large language models]. https://www.anthropic.com</w:t>
      </w:r>
    </w:p>
    <w:p>
      <w:pPr>
        <w:spacing w:after="160" w:line="276"/>
        <w:jc w:val="both"/>
      </w:pPr>
      <w:r>
        <w:rPr>
          <w:rFonts w:ascii="Times New Roman" w:cs="Times New Roman" w:eastAsia="Times New Roman" w:hAnsi="Times New Roman"/>
          <w:i/>
          <w:iCs/>
          <w:sz w:val="22"/>
          <w:szCs w:val="22"/>
          <w:highlight w:val="yellow"/>
          <w:highlightCs w:val="yellow"/>
        </w:rPr>
        <w:t xml:space="preserve">[Add course- and TVET-specific literature here, e.g., on Swing/GUI pedagogy or AI-assisted formative feedback, arranged alphabetically per APA 7th edition.]</w:t>
      </w:r>
    </w:p>
    <w:p>
      <w:pPr>
        <w:spacing w:after="120" w:before="300"/>
      </w:pPr>
      <w:r>
        <w:rPr>
          <w:rFonts w:ascii="Times New Roman" w:cs="Times New Roman" w:eastAsia="Times New Roman" w:hAnsi="Times New Roman"/>
          <w:b/>
          <w:bCs/>
          <w:color w:val="B00000"/>
          <w:sz w:val="22"/>
          <w:szCs w:val="22"/>
        </w:rPr>
        <w:t xml:space="preserve">Note to self before submission</w:t>
      </w:r>
    </w:p>
    <w:p>
      <w:pPr>
        <w:spacing w:after="160" w:line="276"/>
        <w:jc w:val="both"/>
      </w:pPr>
      <w:r>
        <w:rPr>
          <w:rFonts w:ascii="Times New Roman" w:cs="Times New Roman" w:eastAsia="Times New Roman" w:hAnsi="Times New Roman"/>
          <w:color w:val="B00000"/>
          <w:sz w:val="22"/>
          <w:szCs w:val="22"/>
        </w:rPr>
        <w:t xml:space="preserve">The course outline PDF could not be opened in this session (a macOS file-permission prompt for the Desktop folder was not granted), so the exact course code, learning outcomes, credit hours and cohort profile are not reflected above. Please confirm/replace the yellow-highlighted placeholders — author name, department, and the two open sections — and drop this note before submitting.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2026-08-21T22:57:05.814Z</dcterms:created>
  <dcterms:modified xsi:type="dcterms:W3CDTF">2026-08-21T22:57:05.815Z</dcterms:modified>
</cp:coreProperties>
</file>

<file path=docProps/custom.xml><?xml version="1.0" encoding="utf-8"?>
<Properties xmlns="http://schemas.openxmlformats.org/officeDocument/2006/custom-properties" xmlns:vt="http://schemas.openxmlformats.org/officeDocument/2006/docPropsVTypes"/>
</file>