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3CB1D5" w14:textId="77777777" w:rsidR="001D6427" w:rsidRDefault="00000000">
      <w:pPr>
        <w:spacing w:after="200"/>
        <w:jc w:val="center"/>
      </w:pPr>
      <w:r>
        <w:rPr>
          <w:b/>
          <w:bCs/>
          <w:sz w:val="28"/>
          <w:szCs w:val="28"/>
        </w:rPr>
        <w:t xml:space="preserve">Investigate, Predict, Reason, Repair: An AI-Supported Video Lesson on Java Swing </w:t>
      </w:r>
      <w:proofErr w:type="spellStart"/>
      <w:r>
        <w:rPr>
          <w:b/>
          <w:bCs/>
          <w:sz w:val="28"/>
          <w:szCs w:val="28"/>
        </w:rPr>
        <w:t>BorderLayout</w:t>
      </w:r>
      <w:proofErr w:type="spellEnd"/>
    </w:p>
    <w:p w14:paraId="1223E581" w14:textId="77777777" w:rsidR="002C395E" w:rsidRDefault="002C395E" w:rsidP="002C395E">
      <w:pPr>
        <w:autoSpaceDE w:val="0"/>
        <w:autoSpaceDN w:val="0"/>
        <w:adjustRightInd w:val="0"/>
        <w:jc w:val="center"/>
        <w:rPr>
          <w:sz w:val="10"/>
          <w:szCs w:val="10"/>
          <w:lang w:val="en-GB"/>
        </w:rPr>
      </w:pPr>
      <w:r>
        <w:rPr>
          <w:lang w:val="en-GB"/>
        </w:rPr>
        <w:t>Mohd Azlan bin Ab Aziz</w:t>
      </w:r>
      <w:r>
        <w:rPr>
          <w:sz w:val="10"/>
          <w:szCs w:val="10"/>
          <w:lang w:val="en-GB"/>
        </w:rPr>
        <w:t>1*</w:t>
      </w:r>
      <w:r>
        <w:rPr>
          <w:lang w:val="en-GB"/>
        </w:rPr>
        <w:t>, Hasnah binti Ngah</w:t>
      </w:r>
      <w:r>
        <w:rPr>
          <w:sz w:val="10"/>
          <w:szCs w:val="10"/>
          <w:lang w:val="en-GB"/>
        </w:rPr>
        <w:t>2</w:t>
      </w:r>
    </w:p>
    <w:p w14:paraId="0ED587D5" w14:textId="13A4C9E5" w:rsidR="002C395E" w:rsidRDefault="002C395E" w:rsidP="002C395E">
      <w:pPr>
        <w:autoSpaceDE w:val="0"/>
        <w:autoSpaceDN w:val="0"/>
        <w:adjustRightInd w:val="0"/>
        <w:jc w:val="center"/>
        <w:rPr>
          <w:lang w:val="en-GB"/>
        </w:rPr>
      </w:pPr>
      <w:r w:rsidRPr="002C395E">
        <w:rPr>
          <w:sz w:val="10"/>
          <w:szCs w:val="10"/>
          <w:vertAlign w:val="superscript"/>
          <w:lang w:val="en-GB"/>
        </w:rPr>
        <w:t>1</w:t>
      </w:r>
      <w:r>
        <w:rPr>
          <w:sz w:val="10"/>
          <w:szCs w:val="10"/>
          <w:lang w:val="en-GB"/>
        </w:rPr>
        <w:t xml:space="preserve"> </w:t>
      </w:r>
      <w:r>
        <w:rPr>
          <w:lang w:val="en-GB"/>
        </w:rPr>
        <w:t xml:space="preserve">Department of Information and Communication Technology, </w:t>
      </w:r>
      <w:proofErr w:type="spellStart"/>
      <w:r>
        <w:rPr>
          <w:lang w:val="en-GB"/>
        </w:rPr>
        <w:t>Politeknik</w:t>
      </w:r>
      <w:proofErr w:type="spellEnd"/>
      <w:r>
        <w:rPr>
          <w:lang w:val="en-GB"/>
        </w:rPr>
        <w:t xml:space="preserve"> </w:t>
      </w:r>
      <w:proofErr w:type="spellStart"/>
      <w:r>
        <w:rPr>
          <w:lang w:val="en-GB"/>
        </w:rPr>
        <w:t>Mukah</w:t>
      </w:r>
      <w:proofErr w:type="spellEnd"/>
      <w:r>
        <w:rPr>
          <w:lang w:val="en-GB"/>
        </w:rPr>
        <w:t>, Sarawak, Malaysia</w:t>
      </w:r>
      <w:r>
        <w:rPr>
          <w:lang w:val="en-GB"/>
        </w:rPr>
        <w:br/>
      </w:r>
      <w:r w:rsidRPr="002C395E">
        <w:rPr>
          <w:sz w:val="10"/>
          <w:szCs w:val="10"/>
          <w:vertAlign w:val="superscript"/>
          <w:lang w:val="en-GB"/>
        </w:rPr>
        <w:t xml:space="preserve">2 </w:t>
      </w:r>
      <w:r>
        <w:rPr>
          <w:lang w:val="en-GB"/>
        </w:rPr>
        <w:t xml:space="preserve">Department of Commerce, </w:t>
      </w:r>
      <w:proofErr w:type="spellStart"/>
      <w:r>
        <w:rPr>
          <w:lang w:val="en-GB"/>
        </w:rPr>
        <w:t>Politeknik</w:t>
      </w:r>
      <w:proofErr w:type="spellEnd"/>
      <w:r>
        <w:rPr>
          <w:lang w:val="en-GB"/>
        </w:rPr>
        <w:t xml:space="preserve"> </w:t>
      </w:r>
      <w:proofErr w:type="spellStart"/>
      <w:r>
        <w:rPr>
          <w:lang w:val="en-GB"/>
        </w:rPr>
        <w:t>Mukah</w:t>
      </w:r>
      <w:proofErr w:type="spellEnd"/>
      <w:r>
        <w:rPr>
          <w:lang w:val="en-GB"/>
        </w:rPr>
        <w:t>, Sarawak, Malaysia</w:t>
      </w:r>
    </w:p>
    <w:p w14:paraId="20D21E13" w14:textId="77777777" w:rsidR="002C395E" w:rsidRDefault="002C395E" w:rsidP="002C395E">
      <w:pPr>
        <w:spacing w:before="120" w:after="120"/>
        <w:rPr>
          <w:lang w:val="en-GB"/>
        </w:rPr>
      </w:pPr>
    </w:p>
    <w:p w14:paraId="3409D0E8" w14:textId="30C8C248" w:rsidR="001D6427" w:rsidRDefault="00000000" w:rsidP="002C395E">
      <w:pPr>
        <w:spacing w:before="120" w:after="120"/>
      </w:pPr>
      <w:r>
        <w:rPr>
          <w:b/>
          <w:bCs/>
        </w:rPr>
        <w:t>Extended Abstract</w:t>
      </w:r>
    </w:p>
    <w:p w14:paraId="77A017A4" w14:textId="0A180913" w:rsidR="001D6427" w:rsidRDefault="00000000">
      <w:pPr>
        <w:spacing w:after="160" w:line="276" w:lineRule="auto"/>
        <w:jc w:val="both"/>
      </w:pPr>
      <w:r>
        <w:t xml:space="preserve">This paper documents </w:t>
      </w:r>
      <w:r>
        <w:rPr>
          <w:i/>
          <w:iCs/>
        </w:rPr>
        <w:t xml:space="preserve">“Java Swing </w:t>
      </w:r>
      <w:proofErr w:type="spellStart"/>
      <w:r>
        <w:rPr>
          <w:i/>
          <w:iCs/>
        </w:rPr>
        <w:t>BorderLayout</w:t>
      </w:r>
      <w:proofErr w:type="spellEnd"/>
      <w:r>
        <w:rPr>
          <w:i/>
          <w:iCs/>
        </w:rPr>
        <w:t xml:space="preserve"> | Why Did My Button Disappear?”</w:t>
      </w:r>
      <w:r>
        <w:t xml:space="preserve"> (Mohd Azlan Ab Aziz, channel @MAAA-Dev, 4 minutes 58 seconds, published 21 August 2026, </w:t>
      </w:r>
      <w:hyperlink r:id="rId5" w:anchor="/classroom" w:history="1">
        <w:r w:rsidRPr="002C395E">
          <w:rPr>
            <w:rStyle w:val="Hyperlink"/>
          </w:rPr>
          <w:t>https://www.youtube.com/watch?v=TlBQcG6UVuE</w:t>
        </w:r>
      </w:hyperlink>
      <w:r>
        <w:t>)</w:t>
      </w:r>
      <w:r w:rsidR="002C395E">
        <w:t xml:space="preserve">. </w:t>
      </w:r>
      <w:r>
        <w:t xml:space="preserve">The video teaches one specific, common beginner failure in Java Swing GUI programming — a component silently disappearing from a </w:t>
      </w:r>
      <w:proofErr w:type="spellStart"/>
      <w:r>
        <w:t>BorderLayout</w:t>
      </w:r>
      <w:proofErr w:type="spellEnd"/>
      <w:r>
        <w:t xml:space="preserve"> region — using a deliberate four-step lesson structure the video names on screen: Investigate → Predict → Reason → Repair. The lesson reproduces the bug live in Eclipse, then moves into </w:t>
      </w:r>
      <w:proofErr w:type="spellStart"/>
      <w:r>
        <w:t>MagikLayout</w:t>
      </w:r>
      <w:proofErr w:type="spellEnd"/>
      <w:r>
        <w:t>, an interactive browser-based practice tool, where the presenter predicts the fix before requesting a single hint from an AI learning coach — modelling reasoning-before-answer rather than answer-seeking. This abstract describes the video's lesson design, production process and rationale; it deliberately does not attempt to document the practice tool's internal engineering, since the video itself is the submission being assessed.</w:t>
      </w:r>
    </w:p>
    <w:p w14:paraId="53B7D3BB" w14:textId="77777777" w:rsidR="001D6427" w:rsidRDefault="00000000">
      <w:pPr>
        <w:spacing w:after="300"/>
        <w:jc w:val="both"/>
      </w:pPr>
      <w:r>
        <w:rPr>
          <w:b/>
          <w:bCs/>
        </w:rPr>
        <w:t xml:space="preserve">Keywords: </w:t>
      </w:r>
      <w:r>
        <w:t xml:space="preserve">AI-supported learning, </w:t>
      </w:r>
      <w:proofErr w:type="spellStart"/>
      <w:r>
        <w:t>BorderLayout</w:t>
      </w:r>
      <w:proofErr w:type="spellEnd"/>
      <w:r>
        <w:t>, digital teaching video, Java Swing, predict-and-repair pedagogy</w:t>
      </w:r>
    </w:p>
    <w:p w14:paraId="4E428F2A" w14:textId="77777777" w:rsidR="001D6427" w:rsidRDefault="00000000">
      <w:pPr>
        <w:spacing w:before="240" w:after="120"/>
      </w:pPr>
      <w:r>
        <w:rPr>
          <w:b/>
          <w:bCs/>
        </w:rPr>
        <w:t>1. Background / Problem Statement</w:t>
      </w:r>
    </w:p>
    <w:p w14:paraId="6A7B1D1D" w14:textId="537E0987" w:rsidR="001D6427" w:rsidRDefault="00000000">
      <w:pPr>
        <w:spacing w:after="160" w:line="276" w:lineRule="auto"/>
        <w:jc w:val="both"/>
      </w:pPr>
      <w:r>
        <w:t xml:space="preserve">The Java-Based Application Development course at </w:t>
      </w:r>
      <w:proofErr w:type="spellStart"/>
      <w:r w:rsidR="002C395E">
        <w:t>Politeknik</w:t>
      </w:r>
      <w:proofErr w:type="spellEnd"/>
      <w:r w:rsidR="002C395E">
        <w:t xml:space="preserve"> </w:t>
      </w:r>
      <w:proofErr w:type="spellStart"/>
      <w:r w:rsidR="002C395E">
        <w:t>Mukah</w:t>
      </w:r>
      <w:proofErr w:type="spellEnd"/>
      <w:r>
        <w:t xml:space="preserve"> includes Java Swing GUI programming, where </w:t>
      </w:r>
      <w:proofErr w:type="spellStart"/>
      <w:r>
        <w:t>BorderLayout</w:t>
      </w:r>
      <w:proofErr w:type="spellEnd"/>
      <w:r>
        <w:t xml:space="preserve"> is typically a learner's first layout manager. A near-universal early failure is this: a learner adds a second button to the SOUTH region of a </w:t>
      </w:r>
      <w:proofErr w:type="spellStart"/>
      <w:r>
        <w:t>BorderLayout</w:t>
      </w:r>
      <w:proofErr w:type="spellEnd"/>
      <w:r>
        <w:t xml:space="preserve">, runs the program, and one of the two buttons has simply vanished — with no error, no exception, and no obvious reason why. Learners typically resolve this by trial-and-compile, or by asking a generic AI chatbot, which can describe </w:t>
      </w:r>
      <w:proofErr w:type="spellStart"/>
      <w:r>
        <w:t>BorderLayout</w:t>
      </w:r>
      <w:proofErr w:type="spellEnd"/>
      <w:r>
        <w:t xml:space="preserve"> in the abstract but has never seen the learner's actual code or component tree, and so cannot confirm whether a proposed fix is even structurally correct. Neither path builds the mental model needed to predict layout behaviour before running the program — which is the actual skill this course needs learners to leave with.</w:t>
      </w:r>
    </w:p>
    <w:p w14:paraId="1018E018" w14:textId="77777777" w:rsidR="001D6427" w:rsidRDefault="00000000">
      <w:pPr>
        <w:spacing w:before="240" w:after="120"/>
      </w:pPr>
      <w:r>
        <w:rPr>
          <w:b/>
          <w:bCs/>
        </w:rPr>
        <w:t>2. Innovation Objective</w:t>
      </w:r>
    </w:p>
    <w:p w14:paraId="2559A42E" w14:textId="77777777" w:rsidR="001D6427" w:rsidRDefault="00000000">
      <w:pPr>
        <w:spacing w:after="160" w:line="276" w:lineRule="auto"/>
        <w:jc w:val="both"/>
      </w:pPr>
      <w:r>
        <w:t xml:space="preserve">The main objective is to teach the </w:t>
      </w:r>
      <w:proofErr w:type="spellStart"/>
      <w:r>
        <w:t>BorderLayout</w:t>
      </w:r>
      <w:proofErr w:type="spellEnd"/>
      <w:r>
        <w:t xml:space="preserve"> region-collision rule through a video lesson that models investigation and prediction, rather than simply stating the rule. The specific objectives, taken from the video's own stated learning outcomes, are to help the viewer understand:</w:t>
      </w:r>
    </w:p>
    <w:p w14:paraId="7AFC39AC" w14:textId="77777777" w:rsidR="001D6427" w:rsidRDefault="00000000">
      <w:pPr>
        <w:pStyle w:val="ListParagraph"/>
        <w:numPr>
          <w:ilvl w:val="0"/>
          <w:numId w:val="1"/>
        </w:numPr>
        <w:spacing w:after="80"/>
      </w:pPr>
      <w:r>
        <w:t xml:space="preserve">what </w:t>
      </w:r>
      <w:proofErr w:type="spellStart"/>
      <w:r>
        <w:t>BorderLayout</w:t>
      </w:r>
      <w:proofErr w:type="spellEnd"/>
      <w:r>
        <w:t xml:space="preserve"> is, and how its five regions — NORTH, SOUTH, EAST, WEST and CENTER — position components inside a </w:t>
      </w:r>
      <w:proofErr w:type="spellStart"/>
      <w:r>
        <w:t>JFrame</w:t>
      </w:r>
      <w:proofErr w:type="spellEnd"/>
      <w:r>
        <w:t>;</w:t>
      </w:r>
    </w:p>
    <w:p w14:paraId="393D67D5" w14:textId="77777777" w:rsidR="001D6427" w:rsidRDefault="00000000">
      <w:pPr>
        <w:pStyle w:val="ListParagraph"/>
        <w:numPr>
          <w:ilvl w:val="0"/>
          <w:numId w:val="1"/>
        </w:numPr>
        <w:spacing w:after="80"/>
      </w:pPr>
      <w:r>
        <w:t>why adding two components to the same region makes one appear to disappear;</w:t>
      </w:r>
    </w:p>
    <w:p w14:paraId="03C52309" w14:textId="77777777" w:rsidR="001D6427" w:rsidRDefault="00000000">
      <w:pPr>
        <w:pStyle w:val="ListParagraph"/>
        <w:numPr>
          <w:ilvl w:val="0"/>
          <w:numId w:val="1"/>
        </w:numPr>
        <w:spacing w:after="80"/>
      </w:pPr>
      <w:r>
        <w:t xml:space="preserve">how </w:t>
      </w:r>
      <w:proofErr w:type="spellStart"/>
      <w:r>
        <w:t>JFrame</w:t>
      </w:r>
      <w:proofErr w:type="spellEnd"/>
      <w:r>
        <w:t xml:space="preserve">, </w:t>
      </w:r>
      <w:proofErr w:type="spellStart"/>
      <w:r>
        <w:t>JButton</w:t>
      </w:r>
      <w:proofErr w:type="spellEnd"/>
      <w:r>
        <w:t xml:space="preserve"> and </w:t>
      </w:r>
      <w:proofErr w:type="spellStart"/>
      <w:r>
        <w:t>JPanel</w:t>
      </w:r>
      <w:proofErr w:type="spellEnd"/>
      <w:r>
        <w:t xml:space="preserve"> relate to one another, and why nesting a </w:t>
      </w:r>
      <w:proofErr w:type="spellStart"/>
      <w:r>
        <w:t>JPanel</w:t>
      </w:r>
      <w:proofErr w:type="spellEnd"/>
      <w:r>
        <w:t xml:space="preserve"> resolves the collision;</w:t>
      </w:r>
    </w:p>
    <w:p w14:paraId="3CDDBCC7" w14:textId="77777777" w:rsidR="001D6427" w:rsidRDefault="00000000">
      <w:pPr>
        <w:pStyle w:val="ListParagraph"/>
        <w:numPr>
          <w:ilvl w:val="0"/>
          <w:numId w:val="1"/>
        </w:numPr>
        <w:spacing w:after="80"/>
      </w:pPr>
      <w:r>
        <w:t>how to debug a Java GUI layout problem by reasoning about it, instead of guessing; and</w:t>
      </w:r>
    </w:p>
    <w:p w14:paraId="219FF417" w14:textId="77777777" w:rsidR="001D6427" w:rsidRDefault="00000000">
      <w:pPr>
        <w:pStyle w:val="ListParagraph"/>
        <w:numPr>
          <w:ilvl w:val="0"/>
          <w:numId w:val="1"/>
        </w:numPr>
        <w:spacing w:after="200"/>
      </w:pPr>
      <w:r>
        <w:t>how an AI tool can support this kind of learning without simply supplying the answer.</w:t>
      </w:r>
    </w:p>
    <w:p w14:paraId="3306CAC8" w14:textId="77777777" w:rsidR="002C395E" w:rsidRDefault="002C395E">
      <w:pPr>
        <w:pStyle w:val="ListParagraph"/>
        <w:numPr>
          <w:ilvl w:val="0"/>
          <w:numId w:val="1"/>
        </w:numPr>
        <w:spacing w:after="200"/>
      </w:pPr>
    </w:p>
    <w:p w14:paraId="1063C903" w14:textId="77777777" w:rsidR="001D6427" w:rsidRDefault="00000000">
      <w:pPr>
        <w:spacing w:before="240" w:after="120"/>
      </w:pPr>
      <w:r>
        <w:rPr>
          <w:b/>
          <w:bCs/>
        </w:rPr>
        <w:lastRenderedPageBreak/>
        <w:t>3. Description of Innovation</w:t>
      </w:r>
    </w:p>
    <w:p w14:paraId="5F232379" w14:textId="77777777" w:rsidR="001D6427" w:rsidRDefault="00000000">
      <w:pPr>
        <w:spacing w:after="160" w:line="276" w:lineRule="auto"/>
        <w:jc w:val="both"/>
      </w:pPr>
      <w:r>
        <w:t xml:space="preserve">The innovation is the video's lesson design, built around a consistent, on-screen four-step framework — Investigate → Predict → Reason → Repair — rather than a conventional narrated slide-and-code walkthrough. Mapped to a standard </w:t>
      </w:r>
      <w:proofErr w:type="spellStart"/>
      <w:r>
        <w:t>PdP</w:t>
      </w:r>
      <w:proofErr w:type="spellEnd"/>
      <w:r>
        <w:t xml:space="preserve"> structure:</w:t>
      </w:r>
    </w:p>
    <w:p w14:paraId="6214B950" w14:textId="77777777" w:rsidR="001D6427" w:rsidRDefault="00000000">
      <w:pPr>
        <w:spacing w:after="100"/>
      </w:pPr>
      <w:r>
        <w:rPr>
          <w:b/>
          <w:bCs/>
        </w:rPr>
        <w:t xml:space="preserve">Set </w:t>
      </w:r>
      <w:proofErr w:type="spellStart"/>
      <w:r>
        <w:rPr>
          <w:b/>
          <w:bCs/>
        </w:rPr>
        <w:t>induksi</w:t>
      </w:r>
      <w:proofErr w:type="spellEnd"/>
      <w:r>
        <w:rPr>
          <w:b/>
          <w:bCs/>
        </w:rPr>
        <w:t xml:space="preserve">: </w:t>
      </w:r>
      <w:r>
        <w:t>the video opens with the relatable failure itself — “Ever added a button to a Java Swing application, ran the program… and the button mysteriously disappeared?” — before any explanation is given.</w:t>
      </w:r>
    </w:p>
    <w:p w14:paraId="50162287" w14:textId="77777777" w:rsidR="001D6427" w:rsidRDefault="00000000">
      <w:pPr>
        <w:spacing w:after="100"/>
      </w:pPr>
      <w:r>
        <w:rPr>
          <w:b/>
          <w:bCs/>
        </w:rPr>
        <w:t xml:space="preserve">Isi </w:t>
      </w:r>
      <w:proofErr w:type="spellStart"/>
      <w:r>
        <w:rPr>
          <w:b/>
          <w:bCs/>
        </w:rPr>
        <w:t>kandungan</w:t>
      </w:r>
      <w:proofErr w:type="spellEnd"/>
      <w:r>
        <w:rPr>
          <w:b/>
          <w:bCs/>
        </w:rPr>
        <w:t xml:space="preserve">: </w:t>
      </w:r>
      <w:r>
        <w:t xml:space="preserve">the presenter reproduces the bug live in Eclipse, then explains the five </w:t>
      </w:r>
      <w:proofErr w:type="spellStart"/>
      <w:r>
        <w:t>BorderLayout</w:t>
      </w:r>
      <w:proofErr w:type="spellEnd"/>
      <w:r>
        <w:t xml:space="preserve"> regions and why a second component added to an already-occupied region hides the first.</w:t>
      </w:r>
    </w:p>
    <w:p w14:paraId="7C378788" w14:textId="77777777" w:rsidR="001D6427" w:rsidRDefault="00000000">
      <w:pPr>
        <w:spacing w:after="100"/>
      </w:pPr>
      <w:proofErr w:type="spellStart"/>
      <w:r>
        <w:rPr>
          <w:b/>
          <w:bCs/>
        </w:rPr>
        <w:t>Aktiviti</w:t>
      </w:r>
      <w:proofErr w:type="spellEnd"/>
      <w:r>
        <w:rPr>
          <w:b/>
          <w:bCs/>
        </w:rPr>
        <w:t xml:space="preserve"> </w:t>
      </w:r>
      <w:proofErr w:type="spellStart"/>
      <w:r>
        <w:rPr>
          <w:b/>
          <w:bCs/>
        </w:rPr>
        <w:t>pembelajaran</w:t>
      </w:r>
      <w:proofErr w:type="spellEnd"/>
      <w:r>
        <w:rPr>
          <w:b/>
          <w:bCs/>
        </w:rPr>
        <w:t xml:space="preserve">: </w:t>
      </w:r>
      <w:r>
        <w:t xml:space="preserve">the presenter switches to </w:t>
      </w:r>
      <w:proofErr w:type="spellStart"/>
      <w:r>
        <w:t>MagikLayout</w:t>
      </w:r>
      <w:proofErr w:type="spellEnd"/>
      <w:r>
        <w:t>, a free browser-based Swing practice tool, opens the matching interactive mission, predicts the fix on screen before applying it, and asks the tool's built-in AI coach for one hint to check that reasoning — the coach responds with a guiding question rather than the finished fix.</w:t>
      </w:r>
    </w:p>
    <w:p w14:paraId="79575B39" w14:textId="77777777" w:rsidR="001D6427" w:rsidRDefault="00000000">
      <w:pPr>
        <w:spacing w:after="200"/>
      </w:pPr>
      <w:proofErr w:type="spellStart"/>
      <w:r>
        <w:rPr>
          <w:b/>
          <w:bCs/>
        </w:rPr>
        <w:t>Penutup</w:t>
      </w:r>
      <w:proofErr w:type="spellEnd"/>
      <w:r>
        <w:rPr>
          <w:b/>
          <w:bCs/>
        </w:rPr>
        <w:t xml:space="preserve">: </w:t>
      </w:r>
      <w:r>
        <w:t xml:space="preserve">the presenter nests the second button in a </w:t>
      </w:r>
      <w:proofErr w:type="spellStart"/>
      <w:r>
        <w:t>JPanel</w:t>
      </w:r>
      <w:proofErr w:type="spellEnd"/>
      <w:r>
        <w:t xml:space="preserve"> to resolve the collision, then closes on the video's stated purpose — “The goal isn't just to make the program work. It's to understand why it works” — with an invitation to try the same missions independently.</w:t>
      </w:r>
    </w:p>
    <w:p w14:paraId="27538C6D" w14:textId="77777777" w:rsidR="001D6427" w:rsidRDefault="00000000">
      <w:pPr>
        <w:spacing w:before="240" w:after="120"/>
      </w:pPr>
      <w:r>
        <w:rPr>
          <w:b/>
          <w:bCs/>
        </w:rPr>
        <w:t>4. Methodology / Development Process</w:t>
      </w:r>
    </w:p>
    <w:p w14:paraId="4B3EE8AB" w14:textId="77777777" w:rsidR="001D6427" w:rsidRDefault="00000000">
      <w:pPr>
        <w:spacing w:after="160" w:line="276" w:lineRule="auto"/>
        <w:jc w:val="both"/>
      </w:pPr>
      <w:r>
        <w:t xml:space="preserve">Production followed three stages. In pre-production, the lesson was storyboarded around the Investigate-Predict-Reason-Repair sequence, choosing one narrow, high-frequency misconception rather than a broad tour of </w:t>
      </w:r>
      <w:proofErr w:type="spellStart"/>
      <w:r>
        <w:t>BorderLayout</w:t>
      </w:r>
      <w:proofErr w:type="spellEnd"/>
      <w:r>
        <w:t xml:space="preserve">. In production, two live environments were screen-recorded rather than staged: Eclipse, to reproduce the real bug exactly as a learner would encounter it, and </w:t>
      </w:r>
      <w:proofErr w:type="spellStart"/>
      <w:r>
        <w:t>MagikLayout's</w:t>
      </w:r>
      <w:proofErr w:type="spellEnd"/>
      <w:r>
        <w:t xml:space="preserve"> interactive mission, to show the predict-then-verify step and the single AI hint exchange in real time. Narration is bilingual in delivery — spoken English with Bahasa Malaysia phrasing woven into the explanation — matching the course's own bilingual classroom practice. In post-production, captions, on-screen labels for each region, and the closing call-to-action were added.</w:t>
      </w:r>
    </w:p>
    <w:p w14:paraId="4770D55E" w14:textId="77777777" w:rsidR="001D6427" w:rsidRDefault="00000000">
      <w:pPr>
        <w:spacing w:after="160" w:line="276" w:lineRule="auto"/>
        <w:jc w:val="both"/>
      </w:pPr>
      <w:r>
        <w:t>On the AI integration specifically: the coach used in the video is deliberately constrained to respond with reasoning support — a question or a partial nudge — rather than the completed fix, and it is used exactly once per mission, after the learner has already committed to a prediction. This ordering (predict, then ask) is the pedagogical choice being demonstrated; the coach's internal implementation is outside the scope of what this video, and this abstract, are evaluated on.</w:t>
      </w:r>
    </w:p>
    <w:p w14:paraId="4EB64A8B" w14:textId="77777777" w:rsidR="001D6427" w:rsidRDefault="00000000">
      <w:pPr>
        <w:spacing w:before="240" w:after="120"/>
      </w:pPr>
      <w:r>
        <w:rPr>
          <w:b/>
          <w:bCs/>
        </w:rPr>
        <w:t>5. Innovation Value Proposition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1D6427" w14:paraId="4FE6871A" w14:textId="77777777">
        <w:tblPrEx>
          <w:tblCellMar>
            <w:top w:w="0" w:type="dxa"/>
            <w:bottom w:w="0" w:type="dxa"/>
          </w:tblCellMar>
        </w:tblPrEx>
        <w:tc>
          <w:tcPr>
            <w:tcW w:w="2100" w:type="dxa"/>
            <w:shd w:val="clear" w:color="auto" w:fill="D9D9D9"/>
            <w:tcMar>
              <w:top w:w="100" w:type="dxa"/>
              <w:left w:w="120" w:type="dxa"/>
              <w:bottom w:w="100" w:type="dxa"/>
              <w:right w:w="120" w:type="dxa"/>
            </w:tcMar>
            <w:vAlign w:val="center"/>
          </w:tcPr>
          <w:p w14:paraId="425696B4" w14:textId="77777777" w:rsidR="001D6427" w:rsidRDefault="00000000">
            <w:r>
              <w:rPr>
                <w:b/>
                <w:bCs/>
                <w:sz w:val="20"/>
                <w:szCs w:val="20"/>
              </w:rPr>
              <w:t>Component</w:t>
            </w:r>
          </w:p>
        </w:tc>
        <w:tc>
          <w:tcPr>
            <w:tcW w:w="6926" w:type="dxa"/>
            <w:shd w:val="clear" w:color="auto" w:fill="D9D9D9"/>
            <w:tcMar>
              <w:top w:w="100" w:type="dxa"/>
              <w:left w:w="120" w:type="dxa"/>
              <w:bottom w:w="100" w:type="dxa"/>
              <w:right w:w="120" w:type="dxa"/>
            </w:tcMar>
            <w:vAlign w:val="center"/>
          </w:tcPr>
          <w:p w14:paraId="0EE059ED" w14:textId="77777777" w:rsidR="001D6427" w:rsidRDefault="00000000">
            <w:r>
              <w:rPr>
                <w:b/>
                <w:bCs/>
                <w:sz w:val="20"/>
                <w:szCs w:val="20"/>
              </w:rPr>
              <w:t>Description</w:t>
            </w:r>
          </w:p>
        </w:tc>
      </w:tr>
      <w:tr w:rsidR="001D6427" w14:paraId="53E6F3AB" w14:textId="77777777">
        <w:tblPrEx>
          <w:tblCellMar>
            <w:top w:w="0" w:type="dxa"/>
            <w:bottom w:w="0" w:type="dxa"/>
          </w:tblCellMar>
        </w:tblPrEx>
        <w:tc>
          <w:tcPr>
            <w:tcW w:w="2100" w:type="dxa"/>
            <w:tcMar>
              <w:top w:w="100" w:type="dxa"/>
              <w:left w:w="120" w:type="dxa"/>
              <w:bottom w:w="100" w:type="dxa"/>
              <w:right w:w="120" w:type="dxa"/>
            </w:tcMar>
          </w:tcPr>
          <w:p w14:paraId="59D9DE84" w14:textId="77777777" w:rsidR="001D6427" w:rsidRDefault="00000000">
            <w:r>
              <w:rPr>
                <w:b/>
                <w:bCs/>
                <w:sz w:val="20"/>
                <w:szCs w:val="20"/>
              </w:rPr>
              <w:t>Novelty</w:t>
            </w:r>
          </w:p>
        </w:tc>
        <w:tc>
          <w:tcPr>
            <w:tcW w:w="6926" w:type="dxa"/>
            <w:tcMar>
              <w:top w:w="100" w:type="dxa"/>
              <w:left w:w="120" w:type="dxa"/>
              <w:bottom w:w="100" w:type="dxa"/>
              <w:right w:w="120" w:type="dxa"/>
            </w:tcMar>
          </w:tcPr>
          <w:p w14:paraId="163A4147" w14:textId="77777777" w:rsidR="001D6427" w:rsidRDefault="00000000">
            <w:pPr>
              <w:jc w:val="both"/>
            </w:pPr>
            <w:r>
              <w:rPr>
                <w:sz w:val="20"/>
                <w:szCs w:val="20"/>
              </w:rPr>
              <w:t>Rather than narrating the rule directly, the lesson dramatizes debugging itself: the presenter predicts the fix on camera before revealing it, and the AI coach is used to check reasoning, not to supply the answer — a visibly different pattern from a typical narrated code walkthrough or an unrestricted chatbot exchange.</w:t>
            </w:r>
          </w:p>
        </w:tc>
      </w:tr>
      <w:tr w:rsidR="001D6427" w14:paraId="5F026753" w14:textId="77777777">
        <w:tblPrEx>
          <w:tblCellMar>
            <w:top w:w="0" w:type="dxa"/>
            <w:bottom w:w="0" w:type="dxa"/>
          </w:tblCellMar>
        </w:tblPrEx>
        <w:tc>
          <w:tcPr>
            <w:tcW w:w="2100" w:type="dxa"/>
            <w:tcMar>
              <w:top w:w="100" w:type="dxa"/>
              <w:left w:w="120" w:type="dxa"/>
              <w:bottom w:w="100" w:type="dxa"/>
              <w:right w:w="120" w:type="dxa"/>
            </w:tcMar>
          </w:tcPr>
          <w:p w14:paraId="5E1ECDC5" w14:textId="77777777" w:rsidR="001D6427" w:rsidRDefault="00000000">
            <w:r>
              <w:rPr>
                <w:b/>
                <w:bCs/>
                <w:sz w:val="20"/>
                <w:szCs w:val="20"/>
              </w:rPr>
              <w:t>Usefulness</w:t>
            </w:r>
          </w:p>
        </w:tc>
        <w:tc>
          <w:tcPr>
            <w:tcW w:w="6926" w:type="dxa"/>
            <w:tcMar>
              <w:top w:w="100" w:type="dxa"/>
              <w:left w:w="120" w:type="dxa"/>
              <w:bottom w:w="100" w:type="dxa"/>
              <w:right w:w="120" w:type="dxa"/>
            </w:tcMar>
          </w:tcPr>
          <w:p w14:paraId="5EC8F8EC" w14:textId="77777777" w:rsidR="001D6427" w:rsidRDefault="00000000">
            <w:pPr>
              <w:jc w:val="both"/>
            </w:pPr>
            <w:r>
              <w:rPr>
                <w:sz w:val="20"/>
                <w:szCs w:val="20"/>
              </w:rPr>
              <w:t>The video targets one precise, high-frequency beginner failure, reproduced first as a real bug in Eclipse so learners recognise it as the exact problem in their own code, not an abstract example.</w:t>
            </w:r>
          </w:p>
        </w:tc>
      </w:tr>
      <w:tr w:rsidR="001D6427" w14:paraId="0F0BF1E7" w14:textId="77777777">
        <w:tblPrEx>
          <w:tblCellMar>
            <w:top w:w="0" w:type="dxa"/>
            <w:bottom w:w="0" w:type="dxa"/>
          </w:tblCellMar>
        </w:tblPrEx>
        <w:tc>
          <w:tcPr>
            <w:tcW w:w="2100" w:type="dxa"/>
            <w:tcMar>
              <w:top w:w="100" w:type="dxa"/>
              <w:left w:w="120" w:type="dxa"/>
              <w:bottom w:w="100" w:type="dxa"/>
              <w:right w:w="120" w:type="dxa"/>
            </w:tcMar>
          </w:tcPr>
          <w:p w14:paraId="7A42C313" w14:textId="77777777" w:rsidR="001D6427" w:rsidRDefault="00000000">
            <w:r>
              <w:rPr>
                <w:b/>
                <w:bCs/>
                <w:sz w:val="20"/>
                <w:szCs w:val="20"/>
              </w:rPr>
              <w:t>Replicability</w:t>
            </w:r>
          </w:p>
        </w:tc>
        <w:tc>
          <w:tcPr>
            <w:tcW w:w="6926" w:type="dxa"/>
            <w:tcMar>
              <w:top w:w="100" w:type="dxa"/>
              <w:left w:w="120" w:type="dxa"/>
              <w:bottom w:w="100" w:type="dxa"/>
              <w:right w:w="120" w:type="dxa"/>
            </w:tcMar>
          </w:tcPr>
          <w:p w14:paraId="6E42ADA1" w14:textId="77777777" w:rsidR="001D6427" w:rsidRDefault="00000000">
            <w:pPr>
              <w:jc w:val="both"/>
            </w:pPr>
            <w:r>
              <w:rPr>
                <w:sz w:val="20"/>
                <w:szCs w:val="20"/>
              </w:rPr>
              <w:t xml:space="preserve">Investigate → Predict → Reason → Repair is a reusable video format, not a one-off recording; the same structure can host future short lessons on </w:t>
            </w:r>
            <w:proofErr w:type="spellStart"/>
            <w:r>
              <w:rPr>
                <w:sz w:val="20"/>
                <w:szCs w:val="20"/>
              </w:rPr>
              <w:t>FlowLayout</w:t>
            </w:r>
            <w:proofErr w:type="spellEnd"/>
            <w:r>
              <w:rPr>
                <w:sz w:val="20"/>
                <w:szCs w:val="20"/>
              </w:rPr>
              <w:t xml:space="preserve">, </w:t>
            </w:r>
            <w:proofErr w:type="spellStart"/>
            <w:r>
              <w:rPr>
                <w:sz w:val="20"/>
                <w:szCs w:val="20"/>
              </w:rPr>
              <w:t>GridLayout</w:t>
            </w:r>
            <w:proofErr w:type="spellEnd"/>
            <w:r>
              <w:rPr>
                <w:sz w:val="20"/>
                <w:szCs w:val="20"/>
              </w:rPr>
              <w:t>, or other recurring GUI misconceptions in this course.</w:t>
            </w:r>
          </w:p>
        </w:tc>
      </w:tr>
      <w:tr w:rsidR="001D6427" w14:paraId="2CA438DD" w14:textId="77777777">
        <w:tblPrEx>
          <w:tblCellMar>
            <w:top w:w="0" w:type="dxa"/>
            <w:bottom w:w="0" w:type="dxa"/>
          </w:tblCellMar>
        </w:tblPrEx>
        <w:tc>
          <w:tcPr>
            <w:tcW w:w="2100" w:type="dxa"/>
            <w:tcMar>
              <w:top w:w="100" w:type="dxa"/>
              <w:left w:w="120" w:type="dxa"/>
              <w:bottom w:w="100" w:type="dxa"/>
              <w:right w:w="120" w:type="dxa"/>
            </w:tcMar>
          </w:tcPr>
          <w:p w14:paraId="584BDA7F" w14:textId="77777777" w:rsidR="001D6427" w:rsidRDefault="00000000">
            <w:r>
              <w:rPr>
                <w:b/>
                <w:bCs/>
                <w:sz w:val="20"/>
                <w:szCs w:val="20"/>
              </w:rPr>
              <w:lastRenderedPageBreak/>
              <w:t>Cost Effectiveness</w:t>
            </w:r>
          </w:p>
        </w:tc>
        <w:tc>
          <w:tcPr>
            <w:tcW w:w="6926" w:type="dxa"/>
            <w:tcMar>
              <w:top w:w="100" w:type="dxa"/>
              <w:left w:w="120" w:type="dxa"/>
              <w:bottom w:w="100" w:type="dxa"/>
              <w:right w:w="120" w:type="dxa"/>
            </w:tcMar>
          </w:tcPr>
          <w:p w14:paraId="710A2116" w14:textId="77777777" w:rsidR="001D6427" w:rsidRDefault="00000000">
            <w:pPr>
              <w:jc w:val="both"/>
            </w:pPr>
            <w:r>
              <w:rPr>
                <w:sz w:val="20"/>
                <w:szCs w:val="20"/>
              </w:rPr>
              <w:t>The video is free to watch on YouTube, and the practice tool it references is free to use with no account or licence — the only software required is Eclipse, which learners already have installed for this course.</w:t>
            </w:r>
          </w:p>
        </w:tc>
      </w:tr>
      <w:tr w:rsidR="001D6427" w14:paraId="5A11D743" w14:textId="77777777">
        <w:tblPrEx>
          <w:tblCellMar>
            <w:top w:w="0" w:type="dxa"/>
            <w:bottom w:w="0" w:type="dxa"/>
          </w:tblCellMar>
        </w:tblPrEx>
        <w:tc>
          <w:tcPr>
            <w:tcW w:w="2100" w:type="dxa"/>
            <w:tcMar>
              <w:top w:w="100" w:type="dxa"/>
              <w:left w:w="120" w:type="dxa"/>
              <w:bottom w:w="100" w:type="dxa"/>
              <w:right w:w="120" w:type="dxa"/>
            </w:tcMar>
          </w:tcPr>
          <w:p w14:paraId="3326311B" w14:textId="77777777" w:rsidR="001D6427" w:rsidRDefault="00000000">
            <w:r>
              <w:rPr>
                <w:b/>
                <w:bCs/>
                <w:sz w:val="20"/>
                <w:szCs w:val="20"/>
              </w:rPr>
              <w:t>Sustainability</w:t>
            </w:r>
          </w:p>
        </w:tc>
        <w:tc>
          <w:tcPr>
            <w:tcW w:w="6926" w:type="dxa"/>
            <w:tcMar>
              <w:top w:w="100" w:type="dxa"/>
              <w:left w:w="120" w:type="dxa"/>
              <w:bottom w:w="100" w:type="dxa"/>
              <w:right w:w="120" w:type="dxa"/>
            </w:tcMar>
          </w:tcPr>
          <w:p w14:paraId="5B36A2D6" w14:textId="77777777" w:rsidR="001D6427" w:rsidRDefault="00000000">
            <w:pPr>
              <w:jc w:val="both"/>
            </w:pPr>
            <w:r>
              <w:rPr>
                <w:sz w:val="20"/>
                <w:szCs w:val="20"/>
              </w:rPr>
              <w:t xml:space="preserve">The </w:t>
            </w:r>
            <w:proofErr w:type="spellStart"/>
            <w:r>
              <w:rPr>
                <w:sz w:val="20"/>
                <w:szCs w:val="20"/>
              </w:rPr>
              <w:t>BorderLayout</w:t>
            </w:r>
            <w:proofErr w:type="spellEnd"/>
            <w:r>
              <w:rPr>
                <w:sz w:val="20"/>
                <w:szCs w:val="20"/>
              </w:rPr>
              <w:t xml:space="preserve"> rule being taught does not change between semesters, so the video remains usable across future cohorts of this course without re-recording.</w:t>
            </w:r>
          </w:p>
        </w:tc>
      </w:tr>
      <w:tr w:rsidR="001D6427" w14:paraId="5B0B6F70" w14:textId="77777777">
        <w:tblPrEx>
          <w:tblCellMar>
            <w:top w:w="0" w:type="dxa"/>
            <w:bottom w:w="0" w:type="dxa"/>
          </w:tblCellMar>
        </w:tblPrEx>
        <w:tc>
          <w:tcPr>
            <w:tcW w:w="2100" w:type="dxa"/>
            <w:tcMar>
              <w:top w:w="100" w:type="dxa"/>
              <w:left w:w="120" w:type="dxa"/>
              <w:bottom w:w="100" w:type="dxa"/>
              <w:right w:w="120" w:type="dxa"/>
            </w:tcMar>
          </w:tcPr>
          <w:p w14:paraId="797C1847" w14:textId="77777777" w:rsidR="001D6427" w:rsidRDefault="00000000">
            <w:r>
              <w:rPr>
                <w:b/>
                <w:bCs/>
                <w:sz w:val="20"/>
                <w:szCs w:val="20"/>
              </w:rPr>
              <w:t>Scalability</w:t>
            </w:r>
          </w:p>
        </w:tc>
        <w:tc>
          <w:tcPr>
            <w:tcW w:w="6926" w:type="dxa"/>
            <w:tcMar>
              <w:top w:w="100" w:type="dxa"/>
              <w:left w:w="120" w:type="dxa"/>
              <w:bottom w:w="100" w:type="dxa"/>
              <w:right w:w="120" w:type="dxa"/>
            </w:tcMar>
          </w:tcPr>
          <w:p w14:paraId="28BC4E0F" w14:textId="77777777" w:rsidR="001D6427" w:rsidRDefault="00000000">
            <w:pPr>
              <w:jc w:val="both"/>
            </w:pPr>
            <w:r>
              <w:rPr>
                <w:sz w:val="20"/>
                <w:szCs w:val="20"/>
              </w:rPr>
              <w:t>The four-step format is designed to extend into a short series, with each new episode covering one additional GUI misconception using the same predict-then-verify structure.</w:t>
            </w:r>
          </w:p>
        </w:tc>
      </w:tr>
    </w:tbl>
    <w:p w14:paraId="60BEFB4B" w14:textId="77777777" w:rsidR="001D6427" w:rsidRDefault="001D6427">
      <w:pPr>
        <w:spacing w:after="200"/>
      </w:pPr>
    </w:p>
    <w:p w14:paraId="19BB63C2" w14:textId="77777777" w:rsidR="001D6427" w:rsidRDefault="00000000">
      <w:pPr>
        <w:spacing w:before="240" w:after="120"/>
      </w:pPr>
      <w:r>
        <w:rPr>
          <w:b/>
          <w:bCs/>
        </w:rPr>
        <w:t>6. Findings, Validation and Evidence of Effectiveness</w:t>
      </w:r>
    </w:p>
    <w:p w14:paraId="44EED873" w14:textId="77777777" w:rsidR="001D6427" w:rsidRDefault="00000000">
      <w:pPr>
        <w:spacing w:after="160" w:line="276" w:lineRule="auto"/>
        <w:jc w:val="both"/>
      </w:pPr>
      <w:r>
        <w:t>As this video was published on 21 August 2026, no independent audience or formative-feedback data exists yet at the time of this submission, and none is claimed. The table below instead records what can be verified directly from the published video against the category's own technical specification, and is offered as evidence of specification compliance rather than of a learning outcome.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400"/>
        <w:gridCol w:w="3326"/>
      </w:tblGrid>
      <w:tr w:rsidR="001D6427" w14:paraId="6E577E52" w14:textId="77777777">
        <w:tblPrEx>
          <w:tblCellMar>
            <w:top w:w="0" w:type="dxa"/>
            <w:bottom w:w="0" w:type="dxa"/>
          </w:tblCellMar>
        </w:tblPrEx>
        <w:tc>
          <w:tcPr>
            <w:tcW w:w="3300" w:type="dxa"/>
            <w:shd w:val="clear" w:color="auto" w:fill="D9D9D9"/>
            <w:tcMar>
              <w:top w:w="100" w:type="dxa"/>
              <w:left w:w="120" w:type="dxa"/>
              <w:bottom w:w="100" w:type="dxa"/>
              <w:right w:w="120" w:type="dxa"/>
            </w:tcMar>
            <w:vAlign w:val="center"/>
          </w:tcPr>
          <w:p w14:paraId="19F29EDA" w14:textId="77777777" w:rsidR="001D6427" w:rsidRDefault="00000000">
            <w:r>
              <w:rPr>
                <w:b/>
                <w:bCs/>
                <w:sz w:val="20"/>
                <w:szCs w:val="20"/>
              </w:rPr>
              <w:t>Specification</w:t>
            </w:r>
          </w:p>
        </w:tc>
        <w:tc>
          <w:tcPr>
            <w:tcW w:w="2400" w:type="dxa"/>
            <w:shd w:val="clear" w:color="auto" w:fill="D9D9D9"/>
            <w:tcMar>
              <w:top w:w="100" w:type="dxa"/>
              <w:left w:w="120" w:type="dxa"/>
              <w:bottom w:w="100" w:type="dxa"/>
              <w:right w:w="120" w:type="dxa"/>
            </w:tcMar>
            <w:vAlign w:val="center"/>
          </w:tcPr>
          <w:p w14:paraId="0BC4DA54" w14:textId="77777777" w:rsidR="001D6427" w:rsidRDefault="00000000">
            <w:r>
              <w:rPr>
                <w:b/>
                <w:bCs/>
                <w:sz w:val="20"/>
                <w:szCs w:val="20"/>
              </w:rPr>
              <w:t xml:space="preserve">AI </w:t>
            </w:r>
            <w:proofErr w:type="spellStart"/>
            <w:r>
              <w:rPr>
                <w:b/>
                <w:bCs/>
                <w:sz w:val="20"/>
                <w:szCs w:val="20"/>
              </w:rPr>
              <w:t>DigiTeach</w:t>
            </w:r>
            <w:proofErr w:type="spellEnd"/>
            <w:r>
              <w:rPr>
                <w:b/>
                <w:bCs/>
                <w:sz w:val="20"/>
                <w:szCs w:val="20"/>
              </w:rPr>
              <w:t xml:space="preserve"> Requirement</w:t>
            </w:r>
          </w:p>
        </w:tc>
        <w:tc>
          <w:tcPr>
            <w:tcW w:w="3326" w:type="dxa"/>
            <w:shd w:val="clear" w:color="auto" w:fill="D9D9D9"/>
            <w:tcMar>
              <w:top w:w="100" w:type="dxa"/>
              <w:left w:w="120" w:type="dxa"/>
              <w:bottom w:w="100" w:type="dxa"/>
              <w:right w:w="120" w:type="dxa"/>
            </w:tcMar>
            <w:vAlign w:val="center"/>
          </w:tcPr>
          <w:p w14:paraId="19F886C9" w14:textId="77777777" w:rsidR="001D6427" w:rsidRDefault="00000000">
            <w:r>
              <w:rPr>
                <w:b/>
                <w:bCs/>
                <w:sz w:val="20"/>
                <w:szCs w:val="20"/>
              </w:rPr>
              <w:t>This Video</w:t>
            </w:r>
          </w:p>
        </w:tc>
      </w:tr>
      <w:tr w:rsidR="001D6427" w14:paraId="4FE55392" w14:textId="77777777">
        <w:tblPrEx>
          <w:tblCellMar>
            <w:top w:w="0" w:type="dxa"/>
            <w:bottom w:w="0" w:type="dxa"/>
          </w:tblCellMar>
        </w:tblPrEx>
        <w:tc>
          <w:tcPr>
            <w:tcW w:w="3300" w:type="dxa"/>
            <w:tcMar>
              <w:top w:w="100" w:type="dxa"/>
              <w:left w:w="120" w:type="dxa"/>
              <w:bottom w:w="100" w:type="dxa"/>
              <w:right w:w="120" w:type="dxa"/>
            </w:tcMar>
          </w:tcPr>
          <w:p w14:paraId="2D95FD8F" w14:textId="77777777" w:rsidR="001D6427" w:rsidRDefault="00000000">
            <w:r>
              <w:rPr>
                <w:sz w:val="20"/>
                <w:szCs w:val="20"/>
              </w:rPr>
              <w:t>Duration</w:t>
            </w:r>
          </w:p>
        </w:tc>
        <w:tc>
          <w:tcPr>
            <w:tcW w:w="2400" w:type="dxa"/>
            <w:tcMar>
              <w:top w:w="100" w:type="dxa"/>
              <w:left w:w="120" w:type="dxa"/>
              <w:bottom w:w="100" w:type="dxa"/>
              <w:right w:w="120" w:type="dxa"/>
            </w:tcMar>
          </w:tcPr>
          <w:p w14:paraId="6E2D34D5" w14:textId="77777777" w:rsidR="001D6427" w:rsidRDefault="00000000">
            <w:r>
              <w:rPr>
                <w:sz w:val="20"/>
                <w:szCs w:val="20"/>
              </w:rPr>
              <w:t>3–5 minutes</w:t>
            </w:r>
          </w:p>
        </w:tc>
        <w:tc>
          <w:tcPr>
            <w:tcW w:w="3326" w:type="dxa"/>
            <w:tcMar>
              <w:top w:w="100" w:type="dxa"/>
              <w:left w:w="120" w:type="dxa"/>
              <w:bottom w:w="100" w:type="dxa"/>
              <w:right w:w="120" w:type="dxa"/>
            </w:tcMar>
          </w:tcPr>
          <w:p w14:paraId="5750C012" w14:textId="77777777" w:rsidR="001D6427" w:rsidRDefault="00000000">
            <w:r>
              <w:rPr>
                <w:sz w:val="20"/>
                <w:szCs w:val="20"/>
              </w:rPr>
              <w:t>4 minutes 58 seconds</w:t>
            </w:r>
          </w:p>
        </w:tc>
      </w:tr>
      <w:tr w:rsidR="001D6427" w14:paraId="6D33744F" w14:textId="77777777">
        <w:tblPrEx>
          <w:tblCellMar>
            <w:top w:w="0" w:type="dxa"/>
            <w:bottom w:w="0" w:type="dxa"/>
          </w:tblCellMar>
        </w:tblPrEx>
        <w:tc>
          <w:tcPr>
            <w:tcW w:w="3300" w:type="dxa"/>
            <w:tcMar>
              <w:top w:w="100" w:type="dxa"/>
              <w:left w:w="120" w:type="dxa"/>
              <w:bottom w:w="100" w:type="dxa"/>
              <w:right w:w="120" w:type="dxa"/>
            </w:tcMar>
          </w:tcPr>
          <w:p w14:paraId="2BC3EA7F" w14:textId="77777777" w:rsidR="001D6427" w:rsidRDefault="00000000">
            <w:r>
              <w:rPr>
                <w:sz w:val="20"/>
                <w:szCs w:val="20"/>
              </w:rPr>
              <w:t>Aspect ratio</w:t>
            </w:r>
          </w:p>
        </w:tc>
        <w:tc>
          <w:tcPr>
            <w:tcW w:w="2400" w:type="dxa"/>
            <w:tcMar>
              <w:top w:w="100" w:type="dxa"/>
              <w:left w:w="120" w:type="dxa"/>
              <w:bottom w:w="100" w:type="dxa"/>
              <w:right w:w="120" w:type="dxa"/>
            </w:tcMar>
          </w:tcPr>
          <w:p w14:paraId="1607D78A" w14:textId="77777777" w:rsidR="001D6427" w:rsidRDefault="00000000">
            <w:r>
              <w:rPr>
                <w:sz w:val="20"/>
                <w:szCs w:val="20"/>
              </w:rPr>
              <w:t>Horizontal (16:9)</w:t>
            </w:r>
          </w:p>
        </w:tc>
        <w:tc>
          <w:tcPr>
            <w:tcW w:w="3326" w:type="dxa"/>
            <w:tcMar>
              <w:top w:w="100" w:type="dxa"/>
              <w:left w:w="120" w:type="dxa"/>
              <w:bottom w:w="100" w:type="dxa"/>
              <w:right w:w="120" w:type="dxa"/>
            </w:tcMar>
          </w:tcPr>
          <w:p w14:paraId="45E494F6" w14:textId="77777777" w:rsidR="001D6427" w:rsidRDefault="00000000">
            <w:r>
              <w:rPr>
                <w:sz w:val="20"/>
                <w:szCs w:val="20"/>
              </w:rPr>
              <w:t>16:9</w:t>
            </w:r>
          </w:p>
        </w:tc>
      </w:tr>
      <w:tr w:rsidR="001D6427" w14:paraId="71CDA5CC" w14:textId="77777777">
        <w:tblPrEx>
          <w:tblCellMar>
            <w:top w:w="0" w:type="dxa"/>
            <w:bottom w:w="0" w:type="dxa"/>
          </w:tblCellMar>
        </w:tblPrEx>
        <w:tc>
          <w:tcPr>
            <w:tcW w:w="3300" w:type="dxa"/>
            <w:tcMar>
              <w:top w:w="100" w:type="dxa"/>
              <w:left w:w="120" w:type="dxa"/>
              <w:bottom w:w="100" w:type="dxa"/>
              <w:right w:w="120" w:type="dxa"/>
            </w:tcMar>
          </w:tcPr>
          <w:p w14:paraId="6A01FDD2" w14:textId="77777777" w:rsidR="001D6427" w:rsidRDefault="00000000">
            <w:r>
              <w:rPr>
                <w:sz w:val="20"/>
                <w:szCs w:val="20"/>
              </w:rPr>
              <w:t>Platform / access</w:t>
            </w:r>
          </w:p>
        </w:tc>
        <w:tc>
          <w:tcPr>
            <w:tcW w:w="2400" w:type="dxa"/>
            <w:tcMar>
              <w:top w:w="100" w:type="dxa"/>
              <w:left w:w="120" w:type="dxa"/>
              <w:bottom w:w="100" w:type="dxa"/>
              <w:right w:w="120" w:type="dxa"/>
            </w:tcMar>
          </w:tcPr>
          <w:p w14:paraId="69735CB2" w14:textId="77777777" w:rsidR="001D6427" w:rsidRDefault="00000000">
            <w:r>
              <w:rPr>
                <w:sz w:val="20"/>
                <w:szCs w:val="20"/>
              </w:rPr>
              <w:t>Public or Unlisted YouTube</w:t>
            </w:r>
          </w:p>
        </w:tc>
        <w:tc>
          <w:tcPr>
            <w:tcW w:w="3326" w:type="dxa"/>
            <w:tcMar>
              <w:top w:w="100" w:type="dxa"/>
              <w:left w:w="120" w:type="dxa"/>
              <w:bottom w:w="100" w:type="dxa"/>
              <w:right w:w="120" w:type="dxa"/>
            </w:tcMar>
          </w:tcPr>
          <w:p w14:paraId="09B7F8BA" w14:textId="77777777" w:rsidR="001D6427" w:rsidRDefault="00000000">
            <w:r>
              <w:rPr>
                <w:sz w:val="20"/>
                <w:szCs w:val="20"/>
              </w:rPr>
              <w:t>Public YouTube (@MAAA-Dev)</w:t>
            </w:r>
          </w:p>
        </w:tc>
      </w:tr>
      <w:tr w:rsidR="001D6427" w14:paraId="0096C38A" w14:textId="77777777">
        <w:tblPrEx>
          <w:tblCellMar>
            <w:top w:w="0" w:type="dxa"/>
            <w:bottom w:w="0" w:type="dxa"/>
          </w:tblCellMar>
        </w:tblPrEx>
        <w:tc>
          <w:tcPr>
            <w:tcW w:w="3300" w:type="dxa"/>
            <w:tcMar>
              <w:top w:w="100" w:type="dxa"/>
              <w:left w:w="120" w:type="dxa"/>
              <w:bottom w:w="100" w:type="dxa"/>
              <w:right w:w="120" w:type="dxa"/>
            </w:tcMar>
          </w:tcPr>
          <w:p w14:paraId="795E8615" w14:textId="77777777" w:rsidR="001D6427" w:rsidRDefault="00000000">
            <w:r>
              <w:rPr>
                <w:sz w:val="20"/>
                <w:szCs w:val="20"/>
              </w:rPr>
              <w:t>Lesson design</w:t>
            </w:r>
          </w:p>
        </w:tc>
        <w:tc>
          <w:tcPr>
            <w:tcW w:w="2400" w:type="dxa"/>
            <w:tcMar>
              <w:top w:w="100" w:type="dxa"/>
              <w:left w:w="120" w:type="dxa"/>
              <w:bottom w:w="100" w:type="dxa"/>
              <w:right w:w="120" w:type="dxa"/>
            </w:tcMar>
          </w:tcPr>
          <w:p w14:paraId="3A4AC0F3" w14:textId="77777777" w:rsidR="001D6427" w:rsidRDefault="00000000">
            <w:r>
              <w:rPr>
                <w:sz w:val="20"/>
                <w:szCs w:val="20"/>
              </w:rPr>
              <w:t xml:space="preserve">Set </w:t>
            </w:r>
            <w:proofErr w:type="spellStart"/>
            <w:r>
              <w:rPr>
                <w:sz w:val="20"/>
                <w:szCs w:val="20"/>
              </w:rPr>
              <w:t>induksi</w:t>
            </w:r>
            <w:proofErr w:type="spellEnd"/>
            <w:r>
              <w:rPr>
                <w:sz w:val="20"/>
                <w:szCs w:val="20"/>
              </w:rPr>
              <w:t xml:space="preserve">, </w:t>
            </w:r>
            <w:proofErr w:type="spellStart"/>
            <w:r>
              <w:rPr>
                <w:sz w:val="20"/>
                <w:szCs w:val="20"/>
              </w:rPr>
              <w:t>isi</w:t>
            </w:r>
            <w:proofErr w:type="spellEnd"/>
            <w:r>
              <w:rPr>
                <w:sz w:val="20"/>
                <w:szCs w:val="20"/>
              </w:rPr>
              <w:t xml:space="preserve"> </w:t>
            </w:r>
            <w:proofErr w:type="spellStart"/>
            <w:r>
              <w:rPr>
                <w:sz w:val="20"/>
                <w:szCs w:val="20"/>
              </w:rPr>
              <w:t>kandungan</w:t>
            </w:r>
            <w:proofErr w:type="spellEnd"/>
            <w:r>
              <w:rPr>
                <w:sz w:val="20"/>
                <w:szCs w:val="20"/>
              </w:rPr>
              <w:t xml:space="preserve">, </w:t>
            </w:r>
            <w:proofErr w:type="spellStart"/>
            <w:r>
              <w:rPr>
                <w:sz w:val="20"/>
                <w:szCs w:val="20"/>
              </w:rPr>
              <w:t>aktiviti</w:t>
            </w:r>
            <w:proofErr w:type="spellEnd"/>
            <w:r>
              <w:rPr>
                <w:sz w:val="20"/>
                <w:szCs w:val="20"/>
              </w:rPr>
              <w:t xml:space="preserve"> </w:t>
            </w:r>
            <w:proofErr w:type="spellStart"/>
            <w:r>
              <w:rPr>
                <w:sz w:val="20"/>
                <w:szCs w:val="20"/>
              </w:rPr>
              <w:t>pembelajaran</w:t>
            </w:r>
            <w:proofErr w:type="spellEnd"/>
            <w:r>
              <w:rPr>
                <w:sz w:val="20"/>
                <w:szCs w:val="20"/>
              </w:rPr>
              <w:t xml:space="preserve">, </w:t>
            </w:r>
            <w:proofErr w:type="spellStart"/>
            <w:r>
              <w:rPr>
                <w:sz w:val="20"/>
                <w:szCs w:val="20"/>
              </w:rPr>
              <w:t>penutup</w:t>
            </w:r>
            <w:proofErr w:type="spellEnd"/>
          </w:p>
        </w:tc>
        <w:tc>
          <w:tcPr>
            <w:tcW w:w="3326" w:type="dxa"/>
            <w:tcMar>
              <w:top w:w="100" w:type="dxa"/>
              <w:left w:w="120" w:type="dxa"/>
              <w:bottom w:w="100" w:type="dxa"/>
              <w:right w:w="120" w:type="dxa"/>
            </w:tcMar>
          </w:tcPr>
          <w:p w14:paraId="60D904B7" w14:textId="77777777" w:rsidR="001D6427" w:rsidRDefault="00000000">
            <w:r>
              <w:rPr>
                <w:sz w:val="20"/>
                <w:szCs w:val="20"/>
              </w:rPr>
              <w:t>Present — see Section 3</w:t>
            </w:r>
          </w:p>
        </w:tc>
      </w:tr>
      <w:tr w:rsidR="001D6427" w14:paraId="149A202E" w14:textId="77777777">
        <w:tblPrEx>
          <w:tblCellMar>
            <w:top w:w="0" w:type="dxa"/>
            <w:bottom w:w="0" w:type="dxa"/>
          </w:tblCellMar>
        </w:tblPrEx>
        <w:tc>
          <w:tcPr>
            <w:tcW w:w="3300" w:type="dxa"/>
            <w:tcMar>
              <w:top w:w="100" w:type="dxa"/>
              <w:left w:w="120" w:type="dxa"/>
              <w:bottom w:w="100" w:type="dxa"/>
              <w:right w:w="120" w:type="dxa"/>
            </w:tcMar>
          </w:tcPr>
          <w:p w14:paraId="32D83D8E" w14:textId="77777777" w:rsidR="001D6427" w:rsidRDefault="00000000">
            <w:r>
              <w:rPr>
                <w:sz w:val="20"/>
                <w:szCs w:val="20"/>
              </w:rPr>
              <w:t>AI integration</w:t>
            </w:r>
          </w:p>
        </w:tc>
        <w:tc>
          <w:tcPr>
            <w:tcW w:w="2400" w:type="dxa"/>
            <w:tcMar>
              <w:top w:w="100" w:type="dxa"/>
              <w:left w:w="120" w:type="dxa"/>
              <w:bottom w:w="100" w:type="dxa"/>
              <w:right w:w="120" w:type="dxa"/>
            </w:tcMar>
          </w:tcPr>
          <w:p w14:paraId="2CBE41D0" w14:textId="77777777" w:rsidR="001D6427" w:rsidRDefault="00000000">
            <w:r>
              <w:rPr>
                <w:sz w:val="20"/>
                <w:szCs w:val="20"/>
              </w:rPr>
              <w:t>Clear, relevant, ethically used</w:t>
            </w:r>
          </w:p>
        </w:tc>
        <w:tc>
          <w:tcPr>
            <w:tcW w:w="3326" w:type="dxa"/>
            <w:tcMar>
              <w:top w:w="100" w:type="dxa"/>
              <w:left w:w="120" w:type="dxa"/>
              <w:bottom w:w="100" w:type="dxa"/>
              <w:right w:w="120" w:type="dxa"/>
            </w:tcMar>
          </w:tcPr>
          <w:p w14:paraId="19EF83A5" w14:textId="77777777" w:rsidR="001D6427" w:rsidRDefault="00000000">
            <w:r>
              <w:rPr>
                <w:sz w:val="20"/>
                <w:szCs w:val="20"/>
              </w:rPr>
              <w:t>One coach hint per mission, after the learner's own prediction — see Section 4</w:t>
            </w:r>
          </w:p>
        </w:tc>
      </w:tr>
    </w:tbl>
    <w:p w14:paraId="77D14EA0" w14:textId="77777777" w:rsidR="001D6427" w:rsidRDefault="00000000">
      <w:pPr>
        <w:spacing w:before="240" w:after="120"/>
      </w:pPr>
      <w:r>
        <w:rPr>
          <w:b/>
          <w:bCs/>
        </w:rPr>
        <w:t>7. Impact of Innovation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D6427" w14:paraId="4C821933" w14:textId="77777777">
        <w:tblPrEx>
          <w:tblCellMar>
            <w:top w:w="0" w:type="dxa"/>
            <w:bottom w:w="0" w:type="dxa"/>
          </w:tblCellMar>
        </w:tblPrEx>
        <w:tc>
          <w:tcPr>
            <w:tcW w:w="2400" w:type="dxa"/>
            <w:shd w:val="clear" w:color="auto" w:fill="D9D9D9"/>
            <w:tcMar>
              <w:top w:w="100" w:type="dxa"/>
              <w:left w:w="120" w:type="dxa"/>
              <w:bottom w:w="100" w:type="dxa"/>
              <w:right w:w="120" w:type="dxa"/>
            </w:tcMar>
            <w:vAlign w:val="center"/>
          </w:tcPr>
          <w:p w14:paraId="33C24461" w14:textId="77777777" w:rsidR="001D6427" w:rsidRDefault="00000000">
            <w:r>
              <w:rPr>
                <w:b/>
                <w:bCs/>
                <w:sz w:val="20"/>
                <w:szCs w:val="20"/>
              </w:rPr>
              <w:t>Impact Area</w:t>
            </w:r>
          </w:p>
        </w:tc>
        <w:tc>
          <w:tcPr>
            <w:tcW w:w="6626" w:type="dxa"/>
            <w:shd w:val="clear" w:color="auto" w:fill="D9D9D9"/>
            <w:tcMar>
              <w:top w:w="100" w:type="dxa"/>
              <w:left w:w="120" w:type="dxa"/>
              <w:bottom w:w="100" w:type="dxa"/>
              <w:right w:w="120" w:type="dxa"/>
            </w:tcMar>
            <w:vAlign w:val="center"/>
          </w:tcPr>
          <w:p w14:paraId="3EC5FCDA" w14:textId="77777777" w:rsidR="001D6427" w:rsidRDefault="00000000">
            <w:r>
              <w:rPr>
                <w:b/>
                <w:bCs/>
                <w:sz w:val="20"/>
                <w:szCs w:val="20"/>
              </w:rPr>
              <w:t>Description</w:t>
            </w:r>
          </w:p>
        </w:tc>
      </w:tr>
      <w:tr w:rsidR="001D6427" w14:paraId="4FEFBEE0" w14:textId="77777777">
        <w:tblPrEx>
          <w:tblCellMar>
            <w:top w:w="0" w:type="dxa"/>
            <w:bottom w:w="0" w:type="dxa"/>
          </w:tblCellMar>
        </w:tblPrEx>
        <w:tc>
          <w:tcPr>
            <w:tcW w:w="2400" w:type="dxa"/>
            <w:tcMar>
              <w:top w:w="100" w:type="dxa"/>
              <w:left w:w="120" w:type="dxa"/>
              <w:bottom w:w="100" w:type="dxa"/>
              <w:right w:w="120" w:type="dxa"/>
            </w:tcMar>
          </w:tcPr>
          <w:p w14:paraId="360DA9D9" w14:textId="77777777" w:rsidR="001D6427" w:rsidRDefault="00000000">
            <w:r>
              <w:rPr>
                <w:b/>
                <w:bCs/>
                <w:sz w:val="20"/>
                <w:szCs w:val="20"/>
              </w:rPr>
              <w:t>Academic / Learning Impact</w:t>
            </w:r>
          </w:p>
        </w:tc>
        <w:tc>
          <w:tcPr>
            <w:tcW w:w="6626" w:type="dxa"/>
            <w:tcMar>
              <w:top w:w="100" w:type="dxa"/>
              <w:left w:w="120" w:type="dxa"/>
              <w:bottom w:w="100" w:type="dxa"/>
              <w:right w:w="120" w:type="dxa"/>
            </w:tcMar>
          </w:tcPr>
          <w:p w14:paraId="4539A806" w14:textId="77777777" w:rsidR="001D6427" w:rsidRDefault="00000000">
            <w:pPr>
              <w:jc w:val="both"/>
            </w:pPr>
            <w:r>
              <w:rPr>
                <w:sz w:val="20"/>
                <w:szCs w:val="20"/>
              </w:rPr>
              <w:t>Models predict-before-verify reasoning for a specific, high-frequency misconception, giving learners a repeatable habit — investigate, predict, reason, repair — they can apply to layout problems the video does not cover.</w:t>
            </w:r>
          </w:p>
        </w:tc>
      </w:tr>
      <w:tr w:rsidR="001D6427" w14:paraId="3FE0D2F6" w14:textId="77777777">
        <w:tblPrEx>
          <w:tblCellMar>
            <w:top w:w="0" w:type="dxa"/>
            <w:bottom w:w="0" w:type="dxa"/>
          </w:tblCellMar>
        </w:tblPrEx>
        <w:tc>
          <w:tcPr>
            <w:tcW w:w="2400" w:type="dxa"/>
            <w:tcMar>
              <w:top w:w="100" w:type="dxa"/>
              <w:left w:w="120" w:type="dxa"/>
              <w:bottom w:w="100" w:type="dxa"/>
              <w:right w:w="120" w:type="dxa"/>
            </w:tcMar>
          </w:tcPr>
          <w:p w14:paraId="3B7A8944" w14:textId="77777777" w:rsidR="001D6427" w:rsidRDefault="00000000">
            <w:r>
              <w:rPr>
                <w:b/>
                <w:bCs/>
                <w:sz w:val="20"/>
                <w:szCs w:val="20"/>
              </w:rPr>
              <w:t>Operational / Institutional Impact</w:t>
            </w:r>
          </w:p>
        </w:tc>
        <w:tc>
          <w:tcPr>
            <w:tcW w:w="6626" w:type="dxa"/>
            <w:tcMar>
              <w:top w:w="100" w:type="dxa"/>
              <w:left w:w="120" w:type="dxa"/>
              <w:bottom w:w="100" w:type="dxa"/>
              <w:right w:w="120" w:type="dxa"/>
            </w:tcMar>
          </w:tcPr>
          <w:p w14:paraId="66F0D323" w14:textId="77777777" w:rsidR="001D6427" w:rsidRDefault="00000000">
            <w:pPr>
              <w:jc w:val="both"/>
            </w:pPr>
            <w:r>
              <w:rPr>
                <w:sz w:val="20"/>
                <w:szCs w:val="20"/>
              </w:rPr>
              <w:t>A short, focused, reusable video lowers the cost of covering this misconception in class; the same recording can be assigned as pre-lab viewing in future sessions of this course without repeating the explanation live each time.</w:t>
            </w:r>
          </w:p>
        </w:tc>
      </w:tr>
      <w:tr w:rsidR="001D6427" w14:paraId="0B770DE5" w14:textId="77777777">
        <w:tblPrEx>
          <w:tblCellMar>
            <w:top w:w="0" w:type="dxa"/>
            <w:bottom w:w="0" w:type="dxa"/>
          </w:tblCellMar>
        </w:tblPrEx>
        <w:tc>
          <w:tcPr>
            <w:tcW w:w="2400" w:type="dxa"/>
            <w:tcMar>
              <w:top w:w="100" w:type="dxa"/>
              <w:left w:w="120" w:type="dxa"/>
              <w:bottom w:w="100" w:type="dxa"/>
              <w:right w:w="120" w:type="dxa"/>
            </w:tcMar>
          </w:tcPr>
          <w:p w14:paraId="2F09FAC4" w14:textId="77777777" w:rsidR="001D6427" w:rsidRDefault="00000000">
            <w:r>
              <w:rPr>
                <w:b/>
                <w:bCs/>
                <w:sz w:val="20"/>
                <w:szCs w:val="20"/>
              </w:rPr>
              <w:t>Community / Industry / Market Impact</w:t>
            </w:r>
          </w:p>
        </w:tc>
        <w:tc>
          <w:tcPr>
            <w:tcW w:w="6626" w:type="dxa"/>
            <w:tcMar>
              <w:top w:w="100" w:type="dxa"/>
              <w:left w:w="120" w:type="dxa"/>
              <w:bottom w:w="100" w:type="dxa"/>
              <w:right w:w="120" w:type="dxa"/>
            </w:tcMar>
          </w:tcPr>
          <w:p w14:paraId="2CE5EB0D" w14:textId="77777777" w:rsidR="001D6427" w:rsidRDefault="00000000">
            <w:pPr>
              <w:jc w:val="both"/>
            </w:pPr>
            <w:r>
              <w:rPr>
                <w:sz w:val="20"/>
                <w:szCs w:val="20"/>
              </w:rPr>
              <w:t>Published openly on YouTube, the video is freely shareable with other TVET instructors teaching Java GUI programming, without requiring them to adopt any particular tool.</w:t>
            </w:r>
          </w:p>
        </w:tc>
      </w:tr>
      <w:tr w:rsidR="001D6427" w14:paraId="372D8531" w14:textId="77777777">
        <w:tblPrEx>
          <w:tblCellMar>
            <w:top w:w="0" w:type="dxa"/>
            <w:bottom w:w="0" w:type="dxa"/>
          </w:tblCellMar>
        </w:tblPrEx>
        <w:tc>
          <w:tcPr>
            <w:tcW w:w="2400" w:type="dxa"/>
            <w:tcMar>
              <w:top w:w="100" w:type="dxa"/>
              <w:left w:w="120" w:type="dxa"/>
              <w:bottom w:w="100" w:type="dxa"/>
              <w:right w:w="120" w:type="dxa"/>
            </w:tcMar>
          </w:tcPr>
          <w:p w14:paraId="715CB832" w14:textId="77777777" w:rsidR="001D6427" w:rsidRDefault="00000000">
            <w:r>
              <w:rPr>
                <w:b/>
                <w:bCs/>
                <w:sz w:val="20"/>
                <w:szCs w:val="20"/>
              </w:rPr>
              <w:t>Commercialization Potential</w:t>
            </w:r>
          </w:p>
        </w:tc>
        <w:tc>
          <w:tcPr>
            <w:tcW w:w="6626" w:type="dxa"/>
            <w:tcMar>
              <w:top w:w="100" w:type="dxa"/>
              <w:left w:w="120" w:type="dxa"/>
              <w:bottom w:w="100" w:type="dxa"/>
              <w:right w:w="120" w:type="dxa"/>
            </w:tcMar>
          </w:tcPr>
          <w:p w14:paraId="0D13443D" w14:textId="77777777" w:rsidR="001D6427" w:rsidRDefault="00000000">
            <w:pPr>
              <w:jc w:val="both"/>
            </w:pPr>
            <w:r>
              <w:rPr>
                <w:sz w:val="20"/>
                <w:szCs w:val="20"/>
              </w:rPr>
              <w:t>None claimed; the video and the practice tool it references are both freely accessible.</w:t>
            </w:r>
          </w:p>
        </w:tc>
      </w:tr>
      <w:tr w:rsidR="001D6427" w14:paraId="1EDE5C59" w14:textId="77777777">
        <w:tblPrEx>
          <w:tblCellMar>
            <w:top w:w="0" w:type="dxa"/>
            <w:bottom w:w="0" w:type="dxa"/>
          </w:tblCellMar>
        </w:tblPrEx>
        <w:tc>
          <w:tcPr>
            <w:tcW w:w="2400" w:type="dxa"/>
            <w:tcMar>
              <w:top w:w="100" w:type="dxa"/>
              <w:left w:w="120" w:type="dxa"/>
              <w:bottom w:w="100" w:type="dxa"/>
              <w:right w:w="120" w:type="dxa"/>
            </w:tcMar>
          </w:tcPr>
          <w:p w14:paraId="685B8902" w14:textId="77777777" w:rsidR="001D6427" w:rsidRDefault="00000000">
            <w:r>
              <w:rPr>
                <w:b/>
                <w:bCs/>
                <w:sz w:val="20"/>
                <w:szCs w:val="20"/>
              </w:rPr>
              <w:t>Policy / TVET Ecosystem Impact</w:t>
            </w:r>
          </w:p>
        </w:tc>
        <w:tc>
          <w:tcPr>
            <w:tcW w:w="6626" w:type="dxa"/>
            <w:tcMar>
              <w:top w:w="100" w:type="dxa"/>
              <w:left w:w="120" w:type="dxa"/>
              <w:bottom w:w="100" w:type="dxa"/>
              <w:right w:w="120" w:type="dxa"/>
            </w:tcMar>
          </w:tcPr>
          <w:p w14:paraId="1AA3F443" w14:textId="77777777" w:rsidR="001D6427" w:rsidRDefault="00000000">
            <w:pPr>
              <w:jc w:val="both"/>
            </w:pPr>
            <w:r>
              <w:rPr>
                <w:sz w:val="20"/>
                <w:szCs w:val="20"/>
              </w:rPr>
              <w:t xml:space="preserve">Demonstrates, in a single short lesson, how a TVET instructor can integrate AI into a teaching video ethically and visibly — the AI is shown supporting </w:t>
            </w:r>
            <w:r>
              <w:rPr>
                <w:sz w:val="20"/>
                <w:szCs w:val="20"/>
              </w:rPr>
              <w:lastRenderedPageBreak/>
              <w:t>reasoning, not replacing it — directly supporting MIPAC TVET 2026's objective of strengthening instructors' digital and AI competency.</w:t>
            </w:r>
          </w:p>
        </w:tc>
      </w:tr>
    </w:tbl>
    <w:p w14:paraId="53898A0A" w14:textId="77777777" w:rsidR="001D6427" w:rsidRDefault="001D6427">
      <w:pPr>
        <w:spacing w:after="200"/>
      </w:pPr>
    </w:p>
    <w:p w14:paraId="5E8174F4" w14:textId="77777777" w:rsidR="001D6427" w:rsidRDefault="00000000">
      <w:pPr>
        <w:spacing w:before="240" w:after="120"/>
      </w:pPr>
      <w:r>
        <w:rPr>
          <w:b/>
          <w:bCs/>
        </w:rPr>
        <w:t>8. Conclusion</w:t>
      </w:r>
    </w:p>
    <w:p w14:paraId="27708DE2" w14:textId="77777777" w:rsidR="001D6427" w:rsidRDefault="00000000">
      <w:pPr>
        <w:spacing w:after="160" w:line="276" w:lineRule="auto"/>
        <w:jc w:val="both"/>
      </w:pPr>
      <w:r>
        <w:t xml:space="preserve">“Java Swing </w:t>
      </w:r>
      <w:proofErr w:type="spellStart"/>
      <w:r>
        <w:t>BorderLayout</w:t>
      </w:r>
      <w:proofErr w:type="spellEnd"/>
      <w:r>
        <w:t xml:space="preserve"> | Why Did My Button Disappear?” is a complete, published, 4-minute-58-second video lesson that meets the AI </w:t>
      </w:r>
      <w:proofErr w:type="spellStart"/>
      <w:r>
        <w:t>DigiTeach</w:t>
      </w:r>
      <w:proofErr w:type="spellEnd"/>
      <w:r>
        <w:t xml:space="preserve"> technical specification, teaches one specific and common Java Swing misconception, and integrates AI visibly and ethically — as a check on the learner's own reasoning, never as a source of the finished answer. No learning-gain or adoption claim is made at this stage, since the video was published only recently and no audience data yet exists. Its next step is to extend Investigate → Predict → Reason → Repair into a short series covering further Swing layout misconceptions, and to gather learner feedback from future cohorts of this course.</w:t>
      </w:r>
    </w:p>
    <w:p w14:paraId="23AE9A62" w14:textId="77777777" w:rsidR="001D6427" w:rsidRDefault="00000000">
      <w:pPr>
        <w:spacing w:before="240" w:after="120"/>
      </w:pPr>
      <w:r>
        <w:rPr>
          <w:b/>
          <w:bCs/>
        </w:rPr>
        <w:t>Disclosure of AI Tool Use</w:t>
      </w:r>
    </w:p>
    <w:p w14:paraId="7C656329" w14:textId="77777777" w:rsidR="001D6427" w:rsidRDefault="00000000">
      <w:pPr>
        <w:spacing w:after="160" w:line="276" w:lineRule="auto"/>
        <w:jc w:val="both"/>
      </w:pPr>
      <w:r>
        <w:t>Claude (Anthropic, Sonnet 5) was used to assist in drafting and structuring this manuscript. All AI-assisted text was reviewed and edited by the author before submission. Within the video itself, the AI coach shown on screen is constrained to respond with a guiding question or partial nudge rather than the completed fix, and is used only after the presenter has already committed to a prediction, as described in Sections 3–4.</w:t>
      </w:r>
    </w:p>
    <w:p w14:paraId="589A199F" w14:textId="77777777" w:rsidR="001D6427" w:rsidRDefault="00000000">
      <w:pPr>
        <w:spacing w:before="240" w:after="120"/>
      </w:pPr>
      <w:r>
        <w:rPr>
          <w:b/>
          <w:bCs/>
        </w:rPr>
        <w:t>Declaration</w:t>
      </w:r>
    </w:p>
    <w:p w14:paraId="2AD5E12C" w14:textId="77777777" w:rsidR="001D6427" w:rsidRDefault="00000000">
      <w:pPr>
        <w:spacing w:after="160" w:line="276" w:lineRule="auto"/>
        <w:jc w:val="both"/>
      </w:pPr>
      <w:r>
        <w:t>The authors declare that:</w:t>
      </w:r>
    </w:p>
    <w:p w14:paraId="6A2C2ADA" w14:textId="77777777" w:rsidR="001D6427" w:rsidRDefault="00000000">
      <w:pPr>
        <w:pStyle w:val="ListParagraph"/>
        <w:numPr>
          <w:ilvl w:val="0"/>
          <w:numId w:val="1"/>
        </w:numPr>
        <w:spacing w:after="100"/>
      </w:pPr>
      <w:r>
        <w:t>The work is original;</w:t>
      </w:r>
    </w:p>
    <w:p w14:paraId="3B74CD2E" w14:textId="77777777" w:rsidR="001D6427" w:rsidRDefault="00000000">
      <w:pPr>
        <w:pStyle w:val="ListParagraph"/>
        <w:numPr>
          <w:ilvl w:val="0"/>
          <w:numId w:val="1"/>
        </w:numPr>
        <w:spacing w:after="100"/>
      </w:pPr>
      <w:r>
        <w:t>All authors have contributed substantially;</w:t>
      </w:r>
    </w:p>
    <w:p w14:paraId="0AF02B57" w14:textId="77777777" w:rsidR="001D6427" w:rsidRDefault="00000000">
      <w:pPr>
        <w:pStyle w:val="ListParagraph"/>
        <w:numPr>
          <w:ilvl w:val="0"/>
          <w:numId w:val="1"/>
        </w:numPr>
        <w:spacing w:after="100"/>
      </w:pPr>
      <w:r>
        <w:t>No plagiarism has occurred;</w:t>
      </w:r>
    </w:p>
    <w:p w14:paraId="3ABB62FA" w14:textId="77777777" w:rsidR="001D6427" w:rsidRDefault="00000000">
      <w:pPr>
        <w:pStyle w:val="ListParagraph"/>
        <w:numPr>
          <w:ilvl w:val="0"/>
          <w:numId w:val="1"/>
        </w:numPr>
        <w:spacing w:after="100"/>
      </w:pPr>
      <w:r>
        <w:t>AI-generated content, if used, has been reviewed and validated by the authors;</w:t>
      </w:r>
    </w:p>
    <w:p w14:paraId="41D0D767" w14:textId="77777777" w:rsidR="001D6427" w:rsidRDefault="00000000">
      <w:pPr>
        <w:pStyle w:val="ListParagraph"/>
        <w:numPr>
          <w:ilvl w:val="0"/>
          <w:numId w:val="1"/>
        </w:numPr>
        <w:spacing w:after="100"/>
      </w:pPr>
      <w:r>
        <w:t>All data presented are accurate and can be verified upon request.</w:t>
      </w:r>
    </w:p>
    <w:p w14:paraId="03E4684F" w14:textId="77777777" w:rsidR="001D6427" w:rsidRDefault="00000000">
      <w:pPr>
        <w:spacing w:before="240" w:after="120"/>
      </w:pPr>
      <w:r>
        <w:rPr>
          <w:b/>
          <w:bCs/>
        </w:rPr>
        <w:t>References</w:t>
      </w:r>
    </w:p>
    <w:p w14:paraId="6C8242AA" w14:textId="77777777" w:rsidR="001D6427" w:rsidRDefault="00000000">
      <w:pPr>
        <w:spacing w:after="160"/>
        <w:ind w:left="360" w:hanging="360"/>
        <w:jc w:val="both"/>
      </w:pPr>
      <w:r>
        <w:t>Anthropic. (2026). Claude (Sonnet 5) [Large language model]. https://www.anthropic.com</w:t>
      </w:r>
    </w:p>
    <w:p w14:paraId="5C4454CA" w14:textId="77777777" w:rsidR="001D6427" w:rsidRDefault="00000000">
      <w:pPr>
        <w:spacing w:after="160"/>
        <w:ind w:left="360" w:hanging="360"/>
        <w:jc w:val="both"/>
      </w:pPr>
      <w:r>
        <w:t xml:space="preserve">Mohd Azlan Ab Aziz. (2026, August 21). Java Swing </w:t>
      </w:r>
      <w:proofErr w:type="spellStart"/>
      <w:r>
        <w:t>BorderLayout</w:t>
      </w:r>
      <w:proofErr w:type="spellEnd"/>
      <w:r>
        <w:t xml:space="preserve"> | Why did my button disappear? [Video]. YouTube. https://www.youtube.com/watch?v=TlBQcG6UVuE</w:t>
      </w:r>
    </w:p>
    <w:sectPr w:rsidR="001D642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B16BBD"/>
    <w:multiLevelType w:val="hybridMultilevel"/>
    <w:tmpl w:val="F676B146"/>
    <w:lvl w:ilvl="0" w:tplc="43F43258">
      <w:start w:val="1"/>
      <w:numFmt w:val="bullet"/>
      <w:lvlText w:val="●"/>
      <w:lvlJc w:val="left"/>
      <w:pPr>
        <w:ind w:left="720" w:hanging="360"/>
      </w:pPr>
    </w:lvl>
    <w:lvl w:ilvl="1" w:tplc="CE30A83A">
      <w:start w:val="1"/>
      <w:numFmt w:val="bullet"/>
      <w:lvlText w:val="○"/>
      <w:lvlJc w:val="left"/>
      <w:pPr>
        <w:ind w:left="1440" w:hanging="360"/>
      </w:pPr>
    </w:lvl>
    <w:lvl w:ilvl="2" w:tplc="67EC51A4">
      <w:start w:val="1"/>
      <w:numFmt w:val="bullet"/>
      <w:lvlText w:val="■"/>
      <w:lvlJc w:val="left"/>
      <w:pPr>
        <w:ind w:left="2160" w:hanging="360"/>
      </w:pPr>
    </w:lvl>
    <w:lvl w:ilvl="3" w:tplc="97D65AAE">
      <w:start w:val="1"/>
      <w:numFmt w:val="bullet"/>
      <w:lvlText w:val="●"/>
      <w:lvlJc w:val="left"/>
      <w:pPr>
        <w:ind w:left="2880" w:hanging="360"/>
      </w:pPr>
    </w:lvl>
    <w:lvl w:ilvl="4" w:tplc="51EC421E">
      <w:start w:val="1"/>
      <w:numFmt w:val="bullet"/>
      <w:lvlText w:val="○"/>
      <w:lvlJc w:val="left"/>
      <w:pPr>
        <w:ind w:left="3600" w:hanging="360"/>
      </w:pPr>
    </w:lvl>
    <w:lvl w:ilvl="5" w:tplc="E9504BF0">
      <w:start w:val="1"/>
      <w:numFmt w:val="bullet"/>
      <w:lvlText w:val="■"/>
      <w:lvlJc w:val="left"/>
      <w:pPr>
        <w:ind w:left="4320" w:hanging="360"/>
      </w:pPr>
    </w:lvl>
    <w:lvl w:ilvl="6" w:tplc="B396F984">
      <w:start w:val="1"/>
      <w:numFmt w:val="bullet"/>
      <w:lvlText w:val="●"/>
      <w:lvlJc w:val="left"/>
      <w:pPr>
        <w:ind w:left="5040" w:hanging="360"/>
      </w:pPr>
    </w:lvl>
    <w:lvl w:ilvl="7" w:tplc="CED8EEDC">
      <w:start w:val="1"/>
      <w:numFmt w:val="bullet"/>
      <w:lvlText w:val="●"/>
      <w:lvlJc w:val="left"/>
      <w:pPr>
        <w:ind w:left="5760" w:hanging="360"/>
      </w:pPr>
    </w:lvl>
    <w:lvl w:ilvl="8" w:tplc="FDA404A0">
      <w:start w:val="1"/>
      <w:numFmt w:val="bullet"/>
      <w:lvlText w:val="●"/>
      <w:lvlJc w:val="left"/>
      <w:pPr>
        <w:ind w:left="6480" w:hanging="360"/>
      </w:pPr>
    </w:lvl>
  </w:abstractNum>
  <w:num w:numId="1" w16cid:durableId="10344212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427"/>
    <w:rsid w:val="001D6427"/>
    <w:rsid w:val="002C395E"/>
    <w:rsid w:val="004337FA"/>
    <w:rsid w:val="008E5B3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713EAAEE"/>
  <w15:docId w15:val="{BCD9C516-8075-644E-9A83-0F26131C9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M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C3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gik-layout.mhdazlan.c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1629</Words>
  <Characters>9290</Characters>
  <Application>Microsoft Office Word</Application>
  <DocSecurity>0</DocSecurity>
  <Lines>77</Lines>
  <Paragraphs>21</Paragraphs>
  <ScaleCrop>false</ScaleCrop>
  <Company/>
  <LinksUpToDate>false</LinksUpToDate>
  <CharactersWithSpaces>10898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Azlan Bin Ab Aziz</cp:lastModifiedBy>
  <cp:revision>2</cp:revision>
  <dcterms:created xsi:type="dcterms:W3CDTF">2026-08-21T23:53:00Z</dcterms:created>
  <dcterms:modified xsi:type="dcterms:W3CDTF">2026-08-21T23:53:00Z</dcterms:modified>
</cp:coreProperties>
</file>