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Java GUI Programming Formative Assessment Marking Guide</w:t>
      </w:r>
    </w:p>
    <w:p>
      <w:pPr>
        <w:spacing w:after="280"/>
      </w:pPr>
      <w:r>
        <w:rPr>
          <w:b/>
          <w:color w:val="464646"/>
          <w:sz w:val="24"/>
        </w:rPr>
        <w:t>Administration, rubric, feedback, and pre-test post-test alignment</w:t>
      </w:r>
    </w:p>
    <w:tbl>
      <w:tblPr>
        <w:tblW w:type="auto" w:w="0"/>
        <w:jc w:val="center"/>
        <w:tblLayout w:type="fixed"/>
        <w:tblLook w:firstColumn="1" w:firstRow="1" w:lastColumn="0" w:lastRow="0" w:noHBand="0" w:noVBand="1" w:val="04A0"/>
      </w:tblPr>
      <w:tblGrid>
        <w:gridCol w:w="5112"/>
        <w:gridCol w:w="5112"/>
      </w:tblGrid>
      <w:tr>
        <w:tc>
          <w:tcPr>
            <w:tcW w:type="dxa" w:w="2232"/>
            <w:shd w:fill="DDEB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rPr>
              <w:t>Assessment</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Java GUI Programming using MagikLayout</w:t>
            </w:r>
          </w:p>
        </w:tc>
      </w:tr>
      <w:tr>
        <w:tc>
          <w:tcPr>
            <w:tcW w:type="dxa" w:w="2232"/>
            <w:shd w:fill="DDEB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rPr>
              <w:t>Target group</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First- or second-year students learning Java Swing layout managers</w:t>
            </w:r>
          </w:p>
        </w:tc>
      </w:tr>
      <w:tr>
        <w:tc>
          <w:tcPr>
            <w:tcW w:type="dxa" w:w="2232"/>
            <w:shd w:fill="DDEB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rPr>
              <w:t>Recommended duration</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Pre-test 10 minutes; activity 60 minutes; post-test 10 minutes</w:t>
            </w:r>
          </w:p>
        </w:tc>
      </w:tr>
      <w:tr>
        <w:tc>
          <w:tcPr>
            <w:tcW w:type="dxa" w:w="2232"/>
            <w:shd w:fill="DDEB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rPr>
              <w:t>Student evidence</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Completed hard-copy booklet, lecturer checkpoints, and pre-test/post-test submissions</w:t>
            </w:r>
          </w:p>
        </w:tc>
      </w:tr>
    </w:tbl>
    <w:p/>
    <w:p>
      <w:r>
        <w:rPr>
          <w:b/>
        </w:rPr>
        <w:t xml:space="preserve">Recommended decision. </w:t>
      </w:r>
      <w:r>
        <w:t>Use the booklet as a low-stakes formative assessment and use the online pre-test and post-test as the learning measure. The assessment deliberately records predictions before observation, requires students to manipulate the layout, and asks them to explain the generated Java. This creates evidence of reasoning rather than attendance alone.</w:t>
      </w:r>
    </w:p>
    <w:p>
      <w:pPr>
        <w:pStyle w:val="Heading1"/>
      </w:pPr>
      <w:r>
        <w:t>Learning outcome alignment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Outcome</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Student evidence</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Task</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Marks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Predict placement and resizing</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Prediction and observation records for BorderLayout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1</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8</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Compare layout-manager behaviour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FlowLayout and GridLayout comparison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8</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Build and explain a nested layout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Conflict repair, component structure, generated Java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3</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10</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Respond to deterministic feedback</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Reflow and Reverse challenge records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4</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8</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Transfer knowledge to a new design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Component tree or wireframe and justification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5</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6</w:t>
            </w:r>
          </w:p>
        </w:tc>
      </w:tr>
    </w:tbl>
    <w:p/>
    <w:p>
      <w:pPr>
        <w:pStyle w:val="Heading1"/>
      </w:pPr>
      <w:r>
        <w:t>Administration protocol</w:t>
      </w:r>
    </w:p>
    <w:p>
      <w:pPr>
        <w:pStyle w:val="ListNumber"/>
        <w:spacing w:after="60"/>
      </w:pPr>
      <w:r>
        <w:t>Prepare one numbered student booklet for each student. Record the booklet number beside the student's name or registration number.</w:t>
      </w:r>
    </w:p>
    <w:p>
      <w:pPr>
        <w:pStyle w:val="ListNumber"/>
        <w:spacing w:after="60"/>
      </w:pPr>
      <w:r>
        <w:t>Release the pre-test first. Require one submission, hide correct answers, and close or remove access when the activity begins.</w:t>
      </w:r>
    </w:p>
    <w:p>
      <w:pPr>
        <w:pStyle w:val="ListNumber"/>
        <w:spacing w:after="60"/>
      </w:pPr>
      <w:r>
        <w:t>Give students the booklet and the MagikLayout URL. Read the assessment conditions aloud and start the 60-minute session.</w:t>
      </w:r>
    </w:p>
    <w:p>
      <w:pPr>
        <w:pStyle w:val="ListNumber"/>
        <w:spacing w:after="60"/>
      </w:pPr>
      <w:r>
        <w:t>Verify Task 1, Task 3, and Task 4 at the student's screen. Initial only after seeing the required state. The checkpoint is evidence of tool use, not an extra mark.</w:t>
      </w:r>
    </w:p>
    <w:p>
      <w:pPr>
        <w:pStyle w:val="ListNumber"/>
        <w:spacing w:after="60"/>
      </w:pPr>
      <w:r>
        <w:t>Collect the booklet before releasing the post-test. Keep students seated and ask them to complete the post-test once without reopening MagikLayout.</w:t>
      </w:r>
    </w:p>
    <w:p>
      <w:pPr>
        <w:pStyle w:val="ListNumber"/>
        <w:spacing w:after="60"/>
      </w:pPr>
      <w:r>
        <w:t>Export both Google Form response sheets and match pre-test/post-test records using registration number. Store the assessment marks separately from research-consent data.</w:t>
      </w:r>
    </w:p>
    <w:p>
      <w:pPr>
        <w:pStyle w:val="ListNumber"/>
        <w:spacing w:after="60"/>
      </w:pPr>
      <w:r>
        <w:t>Give corrective feedback at the next class. Re-teach concepts with weak item performance or common rubric errors.</w:t>
      </w:r>
    </w:p>
    <w:p>
      <w:pPr>
        <w:pStyle w:val="Heading2"/>
      </w:pPr>
      <w:r>
        <w:t>Recommended controls for the master's study</w:t>
      </w:r>
    </w:p>
    <w:p>
      <w:pPr>
        <w:pStyle w:val="ListBullet"/>
        <w:spacing w:after="60"/>
      </w:pPr>
      <w:r>
        <w:t>Use the same instructions, time limits, device conditions, and lecturer script for every class included in the study.</w:t>
      </w:r>
    </w:p>
    <w:p>
      <w:pPr>
        <w:pStyle w:val="ListBullet"/>
        <w:spacing w:after="60"/>
      </w:pPr>
      <w:r>
        <w:t>Use a parallel post-test with the same constructs and difficulty as the pre-test, but change the component names and scenarios. Keep the scoring scheme identical.</w:t>
      </w:r>
    </w:p>
    <w:p>
      <w:pPr>
        <w:pStyle w:val="ListBullet"/>
        <w:spacing w:after="60"/>
      </w:pPr>
      <w:r>
        <w:t>Do not show correct answers or item-level feedback between the pre-test and post-test.</w:t>
      </w:r>
    </w:p>
    <w:p>
      <w:pPr>
        <w:pStyle w:val="ListBullet"/>
        <w:spacing w:after="60"/>
      </w:pPr>
      <w:r>
        <w:t>Record absences, incomplete attempts, technical failures, and whether a student used a hint. Decide exclusion rules before analysing results.</w:t>
      </w:r>
    </w:p>
    <w:p>
      <w:pPr>
        <w:pStyle w:val="ListBullet"/>
        <w:spacing w:after="60"/>
      </w:pPr>
      <w:r>
        <w:t>Analyse paired scores only for students with a valid pre-test and post-test identifier. Report sample size, missing data, score change, and an appropriate paired statistical test with an effect size.</w:t>
      </w:r>
    </w:p>
    <w:p>
      <w:pPr>
        <w:pStyle w:val="ListBullet"/>
        <w:spacing w:after="60"/>
      </w:pPr>
      <w:r>
        <w:t>Keep the post-use experience survey separate from course marks unless the institution's ethics approval and consent process explicitly permit a required research questionnaire.</w:t>
      </w:r>
    </w:p>
    <w:p>
      <w:r>
        <w:br w:type="page"/>
      </w:r>
    </w:p>
    <w:p>
      <w:pPr>
        <w:pStyle w:val="Heading1"/>
      </w:pPr>
      <w:r>
        <w:t>Analytic marking rubric</w:t>
      </w:r>
    </w:p>
    <w:p>
      <w:r>
        <w:rPr>
          <w:b/>
        </w:rPr>
        <w:t xml:space="preserve">Scoring principle. </w:t>
      </w:r>
      <w:r>
        <w:t>Award marks for accurate reasoning and evidence. A wrong initial prediction can still earn observation and explanation marks when the student clearly identifies the corrected rule.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Criterion</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Full-credit evidence</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Partial-credit guidance</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Marks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1 prediction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Three predictions recorded before testing and logically connected to layout behaviour.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1 mark per meaningful prediction; no credit for blank or copied-after-testing entries.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3</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Task 1 observation and rule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Observations distinguish CENTER, horizontal edge regions, and vertical edge regions; explanation links size changes to BorderLayout.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Award 1 mark per accurate observation and up to 2 for the explanation/code evidence.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5</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2 observations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Comparison accurately distinguishes preferred-size wrapping from equal-size cells and records narrowing behaviour.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Award across the four comparison rows according to accuracy and completeness.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Task 2 selection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Chooses a suitable manager for compact wrapping controls and for an equal-cell keypad, with reasons.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2 marks for each justified choice; 1 for an unsupported correct choice.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3 diagnosis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States that two direct occupants conflict in one BorderLayout region and records the visible result.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Award for accurate observation even if terminology is incomplete.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3</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Task 3 repair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Nested JPanel is placed in SOUTH and contains both buttons under a suitable child layout.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Award for a structurally valid repair; deduct when both buttons are still direct frame children.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3 explanation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Component hierarchy and generated Java show why the nested panel preserves both buttons.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Award for hierarchy, code evidence, and causal explanation.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3</w:t>
            </w:r>
          </w:p>
        </w:tc>
      </w:tr>
    </w:tbl>
    <w:p/>
    <w:p>
      <w:r>
        <w:br w:type="page"/>
      </w:r>
    </w:p>
    <w:p>
      <w:pPr>
        <w:pStyle w:val="Heading1"/>
      </w:pPr>
      <w:r>
        <w:t>Analytic marking rubric continued</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Criterion</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Full-credit evidence</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Partial-credit guidance</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Marks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4 challenge evidence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Two requested modes attempted, first results and final results recorded, checkpoints verified.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Award separately for each completed challenge record.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Task 4 learning explanation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Identifies a specific misconception and explains how feedback changed the student's reasoning.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General praise of the tool without a Swing rule earns limited credit.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Task 5 structure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Wireframe or component tree uses valid nesting and labels layouts and placements.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Award for a workable partial structure even when one layout choice is weak.</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7"/>
              </w:rPr>
              <w:t>3</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Task 5 justification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Explains layout choices and gives a plausible resize prediction.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Award 1 mark per defensible explanation element.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7"/>
              </w:rPr>
              <w:t>3</w:t>
            </w:r>
          </w:p>
        </w:tc>
      </w:tr>
    </w:tbl>
    <w:p/>
    <w:p>
      <w:pPr>
        <w:pStyle w:val="Heading2"/>
      </w:pPr>
      <w:r>
        <w:t>Suggested performance bands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Score</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Interpretation</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Recommended feedback</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34–40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Secure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Proceed to a more complex nested GUI task; ask the student to explain trade-offs.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26–33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Developing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Review one weak layout manager and repeat one challenge with explanation.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18–25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Needs support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Use a guided demonstration followed by prediction and retesting.</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0–17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Foundational gaps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Re-teach container, child, layout manager, region, and resize concepts before reassessment.</w:t>
            </w:r>
          </w:p>
        </w:tc>
      </w:tr>
    </w:tbl>
    <w:p/>
    <w:p>
      <w:r>
        <w:br w:type="page"/>
      </w:r>
    </w:p>
    <w:p>
      <w:pPr>
        <w:pStyle w:val="Heading1"/>
      </w:pPr>
      <w:r>
        <w:t>Post-test blueprint</w:t>
      </w:r>
    </w:p>
    <w:p>
      <w:r>
        <w:rPr>
          <w:b/>
        </w:rPr>
        <w:t xml:space="preserve">Build a parallel 10-item post-test. </w:t>
      </w:r>
      <w:r>
        <w:t>Use new interface scenarios while preserving the pre-test's constructs, number of options, scoring, and approximate reading demand. Randomise option order only when it does not change the meaning.</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Items</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Construct</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Observable response</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Cognitive demand</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1–2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BorderLayout regions and resizing</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Predict placement or identify the region that absorbs remaining space.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Apply</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3–4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FlowLayout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Predict order, wrapping, preferred-size behaviour, or alignment.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Apply</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5–6</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GridLayout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Predict equal-cell sizing, rows, columns, order, or resize behaviour.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Apply</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7–8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Nested panels and region conflict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Diagnose a missing component or choose a valid nested repair.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Analyse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9–10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Generated Java and layout selection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Interpret a short code fragment or choose a manager for a stated requirement.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Analyse</w:t>
            </w:r>
          </w:p>
        </w:tc>
      </w:tr>
    </w:tbl>
    <w:p/>
    <w:p>
      <w:pPr>
        <w:pStyle w:val="Heading2"/>
      </w:pPr>
      <w:r>
        <w:t>Data sheet structure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Field</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Example or coding rule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participant_id</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Use the same registration number or a study code in both tests.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class_batch</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Pilot class, second batch, or another predefined group label.</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pre_total and post_total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0–10; preserve item-level scores as separate columns.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assessment_total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0–40 from the hard-copy rubric.</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hint_use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Record no/yes or the count if MagikLayout makes it available.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completion_status</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Complete, incomplete, absent, or technical failure.</w:t>
            </w:r>
          </w:p>
        </w:tc>
      </w:tr>
    </w:tbl>
    <w:p/>
    <w:p>
      <w:r>
        <w:br w:type="page"/>
      </w:r>
    </w:p>
    <w:p>
      <w:pPr>
        <w:pStyle w:val="Heading2"/>
      </w:pPr>
      <w:r>
        <w:t>Feedback codes for faster marking</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Code</w:t>
            </w:r>
          </w:p>
        </w:tc>
        <w:tc>
          <w:tcPr>
            <w:tcW w:type="dxa" w:w="36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Meaning</w:t>
            </w:r>
          </w:p>
        </w:tc>
        <w:tc>
          <w:tcPr>
            <w:tcW w:type="dxa" w:w="60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b/>
                <w:color w:val="FFFFFF"/>
                <w:sz w:val="18"/>
              </w:rPr>
              <w:t>Feedback to student</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BL1</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Region behaviour unclear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Resize the frame again and compare CENTER with NORTH or SOUTH.</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BL2</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Two direct occupants in one region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Place a JPanel in the region, then add both controls to that panel.</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FL1</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Flow wrapping misunderstood</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Record component preferred sizes, then narrow the container gradually.</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GL1</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Grid sizing misunderstood</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3F6FA"/>
            <w:vAlign w:val="center"/>
          </w:tcPr>
          <w:p>
            <w:r>
              <w:rPr>
                <w:sz w:val="18"/>
              </w:rPr>
              <w:t>Compare every cell after resizing; identify what remains equal.</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NP1</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Hierarchy unclear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r>
              <w:rPr>
                <w:sz w:val="18"/>
              </w:rPr>
              <w:t>Draw the frame, child panels, and controls as a tree before reading the Java.</w:t>
            </w:r>
          </w:p>
        </w:tc>
      </w:tr>
    </w:tbl>
    <w:p/>
    <w:p>
      <w:pPr>
        <w:pStyle w:val="Heading1"/>
      </w:pPr>
      <w:r>
        <w:t>Rationale and sources</w:t>
      </w:r>
    </w:p>
    <w:p>
      <w:r>
        <w:rPr>
          <w:b/>
        </w:rPr>
        <w:t xml:space="preserve">Prediction before observation. </w:t>
      </w:r>
      <w:r>
        <w:t>Brown and Wilson recommend asking programming learners to make and record predictions before demonstrations. Tasks 1 and 2 therefore capture a prediction before the student resizes or switches layouts.</w:t>
      </w:r>
    </w:p>
    <w:p>
      <w:r>
        <w:rPr>
          <w:b/>
        </w:rPr>
        <w:t xml:space="preserve">Immediate but interpretable feedback. </w:t>
      </w:r>
      <w:r>
        <w:t>Reviews of automated programming assessment distinguish formative feedback from grades alone and note the value of prompt feedback and repeated attempts. Tasks 3 and 4 require students to interpret MagikLayout's deterministic result and state the rule learned.</w:t>
      </w:r>
    </w:p>
    <w:p>
      <w:r>
        <w:rPr>
          <w:b/>
        </w:rPr>
        <w:t xml:space="preserve">Authentic Swing behaviour. </w:t>
      </w:r>
      <w:r>
        <w:t>The Oracle Swing tutorials describe layout managers as controlling component size and position, identify FlowLayout wrapping, GridLayout equal-sized cells, and BorderLayout's region-based behaviour. The assessment uses these observable behaviours as its content domain.</w:t>
      </w:r>
    </w:p>
    <w:p>
      <w:pPr>
        <w:pStyle w:val="Heading2"/>
      </w:pPr>
      <w:r>
        <w:t>References</w:t>
      </w:r>
    </w:p>
    <w:p>
      <w:pPr>
        <w:spacing w:after="120"/>
        <w:ind w:left="432" w:hanging="432"/>
      </w:pPr>
      <w:r>
        <w:t>Brown, N. C. C., &amp; Wilson, G. (2018). Ten quick tips for teaching programming. PLOS Computational Biology, 14(4), e1006023. https://doi.org/10.1371/journal.pcbi.1006023</w:t>
      </w:r>
    </w:p>
    <w:p>
      <w:pPr>
        <w:spacing w:after="120"/>
        <w:ind w:left="432" w:hanging="432"/>
      </w:pPr>
      <w:r>
        <w:t>Keuning, H., Jeuring, J. T., &amp; Heeren, B. (2018). A systematic literature review of automated feedback generation for programming exercises. ACM Transactions on Computing Education, 19(1), Article 3. https://doi.org/10.1145/3231711</w:t>
      </w:r>
    </w:p>
    <w:p>
      <w:pPr>
        <w:spacing w:after="120"/>
        <w:ind w:left="432" w:hanging="432"/>
      </w:pPr>
      <w:r>
        <w:t>Messer, M., Brown, N. C. C., Kölling, M., &amp; Shi, M. (2024). Automated grading and feedback tools for programming education: A systematic review. ACM Transactions on Computing Education, 24(1), Article 10. https://doi.org/10.1145/3636515</w:t>
      </w:r>
    </w:p>
    <w:p>
      <w:pPr>
        <w:spacing w:after="120"/>
        <w:ind w:left="432" w:hanging="432"/>
      </w:pPr>
      <w:r>
        <w:t>Oracle. (n.d.). Laying out components within a container. The Java Tutorials. https://docs.oracle.com/javase/tutorial/uiswing/layout/</w:t>
      </w:r>
    </w:p>
    <w:p>
      <w:pPr>
        <w:spacing w:after="120"/>
        <w:ind w:left="432" w:hanging="432"/>
      </w:pPr>
      <w:r>
        <w:t>Van Petegem, C., Maertens, R., Strijbol, N., et al. (2023). Dodona: Learn to code with a virtual co-teacher that supports active learning. SoftwareX, 24, 101578. https://doi.org/10.1016/j.softx.2023.101578</w:t>
      </w:r>
    </w:p>
    <w:p>
      <w:r>
        <w:br w:type="page"/>
      </w:r>
    </w:p>
    <w:p>
      <w:pPr>
        <w:pStyle w:val="Heading1"/>
      </w:pPr>
      <w:r>
        <w:t>Lecturer planning record</w:t>
      </w:r>
    </w:p>
    <w:p>
      <w:pPr>
        <w:spacing w:after="40"/>
      </w:pPr>
      <w:r>
        <w:rPr>
          <w:b/>
        </w:rPr>
        <w:t>Class and date</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p>
      <w:pPr>
        <w:spacing w:after="40"/>
      </w:pPr>
      <w:r>
        <w:rPr>
          <w:b/>
        </w:rPr>
        <w:t>Pre-test link or QR code</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p>
      <w:pPr>
        <w:spacing w:after="40"/>
      </w:pPr>
      <w:r>
        <w:rPr>
          <w:b/>
        </w:rPr>
        <w:t>Post-test link or QR code</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p>
      <w:pPr>
        <w:spacing w:after="40"/>
      </w:pPr>
      <w:r>
        <w:rPr>
          <w:b/>
        </w:rPr>
        <w:t>Experience survey and consent instructions</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p>
      <w:pPr>
        <w:spacing w:after="40"/>
      </w:pPr>
      <w:r>
        <w:rPr>
          <w:b/>
        </w:rPr>
        <w:t>Changes made after the pilot and reason</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p>
      <w:pPr>
        <w:spacing w:after="40" w:line="240" w:lineRule="auto"/>
      </w:pPr>
      <w:r>
        <w:rPr>
          <w:color w:val="8C8C8C"/>
          <w:sz w:val="18"/>
        </w:rPr>
        <w:t>________________________________________________________________________________</w:t>
      </w: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MagikLayout Formative Assessment Marking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MagikLayout Formative Assessment Marking Guide</dc:title>
  <dc:subject>Java Swing GUI formative assessment using MagikLayout</dc:subject>
  <dc:creator>Course lecturer</dc:creator>
  <cp:keywords/>
  <dc:description>generated by python-docx</dc:description>
  <cp:lastModifiedBy/>
  <cp:revision>1</cp:revision>
  <dcterms:created xsi:type="dcterms:W3CDTF">2013-12-23T23:15:00Z</dcterms:created>
  <dcterms:modified xsi:type="dcterms:W3CDTF">2013-12-23T23:15:00Z</dcterms:modified>
  <cp:category/>
</cp:coreProperties>
</file>