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Modeling Journey Log</w:t>
      </w:r>
    </w:p>
    <w:p>
      <w:pPr>
        <w:spacing w:after="300"/>
      </w:pPr>
      <w:r>
        <w:rPr>
          <w:rFonts w:ascii="Arial" w:cs="Arial" w:eastAsia="Arial" w:hAnsi="Arial"/>
          <w:color w:val="666666"/>
          <w:sz w:val="20"/>
          <w:szCs w:val="20"/>
        </w:rPr>
        <w:t xml:space="preserve">Hybrid Wilson-Cowan + Neural Network Residual  |  EECE 798K  |  March 2026</w:t>
      </w:r>
    </w:p>
    <w:p>
      <w:pPr>
        <w:pStyle w:val="Heading2"/>
      </w:pPr>
      <w:r>
        <w:rPr>
          <w:rFonts w:ascii="Arial" w:cs="Arial" w:eastAsia="Arial" w:hAnsi="Arial"/>
        </w:rPr>
        <w:t xml:space="preserve">Iteration 0: Wilson-Cowan Baseline (no stimulus)</w:t>
      </w:r>
    </w:p>
    <w:p>
      <w:pPr>
        <w:spacing w:after="200"/>
      </w:pPr>
      <w:r>
        <w:rPr>
          <w:rFonts w:ascii="Arial" w:cs="Arial" w:eastAsia="Arial" w:hAnsi="Arial"/>
          <w:sz w:val="22"/>
          <w:szCs w:val="22"/>
        </w:rPr>
        <w:t xml:space="preserve">We fit a classical Wilson-Cowan ODE (4 coupled regions, ~30 parameters) to the first 5 minutes of recorded activity across VISal, VISl, VISp, and VISpm. As expected, the pure ODE converged to a near-constant output (fixed point) within about 10 epochs, achieving an MSE of 0.01721 on the normalized data. The model predicts the mean activity level but cannot capture any of the temporal dynamics in the observed signal. This confirms the need for the neural network residual component.</w:t>
      </w:r>
    </w:p>
    <w:p>
      <w:pPr>
        <w:pStyle w:val="Heading2"/>
      </w:pPr>
      <w:r>
        <w:rPr>
          <w:rFonts w:ascii="Arial" w:cs="Arial" w:eastAsia="Arial" w:hAnsi="Arial"/>
        </w:rPr>
        <w:t xml:space="preserve">Iteration 1: Hybrid v1 (hidden=64, 2 layers)</w:t>
      </w:r>
    </w:p>
    <w:p>
      <w:pPr>
        <w:spacing w:after="200"/>
      </w:pPr>
      <w:r>
        <w:rPr>
          <w:rFonts w:ascii="Arial" w:cs="Arial" w:eastAsia="Arial" w:hAnsi="Arial"/>
          <w:sz w:val="22"/>
          <w:szCs w:val="22"/>
        </w:rPr>
        <w:t xml:space="preserve">Added a 2-layer MLP residual (64 hidden units, Tanh, ~1,160 params). After 500 epochs with multiple shooting (50 chunks of 30 steps), hybrid MSE reached 0.01022 (40.6% reduction). However, the loss plateaued within ~10 epochs. The WC connectivity matrix W_EE barely moved from initialization. The residual MLP appeared too small.</w:t>
      </w:r>
    </w:p>
    <w:p>
      <w:pPr>
        <w:pStyle w:val="Heading2"/>
      </w:pPr>
      <w:r>
        <w:rPr>
          <w:rFonts w:ascii="Arial" w:cs="Arial" w:eastAsia="Arial" w:hAnsi="Arial"/>
        </w:rPr>
        <w:t xml:space="preserve">Iteration 2: Hybrid v2 (hidden=128, 3 layers)</w:t>
      </w:r>
    </w:p>
    <w:p>
      <w:pPr>
        <w:spacing w:after="200"/>
      </w:pPr>
      <w:r>
        <w:rPr>
          <w:rFonts w:ascii="Arial" w:cs="Arial" w:eastAsia="Arial" w:hAnsi="Arial"/>
          <w:sz w:val="22"/>
          <w:szCs w:val="22"/>
        </w:rPr>
        <w:t xml:space="preserve">Increased residual MLP from 2×64 to 3×128 (~30x more parameters). Result: hybrid MSE = 0.01045, actually slightly worse than Iteration 1. The 30x capacity increase made no difference. Same early plateau pattern. This proved the bottleneck was not model capacity.</w:t>
      </w:r>
    </w:p>
    <w:p>
      <w:pPr>
        <w:pStyle w:val="Heading2"/>
      </w:pPr>
      <w:r>
        <w:rPr>
          <w:rFonts w:ascii="Arial" w:cs="Arial" w:eastAsia="Arial" w:hAnsi="Arial"/>
        </w:rPr>
        <w:t xml:space="preserve">Research Phase: Root Cause Analysis</w:t>
      </w:r>
    </w:p>
    <w:p>
      <w:pPr>
        <w:spacing w:after="120"/>
      </w:pPr>
      <w:r>
        <w:rPr>
          <w:rFonts w:ascii="Arial" w:cs="Arial" w:eastAsia="Arial" w:hAnsi="Arial"/>
          <w:sz w:val="22"/>
          <w:szCs w:val="22"/>
        </w:rPr>
        <w:t xml:space="preserve">After two failed iterations, we conducted a systematic literature review covering neural ODE training (Turan &amp; Jäschke 2021), hybrid ODE models (Royal Society Interface 2024), two-stage training (ICLR 2023), and Poisson observation models for neural data. We also examined the NWB data file directly. Key findings:</w:t>
      </w:r>
    </w:p>
    <w:p>
      <w:pPr>
        <w:spacing w:after="80"/>
      </w:pPr>
      <w:r>
        <w:rPr>
          <w:rFonts w:ascii="Arial" w:cs="Arial" w:eastAsia="Arial" w:hAnsi="Arial"/>
          <w:b/>
          <w:bCs/>
          <w:sz w:val="22"/>
          <w:szCs w:val="22"/>
        </w:rPr>
        <w:t xml:space="preserve">1. Missing stimulus input: </w:t>
      </w:r>
      <w:r>
        <w:rPr>
          <w:rFonts w:ascii="Arial" w:cs="Arial" w:eastAsia="Arial" w:hAnsi="Arial"/>
          <w:sz w:val="22"/>
          <w:szCs w:val="22"/>
        </w:rPr>
        <w:t xml:space="preserve">The first 5 minutes contains 0–69s of spontaneous activity followed by 69–300s of gabor stimuli flashed at 4 Hz across 81 screen positions. The WC model had only a static drive h_E with no knowledge of stimulus onset. This is the single biggest missing factor.</w:t>
      </w:r>
    </w:p>
    <w:p>
      <w:pPr>
        <w:spacing w:after="80"/>
      </w:pPr>
      <w:r>
        <w:rPr>
          <w:rFonts w:ascii="Arial" w:cs="Arial" w:eastAsia="Arial" w:hAnsi="Arial"/>
          <w:b/>
          <w:bCs/>
          <w:sz w:val="22"/>
          <w:szCs w:val="22"/>
        </w:rPr>
        <w:t xml:space="preserve">2. Missing continuity penalty: </w:t>
      </w:r>
      <w:r>
        <w:rPr>
          <w:rFonts w:ascii="Arial" w:cs="Arial" w:eastAsia="Arial" w:hAnsi="Arial"/>
          <w:sz w:val="22"/>
          <w:szCs w:val="22"/>
        </w:rPr>
        <w:t xml:space="preserve">Our multiple shooting reset each chunk’s initial condition from observed data with no penalty for discontinuities between chunks. The model could independently fit each window’s mean without learning temporally coherent dynamics.</w:t>
      </w:r>
    </w:p>
    <w:p>
      <w:pPr>
        <w:spacing w:after="80"/>
      </w:pPr>
      <w:r>
        <w:rPr>
          <w:rFonts w:ascii="Arial" w:cs="Arial" w:eastAsia="Arial" w:hAnsi="Arial"/>
          <w:b/>
          <w:bCs/>
          <w:sz w:val="22"/>
          <w:szCs w:val="22"/>
        </w:rPr>
        <w:t xml:space="preserve">3. Noisy target: </w:t>
      </w:r>
      <w:r>
        <w:rPr>
          <w:rFonts w:ascii="Arial" w:cs="Arial" w:eastAsia="Arial" w:hAnsi="Arial"/>
          <w:sz w:val="22"/>
          <w:szCs w:val="22"/>
        </w:rPr>
        <w:t xml:space="preserve">Raw binned spike counts follow Poisson-like statistics. A smooth ODE can never match this shot noise, creating an irreducible MSE floor. The literature recommends either smoothing the target or using a probabilistic observation model.</w:t>
      </w:r>
    </w:p>
    <w:p>
      <w:pPr>
        <w:spacing w:after="200"/>
      </w:pPr>
      <w:r>
        <w:rPr>
          <w:rFonts w:ascii="Arial" w:cs="Arial" w:eastAsia="Arial" w:hAnsi="Arial"/>
          <w:b/>
          <w:bCs/>
          <w:sz w:val="22"/>
          <w:szCs w:val="22"/>
        </w:rPr>
        <w:t xml:space="preserve">4. No WC warm-up: </w:t>
      </w:r>
      <w:r>
        <w:rPr>
          <w:rFonts w:ascii="Arial" w:cs="Arial" w:eastAsia="Arial" w:hAnsi="Arial"/>
          <w:sz w:val="22"/>
          <w:szCs w:val="22"/>
        </w:rPr>
        <w:t xml:space="preserve">The residual MLP dominates immediately because it’s easier to optimize than the ODE parameters. Two-stage training (WC first, then residual) forces the mechanistic part to learn meaningful dynamics before the neural net takes over.</w:t>
      </w:r>
    </w:p>
    <w:p>
      <w:pPr>
        <w:pStyle w:val="Heading2"/>
      </w:pPr>
      <w:r>
        <w:rPr>
          <w:rFonts w:ascii="Arial" w:cs="Arial" w:eastAsia="Arial" w:hAnsi="Arial"/>
        </w:rPr>
        <w:t xml:space="preserve">Iteration 3: Research-Driven Overhaul — PENDING</w:t>
      </w:r>
    </w:p>
    <w:p>
      <w:pPr>
        <w:spacing w:after="120"/>
      </w:pPr>
      <w:r>
        <w:rPr>
          <w:rFonts w:ascii="Arial" w:cs="Arial" w:eastAsia="Arial" w:hAnsi="Arial"/>
          <w:sz w:val="22"/>
          <w:szCs w:val="22"/>
        </w:rPr>
        <w:t xml:space="preserve">Four simultaneous fixes based on the research phase:</w:t>
      </w:r>
    </w:p>
    <w:p>
      <w:pPr>
        <w:spacing w:after="80"/>
      </w:pPr>
      <w:r>
        <w:rPr>
          <w:rFonts w:ascii="Arial" w:cs="Arial" w:eastAsia="Arial" w:hAnsi="Arial"/>
          <w:b/>
          <w:bCs/>
          <w:sz w:val="22"/>
          <w:szCs w:val="22"/>
        </w:rPr>
        <w:t xml:space="preserve">Fix A — Stimulus input u(t): </w:t>
      </w:r>
      <w:r>
        <w:rPr>
          <w:rFonts w:ascii="Arial" w:cs="Arial" w:eastAsia="Arial" w:hAnsi="Arial"/>
          <w:sz w:val="22"/>
          <w:szCs w:val="22"/>
        </w:rPr>
        <w:t xml:space="preserve">Added a binary gabor ON/OFF signal to the WC excitatory equation via learnable per-region weights w_stim (4 params). Extracted from the NWB file’s intervals/gabors_presentations table.</w:t>
      </w:r>
    </w:p>
    <w:p>
      <w:pPr>
        <w:spacing w:after="80"/>
      </w:pPr>
      <w:r>
        <w:rPr>
          <w:rFonts w:ascii="Arial" w:cs="Arial" w:eastAsia="Arial" w:hAnsi="Arial"/>
          <w:b/>
          <w:bCs/>
          <w:sz w:val="22"/>
          <w:szCs w:val="22"/>
        </w:rPr>
        <w:t xml:space="preserve">Fix B — Smoothed target: </w:t>
      </w:r>
      <w:r>
        <w:rPr>
          <w:rFonts w:ascii="Arial" w:cs="Arial" w:eastAsia="Arial" w:hAnsi="Arial"/>
          <w:sz w:val="22"/>
          <w:szCs w:val="22"/>
        </w:rPr>
        <w:t xml:space="preserve">Applied Gaussian filter (σ = 3 bins = 0.6s) to the observed signal before training. Still evaluate on raw signal for comparison.</w:t>
      </w:r>
    </w:p>
    <w:p>
      <w:pPr>
        <w:spacing w:after="80"/>
      </w:pPr>
      <w:r>
        <w:rPr>
          <w:rFonts w:ascii="Arial" w:cs="Arial" w:eastAsia="Arial" w:hAnsi="Arial"/>
          <w:b/>
          <w:bCs/>
          <w:sz w:val="22"/>
          <w:szCs w:val="22"/>
        </w:rPr>
        <w:t xml:space="preserve">Fix C — Continuity penalty: </w:t>
      </w:r>
      <w:r>
        <w:rPr>
          <w:rFonts w:ascii="Arial" w:cs="Arial" w:eastAsia="Arial" w:hAnsi="Arial"/>
          <w:sz w:val="22"/>
          <w:szCs w:val="22"/>
        </w:rPr>
        <w:t xml:space="preserve">Added L2 penalty (λ = 10) on the gap between final state of chunk k and initial state of chunk k+1. Forces temporally coherent dynamics.</w:t>
      </w:r>
    </w:p>
    <w:p>
      <w:pPr>
        <w:spacing w:after="80"/>
      </w:pPr>
      <w:r>
        <w:rPr>
          <w:rFonts w:ascii="Arial" w:cs="Arial" w:eastAsia="Arial" w:hAnsi="Arial"/>
          <w:b/>
          <w:bCs/>
          <w:sz w:val="22"/>
          <w:szCs w:val="22"/>
        </w:rPr>
        <w:t xml:space="preserve">Fix D — Two-phase training: </w:t>
      </w:r>
      <w:r>
        <w:rPr>
          <w:rFonts w:ascii="Arial" w:cs="Arial" w:eastAsia="Arial" w:hAnsi="Arial"/>
          <w:sz w:val="22"/>
          <w:szCs w:val="22"/>
        </w:rPr>
        <w:t xml:space="preserve">Phase 1 (200 ep): WC parameters only, residual frozen at zero. Phase 2 (300 ep): full hybrid with separate learning rates (WC: 0.002, residual: 0.001). Also reduced chunk length from 30 to 20 steps (4s).</w:t>
      </w:r>
    </w:p>
    <w:p>
      <w:pPr>
        <w:spacing w:after="200"/>
      </w:pPr>
      <w:r>
        <w:rPr>
          <w:rFonts w:ascii="Arial" w:cs="Arial" w:eastAsia="Arial" w:hAnsi="Arial"/>
          <w:b/>
          <w:bCs/>
          <w:sz w:val="22"/>
          <w:szCs w:val="22"/>
        </w:rPr>
        <w:t xml:space="preserve">Status: </w:t>
      </w:r>
      <w:r>
        <w:rPr>
          <w:rFonts w:ascii="Arial" w:cs="Arial" w:eastAsia="Arial" w:hAnsi="Arial"/>
          <w:sz w:val="22"/>
          <w:szCs w:val="22"/>
        </w:rPr>
        <w:t xml:space="preserve">Notebook updated. New dataset (region_activity_with_stimulus.npz) created and needs to be uploaded to Kaggle. Awaiting GPU run.</w:t>
      </w:r>
    </w:p>
    <w:p>
      <w:pPr>
        <w:pStyle w:val="Heading2"/>
      </w:pPr>
      <w:r>
        <w:rPr>
          <w:rFonts w:ascii="Arial" w:cs="Arial" w:eastAsia="Arial" w:hAnsi="Arial"/>
        </w:rPr>
        <w:t xml:space="preserve">Iteration 4: Hybrid Latent ODE (5 Research-Backed Fixes)</w:t>
      </w:r>
    </w:p>
    <w:p>
      <w:pPr>
        <w:spacing w:after="120"/>
      </w:pPr>
      <w:r>
        <w:rPr>
          <w:rFonts w:ascii="Arial" w:cs="Arial" w:eastAsia="Arial" w:hAnsi="Arial"/>
          <w:sz w:val="22"/>
          <w:szCs w:val="22"/>
        </w:rPr>
        <w:t xml:space="preserve">Implemented all fixes from Iteration 3’s plan plus two additional architectural changes: (1) a latent ODE formulation where the ODE evolves in R^16 and a learned decoder maps to 4 observed regions, and (2) an expanded latent space with 8 excitatory + 8 inhibitory populations (2 sub-populations per observed region). The model equation is dz/dt = f_WC(z, u(t), {θ_i}) + r_φ(z) with Y_hat = decoder(z). Total parameter count: 6,852 (WC: 144, residual MLP: 6,288, decoder: 420). Ran on Kaggle Tesla T4.</w:t>
      </w:r>
    </w:p>
    <w:p>
      <w:pPr>
        <w:spacing w:after="80"/>
      </w:pPr>
      <w:r>
        <w:rPr>
          <w:rFonts w:ascii="Arial" w:cs="Arial" w:eastAsia="Arial" w:hAnsi="Arial"/>
          <w:b/>
          <w:bCs/>
          <w:sz w:val="22"/>
          <w:szCs w:val="22"/>
        </w:rPr>
        <w:t xml:space="preserve">Training summary: </w:t>
      </w:r>
      <w:r>
        <w:rPr>
          <w:rFonts w:ascii="Arial" w:cs="Arial" w:eastAsia="Arial" w:hAnsi="Arial"/>
          <w:sz w:val="22"/>
          <w:szCs w:val="22"/>
        </w:rPr>
        <w:t xml:space="preserve">WC baseline trained 30 epochs in ~33 min (MSE 0.0647 → 0.0052 vs smoothed). Hybrid Phase 1 (WC + decoder, residual frozen): 200 epochs in 179s, Poisson NLL 6.71 → −0.1665, continuity violations collapsed to ~1e−6. Phase 2 (full hybrid): 300 epochs in 343s, Poisson NLL −0.1667 → −0.1813. Total hybrid training: ~8.7 min. Augmented Lagrangian ρ ramped from 1.0 to 100.0.</w:t>
      </w:r>
    </w:p>
    <w:p>
      <w:pPr>
        <w:spacing w:after="80"/>
      </w:pPr>
      <w:r>
        <w:rPr>
          <w:rFonts w:ascii="Arial" w:cs="Arial" w:eastAsia="Arial" w:hAnsi="Arial"/>
          <w:b/>
          <w:bCs/>
          <w:sz w:val="22"/>
          <w:szCs w:val="22"/>
        </w:rPr>
        <w:t xml:space="preserve">MSE results: </w:t>
      </w:r>
      <w:r>
        <w:rPr>
          <w:rFonts w:ascii="Arial" w:cs="Arial" w:eastAsia="Arial" w:hAnsi="Arial"/>
          <w:sz w:val="22"/>
          <w:szCs w:val="22"/>
        </w:rPr>
        <w:t xml:space="preserve">Baseline MSE (vs smoothed) = 0.00491. Hybrid MSE (vs smoothed) = 0.00166, a 66.2% reduction. Baseline MSE (vs raw norm) = 0.01394. Hybrid MSE (vs raw norm) = 0.01071, a 23.2% reduction.</w:t>
      </w:r>
    </w:p>
    <w:p>
      <w:pPr>
        <w:spacing w:after="80"/>
      </w:pPr>
      <w:r>
        <w:rPr>
          <w:rFonts w:ascii="Arial" w:cs="Arial" w:eastAsia="Arial" w:hAnsi="Arial"/>
          <w:b/>
          <w:bCs/>
          <w:sz w:val="22"/>
          <w:szCs w:val="22"/>
        </w:rPr>
        <w:t xml:space="preserve">R² per region (vs smoothed): </w:t>
      </w:r>
      <w:r>
        <w:rPr>
          <w:rFonts w:ascii="Arial" w:cs="Arial" w:eastAsia="Arial" w:hAnsi="Arial"/>
          <w:sz w:val="22"/>
          <w:szCs w:val="22"/>
        </w:rPr>
        <w:t xml:space="preserve">VISal = 0.043, VISl = 0.042, VISp = 0.028, VISpm = 0.013. These are critically low—the model explains only 1–4% of smoothed signal variance. The MSE “reduction” reflects capturing the mean envelope, not the actual dynamics.</w:t>
      </w:r>
    </w:p>
    <w:p>
      <w:pPr>
        <w:spacing w:after="80"/>
      </w:pPr>
      <w:r>
        <w:rPr>
          <w:rFonts w:ascii="Arial" w:cs="Arial" w:eastAsia="Arial" w:hAnsi="Arial"/>
          <w:b/>
          <w:bCs/>
          <w:sz w:val="22"/>
          <w:szCs w:val="22"/>
        </w:rPr>
        <w:t xml:space="preserve">Interpretability wins: </w:t>
      </w:r>
      <w:r>
        <w:rPr>
          <w:rFonts w:ascii="Arial" w:cs="Arial" w:eastAsia="Arial" w:hAnsi="Arial"/>
          <w:sz w:val="22"/>
          <w:szCs w:val="22"/>
        </w:rPr>
        <w:t xml:space="preserve">The residual MLP contributes only 0.06–0.36x the WC magnitude, meaning Wilson-Cowan genuinely dominates the dynamics. VISp has the strongest stimulus coupling (w_stim ≈ 0.36–0.38) and fastest time constants (τ_E = 70–104ms), consistent with primary visual cortex. VISal is slowest (τ_E ≈ 450–505ms), consistent with higher-order areas. Chunk boundary continuity is excellent (mean violation = 3e−6).</w:t>
      </w:r>
    </w:p>
    <w:p>
      <w:pPr>
        <w:spacing w:after="200"/>
      </w:pPr>
      <w:r>
        <w:rPr>
          <w:rFonts w:ascii="Arial" w:cs="Arial" w:eastAsia="Arial" w:hAnsi="Arial"/>
          <w:b/>
          <w:bCs/>
          <w:sz w:val="22"/>
          <w:szCs w:val="22"/>
        </w:rPr>
        <w:t xml:space="preserve">Diagnosis: </w:t>
      </w:r>
      <w:r>
        <w:rPr>
          <w:rFonts w:ascii="Arial" w:cs="Arial" w:eastAsia="Arial" w:hAnsi="Arial"/>
          <w:sz w:val="22"/>
          <w:szCs w:val="22"/>
        </w:rPr>
        <w:t xml:space="preserve">The architecture and training machinery all work as designed. The fundamental problem is that a deterministic ODE can only predict the conditional mean trajectory. Single-trial spike data has enormous trial-to-trial variability (Poisson + super-Poisson noise) that no deterministic model can track. The R² ceiling for a deterministic ODE on single-trial data is inherently low. This motivates switching to a stochastic formulation.</w:t>
      </w:r>
    </w:p>
    <w:p>
      <w:pPr>
        <w:pStyle w:val="Heading2"/>
      </w:pPr>
      <w:r>
        <w:rPr>
          <w:rFonts w:ascii="Arial" w:cs="Arial" w:eastAsia="Arial" w:hAnsi="Arial"/>
        </w:rPr>
        <w:t xml:space="preserve">Research Phase II: Addressing the Deterministic Ceiling</w:t>
      </w:r>
    </w:p>
    <w:p>
      <w:pPr>
        <w:spacing w:after="120"/>
      </w:pPr>
      <w:r>
        <w:rPr>
          <w:rFonts w:ascii="Arial" w:cs="Arial" w:eastAsia="Arial" w:hAnsi="Arial"/>
          <w:sz w:val="22"/>
          <w:szCs w:val="22"/>
        </w:rPr>
        <w:t xml:space="preserve">Following the low R² results, we reviewed the literature on stochastic latent variable models for neural spiking data. Key references and findings:</w:t>
      </w:r>
    </w:p>
    <w:p>
      <w:pPr>
        <w:spacing w:after="80"/>
      </w:pPr>
      <w:r>
        <w:rPr>
          <w:rFonts w:ascii="Arial" w:cs="Arial" w:eastAsia="Arial" w:hAnsi="Arial"/>
          <w:b/>
          <w:bCs/>
          <w:sz w:val="22"/>
          <w:szCs w:val="22"/>
        </w:rPr>
        <w:t xml:space="preserve">1. Latent SDEs for neural dynamics (ElGazzar &amp; van Gerven, Dec 2024): </w:t>
      </w:r>
      <w:r>
        <w:rPr>
          <w:rFonts w:ascii="Arial" w:cs="Arial" w:eastAsia="Arial" w:hAnsi="Arial"/>
          <w:sz w:val="22"/>
          <w:szCs w:val="22"/>
        </w:rPr>
        <w:t xml:space="preserve">This paper (arXiv 2412.12112) proposes exactly what we need: a hybrid coupled-oscillator + neural network SDE with Poisson observation model, trained via variational inference. The drift function combines mechanistic oscillator dynamics with a learned neural network, and a state-dependent diffusion function captures process noise. They show that explicitly modeling process noise is critical for neural data, and that hybrid SDE models achieve competitive performance with an order of magnitude fewer parameters than pure black-box approaches. Code available at github.com/elgazzarr/LdX.</w:t>
      </w:r>
    </w:p>
    <w:p>
      <w:pPr>
        <w:spacing w:after="80"/>
      </w:pPr>
      <w:r>
        <w:rPr>
          <w:rFonts w:ascii="Arial" w:cs="Arial" w:eastAsia="Arial" w:hAnsi="Arial"/>
          <w:b/>
          <w:bCs/>
          <w:sz w:val="22"/>
          <w:szCs w:val="22"/>
        </w:rPr>
        <w:t xml:space="preserve">2. LFADS — Latent Factor Analysis via Dynamical Systems (Pandarinath et al., Nature Methods 2018): </w:t>
      </w:r>
      <w:r>
        <w:rPr>
          <w:rFonts w:ascii="Arial" w:cs="Arial" w:eastAsia="Arial" w:hAnsi="Arial"/>
          <w:sz w:val="22"/>
          <w:szCs w:val="22"/>
        </w:rPr>
        <w:t xml:space="preserve">The gold-standard for single-trial neural population analysis. Uses a sequential VAE: an encoder (bidirectional GRU) infers per-trial initial conditions and inferred inputs, a generator (GRU) produces latent factors, and a Poisson observation model maps factors to firing rates. Achieves high R² on single-trial data by amortizing inference of initial conditions. Key insight for us: our per-chunk learnable x0 is the non-amortized equivalent of LFADS’s encoder—an amortized encoder could generalize better.</w:t>
      </w:r>
    </w:p>
    <w:p>
      <w:pPr>
        <w:spacing w:after="80"/>
      </w:pPr>
      <w:r>
        <w:rPr>
          <w:rFonts w:ascii="Arial" w:cs="Arial" w:eastAsia="Arial" w:hAnsi="Arial"/>
          <w:b/>
          <w:bCs/>
          <w:sz w:val="22"/>
          <w:szCs w:val="22"/>
        </w:rPr>
        <w:t xml:space="preserve">3. Latent ODEs with ODE-RNN encoder (Rubanova, Chen &amp; Duvenaud, NeurIPS 2019): </w:t>
      </w:r>
      <w:r>
        <w:rPr>
          <w:rFonts w:ascii="Arial" w:cs="Arial" w:eastAsia="Arial" w:hAnsi="Arial"/>
          <w:sz w:val="22"/>
          <w:szCs w:val="22"/>
        </w:rPr>
        <w:t xml:space="preserve">Introduced the ODE-RNN encoder for latent ODEs: a GRU that reads observations in reverse, with ODE dynamics between observations, to produce a variational posterior q(z0|X). This replaces per-chunk learnable initial conditions with a single forward pass, enabling generalization to unseen data. The VAE training objective (ELBO) naturally balances data fit with latent regularity.</w:t>
      </w:r>
    </w:p>
    <w:p>
      <w:pPr>
        <w:spacing w:after="80"/>
      </w:pPr>
      <w:r>
        <w:rPr>
          <w:rFonts w:ascii="Arial" w:cs="Arial" w:eastAsia="Arial" w:hAnsi="Arial"/>
          <w:b/>
          <w:bCs/>
          <w:sz w:val="22"/>
          <w:szCs w:val="22"/>
        </w:rPr>
        <w:t xml:space="preserve">4. torchsde library (Li et al., NeurIPS 2020; Kidger et al., NeurIPS 2021): </w:t>
      </w:r>
      <w:r>
        <w:rPr>
          <w:rFonts w:ascii="Arial" w:cs="Arial" w:eastAsia="Arial" w:hAnsi="Arial"/>
          <w:sz w:val="22"/>
          <w:szCs w:val="22"/>
        </w:rPr>
        <w:t xml:space="preserve">GPU-accelerated SDE solvers with efficient backpropagation via adjoint methods. Includes a latent SDE example that trains a variational SDE model with an Ornstein-Uhlenbeck prior. The library is a drop-in replacement for torchdiffeq’s odeint with sdeint. Supports both Ito and Stratonovich formulations.</w:t>
      </w:r>
    </w:p>
    <w:p>
      <w:pPr>
        <w:spacing w:after="200"/>
      </w:pPr>
      <w:r>
        <w:rPr>
          <w:rFonts w:ascii="Arial" w:cs="Arial" w:eastAsia="Arial" w:hAnsi="Arial"/>
          <w:b/>
          <w:bCs/>
          <w:sz w:val="22"/>
          <w:szCs w:val="22"/>
        </w:rPr>
        <w:t xml:space="preserve">Synthesis: </w:t>
      </w:r>
      <w:r>
        <w:rPr>
          <w:rFonts w:ascii="Arial" w:cs="Arial" w:eastAsia="Arial" w:hAnsi="Arial"/>
          <w:sz w:val="22"/>
          <w:szCs w:val="22"/>
        </w:rPr>
        <w:t xml:space="preserve">The root cause is now clear: a deterministic ODE predicts only the conditional mean of the data, but single-trial spike counts carry substantial stochastic variability. R² measures variance explained, and a mean-only predictor will always score low on high-variance data. The solution is twofold: (a) add a diffusion term to the latent ODE, converting it to a latent SDE that models process noise, and (b) add a recognition network (encoder) that infers latent initial conditions from observed data rather than learning them as free parameters per chunk. Together these form a variational latent SDE framework.</w:t>
      </w:r>
    </w:p>
    <w:p>
      <w:pPr>
        <w:pStyle w:val="Heading2"/>
      </w:pPr>
      <w:r>
        <w:rPr>
          <w:rFonts w:ascii="Arial" w:cs="Arial" w:eastAsia="Arial" w:hAnsi="Arial"/>
        </w:rPr>
        <w:t xml:space="preserve">Iteration 5: Variational Latent SDE — PENDING</w:t>
      </w:r>
    </w:p>
    <w:p>
      <w:pPr>
        <w:spacing w:after="120"/>
      </w:pPr>
      <w:r>
        <w:rPr>
          <w:rFonts w:ascii="Arial" w:cs="Arial" w:eastAsia="Arial" w:hAnsi="Arial"/>
          <w:sz w:val="22"/>
          <w:szCs w:val="22"/>
        </w:rPr>
        <w:t xml:space="preserve">Three changes to convert the current hybrid latent ODE into a variational latent SDE, closely following ElGazzar &amp; van Gerven (2024) and Rubanova et al. (2019):</w:t>
      </w:r>
    </w:p>
    <w:p>
      <w:pPr>
        <w:spacing w:after="80"/>
      </w:pPr>
      <w:r>
        <w:rPr>
          <w:rFonts w:ascii="Arial" w:cs="Arial" w:eastAsia="Arial" w:hAnsi="Arial"/>
          <w:b/>
          <w:bCs/>
          <w:sz w:val="22"/>
          <w:szCs w:val="22"/>
        </w:rPr>
        <w:t xml:space="preserve">Fix A — State-dependent diffusion: </w:t>
      </w:r>
      <w:r>
        <w:rPr>
          <w:rFonts w:ascii="Arial" w:cs="Arial" w:eastAsia="Arial" w:hAnsi="Arial"/>
          <w:sz w:val="22"/>
          <w:szCs w:val="22"/>
        </w:rPr>
        <w:t xml:space="preserve">Add a learned diffusion function σ(z) to the ODE, yielding dz = [f_WC(z, u) + r_φ(z)]dt + σ(z)dW. The diffusion will be a small MLP mapping z → R^16 (diagonal noise). Use torchsde’s sdeint as a drop-in replacement for torchdiffeq’s odeint. This allows the model to represent distributions over trajectories rather than a single deterministic path.</w:t>
      </w:r>
    </w:p>
    <w:p>
      <w:pPr>
        <w:spacing w:after="80"/>
      </w:pPr>
      <w:r>
        <w:rPr>
          <w:rFonts w:ascii="Arial" w:cs="Arial" w:eastAsia="Arial" w:hAnsi="Arial"/>
          <w:b/>
          <w:bCs/>
          <w:sz w:val="22"/>
          <w:szCs w:val="22"/>
        </w:rPr>
        <w:t xml:space="preserve">Fix B — Recognition network (encoder): </w:t>
      </w:r>
      <w:r>
        <w:rPr>
          <w:rFonts w:ascii="Arial" w:cs="Arial" w:eastAsia="Arial" w:hAnsi="Arial"/>
          <w:sz w:val="22"/>
          <w:szCs w:val="22"/>
        </w:rPr>
        <w:t xml:space="preserve">Replace the per-chunk learnable initial conditions (x0_E, x0_I) with an ODE-RNN encoder that reads each chunk’s observed data in reverse and outputs μ(z0) and logσ(z0) for a Gaussian posterior. Sample z0 via the reparameterization trick. This amortizes inference: one set of encoder weights replaces N_CHUNKS × LATENT_DIM free parameters, improving generalization and enabling inference on held-out data.</w:t>
      </w:r>
    </w:p>
    <w:p>
      <w:pPr>
        <w:spacing w:after="80"/>
      </w:pPr>
      <w:r>
        <w:rPr>
          <w:rFonts w:ascii="Arial" w:cs="Arial" w:eastAsia="Arial" w:hAnsi="Arial"/>
          <w:b/>
          <w:bCs/>
          <w:sz w:val="22"/>
          <w:szCs w:val="22"/>
        </w:rPr>
        <w:t xml:space="preserve">Fix C — ELBO training objective: </w:t>
      </w:r>
      <w:r>
        <w:rPr>
          <w:rFonts w:ascii="Arial" w:cs="Arial" w:eastAsia="Arial" w:hAnsi="Arial"/>
          <w:sz w:val="22"/>
          <w:szCs w:val="22"/>
        </w:rPr>
        <w:t xml:space="preserve">Replace the current Poisson NLL + augmented Lagrangian loss with a proper variational ELBO: L = E_q[log p(Y|z)] − β KL(q(z0|Y) || p(z0)). The Poisson NLL becomes the reconstruction term, and the KL regularizes the latent initial conditions. The continuity penalty is no longer needed because the SDE generates continuous trajectories by construction, and the encoder provides data-informed initial conditions. Use KL annealing (β from 0 to 1 over the first 100 epochs) to prevent posterior collapse.</w:t>
      </w:r>
    </w:p>
    <w:p>
      <w:pPr>
        <w:spacing w:after="200"/>
      </w:pPr>
      <w:r>
        <w:rPr>
          <w:rFonts w:ascii="Arial" w:cs="Arial" w:eastAsia="Arial" w:hAnsi="Arial"/>
          <w:b/>
          <w:bCs/>
          <w:sz w:val="22"/>
          <w:szCs w:val="22"/>
        </w:rPr>
        <w:t xml:space="preserve">Status: </w:t>
      </w:r>
      <w:r>
        <w:rPr>
          <w:rFonts w:ascii="Arial" w:cs="Arial" w:eastAsia="Arial" w:hAnsi="Arial"/>
          <w:sz w:val="22"/>
          <w:szCs w:val="22"/>
        </w:rPr>
        <w:t xml:space="preserve">Awaiting implementation. Key dependencies: torchsde (pip install torchsde). The WC core, decoder, and residual MLP from Iteration 4 carry over; the main new components are the diffusion network and the ODE-RNN encoder. Two-phase training is preserved: Phase 1 trains WC + diffusion + decoder + encoder (residual frozen), Phase 2 unfreezes the residual. Expected to substantially improve R² by modeling the stochastic component of neural variability rather than treating it as irreducible noise.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2026-03-14T20:24:38.953Z</dcterms:created>
  <dcterms:modified xsi:type="dcterms:W3CDTF">2026-03-14T20:24:38.954Z</dcterms:modified>
</cp:coreProperties>
</file>

<file path=docProps/custom.xml><?xml version="1.0" encoding="utf-8"?>
<Properties xmlns="http://schemas.openxmlformats.org/officeDocument/2006/custom-properties" xmlns:vt="http://schemas.openxmlformats.org/officeDocument/2006/docPropsVTypes"/>
</file>