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xml/1998/namespace" xmlns:r="http://schemas.openxmlformats.org/officeDocument/2006/relationships" xmlns:w="http://schemas.openxmlformats.org/wordprocessingml/2006/main" ns1: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color w:val="64748B"/>
          <w:sz w:val="20"/>
          <w:szCs w:val="20"/>
        </w:rPr>
        <w:t xml:space="preserve">inmind.academy  |  Gen AI Track  |  Spring 2026</w:t>
      </w:r>
    </w:p>
    <w:p>
      <w:pPr>
        <w:pBdr>
          <w:bottom w:val="single" w:color="0D1B2A" w:sz="2" w:space="12"/>
        </w:pBdr>
        <w:spacing w:after="60"/>
        <w:jc w:val="center"/>
      </w:pPr>
      <w:r>
        <w:rPr>
          <w:rFonts w:ascii="Arial" w:cs="Arial" w:eastAsia="Arial" w:hAnsi="Arial"/>
          <w:b/>
          <w:bCs/>
          <w:color w:val="0D1B2A"/>
          <w:sz w:val="52"/>
          <w:szCs w:val="52"/>
        </w:rPr>
        <w:t xml:space="preserve">Project Knowledge Base</w:t>
      </w:r>
    </w:p>
    <w:p>
      <w:pPr>
        <w:spacing w:after="80" w:before="200"/>
        <w:jc w:val="center"/>
      </w:pPr>
      <w:r>
        <w:rPr>
          <w:rFonts w:ascii="Arial" w:cs="Arial" w:eastAsia="Arial" w:hAnsi="Arial"/>
          <w:color w:val="2563EB"/>
          <w:sz w:val="28"/>
          <w:szCs w:val="28"/>
        </w:rPr>
        <w:t xml:space="preserve">Real Estate Investment Advisor</w:t>
      </w:r>
    </w:p>
    <w:p>
      <w:pPr>
        <w:spacing w:after="400"/>
        <w:jc w:val="center"/>
      </w:pPr>
      <w:r>
        <w:rPr>
          <w:rFonts w:ascii="Arial" w:cs="Arial" w:eastAsia="Arial" w:hAnsi="Arial"/>
          <w:color w:val="64748B"/>
          <w:sz w:val="24"/>
          <w:szCs w:val="24"/>
        </w:rPr>
        <w:t xml:space="preserve">UAE Rental Market  |  Multi-Agent Architecture</w:t>
      </w:r>
    </w:p>
    <w:p>
      <w:pPr>
        <w:spacing w:after="200"/>
      </w:pPr>
    </w:p>
    <w:p>
      <w:pPr>
        <w:spacing w:after="200"/>
      </w:pPr>
    </w:p>
    <w:p>
      <w:pPr>
        <w:jc w:val="center"/>
      </w:pPr>
      <w:r>
        <w:rPr>
          <w:rFonts w:ascii="Arial" w:cs="Arial" w:eastAsia="Arial" w:hAnsi="Arial"/>
          <w:sz w:val="22"/>
          <w:szCs w:val="22"/>
        </w:rPr>
        <w:t xml:space="preserve">Mohamad Faour</w:t>
      </w:r>
    </w:p>
    <w:p>
      <w:pPr>
        <w:spacing w:after="60"/>
        <w:jc w:val="center"/>
      </w:pPr>
      <w:r>
        <w:rPr>
          <w:rFonts w:ascii="Arial" w:cs="Arial" w:eastAsia="Arial" w:hAnsi="Arial"/>
          <w:color w:val="64748B"/>
          <w:sz w:val="20"/>
          <w:szCs w:val="20"/>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20"/>
      </w:pPr>
      <w:r>
        <w:rPr>
          <w:rFonts w:ascii="Arial" w:cs="Arial" w:eastAsia="Arial" w:hAnsi="Arial"/>
          <w:sz w:val="22"/>
          <w:szCs w:val="22"/>
        </w:rPr>
        <w:t xml:space="preserve">A production multi-agent system that analyzes UAE rental properties for investors. Users describe their investment criteria (budget, preferred location, risk tolerance) and the system retrieves market data, computes financial metrics, and delivers justified investment recommendations.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Our Implementation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Two Agent Systems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Agent System A (LangGraph) + Agent System B (Google ADK) as independent microservices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RAG Pipeline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Qdrant vector DB with Kaggle UAE dataset + market report PDFs, 512-token chunks, metadata filtering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MCP Server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 tools: mortgage_calculator (rates, payments, DTI) and property_tax_estimator (tax by emirate)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Docker Compose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5-6 containers: agent-system-a, agent-system-b, mcp-server, qdrant, mongodb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API Layer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FastAPI with POST /chat, streaming (SSE), session management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Guardrails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Input/output validation, iteration limits, request timeouts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20+ test questions, RAGAS metrics, 2 config comparisons, 3 documented failure cases</w:t>
            </w:r>
          </w:p>
        </w:tc>
      </w:tr>
    </w:tbl>
    <w:p>
      <w:pPr>
        <w:pBdr>
          <w:bottom w:val="single" w:color="CBD5E1" w:sz="1" w:space="8"/>
        </w:pBdr>
        <w:spacing w:after="200" w:before="200"/>
      </w:pPr>
    </w:p>
    <w:p>
      <w:pPr>
        <w:pStyle w:val="Heading1"/>
      </w:pPr>
      <w:r>
        <w:t xml:space="preserve">2. System Architecture</w:t>
      </w:r>
    </w:p>
    <w:p>
      <w:pPr>
        <w:spacing w:after="120"/>
      </w:pPr>
      <w:r>
        <w:rPr>
          <w:rFonts w:ascii="Arial" w:cs="Arial" w:eastAsia="Arial" w:hAnsi="Arial"/>
          <w:sz w:val="22"/>
          <w:szCs w:val="22"/>
        </w:rPr>
        <w:t xml:space="preserve">The system follows a supervisor pattern where Agent System A orchestrates the workflow and delegates to specialists. Agent System B operates as a fully independent microservice (separate container, HTTP-only communication), simulating real-world multi-agent service-oriented architecture.</w:t>
      </w:r>
    </w:p>
    <w:p>
      <w:pPr>
        <w:spacing w:after="200"/>
      </w:pPr>
    </w:p>
    <w:p>
      <w:pPr>
        <w:pStyle w:val="Heading2"/>
      </w:pPr>
      <w:r>
        <w:t xml:space="preserve">2.1 Agent System A (LangGraph + FastAPI)</w:t>
      </w:r>
    </w:p>
    <w:p>
      <w:pPr>
        <w:spacing w:after="120"/>
      </w:pPr>
      <w:r>
        <w:rPr>
          <w:rFonts w:ascii="Arial" w:cs="Arial" w:eastAsia="Arial" w:hAnsi="Arial"/>
          <w:b/>
          <w:bCs/>
          <w:sz w:val="22"/>
          <w:szCs w:val="22"/>
        </w:rPr>
        <w:t xml:space="preserve">Framework: </w:t>
      </w:r>
      <w:r>
        <w:rPr>
          <w:rFonts w:ascii="Arial" w:cs="Arial" w:eastAsia="Arial" w:hAnsi="Arial"/>
          <w:sz w:val="22"/>
          <w:szCs w:val="22"/>
        </w:rPr>
        <w:t xml:space="preserve">LangGraph (Python) with supervisor pattern</w:t>
      </w:r>
    </w:p>
    <w:p>
      <w:pPr>
        <w:pStyle w:val="ListParagraph"/>
        <w:numPr>
          <w:ilvl w:val="0"/>
          <w:numId w:val="2"/>
        </w:numPr>
        <w:spacing w:after="60"/>
      </w:pPr>
      <w:r>
        <w:rPr>
          <w:rFonts w:ascii="Arial" w:cs="Arial" w:eastAsia="Arial" w:hAnsi="Arial"/>
          <w:b/>
          <w:bCs/>
          <w:sz w:val="22"/>
          <w:szCs w:val="22"/>
        </w:rPr>
        <w:t xml:space="preserve">Supervisor Agent: </w:t>
      </w:r>
      <w:r>
        <w:rPr>
          <w:rFonts w:ascii="Arial" w:cs="Arial" w:eastAsia="Arial" w:hAnsi="Arial"/>
          <w:sz w:val="22"/>
          <w:szCs w:val="22"/>
        </w:rPr>
        <w:t xml:space="preserve">Analyzes user intent, decomposes complex investment queries, routes to specialists, and synthesizes final recommendations.</w:t>
      </w:r>
    </w:p>
    <w:p>
      <w:pPr>
        <w:pStyle w:val="ListParagraph"/>
        <w:numPr>
          <w:ilvl w:val="0"/>
          <w:numId w:val="2"/>
        </w:numPr>
        <w:spacing w:after="60"/>
      </w:pPr>
      <w:r>
        <w:rPr>
          <w:rFonts w:ascii="Arial" w:cs="Arial" w:eastAsia="Arial" w:hAnsi="Arial"/>
          <w:b/>
          <w:bCs/>
          <w:sz w:val="22"/>
          <w:szCs w:val="22"/>
        </w:rPr>
        <w:t xml:space="preserve">Property Analyst: </w:t>
      </w:r>
      <w:r>
        <w:rPr>
          <w:rFonts w:ascii="Arial" w:cs="Arial" w:eastAsia="Arial" w:hAnsi="Arial"/>
          <w:sz w:val="22"/>
          <w:szCs w:val="22"/>
        </w:rPr>
        <w:t xml:space="preserve">Evaluates ROI, cap rate, cash-on-cash return, rental yield, appreciation potential. Tools: RAG + MCP.</w:t>
      </w:r>
    </w:p>
    <w:p>
      <w:pPr>
        <w:pStyle w:val="ListParagraph"/>
        <w:numPr>
          <w:ilvl w:val="0"/>
          <w:numId w:val="2"/>
        </w:numPr>
        <w:spacing w:after="60"/>
      </w:pPr>
      <w:r>
        <w:rPr>
          <w:rFonts w:ascii="Arial" w:cs="Arial" w:eastAsia="Arial" w:hAnsi="Arial"/>
          <w:b/>
          <w:bCs/>
          <w:sz w:val="22"/>
          <w:szCs w:val="22"/>
        </w:rPr>
        <w:t xml:space="preserve">Market Researcher: </w:t>
      </w:r>
      <w:r>
        <w:rPr>
          <w:rFonts w:ascii="Arial" w:cs="Arial" w:eastAsia="Arial" w:hAnsi="Arial"/>
          <w:sz w:val="22"/>
          <w:szCs w:val="22"/>
        </w:rPr>
        <w:t xml:space="preserve">Area trends, comparable sales analysis, price history, neighborhood profiles. Tools: RAG + Agent B.</w:t>
      </w:r>
    </w:p>
    <w:p>
      <w:pPr>
        <w:spacing w:after="200"/>
      </w:pPr>
    </w:p>
    <w:p>
      <w:pPr>
        <w:pStyle w:val="Heading2"/>
      </w:pPr>
      <w:r>
        <w:t xml:space="preserve">2.2 Agent System B (Google ADK)</w:t>
      </w:r>
    </w:p>
    <w:p>
      <w:pPr>
        <w:spacing w:after="120"/>
      </w:pPr>
      <w:r>
        <w:rPr>
          <w:rFonts w:ascii="Arial" w:cs="Arial" w:eastAsia="Arial" w:hAnsi="Arial"/>
          <w:b/>
          <w:bCs/>
          <w:sz w:val="22"/>
          <w:szCs w:val="22"/>
        </w:rPr>
        <w:t xml:space="preserve">Framework: </w:t>
      </w:r>
      <w:r>
        <w:rPr>
          <w:rFonts w:ascii="Arial" w:cs="Arial" w:eastAsia="Arial" w:hAnsi="Arial"/>
          <w:sz w:val="22"/>
          <w:szCs w:val="22"/>
        </w:rPr>
        <w:t xml:space="preserve">Google Agent Development Kit (ADK), independent container</w:t>
      </w:r>
    </w:p>
    <w:p>
      <w:pPr>
        <w:spacing w:after="120"/>
      </w:pPr>
      <w:r>
        <w:rPr>
          <w:rFonts w:ascii="Arial" w:cs="Arial" w:eastAsia="Arial" w:hAnsi="Arial"/>
          <w:b/>
          <w:bCs/>
          <w:sz w:val="22"/>
          <w:szCs w:val="22"/>
        </w:rPr>
        <w:t xml:space="preserve">Communication: </w:t>
      </w:r>
      <w:r>
        <w:rPr>
          <w:rFonts w:ascii="Arial" w:cs="Arial" w:eastAsia="Arial" w:hAnsi="Arial"/>
          <w:sz w:val="22"/>
          <w:szCs w:val="22"/>
        </w:rPr>
        <w:t xml:space="preserve">HTTP REST API only (no Python imports from System A)</w:t>
      </w:r>
    </w:p>
    <w:p>
      <w:pPr>
        <w:spacing w:after="120"/>
      </w:pPr>
      <w:r>
        <w:rPr>
          <w:rFonts w:ascii="Arial" w:cs="Arial" w:eastAsia="Arial" w:hAnsi="Arial"/>
          <w:sz w:val="22"/>
          <w:szCs w:val="22"/>
        </w:rPr>
        <w:t xml:space="preserve">This is a critical design decision. The instructor explicitly requires that the two agent systems simulate real-world multi-service architecture, like a travel agency calling a hotel booking service run by a different company.</w:t>
      </w:r>
    </w:p>
    <w:p>
      <w:pPr>
        <w:spacing w:after="200"/>
      </w:pPr>
    </w:p>
    <w:p>
      <w:pPr>
        <w:pStyle w:val="Heading2"/>
      </w:pPr>
      <w:r>
        <w:t xml:space="preserve">2.3 Agent B: The Critical Distinction (Tool vs. Agent)</w:t>
      </w:r>
    </w:p>
    <w:p>
      <w:pPr>
        <w:spacing w:after="120"/>
      </w:pPr>
      <w:r>
        <w:rPr>
          <w:rFonts w:ascii="Arial" w:cs="Arial" w:eastAsia="Arial" w:hAnsi="Arial"/>
          <w:sz w:val="22"/>
          <w:szCs w:val="22"/>
        </w:rPr>
        <w:t xml:space="preserve">This is the single most important implementation detail that separates a high grade from a mediocre one. Agent System B must behave as a TRUE AGENT, not a glorified API endpoint.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b/>
                <w:bCs/>
                <w:color w:val="DC2626"/>
                <w:sz w:val="22"/>
                <w:szCs w:val="22"/>
              </w:rPr>
              <w:t xml:space="preserve">BAD: Tool Response (avoid this)</w:t>
            </w:r>
          </w:p>
        </w:tc>
        <w:tc>
          <w:tcPr>
            <w:tcW w:type="dxa" w:w="4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b/>
                <w:bCs/>
                <w:color w:val="16A34A"/>
                <w:sz w:val="22"/>
                <w:szCs w:val="22"/>
              </w:rPr>
              <w:t xml:space="preserve">GOOD: Agentic Response (build this)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60"/>
            </w:pPr>
            <w:r>
              <w:rPr>
                <w:rFonts w:ascii="Courier New" w:cs="Courier New" w:eastAsia="Courier New" w:hAnsi="Courier New"/>
                <w:sz w:val="18"/>
                <w:szCs w:val="18"/>
              </w:rPr>
              <w:t xml:space="preserve">{ "estimated_value": 450000 }</w:t>
            </w:r>
          </w:p>
          <w:p>
            <w:pPr>
              <w:spacing w:after="60"/>
            </w:pPr>
            <w:r>
              <w:rPr>
                <w:rFonts w:ascii="Arial" w:cs="Arial" w:eastAsia="Arial" w:hAnsi="Arial"/>
                <w:color w:val="64748B"/>
                <w:sz w:val="18"/>
                <w:szCs w:val="18"/>
              </w:rPr>
              <w:t xml:space="preserve">Just a lookup. Returns a fact. This looks like a tool, not an agent.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40"/>
            </w:pPr>
            <w:r>
              <w:rPr>
                <w:rFonts w:ascii="Courier New" w:cs="Courier New" w:eastAsia="Courier New" w:hAnsi="Courier New"/>
                <w:sz w:val="16"/>
                <w:szCs w:val="16"/>
              </w:rPr>
              <w:t xml:space="preserve">{ "estimated_value": 450000,</w:t>
            </w:r>
          </w:p>
          <w:p>
            <w:pPr>
              <w:spacing w:after="40"/>
            </w:pPr>
            <w:r>
              <w:rPr>
                <w:rFonts w:ascii="Courier New" w:cs="Courier New" w:eastAsia="Courier New" w:hAnsi="Courier New"/>
                <w:sz w:val="16"/>
                <w:szCs w:val="16"/>
              </w:rPr>
              <w:t xml:space="preserve">  "confidence_score": "High",</w:t>
            </w:r>
          </w:p>
          <w:p>
            <w:pPr>
              <w:spacing w:after="40"/>
            </w:pPr>
            <w:r>
              <w:rPr>
                <w:rFonts w:ascii="Courier New" w:cs="Courier New" w:eastAsia="Courier New" w:hAnsi="Courier New"/>
                <w:sz w:val="16"/>
                <w:szCs w:val="16"/>
              </w:rPr>
              <w:t xml:space="preserve">  "reasoning_chain": "Found 4</w:t>
            </w:r>
          </w:p>
          <w:p>
            <w:pPr>
              <w:spacing w:after="40"/>
            </w:pPr>
            <w:r>
              <w:rPr>
                <w:rFonts w:ascii="Courier New" w:cs="Courier New" w:eastAsia="Courier New" w:hAnsi="Courier New"/>
                <w:sz w:val="16"/>
                <w:szCs w:val="16"/>
              </w:rPr>
              <w:t xml:space="preserve">    comps, discounted 1 distressed</w:t>
            </w:r>
          </w:p>
          <w:p>
            <w:pPr>
              <w:spacing w:after="40"/>
            </w:pPr>
            <w:r>
              <w:rPr>
                <w:rFonts w:ascii="Courier New" w:cs="Courier New" w:eastAsia="Courier New" w:hAnsi="Courier New"/>
                <w:sz w:val="16"/>
                <w:szCs w:val="16"/>
              </w:rPr>
              <w:t xml:space="preserve">    sale, +5% premium for demand",</w:t>
            </w:r>
          </w:p>
          <w:p>
            <w:pPr>
              <w:spacing w:after="40"/>
            </w:pPr>
            <w:r>
              <w:rPr>
                <w:rFonts w:ascii="Courier New" w:cs="Courier New" w:eastAsia="Courier New" w:hAnsi="Courier New"/>
                <w:sz w:val="16"/>
                <w:szCs w:val="16"/>
              </w:rPr>
              <w:t xml:space="preserve">  "supporting_comps": [...]</w:t>
            </w:r>
          </w:p>
          <w:p>
            <w:pPr>
              <w:spacing w:after="60"/>
            </w:pPr>
            <w:r>
              <w:rPr>
                <w:rFonts w:ascii="Courier New" w:cs="Courier New" w:eastAsia="Courier New" w:hAnsi="Courier New"/>
                <w:sz w:val="16"/>
                <w:szCs w:val="16"/>
              </w:rPr>
              <w:t xml:space="preserve">}</w:t>
            </w:r>
          </w:p>
          <w:p>
            <w:r>
              <w:rPr>
                <w:rFonts w:ascii="Arial" w:cs="Arial" w:eastAsia="Arial" w:hAnsi="Arial"/>
                <w:color w:val="64748B"/>
                <w:sz w:val="18"/>
                <w:szCs w:val="18"/>
              </w:rPr>
              <w:t xml:space="preserve">Autonomous research, logic, edge cases, justified conclusion. This is a true agent.</w:t>
            </w:r>
          </w:p>
        </w:tc>
      </w:tr>
    </w:tbl>
    <w:p>
      <w:pPr>
        <w:spacing w:after="200"/>
      </w:pPr>
    </w:p>
    <w:p>
      <w:pPr>
        <w:spacing w:after="120"/>
      </w:pPr>
      <w:r>
        <w:rPr>
          <w:rFonts w:ascii="Arial" w:cs="Arial" w:eastAsia="Arial" w:hAnsi="Arial"/>
          <w:sz w:val="22"/>
          <w:szCs w:val="22"/>
        </w:rPr>
        <w:t xml:space="preserve">The magic move for your presentation: When System A receives this rich JSON from System B, the Supervisor can tell the user: "I consulted our independent valuation service, and they confirmed the price is fair because of rising demand for high-floor units." That is true agentic collaboration.</w:t>
      </w:r>
    </w:p>
    <w:p>
      <w:pPr>
        <w:pBdr>
          <w:bottom w:val="single" w:color="CBD5E1" w:sz="1" w:space="8"/>
        </w:pBdr>
        <w:spacing w:after="200" w:before="200"/>
      </w:pPr>
    </w:p>
    <w:p>
      <w:pPr>
        <w:pStyle w:val="Heading1"/>
      </w:pPr>
      <w:r>
        <w:t xml:space="preserve">3. Data Sources &amp; RAG Pipeline</w:t>
      </w:r>
    </w:p>
    <w:p>
      <w:pPr>
        <w:pStyle w:val="Heading2"/>
      </w:pPr>
      <w:r>
        <w:t xml:space="preserve">3.1 Primary: Kaggle UAE Dataset (CSV)</w:t>
      </w:r>
    </w:p>
    <w:p>
      <w:pPr>
        <w:spacing w:after="120"/>
      </w:pPr>
      <w:r>
        <w:rPr>
          <w:rFonts w:ascii="Arial" w:cs="Arial" w:eastAsia="Arial" w:hAnsi="Arial"/>
          <w:sz w:val="22"/>
          <w:szCs w:val="22"/>
        </w:rPr>
        <w:t xml:space="preserve">File: dubai_properties.csv (archive.zip) | 73,742 rental listings across all UAE emirates.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69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Total Rows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73,742 rental listings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Cities Covered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Dubai (34,250), Abu Dhabi (23,324), Sharjah (9,516), Ajman (4,704), Al Ain, RAK, UAQ, Fujairah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Property Types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Apartments (56,534), Villas (12,883), Townhouses (3,421), Penthouses, Hotel Apts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Rent Range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0 - 55,000,000 AED (Median: 98,000 AED yearly)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Furnishing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Unfurnished (58,062), Furnished (15,680)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Top Locations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 Reem Island, JVC, Downtown Dubai, Khalifa City, Dubai Marina, Business Bay</w:t>
            </w:r>
          </w:p>
        </w:tc>
      </w:tr>
    </w:tbl>
    <w:p>
      <w:pPr>
        <w:spacing w:after="200"/>
      </w:pPr>
    </w:p>
    <w:p>
      <w:pPr>
        <w:spacing w:after="120"/>
      </w:pPr>
      <w:r>
        <w:rPr>
          <w:rFonts w:ascii="Arial" w:cs="Arial" w:eastAsia="Arial" w:hAnsi="Arial"/>
          <w:b/>
          <w:bCs/>
          <w:sz w:val="22"/>
          <w:szCs w:val="22"/>
        </w:rPr>
        <w:t xml:space="preserve">Columns: </w:t>
      </w:r>
      <w:r>
        <w:rPr>
          <w:rFonts w:ascii="Arial" w:cs="Arial" w:eastAsia="Arial" w:hAnsi="Arial"/>
          <w:sz w:val="22"/>
          <w:szCs w:val="22"/>
        </w:rPr>
        <w:t xml:space="preserve">Address, Rent, Beds, Baths, Type, Area_in_sqft, Rent_per_sqft, Rent_category, Frequency, Furnishing, Purpose, Posted_date, Age_of_listing_in_days, Location, City, Latitude, Longitude</w:t>
      </w:r>
    </w:p>
    <w:p>
      <w:pPr>
        <w:spacing w:after="200"/>
      </w:pPr>
    </w:p>
    <w:p>
      <w:pPr>
        <w:pStyle w:val="Heading2"/>
      </w:pPr>
      <w:r>
        <w:t xml:space="preserve">3.2 Secondary: Document Sources (PDFs)</w:t>
      </w:r>
    </w:p>
    <w:p>
      <w:pPr>
        <w:spacing w:after="120"/>
      </w:pPr>
      <w:r>
        <w:rPr>
          <w:rFonts w:ascii="Arial" w:cs="Arial" w:eastAsia="Arial" w:hAnsi="Arial"/>
          <w:sz w:val="22"/>
          <w:szCs w:val="22"/>
        </w:rPr>
        <w:t xml:space="preserve">Pairing structured CSV data with unstructured PDF reports gives the RAG pipeline both quantitative numbers and qualitative market context. This demonstrates a more impressive and realistic RAG system.</w:t>
      </w:r>
    </w:p>
    <w:p>
      <w:pPr>
        <w:spacing w:after="200"/>
      </w:pPr>
    </w:p>
    <w:p>
      <w:pPr>
        <w:pStyle w:val="ListParagraph"/>
        <w:numPr>
          <w:ilvl w:val="0"/>
          <w:numId w:val="2"/>
        </w:numPr>
        <w:spacing w:after="60"/>
      </w:pPr>
      <w:r>
        <w:rPr>
          <w:rFonts w:ascii="Arial" w:cs="Arial" w:eastAsia="Arial" w:hAnsi="Arial"/>
          <w:b/>
          <w:bCs/>
          <w:sz w:val="22"/>
          <w:szCs w:val="22"/>
        </w:rPr>
        <w:t xml:space="preserve">DLD Rental Index Reports: </w:t>
      </w:r>
      <w:r>
        <w:rPr>
          <w:rFonts w:ascii="Arial" w:cs="Arial" w:eastAsia="Arial" w:hAnsi="Arial"/>
          <w:sz w:val="22"/>
          <w:szCs w:val="22"/>
        </w:rPr>
        <w:t xml:space="preserve">Published quarterly by Dubai Land Department (dubailand.gov.ae). Area-by-area rental benchmarks, transaction volumes, regulatory updates.</w:t>
      </w:r>
    </w:p>
    <w:p>
      <w:pPr>
        <w:pStyle w:val="ListParagraph"/>
        <w:numPr>
          <w:ilvl w:val="0"/>
          <w:numId w:val="2"/>
        </w:numPr>
        <w:spacing w:after="60"/>
      </w:pPr>
      <w:r>
        <w:rPr>
          <w:rFonts w:ascii="Arial" w:cs="Arial" w:eastAsia="Arial" w:hAnsi="Arial"/>
          <w:b/>
          <w:bCs/>
          <w:sz w:val="22"/>
          <w:szCs w:val="22"/>
        </w:rPr>
        <w:t xml:space="preserve">Brokerage Market Reports: </w:t>
      </w:r>
      <w:r>
        <w:rPr>
          <w:rFonts w:ascii="Arial" w:cs="Arial" w:eastAsia="Arial" w:hAnsi="Arial"/>
          <w:sz w:val="22"/>
          <w:szCs w:val="22"/>
        </w:rPr>
        <w:t xml:space="preserve">JLL, Knight Frank, CBRE, and Savills publish free quarterly UAE real estate outlook PDFs. Macro trends, forecasts, supply pipeline.</w:t>
      </w:r>
    </w:p>
    <w:p>
      <w:pPr>
        <w:pStyle w:val="ListParagraph"/>
        <w:numPr>
          <w:ilvl w:val="0"/>
          <w:numId w:val="2"/>
        </w:numPr>
        <w:spacing w:after="60"/>
      </w:pPr>
      <w:r>
        <w:rPr>
          <w:rFonts w:ascii="Arial" w:cs="Arial" w:eastAsia="Arial" w:hAnsi="Arial"/>
          <w:b/>
          <w:bCs/>
          <w:sz w:val="22"/>
          <w:szCs w:val="22"/>
        </w:rPr>
        <w:t xml:space="preserve">Bayut Annual Reports: </w:t>
      </w:r>
      <w:r>
        <w:rPr>
          <w:rFonts w:ascii="Arial" w:cs="Arial" w:eastAsia="Arial" w:hAnsi="Arial"/>
          <w:sz w:val="22"/>
          <w:szCs w:val="22"/>
        </w:rPr>
        <w:t xml:space="preserve">"State of the Market" for Dubai and Abu Dhabi. Since our Kaggle data is from these platforms, the reports provide narrative context around the numbers.</w:t>
      </w:r>
    </w:p>
    <w:p>
      <w:pPr>
        <w:spacing w:after="200"/>
      </w:pPr>
    </w:p>
    <w:p>
      <w:pPr>
        <w:spacing w:after="120"/>
      </w:pPr>
      <w:r>
        <w:rPr>
          <w:rFonts w:ascii="Arial" w:cs="Arial" w:eastAsia="Arial" w:hAnsi="Arial"/>
          <w:b/>
          <w:bCs/>
          <w:sz w:val="22"/>
          <w:szCs w:val="22"/>
        </w:rPr>
        <w:t xml:space="preserve">Plan: </w:t>
      </w:r>
      <w:r>
        <w:rPr>
          <w:rFonts w:ascii="Arial" w:cs="Arial" w:eastAsia="Arial" w:hAnsi="Arial"/>
          <w:sz w:val="22"/>
          <w:szCs w:val="22"/>
        </w:rPr>
        <w:t xml:space="preserve">Download 3-5 PDF reports (totaling 15-20 pages), extract text with pdfplumber or PyMuPDF, chunk identically to CSV data (512 tokens, 50 overlap), embed into Qdrant with metadata tags (source: "dld_report", source: "jll_outlook") for filtering.</w:t>
      </w:r>
    </w:p>
    <w:p>
      <w:pPr>
        <w:pBdr>
          <w:bottom w:val="single" w:color="CBD5E1" w:sz="1" w:space="8"/>
        </w:pBdr>
        <w:spacing w:after="200" w:before="200"/>
      </w:pPr>
    </w:p>
    <w:p>
      <w:pPr>
        <w:pStyle w:val="Heading1"/>
      </w:pPr>
      <w:r>
        <w:t xml:space="preserve">4. RAG Pipeline Configuration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 &amp; Rationale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Chunk Size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512 tokens - balances context retention for financial tables without exceeding embedding model limits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Chunk Overlap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50 tokens - prevents information loss at chunk boundaries, especially for multi-line property descriptions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Splitting Strategy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RecursiveCharacterTextSplitter - handles both CSV row descriptions and PDF prose text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Embedding 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OpenAI text-embedding-3-small - best cost/performance ratio for this data volume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Vector Database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Qdrant - supports metadata filtering natively, runs as Docker container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Metadata Filters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city, property_type, year, source (csv vs pdf report) - enables targeted retrieval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sz w:val="20"/>
                <w:szCs w:val="20"/>
              </w:rPr>
              <w:t xml:space="preserve">Retrieval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Top-K similarity search with metadata pre-filtering</w:t>
            </w:r>
          </w:p>
        </w:tc>
      </w:tr>
    </w:tbl>
    <w:p>
      <w:pPr>
        <w:spacing w:after="200"/>
      </w:pPr>
    </w:p>
    <w:p>
      <w:pPr>
        <w:spacing w:after="120"/>
      </w:pPr>
      <w:r>
        <w:rPr>
          <w:rFonts w:ascii="Arial" w:cs="Arial" w:eastAsia="Arial" w:hAnsi="Arial"/>
          <w:b/>
          <w:bCs/>
          <w:sz w:val="22"/>
          <w:szCs w:val="22"/>
        </w:rPr>
        <w:t xml:space="preserve">Evaluation Config Comparisons: </w:t>
      </w:r>
      <w:r>
        <w:rPr>
          <w:rFonts w:ascii="Arial" w:cs="Arial" w:eastAsia="Arial" w:hAnsi="Arial"/>
          <w:sz w:val="22"/>
          <w:szCs w:val="22"/>
        </w:rPr>
        <w:t xml:space="preserve">chunk_size 256 vs 512, and top_k 3 vs 5 retrieval. Both will be tested with RAGAS metrics to determine optimal settings.</w:t>
      </w:r>
    </w:p>
    <w:p>
      <w:pPr>
        <w:pBdr>
          <w:bottom w:val="single" w:color="CBD5E1" w:sz="1" w:space="8"/>
        </w:pBdr>
        <w:spacing w:after="200" w:before="200"/>
      </w:pPr>
    </w:p>
    <w:p>
      <w:pPr>
        <w:pStyle w:val="Heading1"/>
      </w:pPr>
      <w:r>
        <w:t xml:space="preserve">5. MCP Server</w:t>
      </w:r>
    </w:p>
    <w:p>
      <w:pPr>
        <w:spacing w:after="120"/>
      </w:pPr>
      <w:r>
        <w:rPr>
          <w:rFonts w:ascii="Arial" w:cs="Arial" w:eastAsia="Arial" w:hAnsi="Arial"/>
          <w:sz w:val="22"/>
          <w:szCs w:val="22"/>
        </w:rPr>
        <w:t xml:space="preserve">Independent container running 2 financial calculation tools, exposed via the Model Context Protocol.</w:t>
      </w:r>
    </w:p>
    <w:p>
      <w:pPr>
        <w:spacing w:after="200"/>
      </w:pPr>
    </w:p>
    <w:p>
      <w:pPr>
        <w:pStyle w:val="ListParagraph"/>
        <w:numPr>
          <w:ilvl w:val="0"/>
          <w:numId w:val="2"/>
        </w:numPr>
        <w:spacing w:after="60"/>
      </w:pPr>
      <w:r>
        <w:rPr>
          <w:rFonts w:ascii="Arial" w:cs="Arial" w:eastAsia="Arial" w:hAnsi="Arial"/>
          <w:b/>
          <w:bCs/>
          <w:sz w:val="22"/>
          <w:szCs w:val="22"/>
        </w:rPr>
        <w:t xml:space="preserve">mortgage_calculator: </w:t>
      </w:r>
      <w:r>
        <w:rPr>
          <w:rFonts w:ascii="Arial" w:cs="Arial" w:eastAsia="Arial" w:hAnsi="Arial"/>
          <w:sz w:val="22"/>
          <w:szCs w:val="22"/>
        </w:rPr>
        <w:t xml:space="preserve">Accepts purchase price, down payment %, interest rate, loan term. Returns monthly payment, total interest, debt-to-income ratio. Handles UAE-specific mortgage rules (max 80% LTV for expats, 85% for nationals).</w:t>
      </w:r>
    </w:p>
    <w:p>
      <w:pPr>
        <w:pStyle w:val="ListParagraph"/>
        <w:numPr>
          <w:ilvl w:val="0"/>
          <w:numId w:val="2"/>
        </w:numPr>
        <w:spacing w:after="60"/>
      </w:pPr>
      <w:r>
        <w:rPr>
          <w:rFonts w:ascii="Arial" w:cs="Arial" w:eastAsia="Arial" w:hAnsi="Arial"/>
          <w:b/>
          <w:bCs/>
          <w:sz w:val="22"/>
          <w:szCs w:val="22"/>
        </w:rPr>
        <w:t xml:space="preserve">property_tax_estimator: </w:t>
      </w:r>
      <w:r>
        <w:rPr>
          <w:rFonts w:ascii="Arial" w:cs="Arial" w:eastAsia="Arial" w:hAnsi="Arial"/>
          <w:sz w:val="22"/>
          <w:szCs w:val="22"/>
        </w:rPr>
        <w:t xml:space="preserve">Accepts property value, emirate, property type. Returns estimated annual fees (Dubai: 5% municipality fee on rent, Abu Dhabi: different structure). Accounts for service charges by area.</w:t>
      </w:r>
    </w:p>
    <w:p>
      <w:pPr>
        <w:spacing w:after="200"/>
      </w:pPr>
    </w:p>
    <w:p>
      <w:pPr>
        <w:spacing w:after="120"/>
      </w:pPr>
      <w:r>
        <w:rPr>
          <w:rFonts w:ascii="Arial" w:cs="Arial" w:eastAsia="Arial" w:hAnsi="Arial"/>
          <w:sz w:val="22"/>
          <w:szCs w:val="22"/>
        </w:rPr>
        <w:t xml:space="preserve">These are intentionally designed as TOOLS (simple calculations), which contrasts with Agent B being a true AGENT (autonomous reasoning). This distinction is important for the evaluator to see.</w:t>
      </w:r>
    </w:p>
    <w:p>
      <w:pPr>
        <w:pBdr>
          <w:bottom w:val="single" w:color="CBD5E1" w:sz="1" w:space="8"/>
        </w:pBdr>
        <w:spacing w:after="200" w:before="200"/>
      </w:pPr>
    </w:p>
    <w:p>
      <w:pPr>
        <w:pStyle w:val="Heading1"/>
      </w:pPr>
      <w:r>
        <w:t xml:space="preserve">6. Docker Compose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Image/Base</w:t>
            </w:r>
          </w:p>
        </w:tc>
        <w:tc>
          <w:tcPr>
            <w:tcW w:type="dxa" w:w="53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2563EB" w:sz="6"/>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agent-system-a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LangGraph supervisor + FastAPI endpoint. Main orchestrator.</w:t>
            </w:r>
          </w:p>
        </w:tc>
      </w:tr>
      <w:tr>
        <w:tc>
          <w:tcPr>
            <w:tcW w:type="dxa" w:w="2200"/>
            <w:tcBorders>
              <w:top w:val="single" w:color="CBD5E1" w:sz="1"/>
              <w:left w:val="single" w:color="16A34A" w:sz="6"/>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agent-system-b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Google ADK agent. Independent valuation/comp service. HTTP only.</w:t>
            </w:r>
          </w:p>
        </w:tc>
      </w:tr>
      <w:tr>
        <w:tc>
          <w:tcPr>
            <w:tcW w:type="dxa" w:w="2200"/>
            <w:tcBorders>
              <w:top w:val="single" w:color="CBD5E1" w:sz="1"/>
              <w:left w:val="single" w:color="7C3AED" w:sz="6"/>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mcp-server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MCP protocol server with mortgage + tax tools.</w:t>
            </w:r>
          </w:p>
        </w:tc>
      </w:tr>
      <w:tr>
        <w:tc>
          <w:tcPr>
            <w:tcW w:type="dxa" w:w="2200"/>
            <w:tcBorders>
              <w:top w:val="single" w:color="CBD5E1" w:sz="1"/>
              <w:left w:val="single" w:color="EA580C" w:sz="6"/>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qdrant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qdrant/qdrant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Vector database for RAG embeddings + metadata filtering.</w:t>
            </w:r>
          </w:p>
        </w:tc>
      </w:tr>
      <w:tr>
        <w:tc>
          <w:tcPr>
            <w:tcW w:type="dxa" w:w="2200"/>
            <w:tcBorders>
              <w:top w:val="single" w:color="CBD5E1" w:sz="1"/>
              <w:left w:val="single" w:color="78716C" w:sz="6"/>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mongodb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mongo:7</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Session/conversation history storage.</w:t>
            </w:r>
          </w:p>
        </w:tc>
      </w:tr>
    </w:tbl>
    <w:p>
      <w:pPr>
        <w:pBdr>
          <w:bottom w:val="single" w:color="CBD5E1" w:sz="1" w:space="8"/>
        </w:pBdr>
        <w:spacing w:after="200" w:before="200"/>
      </w:pPr>
    </w:p>
    <w:p>
      <w:pPr>
        <w:pBdr>
          <w:bottom w:val="single" w:color="CBD5E1" w:sz="1" w:space="8"/>
        </w:pBdr>
        <w:spacing w:after="200" w:before="200"/>
      </w:pPr>
    </w:p>
    <w:p>
      <w:pPr>
        <w:pStyle w:val="Heading1"/>
      </w:pPr>
      <w:r>
        <w:t ns2:space="preserve">7. System B Detailed Architecture</w:t>
      </w:r>
    </w:p>
    <w:p>
      <w:pPr>
        <w:spacing w:after="200"/>
      </w:pPr>
      <w:r>
        <w:rPr/>
        <w:t ns2:space="preserve"/>
      </w:r>
    </w:p>
    <w:p>
      <w:pPr>
        <w:spacing w:after="200"/>
      </w:pPr>
      <w:r>
        <w:rPr>
          <w:b/>
          <w:bCs/>
        </w:rPr>
        <w:t ns2:space="preserve">System B is an independent Agent Development Kit (ADK) microservice that demonstrates true agentic reasoning, not a simple tool lookup.</w:t>
      </w:r>
    </w:p>
    <w:p>
      <w:pPr>
        <w:spacing w:before="120" w:after="120"/>
      </w:pPr>
      <w:r>
        <w:rPr>
          <w:b/>
          <w:bCs/>
        </w:rPr>
        <w:t ns2:space="preserve">7.1 System B Architecture Overview</w:t>
      </w:r>
    </w:p>
    <w:p>
      <w:pPr>
        <w:spacing w:after="200"/>
      </w:pPr>
      <w:r>
        <w:rPr/>
        <w:t ns2:space="preserve">Unlike Agent System A (which uses LangGraph with supervisor pattern), System B is a standalone HTTP service that receives property analysis requests from Agent A's Market Researcher agent. System B does NOT execute pre-written rules or lookups. Instead, it:</w:t>
      </w:r>
    </w:p>
    <w:p>
      <w:pPr>
        <w:spacing w:after="120"/>
      </w:pPr>
      <w:r>
        <w:rPr/>
        <w:t ns2:space="preserve">• Receives an HTTP POST request with property criteria and user context</w:t>
      </w:r>
    </w:p>
    <w:p>
      <w:pPr>
        <w:spacing w:after="120"/>
      </w:pPr>
      <w:r>
        <w:rPr/>
        <w:t ns2:space="preserve">• Autonomously researches comparable properties in the RAG database</w:t>
      </w:r>
    </w:p>
    <w:p>
      <w:pPr>
        <w:spacing w:after="120"/>
      </w:pPr>
      <w:r>
        <w:rPr/>
        <w:t ns2:space="preserve">• Applies statistical reasoning (outlier detection, demand adjustments, seasonal factors)</w:t>
      </w:r>
    </w:p>
    <w:p>
      <w:pPr>
        <w:spacing w:after="200"/>
      </w:pPr>
      <w:r>
        <w:rPr/>
        <w:t ns2:space="preserve">• Returns a justified valuation with confidence score and reasoning chain</w:t>
      </w:r>
    </w:p>
    <w:p>
      <w:pPr>
        <w:spacing w:before="120" w:after="120"/>
      </w:pPr>
      <w:r>
        <w:rPr>
          <w:b/>
          <w:bCs/>
        </w:rPr>
        <w:t ns2:space="preserve">7.2 Internal 4-Step Reasoning Pipeline</w:t>
      </w:r>
    </w:p>
    <w:p>
      <w:pPr>
        <w:spacing w:after="200"/>
      </w:pPr>
      <w:r>
        <w:rPr/>
        <w:t ns2:space="preserve">System B internally follows a structured reasoning pipeline:</w:t>
      </w:r>
    </w:p>
    <w:p>
      <w:pPr>
        <w:spacing w:after="120"/>
      </w:pPr>
      <w:r>
        <w:rPr/>
        <w:t ns2:space="preserve">Step 1: Request Parser - Extracts key criteria from HTTP request and formulates search strategy for Comp Finder.</w:t>
      </w:r>
    </w:p>
    <w:p>
      <w:pPr>
        <w:spacing w:after="120"/>
      </w:pPr>
      <w:r>
        <w:rPr/>
        <w:t ns2:space="preserve">Step 2: Comp Finder (RAG) - Queries Qdrant vector DB with semantic search + metadata filtering. Retrieves 5-10 most relevant comparable properties.</w:t>
      </w:r>
    </w:p>
    <w:p>
      <w:pPr>
        <w:spacing w:after="120"/>
      </w:pPr>
      <w:r>
        <w:rPr/>
        <w:t ns2:space="preserve">Step 3: Comp Evaluator (Reasoning Engine) - This is where the AGENT reasoning happens. Independently scores each comparable for relevance, flags outliers, and applies domain adjustments.</w:t>
      </w:r>
    </w:p>
    <w:p>
      <w:pPr>
        <w:spacing w:after="200"/>
      </w:pPr>
      <w:r>
        <w:rPr/>
        <w:t ns2:space="preserve">Step 4: Synthesis Engine - Calculates weighted average valuation, determines confidence level, builds reasoning_chain, and compiles supporting_comps list.</w:t>
      </w:r>
    </w:p>
    <w:p>
      <w:pPr>
        <w:spacing w:before="120" w:after="120"/>
      </w:pPr>
      <w:r>
        <w:rPr>
          <w:b/>
          <w:bCs/>
        </w:rPr>
        <w:t ns2:space="preserve">7.3 Agentic JSON Response Structure</w:t>
      </w:r>
    </w:p>
    <w:p>
      <w:pPr>
        <w:spacing w:after="200"/>
      </w:pPr>
      <w:r>
        <w:rPr/>
        <w:t ns2:space="preserve">The response payload determines whether System B is a tool or a true agent:</w:t>
      </w:r>
    </w:p>
    <w:p>
      <w:pPr>
        <w:spacing w:before="120" w:after="200"/>
      </w:pPr>
      <w:r>
        <w:rPr/>
        <w:t ns2:space="preserve">✗ Tool Response (avoid): { "estimated_value": 450000 }</w:t>
      </w:r>
    </w:p>
    <w:p>
      <w:pPr>
        <w:spacing w:before="80" w:after="200"/>
      </w:pPr>
      <w:r>
        <w:rPr/>
        <w:t ns2:space="preserve">✓ Agentic Response (build this):
{
  "estimated_value": 450000,
  "confidence_score": "High",
  "reasoning_chain": "Found 4 comparable units. Applied +5% premium for high-floor desirability.",
  "supporting_comps": [...]
}</w:t>
      </w:r>
    </w:p>
    <w:p>
      <w:pPr>
        <w:spacing w:after="200"/>
      </w:pPr>
      <w:r>
        <w:rPr/>
        <w:t ns2:space="preserve">The agentic response proves that System B independently analyzed data, applied reasoning, flagged outliers, and justified its conclusion.</w:t>
      </w:r>
    </w:p>
    <w:p>
      <w:pPr>
        <w:spacing w:before="120" w:after="120"/>
      </w:pPr>
      <w:r>
        <w:rPr>
          <w:b/>
          <w:bCs/>
        </w:rPr>
        <w:t ns2:space="preserve">7.4 Integration: How System A Uses System B</w:t>
      </w:r>
    </w:p>
    <w:p>
      <w:pPr>
        <w:spacing w:after="200"/>
      </w:pPr>
      <w:r>
        <w:rPr/>
        <w:t ns2:space="preserve">When Agent System A's Market Researcher needs to value a property, it:</w:t>
      </w:r>
    </w:p>
    <w:p>
      <w:pPr>
        <w:spacing w:after="120"/>
      </w:pPr>
      <w:r>
        <w:rPr/>
        <w:t ns2:space="preserve">1. Calls POST /analyze with property details</w:t>
      </w:r>
    </w:p>
    <w:p>
      <w:pPr>
        <w:spacing w:after="120"/>
      </w:pPr>
      <w:r>
        <w:rPr/>
        <w:t ns2:space="preserve">2. System B independently processes through its 4-step pipeline</w:t>
      </w:r>
    </w:p>
    <w:p>
      <w:pPr>
        <w:spacing w:after="120"/>
      </w:pPr>
      <w:r>
        <w:rPr/>
        <w:t ns2:space="preserve">3. System B returns agentic JSON with valuation + reasoning + comps</w:t>
      </w:r>
    </w:p>
    <w:p>
      <w:pPr>
        <w:spacing w:after="200"/>
      </w:pPr>
      <w:r>
        <w:rPr/>
        <w:t ns2:space="preserve">4. Market Researcher incorporates: "I consulted our independent valuation service..."</w:t>
      </w:r>
    </w:p>
    <w:p>
      <w:pPr>
        <w:spacing w:before="120" w:after="200"/>
      </w:pPr>
      <w:r>
        <w:rPr>
          <w:b/>
          <w:bCs/>
        </w:rPr>
        <w:t ns2:space="preserve">This proves true agentic collaboration.</w:t>
      </w:r>
    </w:p>
    <w:p>
      <w:pPr>
        <w:pStyle w:val="Heading1"/>
      </w:pPr>
      <w:r>
        <w:t xml:space="preserve">8. API Layer</w:t>
      </w:r>
    </w:p>
    <w:p>
      <w:pPr>
        <w:spacing w:after="120"/>
      </w:pPr>
      <w:r>
        <w:rPr>
          <w:rFonts w:ascii="Arial" w:cs="Arial" w:eastAsia="Arial" w:hAnsi="Arial"/>
          <w:b/>
          <w:bCs/>
          <w:sz w:val="22"/>
          <w:szCs w:val="22"/>
        </w:rPr>
        <w:t xml:space="preserve">Framework: </w:t>
      </w:r>
      <w:r>
        <w:rPr>
          <w:rFonts w:ascii="Arial" w:cs="Arial" w:eastAsia="Arial" w:hAnsi="Arial"/>
          <w:sz w:val="22"/>
          <w:szCs w:val="22"/>
        </w:rPr>
        <w:t xml:space="preserve">FastAPI (inside agent-system-a container)</w:t>
      </w:r>
    </w:p>
    <w:p>
      <w:pPr>
        <w:spacing w:after="200"/>
      </w:pPr>
    </w:p>
    <w:p>
      <w:pPr>
        <w:pStyle w:val="ListParagraph"/>
        <w:numPr>
          <w:ilvl w:val="0"/>
          <w:numId w:val="2"/>
        </w:numPr>
        <w:spacing w:after="60"/>
      </w:pPr>
      <w:r>
        <w:rPr>
          <w:rFonts w:ascii="Arial" w:cs="Arial" w:eastAsia="Arial" w:hAnsi="Arial"/>
          <w:b/>
          <w:bCs/>
          <w:sz w:val="22"/>
          <w:szCs w:val="22"/>
        </w:rPr>
        <w:t xml:space="preserve">POST /chat: </w:t>
      </w:r>
      <w:r>
        <w:rPr>
          <w:rFonts w:ascii="Arial" w:cs="Arial" w:eastAsia="Arial" w:hAnsi="Arial"/>
          <w:sz w:val="22"/>
          <w:szCs w:val="22"/>
        </w:rPr>
        <w:t xml:space="preserve">Main endpoint. Accepts { query, session_id, preferences }. Returns streaming SSE response.</w:t>
      </w:r>
    </w:p>
    <w:p>
      <w:pPr>
        <w:pStyle w:val="ListParagraph"/>
        <w:numPr>
          <w:ilvl w:val="0"/>
          <w:numId w:val="2"/>
        </w:numPr>
        <w:spacing w:after="60"/>
      </w:pPr>
      <w:r>
        <w:rPr>
          <w:rFonts w:ascii="Arial" w:cs="Arial" w:eastAsia="Arial" w:hAnsi="Arial"/>
          <w:b/>
          <w:bCs/>
          <w:sz w:val="22"/>
          <w:szCs w:val="22"/>
        </w:rPr>
        <w:t xml:space="preserve">Session Management: </w:t>
      </w:r>
      <w:r>
        <w:rPr>
          <w:rFonts w:ascii="Arial" w:cs="Arial" w:eastAsia="Arial" w:hAnsi="Arial"/>
          <w:sz w:val="22"/>
          <w:szCs w:val="22"/>
        </w:rPr>
        <w:t xml:space="preserve">MongoDB-backed. Each session stores conversation history, user preferences, and previous recommendations for context continuity.</w:t>
      </w:r>
    </w:p>
    <w:p>
      <w:pPr>
        <w:pStyle w:val="ListParagraph"/>
        <w:numPr>
          <w:ilvl w:val="0"/>
          <w:numId w:val="2"/>
        </w:numPr>
        <w:spacing w:after="60"/>
      </w:pPr>
      <w:r>
        <w:rPr>
          <w:rFonts w:ascii="Arial" w:cs="Arial" w:eastAsia="Arial" w:hAnsi="Arial"/>
          <w:b/>
          <w:bCs/>
          <w:sz w:val="22"/>
          <w:szCs w:val="22"/>
        </w:rPr>
        <w:t xml:space="preserve">Streaming: </w:t>
      </w:r>
      <w:r>
        <w:rPr>
          <w:rFonts w:ascii="Arial" w:cs="Arial" w:eastAsia="Arial" w:hAnsi="Arial"/>
          <w:sz w:val="22"/>
          <w:szCs w:val="22"/>
        </w:rPr>
        <w:t xml:space="preserve">Server-Sent Events (SSE) for real-time token delivery to the frontend.</w:t>
      </w:r>
    </w:p>
    <w:p>
      <w:pPr>
        <w:pBdr>
          <w:bottom w:val="single" w:color="CBD5E1" w:sz="1" w:space="8"/>
        </w:pBdr>
        <w:spacing w:after="200" w:before="200"/>
      </w:pPr>
    </w:p>
    <w:p>
      <w:pPr>
        <w:pStyle w:val="Heading1"/>
      </w:pPr>
      <w:r>
        <w:t xml:space="preserve">9. Evaluation Plan</w:t>
      </w:r>
    </w:p>
    <w:p>
      <w:pPr>
        <w:spacing w:after="200"/>
      </w:pPr>
    </w:p>
    <w:p>
      <w:pPr>
        <w:pStyle w:val="Heading2"/>
      </w:pPr>
      <w:r>
        <w:t xml:space="preserve">8.1 Test Suite</w:t>
      </w:r>
    </w:p>
    <w:p>
      <w:pPr>
        <w:spacing w:after="120"/>
      </w:pPr>
      <w:r>
        <w:rPr>
          <w:rFonts w:ascii="Arial" w:cs="Arial" w:eastAsia="Arial" w:hAnsi="Arial"/>
          <w:sz w:val="22"/>
          <w:szCs w:val="22"/>
        </w:rPr>
        <w:t xml:space="preserve">20+ test questions with human-verified ground truth answers. Categories include:</w:t>
      </w:r>
    </w:p>
    <w:p>
      <w:pPr>
        <w:pStyle w:val="ListParagraph"/>
        <w:numPr>
          <w:ilvl w:val="0"/>
          <w:numId w:val="2"/>
        </w:numPr>
        <w:spacing w:after="60"/>
      </w:pPr>
      <w:r>
        <w:rPr>
          <w:rFonts w:ascii="Arial" w:cs="Arial" w:eastAsia="Arial" w:hAnsi="Arial"/>
          <w:sz w:val="22"/>
          <w:szCs w:val="22"/>
        </w:rPr>
        <w:t xml:space="preserve">Budget-based queries: "What can I rent in Dubai Marina for under 120,000 AED/year?"</w:t>
      </w:r>
    </w:p>
    <w:p>
      <w:pPr>
        <w:pStyle w:val="ListParagraph"/>
        <w:numPr>
          <w:ilvl w:val="0"/>
          <w:numId w:val="2"/>
        </w:numPr>
        <w:spacing w:after="60"/>
      </w:pPr>
      <w:r>
        <w:rPr>
          <w:rFonts w:ascii="Arial" w:cs="Arial" w:eastAsia="Arial" w:hAnsi="Arial"/>
          <w:sz w:val="22"/>
          <w:szCs w:val="22"/>
        </w:rPr>
        <w:t xml:space="preserve">Yield calculations: "What is the average rental yield in JVC for 2-bedroom apartments?"</w:t>
      </w:r>
    </w:p>
    <w:p>
      <w:pPr>
        <w:pStyle w:val="ListParagraph"/>
        <w:numPr>
          <w:ilvl w:val="0"/>
          <w:numId w:val="2"/>
        </w:numPr>
        <w:spacing w:after="60"/>
      </w:pPr>
      <w:r>
        <w:rPr>
          <w:rFonts w:ascii="Arial" w:cs="Arial" w:eastAsia="Arial" w:hAnsi="Arial"/>
          <w:sz w:val="22"/>
          <w:szCs w:val="22"/>
        </w:rPr>
        <w:t xml:space="preserve">Comparison queries: "Compare rental returns in Business Bay vs Downtown Dubai"</w:t>
      </w:r>
    </w:p>
    <w:p>
      <w:pPr>
        <w:pStyle w:val="ListParagraph"/>
        <w:numPr>
          <w:ilvl w:val="0"/>
          <w:numId w:val="2"/>
        </w:numPr>
        <w:spacing w:after="60"/>
      </w:pPr>
      <w:r>
        <w:rPr>
          <w:rFonts w:ascii="Arial" w:cs="Arial" w:eastAsia="Arial" w:hAnsi="Arial"/>
          <w:sz w:val="22"/>
          <w:szCs w:val="22"/>
        </w:rPr>
        <w:t xml:space="preserve">Risk assessment: "Is Al Reem Island a safe investment for a risk-averse investor?"</w:t>
      </w:r>
    </w:p>
    <w:p>
      <w:pPr>
        <w:pStyle w:val="ListParagraph"/>
        <w:numPr>
          <w:ilvl w:val="0"/>
          <w:numId w:val="2"/>
        </w:numPr>
        <w:spacing w:after="60"/>
      </w:pPr>
      <w:r>
        <w:rPr>
          <w:rFonts w:ascii="Arial" w:cs="Arial" w:eastAsia="Arial" w:hAnsi="Arial"/>
          <w:sz w:val="22"/>
          <w:szCs w:val="22"/>
        </w:rPr>
        <w:t xml:space="preserve">Complex multi-factor: "I have $400k, want 8% yield, prefer furnished in a family area"</w:t>
      </w:r>
    </w:p>
    <w:p>
      <w:pPr>
        <w:spacing w:after="200"/>
      </w:pPr>
    </w:p>
    <w:p>
      <w:pPr>
        <w:pStyle w:val="Heading2"/>
      </w:pPr>
      <w:r>
        <w:t xml:space="preserve">8.2 RAGAS Metrics</w:t>
      </w:r>
    </w:p>
    <w:p>
      <w:pPr>
        <w:pStyle w:val="ListParagraph"/>
        <w:numPr>
          <w:ilvl w:val="0"/>
          <w:numId w:val="2"/>
        </w:numPr>
        <w:spacing w:after="60"/>
      </w:pPr>
      <w:r>
        <w:rPr>
          <w:rFonts w:ascii="Arial" w:cs="Arial" w:eastAsia="Arial" w:hAnsi="Arial"/>
          <w:b/>
          <w:bCs/>
          <w:sz w:val="22"/>
          <w:szCs w:val="22"/>
        </w:rPr>
        <w:t xml:space="preserve">Faithfulness: </w:t>
      </w:r>
      <w:r>
        <w:rPr>
          <w:rFonts w:ascii="Arial" w:cs="Arial" w:eastAsia="Arial" w:hAnsi="Arial"/>
          <w:sz w:val="22"/>
          <w:szCs w:val="22"/>
        </w:rPr>
        <w:t xml:space="preserve">Are the agent's claims supported by the retrieved context?</w:t>
      </w:r>
    </w:p>
    <w:p>
      <w:pPr>
        <w:pStyle w:val="ListParagraph"/>
        <w:numPr>
          <w:ilvl w:val="0"/>
          <w:numId w:val="2"/>
        </w:numPr>
        <w:spacing w:after="60"/>
      </w:pPr>
      <w:r>
        <w:rPr>
          <w:rFonts w:ascii="Arial" w:cs="Arial" w:eastAsia="Arial" w:hAnsi="Arial"/>
          <w:b/>
          <w:bCs/>
          <w:sz w:val="22"/>
          <w:szCs w:val="22"/>
        </w:rPr>
        <w:t xml:space="preserve">Answer Relevance: </w:t>
      </w:r>
      <w:r>
        <w:rPr>
          <w:rFonts w:ascii="Arial" w:cs="Arial" w:eastAsia="Arial" w:hAnsi="Arial"/>
          <w:sz w:val="22"/>
          <w:szCs w:val="22"/>
        </w:rPr>
        <w:t xml:space="preserve">Does the response actually address what the user asked?</w:t>
      </w:r>
    </w:p>
    <w:p>
      <w:pPr>
        <w:pStyle w:val="ListParagraph"/>
        <w:numPr>
          <w:ilvl w:val="0"/>
          <w:numId w:val="2"/>
        </w:numPr>
        <w:spacing w:after="60"/>
      </w:pPr>
      <w:r>
        <w:rPr>
          <w:rFonts w:ascii="Arial" w:cs="Arial" w:eastAsia="Arial" w:hAnsi="Arial"/>
          <w:b/>
          <w:bCs/>
          <w:sz w:val="22"/>
          <w:szCs w:val="22"/>
        </w:rPr>
        <w:t xml:space="preserve">Context Precision: </w:t>
      </w:r>
      <w:r>
        <w:rPr>
          <w:rFonts w:ascii="Arial" w:cs="Arial" w:eastAsia="Arial" w:hAnsi="Arial"/>
          <w:sz w:val="22"/>
          <w:szCs w:val="22"/>
        </w:rPr>
        <w:t xml:space="preserve">Are the retrieved chunks relevant to the query?</w:t>
      </w:r>
    </w:p>
    <w:p>
      <w:pPr>
        <w:pStyle w:val="ListParagraph"/>
        <w:numPr>
          <w:ilvl w:val="0"/>
          <w:numId w:val="2"/>
        </w:numPr>
        <w:spacing w:after="60"/>
      </w:pPr>
      <w:r>
        <w:rPr>
          <w:rFonts w:ascii="Arial" w:cs="Arial" w:eastAsia="Arial" w:hAnsi="Arial"/>
          <w:b/>
          <w:bCs/>
          <w:sz w:val="22"/>
          <w:szCs w:val="22"/>
        </w:rPr>
        <w:t xml:space="preserve">Context Recall: </w:t>
      </w:r>
      <w:r>
        <w:rPr>
          <w:rFonts w:ascii="Arial" w:cs="Arial" w:eastAsia="Arial" w:hAnsi="Arial"/>
          <w:sz w:val="22"/>
          <w:szCs w:val="22"/>
        </w:rPr>
        <w:t xml:space="preserve">Did the retrieval capture all necessary information?</w:t>
      </w:r>
    </w:p>
    <w:p>
      <w:pPr>
        <w:spacing w:after="200"/>
      </w:pPr>
    </w:p>
    <w:p>
      <w:pPr>
        <w:pStyle w:val="Heading2"/>
      </w:pPr>
      <w:r>
        <w:t xml:space="preserve">8.3 Configuration Comparisons</w:t>
      </w:r>
    </w:p>
    <w:p>
      <w:pPr>
        <w:spacing w:after="120"/>
      </w:pPr>
      <w:r>
        <w:rPr>
          <w:rFonts w:ascii="Arial" w:cs="Arial" w:eastAsia="Arial" w:hAnsi="Arial"/>
          <w:sz w:val="22"/>
          <w:szCs w:val="22"/>
        </w:rPr>
        <w:t xml:space="preserve">Two A/B comparisons to demonstrate engineering rigor:</w:t>
      </w:r>
    </w:p>
    <w:p>
      <w:pPr>
        <w:pStyle w:val="ListParagraph"/>
        <w:numPr>
          <w:ilvl w:val="0"/>
          <w:numId w:val="3"/>
        </w:numPr>
        <w:spacing w:after="60"/>
      </w:pPr>
      <w:r>
        <w:rPr>
          <w:rFonts w:ascii="Arial" w:cs="Arial" w:eastAsia="Arial" w:hAnsi="Arial"/>
          <w:b/>
          <w:bCs/>
          <w:sz w:val="22"/>
          <w:szCs w:val="22"/>
        </w:rPr>
        <w:t xml:space="preserve">Chunk Size: 256 vs 512 tokens. </w:t>
      </w:r>
      <w:r>
        <w:rPr>
          <w:rFonts w:ascii="Arial" w:cs="Arial" w:eastAsia="Arial" w:hAnsi="Arial"/>
          <w:sz w:val="22"/>
          <w:szCs w:val="22"/>
        </w:rPr>
        <w:t xml:space="preserve">Hypothesis: 512 preserves more context for financial tables, improving faithfulness.</w:t>
      </w:r>
    </w:p>
    <w:p>
      <w:pPr>
        <w:pStyle w:val="ListParagraph"/>
        <w:numPr>
          <w:ilvl w:val="0"/>
          <w:numId w:val="3"/>
        </w:numPr>
        <w:spacing w:after="60"/>
      </w:pPr>
      <w:r>
        <w:rPr>
          <w:rFonts w:ascii="Arial" w:cs="Arial" w:eastAsia="Arial" w:hAnsi="Arial"/>
          <w:b/>
          <w:bCs/>
          <w:sz w:val="22"/>
          <w:szCs w:val="22"/>
        </w:rPr>
        <w:t xml:space="preserve">Top-K Retrieval: 3 vs 5 results. </w:t>
      </w:r>
      <w:r>
        <w:rPr>
          <w:rFonts w:ascii="Arial" w:cs="Arial" w:eastAsia="Arial" w:hAnsi="Arial"/>
          <w:sz w:val="22"/>
          <w:szCs w:val="22"/>
        </w:rPr>
        <w:t xml:space="preserve">Hypothesis: top-5 improves recall for complex queries but may reduce precision.</w:t>
      </w:r>
    </w:p>
    <w:p>
      <w:pPr>
        <w:spacing w:after="200"/>
      </w:pPr>
    </w:p>
    <w:p>
      <w:pPr>
        <w:pStyle w:val="Heading2"/>
      </w:pPr>
      <w:r>
        <w:t xml:space="preserve">8.4 Failure Cases</w:t>
      </w:r>
    </w:p>
    <w:p>
      <w:pPr>
        <w:spacing w:after="120"/>
      </w:pPr>
      <w:r>
        <w:rPr>
          <w:rFonts w:ascii="Arial" w:cs="Arial" w:eastAsia="Arial" w:hAnsi="Arial"/>
          <w:sz w:val="22"/>
          <w:szCs w:val="22"/>
        </w:rPr>
        <w:t xml:space="preserve">3 documented failure cases with root cause analysis. Expected failures:</w:t>
      </w:r>
    </w:p>
    <w:p>
      <w:pPr>
        <w:pStyle w:val="ListParagraph"/>
        <w:numPr>
          <w:ilvl w:val="0"/>
          <w:numId w:val="2"/>
        </w:numPr>
        <w:spacing w:after="60"/>
      </w:pPr>
      <w:r>
        <w:rPr>
          <w:rFonts w:ascii="Arial" w:cs="Arial" w:eastAsia="Arial" w:hAnsi="Arial"/>
          <w:b/>
          <w:bCs/>
          <w:sz w:val="22"/>
          <w:szCs w:val="22"/>
        </w:rPr>
        <w:t xml:space="preserve">Out-of-distribution queries: </w:t>
      </w:r>
      <w:r>
        <w:rPr>
          <w:rFonts w:ascii="Arial" w:cs="Arial" w:eastAsia="Arial" w:hAnsi="Arial"/>
          <w:sz w:val="22"/>
          <w:szCs w:val="22"/>
        </w:rPr>
        <w:t xml:space="preserve">Asking about commercial properties when the dataset only covers residential rentals.</w:t>
      </w:r>
    </w:p>
    <w:p>
      <w:pPr>
        <w:pStyle w:val="ListParagraph"/>
        <w:numPr>
          <w:ilvl w:val="0"/>
          <w:numId w:val="2"/>
        </w:numPr>
        <w:spacing w:after="60"/>
      </w:pPr>
      <w:r>
        <w:rPr>
          <w:rFonts w:ascii="Arial" w:cs="Arial" w:eastAsia="Arial" w:hAnsi="Arial"/>
          <w:b/>
          <w:bCs/>
          <w:sz w:val="22"/>
          <w:szCs w:val="22"/>
        </w:rPr>
        <w:t xml:space="preserve">Contradictory context: </w:t>
      </w:r>
      <w:r>
        <w:rPr>
          <w:rFonts w:ascii="Arial" w:cs="Arial" w:eastAsia="Arial" w:hAnsi="Arial"/>
          <w:sz w:val="22"/>
          <w:szCs w:val="22"/>
        </w:rPr>
        <w:t xml:space="preserve">When retrieved chunks contain conflicting price information from different time periods.</w:t>
      </w:r>
    </w:p>
    <w:p>
      <w:pPr>
        <w:pStyle w:val="ListParagraph"/>
        <w:numPr>
          <w:ilvl w:val="0"/>
          <w:numId w:val="2"/>
        </w:numPr>
        <w:spacing w:after="60"/>
      </w:pPr>
      <w:r>
        <w:rPr>
          <w:rFonts w:ascii="Arial" w:cs="Arial" w:eastAsia="Arial" w:hAnsi="Arial"/>
          <w:b/>
          <w:bCs/>
          <w:sz w:val="22"/>
          <w:szCs w:val="22"/>
        </w:rPr>
        <w:t xml:space="preserve">Insufficient data: </w:t>
      </w:r>
      <w:r>
        <w:rPr>
          <w:rFonts w:ascii="Arial" w:cs="Arial" w:eastAsia="Arial" w:hAnsi="Arial"/>
          <w:sz w:val="22"/>
          <w:szCs w:val="22"/>
        </w:rPr>
        <w:t xml:space="preserve">Queries about locations with very few listings (e.g., Fujairah with only 27 records).</w:t>
      </w:r>
    </w:p>
    <w:p>
      <w:pPr>
        <w:pBdr>
          <w:bottom w:val="single" w:color="CBD5E1" w:sz="1" w:space="8"/>
        </w:pBdr>
        <w:spacing w:after="200" w:before="200"/>
      </w:pPr>
    </w:p>
    <w:p>
      <w:pPr>
        <w:pStyle w:val="Heading1"/>
      </w:pPr>
      <w:r>
        <w:t xml:space="preserve">10. Timeline &amp; Milestones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68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Mar 22</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Architecture plan submitted</w:t>
            </w:r>
          </w:p>
        </w:tc>
        <w:tc>
          <w:tcPr>
            <w:tcW w:type="dxa" w:w="3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sz w:val="20"/>
                <w:szCs w:val="20"/>
              </w:rPr>
              <w:t xml:space="preserve">1-page PDF (completed)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Mar 26</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1-on-1 advisor session</w:t>
            </w:r>
          </w:p>
        </w:tc>
        <w:tc>
          <w:tcPr>
            <w:tcW w:type="dxa" w:w="3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sz w:val="20"/>
                <w:szCs w:val="20"/>
              </w:rPr>
              <w:t xml:space="preserve">This knowledge base document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Mar 24-26</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Implementation sprint</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Working Docker Compose, RAG pipeline, both agents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Mar 26-27</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Evaluation &amp; polish</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RAGAS results, failure cases, final report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20"/>
                <w:szCs w:val="20"/>
              </w:rPr>
              <w:t xml:space="preserve">Mar 27</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Final submission</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Complete project with code, docs, evaluation</w:t>
            </w:r>
          </w:p>
        </w:tc>
      </w:tr>
    </w:tbl>
    <w:p>
      <w:pPr>
        <w:pBdr>
          <w:bottom w:val="single" w:color="CBD5E1" w:sz="1" w:space="8"/>
        </w:pBdr>
        <w:spacing w:after="200" w:before="200"/>
      </w:pPr>
    </w:p>
    <w:p>
      <w:pPr>
        <w:pStyle w:val="Heading1"/>
      </w:pPr>
      <w:r>
        <w:t xml:space="preserve">11. Key Reminders for Implementation</w:t>
      </w:r>
    </w:p>
    <w:p>
      <w:pPr>
        <w:spacing w:after="200"/>
      </w:pPr>
    </w:p>
    <w:p>
      <w:pPr>
        <w:pStyle w:val="ListParagraph"/>
        <w:numPr>
          <w:ilvl w:val="0"/>
          <w:numId w:val="2"/>
        </w:numPr>
        <w:spacing w:after="60"/>
      </w:pPr>
      <w:r>
        <w:rPr>
          <w:rFonts w:ascii="Arial" w:cs="Arial" w:eastAsia="Arial" w:hAnsi="Arial"/>
          <w:b/>
          <w:bCs/>
          <w:sz w:val="22"/>
          <w:szCs w:val="22"/>
        </w:rPr>
        <w:t xml:space="preserve">Agent B must return reasoning_chain: </w:t>
      </w:r>
      <w:r>
        <w:rPr>
          <w:rFonts w:ascii="Arial" w:cs="Arial" w:eastAsia="Arial" w:hAnsi="Arial"/>
          <w:sz w:val="22"/>
          <w:szCs w:val="22"/>
        </w:rPr>
        <w:t xml:space="preserve">This is what proves it is an agent, not a tool. Include confidence_score, supporting_comps, and the reasoning behind the valuation.</w:t>
      </w:r>
    </w:p>
    <w:p>
      <w:pPr>
        <w:pStyle w:val="ListParagraph"/>
        <w:numPr>
          <w:ilvl w:val="0"/>
          <w:numId w:val="2"/>
        </w:numPr>
        <w:spacing w:after="60"/>
      </w:pPr>
      <w:r>
        <w:rPr>
          <w:rFonts w:ascii="Arial" w:cs="Arial" w:eastAsia="Arial" w:hAnsi="Arial"/>
          <w:b/>
          <w:bCs/>
          <w:sz w:val="22"/>
          <w:szCs w:val="22"/>
        </w:rPr>
        <w:t xml:space="preserve">No Python imports between systems: </w:t>
      </w:r>
      <w:r>
        <w:rPr>
          <w:rFonts w:ascii="Arial" w:cs="Arial" w:eastAsia="Arial" w:hAnsi="Arial"/>
          <w:sz w:val="22"/>
          <w:szCs w:val="22"/>
        </w:rPr>
        <w:t xml:space="preserve">Agent A and Agent B communicate ONLY via HTTP. They are separate containers with separate codebases.</w:t>
      </w:r>
    </w:p>
    <w:p>
      <w:pPr>
        <w:pStyle w:val="ListParagraph"/>
        <w:numPr>
          <w:ilvl w:val="0"/>
          <w:numId w:val="2"/>
        </w:numPr>
        <w:spacing w:after="60"/>
      </w:pPr>
      <w:r>
        <w:rPr>
          <w:rFonts w:ascii="Arial" w:cs="Arial" w:eastAsia="Arial" w:hAnsi="Arial"/>
          <w:b/>
          <w:bCs/>
          <w:sz w:val="22"/>
          <w:szCs w:val="22"/>
        </w:rPr>
        <w:t xml:space="preserve">RAG handles both CSV and PDF: </w:t>
      </w:r>
      <w:r>
        <w:rPr>
          <w:rFonts w:ascii="Arial" w:cs="Arial" w:eastAsia="Arial" w:hAnsi="Arial"/>
          <w:sz w:val="22"/>
          <w:szCs w:val="22"/>
        </w:rPr>
        <w:t xml:space="preserve">Same chunking strategy (512/50) works for both. Tag with metadata source field for filtering.</w:t>
      </w:r>
    </w:p>
    <w:p>
      <w:pPr>
        <w:pStyle w:val="ListParagraph"/>
        <w:numPr>
          <w:ilvl w:val="0"/>
          <w:numId w:val="2"/>
        </w:numPr>
        <w:spacing w:after="60"/>
      </w:pPr>
      <w:r>
        <w:rPr>
          <w:rFonts w:ascii="Arial" w:cs="Arial" w:eastAsia="Arial" w:hAnsi="Arial"/>
          <w:b/>
          <w:bCs/>
          <w:sz w:val="22"/>
          <w:szCs w:val="22"/>
        </w:rPr>
        <w:t xml:space="preserve">MCP tools are intentionally simple: </w:t>
      </w:r>
      <w:r>
        <w:rPr>
          <w:rFonts w:ascii="Arial" w:cs="Arial" w:eastAsia="Arial" w:hAnsi="Arial"/>
          <w:sz w:val="22"/>
          <w:szCs w:val="22"/>
        </w:rPr>
        <w:t xml:space="preserve">They contrast with Agent B. Mortgage calc and tax estimator are TOOLS. Agent B is an AGENT. The evaluator should see this contrast clearly.</w:t>
      </w:r>
    </w:p>
    <w:p>
      <w:pPr>
        <w:pStyle w:val="ListParagraph"/>
        <w:numPr>
          <w:ilvl w:val="0"/>
          <w:numId w:val="2"/>
        </w:numPr>
        <w:spacing w:after="60"/>
      </w:pPr>
      <w:r>
        <w:rPr>
          <w:rFonts w:ascii="Arial" w:cs="Arial" w:eastAsia="Arial" w:hAnsi="Arial"/>
          <w:b/>
          <w:bCs/>
          <w:sz w:val="22"/>
          <w:szCs w:val="22"/>
        </w:rPr>
        <w:t xml:space="preserve">Presentation narrative: </w:t>
      </w:r>
      <w:r>
        <w:rPr>
          <w:rFonts w:ascii="Arial" w:cs="Arial" w:eastAsia="Arial" w:hAnsi="Arial"/>
          <w:sz w:val="22"/>
          <w:szCs w:val="22"/>
        </w:rPr>
        <w:t xml:space="preserve">When demoing, show the Supervisor saying: "I consulted our independent valuation service, and they confirmed..." This proves agentic collaboration.</w:t>
      </w:r>
    </w:p>
    <w:p>
      <w:pPr>
        <w:pStyle w:val="ListParagraph"/>
        <w:numPr>
          <w:ilvl w:val="0"/>
          <w:numId w:val="2"/>
        </w:numPr>
        <w:spacing w:after="60"/>
      </w:pPr>
      <w:r>
        <w:rPr>
          <w:rFonts w:ascii="Arial" w:cs="Arial" w:eastAsia="Arial" w:hAnsi="Arial"/>
          <w:b/>
          <w:bCs/>
          <w:sz w:val="22"/>
          <w:szCs w:val="22"/>
        </w:rPr>
        <w:t xml:space="preserve">Docker Compose must work in one command: </w:t>
      </w:r>
      <w:r>
        <w:rPr>
          <w:rFonts w:ascii="Arial" w:cs="Arial" w:eastAsia="Arial" w:hAnsi="Arial"/>
          <w:sz w:val="22"/>
          <w:szCs w:val="22"/>
        </w:rPr>
        <w:t xml:space="preserve">docker compose up should start everything. No manual steps.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Mohamad Faour  |  inmind.academy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4748B"/>
        <w:sz w:val="16"/>
        <w:szCs w:val="16"/>
      </w:rPr>
      <w:t xml:space="preserve">Real Estate Investment Advisor  |  Project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2026-03-23T14:57:06.613Z</dcterms:created>
  <dcterms:modified xsi:type="dcterms:W3CDTF">2026-03-23T14:57:06.614Z</dcterms:modified>
</cp:coreProperties>
</file>

<file path=docProps/custom.xml><?xml version="1.0" encoding="utf-8"?>
<Properties xmlns="http://schemas.openxmlformats.org/officeDocument/2006/custom-properties" xmlns:vt="http://schemas.openxmlformats.org/officeDocument/2006/docPropsVTypes"/>
</file>