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SUPPLY AGREEMENT</w:t>
      </w:r>
    </w:p>
    <w:p>
      <w:r>
        <w:t>SYNTHETIC DOCUMENT - FOR POC DEMONSTRATION ONLY</w:t>
      </w:r>
    </w:p>
    <w:p>
      <w:r>
        <w:t>This Master Supply Agreement (Contract No. C-2004) is entered into between Orion Global Solutions Inc. ("Supplier") and Ironvale Components Inc ("Customer").</w:t>
      </w:r>
    </w:p>
    <w:p>
      <w:pPr>
        <w:pStyle w:val="Heading2"/>
      </w:pPr>
      <w:r>
        <w:t>1. DEFINITIONS</w:t>
      </w:r>
    </w:p>
    <w:p>
      <w:r>
        <w:t>1.1  "Agreement" means this Master Supply Agreement, including its Schedules, amendments and side letters.</w:t>
      </w:r>
    </w:p>
    <w:p>
      <w:r>
        <w:t>1.2  "Effective Date" means November 1, 2023.</w:t>
      </w:r>
    </w:p>
    <w:p>
      <w:r>
        <w:t>1.3  "Contract Year" means each consecutive twelve (12) month period commencing on the Effective Date or an anniversary of it.</w:t>
      </w:r>
    </w:p>
    <w:p>
      <w:r>
        <w:t>1.4  "Products" means the goods and services listed in Schedule A, and "Unit Price" means the price per unit stated there.</w:t>
      </w:r>
    </w:p>
    <w:p>
      <w:pPr>
        <w:pStyle w:val="Heading2"/>
      </w:pPr>
      <w:r>
        <w:t>2. TERM</w:t>
      </w:r>
    </w:p>
    <w:p>
      <w:r>
        <w:t>2.1  This Agreement commences on the Effective Date and continues until October 31, 2026, unless terminated earlier in accordance with Section 10.</w:t>
      </w:r>
    </w:p>
    <w:p>
      <w:pPr>
        <w:pStyle w:val="Heading2"/>
      </w:pPr>
      <w:r>
        <w:t>3. ORDERS AND DELIVERY</w:t>
      </w:r>
    </w:p>
    <w:p>
      <w:r>
        <w:t>3.1  Customer may place purchase orders for Products from time to time. Each accepted purchase order is governed exclusively by this Agreement.</w:t>
      </w:r>
    </w:p>
    <w:p>
      <w:r>
        <w:t>3.2  Supplier shall deliver Products in accordance with the delivery schedule in the applicable purchase order. Title and risk pass on delivery.</w:t>
      </w:r>
    </w:p>
    <w:p>
      <w:pPr>
        <w:pStyle w:val="Heading2"/>
      </w:pPr>
      <w:r>
        <w:t>4. PRICING</w:t>
      </w:r>
    </w:p>
    <w:p>
      <w:r>
        <w:t>4.1  Customer shall pay the Unit Prices set out in Schedule A. All prices are stated in United States Dollars (USD) and are exclusive of applicable taxes.</w:t>
      </w:r>
    </w:p>
    <w:p>
      <w:r>
        <w:t>4.2  Unit Prices are subject to the annual adjustment specified in Schedule A.</w:t>
      </w:r>
    </w:p>
    <w:p>
      <w:pPr>
        <w:pStyle w:val="Heading2"/>
      </w:pPr>
      <w:r>
        <w:t>5. INVOICING AND PAYMENT</w:t>
      </w:r>
    </w:p>
    <w:p>
      <w:r>
        <w:t>5.1  Supplier shall invoice Customer monthly in arrears for Products delivered during the preceding month.</w:t>
      </w:r>
    </w:p>
    <w:p>
      <w:r>
        <w:t>5.2  Payment is due net forty-five (45) days from the invoice date.</w:t>
      </w:r>
    </w:p>
    <w:p>
      <w:r>
        <w:t>5.3  Overdue amounts accrue interest at 1% per month, or the maximum rate permitted by law if lower.</w:t>
      </w:r>
    </w:p>
    <w:p>
      <w:pPr>
        <w:pStyle w:val="Heading2"/>
      </w:pPr>
      <w:r>
        <w:t>6. WARRANTY</w:t>
      </w:r>
    </w:p>
    <w:p>
      <w:r>
        <w:t>6.1  Supplier warrants that Products will conform to their specifications for twelve (12) months from delivery.</w:t>
      </w:r>
    </w:p>
    <w:p>
      <w:pPr>
        <w:pStyle w:val="Heading2"/>
      </w:pPr>
      <w:r>
        <w:t>7. LIMITATION OF LIABILITY</w:t>
      </w:r>
    </w:p>
    <w:p>
      <w:r>
        <w:t>7.1  Each party's aggregate liability shall not exceed one hundred percent (100%) of the fees paid in the twelve (12) months preceding the claim.</w:t>
      </w:r>
    </w:p>
    <w:p>
      <w:pPr>
        <w:pStyle w:val="Heading2"/>
      </w:pPr>
      <w:r>
        <w:t>8. CONFIDENTIALITY</w:t>
      </w:r>
    </w:p>
    <w:p>
      <w:r>
        <w:t>8.1  Each party shall keep the other party's Confidential Information confidential and use it only to perform this Agreement.</w:t>
      </w:r>
    </w:p>
    <w:p>
      <w:pPr>
        <w:pStyle w:val="Heading2"/>
      </w:pPr>
      <w:r>
        <w:t>9. INSURANCE</w:t>
      </w:r>
    </w:p>
    <w:p>
      <w:r>
        <w:t>9.1  Supplier shall maintain commercial general liability insurance of not less than USD 5,000,000 per occurrence.</w:t>
      </w:r>
    </w:p>
    <w:p>
      <w:pPr>
        <w:pStyle w:val="Heading2"/>
      </w:pPr>
      <w:r>
        <w:t>10. TERMINATION</w:t>
      </w:r>
    </w:p>
    <w:p>
      <w:r>
        <w:t>10.1  Either party may terminate this Agreement for material breach not cured within thirty (30) days of written notice.</w:t>
      </w:r>
    </w:p>
    <w:p>
      <w:r>
        <w:t>10.2  Termination does not affect accrued rights, including the right to payment for Products delivered.</w:t>
      </w:r>
    </w:p>
    <w:p>
      <w:pPr>
        <w:pStyle w:val="Heading2"/>
      </w:pPr>
      <w:r>
        <w:t>11. FORCE MAJEURE</w:t>
      </w:r>
    </w:p>
    <w:p>
      <w:r>
        <w:t>11.1  Neither party is liable for delay caused by events beyond its reasonable control.</w:t>
      </w:r>
    </w:p>
    <w:p>
      <w:pPr>
        <w:pStyle w:val="Heading2"/>
      </w:pPr>
      <w:r>
        <w:t>12. GOVERNING LAW</w:t>
      </w:r>
    </w:p>
    <w:p>
      <w:r>
        <w:t>12.1  This Agreement is governed by the laws of the State of New York.</w:t>
      </w:r>
    </w:p>
    <w:p>
      <w:pPr>
        <w:pStyle w:val="Heading2"/>
      </w:pPr>
      <w:r>
        <w:t>13. MISCELLANEOUS</w:t>
      </w:r>
    </w:p>
    <w:p>
      <w:r>
        <w:t>13.1  This Agreement is the entire agreement of the parties regarding its subject matter.</w:t>
      </w:r>
    </w:p>
    <w:p>
      <w:r>
        <w:t>13.2  Notices must be in writing and delivered to the addresses stated above.</w:t>
      </w:r>
    </w:p>
    <w:p>
      <w:r>
        <w:t>13.3  This Agreement may be amended only by a written instrument signed by both parties.</w:t>
      </w:r>
    </w:p>
    <w:p>
      <w:pPr>
        <w:pStyle w:val="Heading2"/>
      </w:pPr>
      <w:r>
        <w:t>SCHEDULE A - PRODUCTS AND UNIT PRICES</w:t>
      </w:r>
    </w:p>
    <w:p>
      <w:r>
        <w:t>A.1  MFG-1002 - Hydraulic valve block: USD 377.25 per unit.</w:t>
      </w:r>
    </w:p>
    <w:p>
      <w:r>
        <w:t>A.99  Annual Adjustment: the Unit Prices above increase by 5% compounding, first applied on November 1, 2024 and on each anniversary thereafter.</w:t>
      </w:r>
    </w:p>
    <w:p>
      <w:pPr>
        <w:pStyle w:val="Heading2"/>
      </w:pPr>
      <w:r>
        <w:t>SIDE LETTER NO. 1</w:t>
      </w:r>
    </w:p>
    <w:p>
      <w:r>
        <w:t>SL1.1  For the period from February 1, 2025 to June 30, 2025 (inclusive), Supplier grants Customer a promotional discount of seven and one-half percent (7.5%) on the Unit Price of MFG-1002 (Hydraulic valve block). The discount applies only during the stated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