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Post-mortem: INC9344</w:t>
      </w:r>
    </w:p>
    <w:p>
      <w:r>
        <w:t>Document DOC6009 | Post-mortem: INC9344 | version 1 (current)</w:t>
      </w:r>
    </w:p>
    <w:p>
      <w:pPr>
        <w:pStyle w:val="Heading2"/>
      </w:pPr>
      <w:r>
        <w:t>Summary</w:t>
      </w:r>
    </w:p>
    <w:p>
      <w:r>
        <w:t>On 24 April 2024 a release of auth-service introduced an uncached revocation-list lookup. Root cause confirmed: auth-service token validation p99 rose to 8.4s after release 2.14.0, so payment-gateway held authorisation sessions open until its 64-connection pool was exhausted. TX83155 was declined with upstream_auth_timeout because the authorisation call never returned, not because of fraud scoring, network loss or an insufficient balance.</w:t>
      </w:r>
    </w:p>
    <w:p>
      <w:pPr>
        <w:pStyle w:val="Heading2"/>
      </w:pPr>
      <w:r>
        <w:t>What we got wrong first</w:t>
      </w:r>
    </w:p>
    <w:p>
      <w:r>
        <w:t>For the first forty minutes the bridge worked the fraud-service rule theory, because a velocity rule had shipped the evening before. That theory was wrong for TX83155.</w:t>
      </w:r>
    </w:p>
    <w:p>
      <w:pPr>
        <w:pStyle w:val="Heading2"/>
      </w:pPr>
      <w:r>
        <w:t>Detection</w:t>
      </w:r>
    </w:p>
    <w:p>
      <w:r>
        <w:t>Detection came from the merchant, not from us: Verdemar Holdings raised Transaction #83155 before our authorisation-rate alert fired.</w:t>
      </w:r>
    </w:p>
    <w:p>
      <w:pPr>
        <w:pStyle w:val="Heading2"/>
      </w:pPr>
      <w:r>
        <w:t>Actions</w:t>
      </w:r>
    </w:p>
    <w:p>
      <w:r>
        <w:t>Cache the revocation list, bound the payment-gateway wait, add a canary. Owners: Marcus Halvorsen, Ruben Lindqvist, Helena Okonkwo.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SPECTRA demo generator</cp:lastModifiedBy>
  <cp:revision>1</cp:revision>
  <dcterms:created xsi:type="dcterms:W3CDTF">2024-01-01T00:00:00Z</dcterms:created>
  <dcterms:modified xsi:type="dcterms:W3CDTF">2024-01-01T00:00:00Z</dcterms:modified>
  <cp:category/>
</cp:coreProperties>
</file>