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Capacity plan: payments platform</w:t>
      </w:r>
    </w:p>
    <w:p>
      <w:r>
        <w:t>Document DOC3926 | Capacity plan: payments platform | version 1 (current)</w:t>
      </w:r>
    </w:p>
    <w:p>
      <w:pPr>
        <w:pStyle w:val="Heading2"/>
      </w:pPr>
      <w:r>
        <w:t>Current headroom</w:t>
      </w:r>
    </w:p>
    <w:p>
      <w:r>
        <w:t>payment-gateway runs a 64-connection authorisation pool per edge node. At peak the pool sits at 48% utilisation, so a doubling of authentication latency saturates it.</w:t>
      </w:r>
    </w:p>
    <w:p>
      <w:pPr>
        <w:pStyle w:val="Heading2"/>
      </w:pPr>
      <w:r>
        <w:t>Plan</w:t>
      </w:r>
    </w:p>
    <w:p>
      <w:r>
        <w:t>Raise the pool to 96 connections only after the bounded wait ships; a larger pool without a bounded wait just delays saturation.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SPECTRA demo generator</cp:lastModifiedBy>
  <cp:revision>1</cp:revision>
  <dcterms:created xsi:type="dcterms:W3CDTF">2024-01-01T00:00:00Z</dcterms:created>
  <dcterms:modified xsi:type="dcterms:W3CDTF">2024-01-01T00:00:00Z</dcterms:modified>
  <cp:category/>
</cp:coreProperties>
</file>