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review: revocation list caching</w:t>
      </w:r>
    </w:p>
    <w:p>
      <w:r>
        <w:t>Document DOC7639 | Security review: revocation list caching | version 1 (current)</w:t>
      </w:r>
    </w:p>
    <w:p>
      <w:pPr>
        <w:pStyle w:val="Heading2"/>
      </w:pPr>
      <w:r>
        <w:t>Scope</w:t>
      </w:r>
    </w:p>
    <w:p>
      <w:r>
        <w:t>Reviewed the proposal to cache the token revocation list in-process for 30 seconds.</w:t>
      </w:r>
    </w:p>
    <w:p>
      <w:pPr>
        <w:pStyle w:val="Heading2"/>
      </w:pPr>
      <w:r>
        <w:t>Finding</w:t>
      </w:r>
    </w:p>
    <w:p>
      <w:r>
        <w:t>Accepted with compensating control: high-risk revocations are pushed over the invalidation channel and bypass the cache.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SPECTRA demo generator</cp:lastModifiedBy>
  <cp:revision>1</cp:revision>
  <dcterms:created xsi:type="dcterms:W3CDTF">2024-01-01T00:00:00Z</dcterms:created>
  <dcterms:modified xsi:type="dcterms:W3CDTF">2024-01-01T00:00:00Z</dcterms:modified>
  <cp:category/>
</cp:coreProperties>
</file>