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sz w:val="28"/>
        </w:rPr>
        <w:t>Campus Food Connect Website Strategy</w:t>
      </w:r>
    </w:p>
    <w:p>
      <w:r>
        <w:t>Campus Food Connect | ENG 108 | Team 2</w:t>
      </w:r>
    </w:p>
    <w:p>
      <w:r>
        <w:t>Ahmed M R A Albaloul, Fahad Al Guraisha, Mohammed Yousuf Ali Al shabibi, Yazan Alhamazani, Yazeed Almutairi</w:t>
      </w:r>
    </w:p>
    <w:p>
      <w:pPr>
        <w:pStyle w:val="Heading1"/>
        <w:keepNext/>
      </w:pPr>
      <w:r>
        <w:rPr>
          <w:rFonts w:ascii="Times New Roman" w:hAnsi="Times New Roman"/>
          <w:b/>
          <w:color w:val="000000"/>
          <w:sz w:val="24"/>
        </w:rPr>
        <w:t>Purpose and Goals</w:t>
      </w:r>
    </w:p>
    <w:p>
      <w:r>
        <w:t>Campus Food Connect is a proposed student organization that addresses two connected problems: food waste and unreliable access to meals among college students. Our goal is to connect safe surplus food from campus dining services and nearby restaurants with students through approved food assistance partners. Our homepage communicates this purpose with the headline “Good food belongs on a plate” and the slogan “Less Waste. More Meals.” The website presents a practical proposal rather than claiming that we already operate a food distribution program.</w:t>
      </w:r>
    </w:p>
    <w:p>
      <w:pPr>
        <w:pStyle w:val="Heading1"/>
        <w:keepNext/>
      </w:pPr>
      <w:r>
        <w:rPr>
          <w:rFonts w:ascii="Times New Roman" w:hAnsi="Times New Roman"/>
          <w:b/>
          <w:color w:val="000000"/>
          <w:sz w:val="24"/>
        </w:rPr>
        <w:t>Our Niche</w:t>
      </w:r>
    </w:p>
    <w:p>
      <w:r>
        <w:t>Our niche is the connection between campus food recovery, student support, and everyday waste prevention. Food pantries often provide groceries, while food recovery organizations collect surplus food for community partners. Our proposed approach complements these efforts by focusing on college students and giving restaurants, volunteers, and supporters one place to understand their roles. We would work alongside existing services rather than duplicate their work. Before any collection begins, participating partners would establish food handling requirements, pickup arrangements, and distribution procedures.</w:t>
      </w:r>
    </w:p>
    <w:p>
      <w:pPr>
        <w:pStyle w:val="Heading1"/>
        <w:keepNext/>
      </w:pPr>
      <w:r>
        <w:rPr>
          <w:rFonts w:ascii="Times New Roman" w:hAnsi="Times New Roman"/>
          <w:b/>
          <w:color w:val="000000"/>
          <w:sz w:val="24"/>
        </w:rPr>
        <w:t>Target Audiences</w:t>
      </w:r>
    </w:p>
    <w:p>
      <w:r>
        <w:t>Our primary target audience is college students, young adults who want to support classmates and reduce waste. Students who need food assistance are important visitors, so our language emphasizes dignity and avoids blaming people for financial difficulties. Secondary audiences include restaurant managers, campus dining staff, faculty, and community food assistance organizations. These groups have needs, but each can contribute to the same goal. Students can share the cause and express interest in volunteering. Food businesses can explore becoming partners. Faculty and community members can introduce the project to campus services.</w:t>
      </w:r>
    </w:p>
    <w:p>
      <w:pPr>
        <w:pStyle w:val="Heading1"/>
        <w:keepNext/>
      </w:pPr>
      <w:r>
        <w:rPr>
          <w:rFonts w:ascii="Times New Roman" w:hAnsi="Times New Roman"/>
          <w:b/>
          <w:color w:val="000000"/>
          <w:sz w:val="24"/>
        </w:rPr>
        <w:t>Connecting with Visitors</w:t>
      </w:r>
    </w:p>
    <w:p>
      <w:r>
        <w:t>We make the cause relevant by connecting it to experiences students understand: managing limited money, balancing classes with work, and seeing usable resources discarded. Our Cause explains the problem through scholarly research, while Get Involved presents specific next steps. Clear navigation helps visitors move from understanding the issue to considering participation. The website also explains that surplus food would supplement other assistance, because food recovery alone cannot solve the pressures behind student hunger. This realistic message supports trust.</w:t>
      </w:r>
    </w:p>
    <w:p>
      <w:pPr>
        <w:pStyle w:val="Heading1"/>
        <w:keepNext/>
      </w:pPr>
      <w:r>
        <w:rPr>
          <w:rFonts w:ascii="Times New Roman" w:hAnsi="Times New Roman"/>
          <w:b/>
          <w:color w:val="000000"/>
          <w:sz w:val="24"/>
        </w:rPr>
        <w:t>Brand Identity</w:t>
      </w:r>
    </w:p>
    <w:p>
      <w:r>
        <w:t>Our name, Campus Food Connect, identifies both the setting and our purpose. The visual identity uses a circular plate symbol with linked marks, representing food and connection. Its simple shape remains recognizable at small sizes. Deep green communicates responsibility, yellow draws attention to participation, and white space keeps the message readable. The slogan links waste reduction to meals instead of using a vague promise. Consistent colors, readable type, and descriptive buttons reinforce the identity throughout the website.</w:t>
      </w:r>
    </w:p>
    <w:p>
      <w:pPr>
        <w:pStyle w:val="Heading1"/>
        <w:keepNext/>
      </w:pPr>
      <w:r>
        <w:rPr>
          <w:rFonts w:ascii="Times New Roman" w:hAnsi="Times New Roman"/>
          <w:b/>
          <w:color w:val="000000"/>
          <w:sz w:val="24"/>
        </w:rPr>
        <w:t>Feedback and Next Steps</w:t>
      </w:r>
    </w:p>
    <w:p>
      <w:r>
        <w:t>Together, these elements create a credible online presence. The goal explains what we hope to achieve, the audience strategy identifies who can help, and the brand makes the cause memorable. Our team page introduces the five student creators with proposed responsibilities. The website encourages informed participation while remaining honest about the project’s development stage. Before launch, we would request feedback from students and food service staff to assess the logo, slogan, accessibility, and usefulness of the proposed program. Their feedback would guide revisions before we seek formal approval and begin campus outreach.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