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8A3179" w:rsidRDefault="00C8397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A3179">
        <w:rPr>
          <w:rFonts w:ascii="Times New Roman" w:hAnsi="Times New Roman" w:cs="Times New Roman"/>
          <w:b/>
          <w:bCs/>
          <w:sz w:val="28"/>
          <w:szCs w:val="28"/>
        </w:rPr>
        <w:t>A: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C83977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53D00C59" wp14:editId="332E372C">
            <wp:extent cx="3228975" cy="2362200"/>
            <wp:effectExtent l="0" t="0" r="9525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C83977" w:rsidRPr="00C83977" w:rsidRDefault="00C83977" w:rsidP="00C83977">
      <w:pPr>
        <w:spacing w:before="173"/>
        <w:ind w:left="820" w:right="944"/>
        <w:rPr>
          <w:rFonts w:ascii="Times New Roman" w:eastAsia="Calibri" w:hAnsi="Times New Roman" w:cs="Times New Roman"/>
          <w:sz w:val="28"/>
          <w:szCs w:val="28"/>
        </w:rPr>
      </w:pPr>
      <w:r w:rsidRPr="00C83977">
        <w:rPr>
          <w:rFonts w:ascii="Cambria Math" w:eastAsia="Cambria Math" w:hAnsi="Cambria Math" w:cs="Cambria Math"/>
          <w:sz w:val="28"/>
          <w:szCs w:val="28"/>
        </w:rPr>
        <w:t>𝒎𝒆𝒂𝒏</w:t>
      </w:r>
      <w:r w:rsidRPr="00C83977">
        <w:rPr>
          <w:rFonts w:ascii="Times New Roman" w:eastAsia="Cambria Math" w:hAnsi="Times New Roman" w:cs="Times New Roman"/>
          <w:spacing w:val="-3"/>
          <w:sz w:val="28"/>
          <w:szCs w:val="28"/>
        </w:rPr>
        <w:t xml:space="preserve"> </w:t>
      </w:r>
      <w:r w:rsidRPr="00C83977">
        <w:rPr>
          <w:rFonts w:ascii="Times New Roman" w:eastAsia="Cambria Math" w:hAnsi="Times New Roman" w:cs="Times New Roman"/>
          <w:sz w:val="28"/>
          <w:szCs w:val="28"/>
        </w:rPr>
        <w:t>−</w:t>
      </w:r>
      <w:r w:rsidRPr="00C83977">
        <w:rPr>
          <w:rFonts w:ascii="Times New Roman" w:eastAsia="Cambria Math" w:hAnsi="Times New Roman" w:cs="Times New Roman"/>
          <w:spacing w:val="40"/>
          <w:sz w:val="28"/>
          <w:szCs w:val="28"/>
        </w:rPr>
        <w:t xml:space="preserve"> </w:t>
      </w:r>
      <w:r w:rsidRPr="00C83977">
        <w:rPr>
          <w:rFonts w:ascii="Cambria Math" w:eastAsia="Cambria Math" w:hAnsi="Cambria Math" w:cs="Cambria Math"/>
          <w:sz w:val="28"/>
          <w:szCs w:val="28"/>
        </w:rPr>
        <w:t>𝝁</w:t>
      </w:r>
      <w:r w:rsidRPr="00C83977">
        <w:rPr>
          <w:rFonts w:ascii="Times New Roman" w:hAnsi="Times New Roman" w:cs="Times New Roman"/>
          <w:sz w:val="28"/>
          <w:szCs w:val="28"/>
        </w:rPr>
        <w:t>=</w:t>
      </w:r>
      <w:r w:rsidRPr="00C8397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C83977">
        <w:rPr>
          <w:rFonts w:ascii="Times New Roman" w:hAnsi="Times New Roman" w:cs="Times New Roman"/>
          <w:sz w:val="28"/>
          <w:szCs w:val="28"/>
        </w:rPr>
        <w:t>0.33</w:t>
      </w:r>
      <w:r w:rsidRPr="00C8397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83977">
        <w:rPr>
          <w:rFonts w:ascii="Times New Roman" w:hAnsi="Times New Roman" w:cs="Times New Roman"/>
          <w:sz w:val="28"/>
          <w:szCs w:val="28"/>
        </w:rPr>
        <w:t>,standard</w:t>
      </w:r>
      <w:proofErr w:type="gramEnd"/>
      <w:r w:rsidRPr="00C839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83977">
        <w:rPr>
          <w:rFonts w:ascii="Times New Roman" w:hAnsi="Times New Roman" w:cs="Times New Roman"/>
          <w:sz w:val="28"/>
          <w:szCs w:val="28"/>
        </w:rPr>
        <w:t>deviation</w:t>
      </w:r>
      <w:r w:rsidRPr="00C839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83977">
        <w:rPr>
          <w:rFonts w:ascii="Times New Roman" w:hAnsi="Times New Roman" w:cs="Times New Roman"/>
          <w:sz w:val="28"/>
          <w:szCs w:val="28"/>
        </w:rPr>
        <w:t>-</w:t>
      </w:r>
      <w:r w:rsidRPr="00C83977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C83977">
        <w:rPr>
          <w:rFonts w:ascii="Cambria Math" w:eastAsia="Cambria Math" w:hAnsi="Cambria Math" w:cs="Cambria Math"/>
          <w:sz w:val="28"/>
          <w:szCs w:val="28"/>
        </w:rPr>
        <w:t>𝝈</w:t>
      </w:r>
      <w:r w:rsidRPr="00C83977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Pr="00C83977">
        <w:rPr>
          <w:rFonts w:ascii="Times New Roman" w:hAnsi="Times New Roman" w:cs="Times New Roman"/>
          <w:sz w:val="28"/>
          <w:szCs w:val="28"/>
        </w:rPr>
        <w:t>=</w:t>
      </w:r>
      <w:r w:rsidRPr="00C839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83977">
        <w:rPr>
          <w:rFonts w:ascii="Times New Roman" w:hAnsi="Times New Roman" w:cs="Times New Roman"/>
          <w:sz w:val="28"/>
          <w:szCs w:val="28"/>
        </w:rPr>
        <w:t>0.169</w:t>
      </w:r>
      <w:r w:rsidRPr="00C8397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83977">
        <w:rPr>
          <w:rFonts w:ascii="Times New Roman" w:hAnsi="Times New Roman" w:cs="Times New Roman"/>
          <w:sz w:val="28"/>
          <w:szCs w:val="28"/>
        </w:rPr>
        <w:t>,</w:t>
      </w:r>
      <w:r w:rsidRPr="00C839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83977">
        <w:rPr>
          <w:rFonts w:ascii="Times New Roman" w:hAnsi="Times New Roman" w:cs="Times New Roman"/>
          <w:sz w:val="28"/>
          <w:szCs w:val="28"/>
        </w:rPr>
        <w:t>variance</w:t>
      </w:r>
      <w:r w:rsidRPr="00C839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83977">
        <w:rPr>
          <w:rFonts w:ascii="Times New Roman" w:hAnsi="Times New Roman" w:cs="Times New Roman"/>
          <w:sz w:val="28"/>
          <w:szCs w:val="28"/>
        </w:rPr>
        <w:t>-</w:t>
      </w:r>
      <w:r w:rsidRPr="00C8397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83977">
        <w:rPr>
          <w:rFonts w:ascii="Cambria Math" w:eastAsia="Cambria Math" w:hAnsi="Cambria Math" w:cs="Cambria Math"/>
          <w:sz w:val="28"/>
          <w:szCs w:val="28"/>
        </w:rPr>
        <w:t>𝝈</w:t>
      </w:r>
      <w:r w:rsidRPr="00C83977">
        <w:rPr>
          <w:rFonts w:ascii="Cambria Math" w:eastAsia="Cambria Math" w:hAnsi="Cambria Math" w:cs="Cambria Math"/>
          <w:sz w:val="28"/>
          <w:szCs w:val="28"/>
          <w:vertAlign w:val="superscript"/>
        </w:rPr>
        <w:t>𝟐</w:t>
      </w:r>
      <w:r w:rsidRPr="00C83977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Pr="00C83977">
        <w:rPr>
          <w:rFonts w:ascii="Times New Roman" w:hAnsi="Times New Roman" w:cs="Times New Roman"/>
          <w:sz w:val="28"/>
          <w:szCs w:val="28"/>
        </w:rPr>
        <w:t>=</w:t>
      </w:r>
      <w:r w:rsidRPr="00C8397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83977">
        <w:rPr>
          <w:rFonts w:ascii="Times New Roman" w:hAnsi="Times New Roman" w:cs="Times New Roman"/>
          <w:sz w:val="28"/>
          <w:szCs w:val="28"/>
        </w:rPr>
        <w:t>0.028</w:t>
      </w:r>
      <w:r w:rsidRPr="00C83977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C83977">
        <w:rPr>
          <w:rFonts w:ascii="Times New Roman" w:hAnsi="Times New Roman" w:cs="Times New Roman"/>
          <w:sz w:val="28"/>
          <w:szCs w:val="28"/>
        </w:rPr>
        <w:t>, Outlier</w:t>
      </w:r>
      <w:r w:rsidRPr="00C8397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83977">
        <w:rPr>
          <w:rFonts w:ascii="Times New Roman" w:hAnsi="Times New Roman" w:cs="Times New Roman"/>
          <w:sz w:val="28"/>
          <w:szCs w:val="28"/>
        </w:rPr>
        <w:t>is Morgan Stanley=91.36%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:rsidR="00C83977" w:rsidRPr="00C83977" w:rsidRDefault="00C83977" w:rsidP="00C83977">
      <w:pPr>
        <w:tabs>
          <w:tab w:val="left" w:pos="1577"/>
        </w:tabs>
        <w:spacing w:before="4"/>
        <w:ind w:left="820" w:right="944"/>
        <w:rPr>
          <w:rFonts w:eastAsia="Calibri"/>
          <w:b/>
        </w:rPr>
      </w:pPr>
      <w:r w:rsidRPr="008A3179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8A3179">
        <w:rPr>
          <w:rFonts w:ascii="Times New Roman" w:hAnsi="Times New Roman" w:cs="Times New Roman"/>
          <w:bCs/>
        </w:rPr>
        <w:t xml:space="preserve"> </w:t>
      </w:r>
      <w:r w:rsidR="008A3179" w:rsidRPr="005247CF">
        <w:rPr>
          <w:rFonts w:ascii="Times New Roman" w:hAnsi="Times New Roman" w:cs="Times New Roman"/>
          <w:bCs/>
          <w:sz w:val="28"/>
          <w:szCs w:val="28"/>
        </w:rPr>
        <w:t>Upper limit Q3= 12.5, Lower Quartile Q1= 5, hence IQR = Q3-Q1= 7.5, implying that the maximum data density is 7.5 between 5 and 12.5.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8A3179" w:rsidRPr="008A3179" w:rsidRDefault="008A3179" w:rsidP="008A317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A3179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8A3179">
        <w:t xml:space="preserve"> </w:t>
      </w:r>
      <w:r w:rsidRPr="008A3179">
        <w:rPr>
          <w:rFonts w:ascii="Times New Roman" w:hAnsi="Times New Roman" w:cs="Times New Roman"/>
          <w:sz w:val="28"/>
          <w:szCs w:val="28"/>
        </w:rPr>
        <w:t>The data is skewed to the right, which is a positive skewness.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8A3179" w:rsidRPr="008A3179" w:rsidRDefault="008A3179" w:rsidP="008A317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A3179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8A3179">
        <w:t xml:space="preserve"> </w:t>
      </w:r>
      <w:r w:rsidRPr="008A3179">
        <w:rPr>
          <w:rFonts w:ascii="Times New Roman" w:hAnsi="Times New Roman" w:cs="Times New Roman"/>
          <w:sz w:val="28"/>
          <w:szCs w:val="28"/>
        </w:rPr>
        <w:t>If we discover that the 25 was actually 2.5, which was previously an outlier causing the data to be right skewed, the data will be normally distributed.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8A3179" w:rsidRPr="008A3179" w:rsidRDefault="008A3179" w:rsidP="008A317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A3179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8A3179">
        <w:t xml:space="preserve"> </w:t>
      </w:r>
      <w:r w:rsidRPr="008A3179">
        <w:rPr>
          <w:rFonts w:ascii="Times New Roman" w:hAnsi="Times New Roman" w:cs="Times New Roman"/>
          <w:sz w:val="28"/>
          <w:szCs w:val="28"/>
        </w:rPr>
        <w:t>The mode of the dataset would be between 4.5 and -10.</w:t>
      </w:r>
    </w:p>
    <w:p w:rsidR="008A317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Pr="008A3179" w:rsidRDefault="008A3179" w:rsidP="008A317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8A3179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8A317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8A3179">
        <w:rPr>
          <w:rFonts w:ascii="Times New Roman" w:hAnsi="Times New Roman" w:cs="Times New Roman"/>
          <w:sz w:val="28"/>
          <w:szCs w:val="28"/>
        </w:rPr>
        <w:t xml:space="preserve"> data is rightly skewed which shows positive skewness</w:t>
      </w:r>
      <w:r>
        <w:rPr>
          <w:rFonts w:ascii="Times New Roman" w:hAnsi="Times New Roman" w:cs="Times New Roman"/>
          <w:sz w:val="28"/>
          <w:szCs w:val="28"/>
        </w:rPr>
        <w:t>.</w:t>
      </w:r>
      <w:r w:rsidR="000E22B2" w:rsidRPr="008A3179">
        <w:rPr>
          <w:rFonts w:ascii="Times New Roman" w:hAnsi="Times New Roman" w:cs="Times New Roman"/>
          <w:sz w:val="28"/>
          <w:szCs w:val="28"/>
        </w:rP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8A3179" w:rsidRPr="008A3179" w:rsidRDefault="008A3179" w:rsidP="008A317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A3179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8A3179">
        <w:t xml:space="preserve"> </w:t>
      </w:r>
      <w:r w:rsidRPr="008A3179">
        <w:rPr>
          <w:rFonts w:ascii="Times New Roman" w:hAnsi="Times New Roman" w:cs="Times New Roman"/>
          <w:sz w:val="28"/>
          <w:szCs w:val="28"/>
        </w:rPr>
        <w:t>We can't observe the mode or frequency of data distribution in Boxplot, which Histogram does extremely well, but Boxplot does explain the Max Density of Data in Inter - Quartile Range pretty well, and Boxplot is ideal for finding outliers, which will help us understand data better.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8A317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5247CF" w:rsidRPr="005247CF" w:rsidRDefault="008A3179" w:rsidP="005247CF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8A3179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="005247CF" w:rsidRPr="005247CF">
        <w:t xml:space="preserve"> </w:t>
      </w:r>
      <w:r w:rsidR="005247CF" w:rsidRPr="005247CF">
        <w:rPr>
          <w:rFonts w:ascii="Times New Roman" w:hAnsi="Times New Roman" w:cs="Times New Roman"/>
          <w:sz w:val="28"/>
          <w:szCs w:val="28"/>
        </w:rPr>
        <w:t xml:space="preserve">One out of every 200 long-distance phone calls </w:t>
      </w:r>
      <w:proofErr w:type="gramStart"/>
      <w:r w:rsidR="005247CF" w:rsidRPr="005247CF">
        <w:rPr>
          <w:rFonts w:ascii="Times New Roman" w:hAnsi="Times New Roman" w:cs="Times New Roman"/>
          <w:sz w:val="28"/>
          <w:szCs w:val="28"/>
        </w:rPr>
        <w:t>gets</w:t>
      </w:r>
      <w:proofErr w:type="gramEnd"/>
      <w:r w:rsidR="005247CF" w:rsidRPr="005247CF">
        <w:rPr>
          <w:rFonts w:ascii="Times New Roman" w:hAnsi="Times New Roman" w:cs="Times New Roman"/>
          <w:sz w:val="28"/>
          <w:szCs w:val="28"/>
        </w:rPr>
        <w:t xml:space="preserve"> misdirected.</w:t>
      </w:r>
    </w:p>
    <w:p w:rsidR="005247CF" w:rsidRPr="005247CF" w:rsidRDefault="005247CF" w:rsidP="005247CF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5247CF" w:rsidRPr="005247CF" w:rsidRDefault="005247CF" w:rsidP="005247CF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5247CF">
        <w:rPr>
          <w:rFonts w:ascii="Times New Roman" w:hAnsi="Times New Roman" w:cs="Times New Roman"/>
          <w:sz w:val="28"/>
          <w:szCs w:val="28"/>
        </w:rPr>
        <w:lastRenderedPageBreak/>
        <w:t>=&gt; The probability of a call being misdirected is p = 1/200. Probability of no call 199/2 = 1 - 1/200 = Misdirecting</w:t>
      </w:r>
    </w:p>
    <w:p w:rsidR="005247CF" w:rsidRPr="005247CF" w:rsidRDefault="005247CF" w:rsidP="005247CF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5247CF">
        <w:rPr>
          <w:rFonts w:ascii="Times New Roman" w:hAnsi="Times New Roman" w:cs="Times New Roman"/>
          <w:sz w:val="28"/>
          <w:szCs w:val="28"/>
        </w:rPr>
        <w:t>The likelihood that at least one out of every five attempted calls will reach the incorrect number</w:t>
      </w:r>
    </w:p>
    <w:p w:rsidR="005247CF" w:rsidRPr="005247CF" w:rsidRDefault="005247CF" w:rsidP="005247CF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5247CF" w:rsidRPr="005247CF" w:rsidRDefault="005247CF" w:rsidP="005247CF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5247CF">
        <w:rPr>
          <w:rFonts w:ascii="Times New Roman" w:hAnsi="Times New Roman" w:cs="Times New Roman"/>
          <w:sz w:val="28"/>
          <w:szCs w:val="28"/>
        </w:rPr>
        <w:t>= 1 - The likelihood that no attempted call reaches the incorrect number.</w:t>
      </w:r>
    </w:p>
    <w:p w:rsidR="005247CF" w:rsidRPr="005247CF" w:rsidRDefault="005247CF" w:rsidP="005247CF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5247CF" w:rsidRPr="005247CF" w:rsidRDefault="005247CF" w:rsidP="005247CF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5247CF">
        <w:rPr>
          <w:rFonts w:ascii="Times New Roman" w:hAnsi="Times New Roman" w:cs="Times New Roman"/>
          <w:sz w:val="28"/>
          <w:szCs w:val="28"/>
        </w:rPr>
        <w:t>=1-(199/</w:t>
      </w:r>
      <w:proofErr w:type="gramStart"/>
      <w:r w:rsidRPr="005247CF">
        <w:rPr>
          <w:rFonts w:ascii="Times New Roman" w:hAnsi="Times New Roman" w:cs="Times New Roman"/>
          <w:sz w:val="28"/>
          <w:szCs w:val="28"/>
        </w:rPr>
        <w:t>200)*</w:t>
      </w:r>
      <w:proofErr w:type="gramEnd"/>
      <w:r w:rsidRPr="005247CF">
        <w:rPr>
          <w:rFonts w:ascii="Times New Roman" w:hAnsi="Times New Roman" w:cs="Times New Roman"/>
          <w:sz w:val="28"/>
          <w:szCs w:val="28"/>
        </w:rPr>
        <w:t>*5</w:t>
      </w:r>
    </w:p>
    <w:p w:rsidR="005247CF" w:rsidRPr="005247CF" w:rsidRDefault="005247CF" w:rsidP="005247CF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5247CF" w:rsidRPr="005247CF" w:rsidRDefault="005247CF" w:rsidP="005247CF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5247CF">
        <w:rPr>
          <w:rFonts w:ascii="Times New Roman" w:hAnsi="Times New Roman" w:cs="Times New Roman"/>
          <w:sz w:val="28"/>
          <w:szCs w:val="28"/>
        </w:rPr>
        <w:t>=1-(0.</w:t>
      </w:r>
      <w:proofErr w:type="gramStart"/>
      <w:r w:rsidRPr="005247CF">
        <w:rPr>
          <w:rFonts w:ascii="Times New Roman" w:hAnsi="Times New Roman" w:cs="Times New Roman"/>
          <w:sz w:val="28"/>
          <w:szCs w:val="28"/>
        </w:rPr>
        <w:t>995)*</w:t>
      </w:r>
      <w:proofErr w:type="gramEnd"/>
      <w:r w:rsidRPr="005247CF">
        <w:rPr>
          <w:rFonts w:ascii="Times New Roman" w:hAnsi="Times New Roman" w:cs="Times New Roman"/>
          <w:sz w:val="28"/>
          <w:szCs w:val="28"/>
        </w:rPr>
        <w:t>*5</w:t>
      </w:r>
    </w:p>
    <w:p w:rsidR="005247CF" w:rsidRPr="005247CF" w:rsidRDefault="005247CF" w:rsidP="005247CF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5247CF" w:rsidRPr="005247CF" w:rsidRDefault="005247CF" w:rsidP="005247CF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5247CF">
        <w:rPr>
          <w:rFonts w:ascii="Times New Roman" w:hAnsi="Times New Roman" w:cs="Times New Roman"/>
          <w:sz w:val="28"/>
          <w:szCs w:val="28"/>
        </w:rPr>
        <w:t>=1-0.975</w:t>
      </w:r>
    </w:p>
    <w:p w:rsidR="005247CF" w:rsidRPr="005247CF" w:rsidRDefault="005247CF" w:rsidP="005247CF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8A3179" w:rsidRPr="005247CF" w:rsidRDefault="005247CF" w:rsidP="005247CF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5247CF">
        <w:rPr>
          <w:rFonts w:ascii="Times New Roman" w:hAnsi="Times New Roman" w:cs="Times New Roman"/>
          <w:sz w:val="28"/>
          <w:szCs w:val="28"/>
        </w:rPr>
        <w:t>=0.025, implying that 1 in every 5 attempted phone calls reaches the incorrect number.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5247CF" w:rsidRPr="005247CF" w:rsidRDefault="005247CF" w:rsidP="005247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247CF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5247CF">
        <w:t xml:space="preserve"> </w:t>
      </w:r>
      <w:r w:rsidRPr="005247CF">
        <w:rPr>
          <w:rFonts w:ascii="Times New Roman" w:hAnsi="Times New Roman" w:cs="Times New Roman"/>
          <w:sz w:val="28"/>
          <w:szCs w:val="28"/>
        </w:rPr>
        <w:t>The most likely monetary consequence of the firm is 2000 dollars because its probability is 0.3, which is greater than the other probabilities.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5247CF" w:rsidRPr="005247CF" w:rsidRDefault="005247CF" w:rsidP="005247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247CF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5247CF">
        <w:t xml:space="preserve"> </w:t>
      </w:r>
      <w:r w:rsidRPr="005247CF">
        <w:rPr>
          <w:rFonts w:ascii="Times New Roman" w:hAnsi="Times New Roman" w:cs="Times New Roman"/>
          <w:sz w:val="28"/>
          <w:szCs w:val="28"/>
        </w:rPr>
        <w:t>Yes, the initiative is likely to succeed because the sum of the probability of positive (profit) dollars is 0.2+0.3+0.1=0.6, which equals 1000$+2000$+3000$.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5247CF" w:rsidRPr="005247CF" w:rsidRDefault="005247CF" w:rsidP="005247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247CF">
        <w:rPr>
          <w:rFonts w:ascii="Times New Roman" w:hAnsi="Times New Roman" w:cs="Times New Roman"/>
          <w:b/>
          <w:bCs/>
          <w:sz w:val="28"/>
          <w:szCs w:val="28"/>
        </w:rPr>
        <w:t>A:</w:t>
      </w:r>
    </w:p>
    <w:tbl>
      <w:tblPr>
        <w:tblW w:w="0" w:type="auto"/>
        <w:tblInd w:w="110" w:type="dxa"/>
        <w:tblBorders>
          <w:top w:val="single" w:sz="4" w:space="0" w:color="8EA9DB"/>
          <w:left w:val="single" w:sz="4" w:space="0" w:color="8EA9DB"/>
          <w:bottom w:val="single" w:sz="4" w:space="0" w:color="8EA9DB"/>
          <w:right w:val="single" w:sz="4" w:space="0" w:color="8EA9DB"/>
          <w:insideH w:val="single" w:sz="4" w:space="0" w:color="8EA9DB"/>
          <w:insideV w:val="single" w:sz="4" w:space="0" w:color="8EA9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0"/>
        <w:gridCol w:w="1195"/>
        <w:gridCol w:w="1651"/>
        <w:gridCol w:w="1256"/>
        <w:gridCol w:w="1907"/>
      </w:tblGrid>
      <w:tr w:rsidR="005247CF" w:rsidTr="005247CF">
        <w:trPr>
          <w:trHeight w:val="290"/>
        </w:trPr>
        <w:tc>
          <w:tcPr>
            <w:tcW w:w="107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4471C4"/>
            <w:hideMark/>
          </w:tcPr>
          <w:p w:rsidR="005247CF" w:rsidRDefault="005247CF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X</w:t>
            </w:r>
          </w:p>
        </w:tc>
        <w:tc>
          <w:tcPr>
            <w:tcW w:w="11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4471C4"/>
            <w:hideMark/>
          </w:tcPr>
          <w:p w:rsidR="005247CF" w:rsidRDefault="005247CF">
            <w:pPr>
              <w:pStyle w:val="TableParagraph"/>
              <w:ind w:left="561"/>
              <w:rPr>
                <w:b/>
              </w:rPr>
            </w:pPr>
            <w:r>
              <w:rPr>
                <w:b/>
                <w:color w:val="FFFFFF"/>
                <w:spacing w:val="-4"/>
              </w:rPr>
              <w:t>P(X)</w:t>
            </w:r>
          </w:p>
        </w:tc>
        <w:tc>
          <w:tcPr>
            <w:tcW w:w="16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4471C4"/>
            <w:hideMark/>
          </w:tcPr>
          <w:p w:rsidR="005247CF" w:rsidRDefault="005247CF">
            <w:pPr>
              <w:pStyle w:val="TableParagraph"/>
              <w:ind w:left="267"/>
              <w:rPr>
                <w:b/>
              </w:rPr>
            </w:pPr>
            <w:r>
              <w:rPr>
                <w:b/>
                <w:color w:val="FFFFFF"/>
              </w:rPr>
              <w:t>E(X)=</w:t>
            </w:r>
            <w:r>
              <w:rPr>
                <w:b/>
                <w:color w:val="FFFFFF"/>
                <w:spacing w:val="-2"/>
              </w:rPr>
              <w:t xml:space="preserve"> </w:t>
            </w:r>
            <w:proofErr w:type="gramStart"/>
            <w:r>
              <w:rPr>
                <w:b/>
                <w:color w:val="FFFFFF"/>
              </w:rPr>
              <w:t>X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.</w:t>
            </w:r>
            <w:proofErr w:type="gramEnd"/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  <w:spacing w:val="-4"/>
              </w:rPr>
              <w:t>P(X)</w:t>
            </w:r>
          </w:p>
        </w:tc>
        <w:tc>
          <w:tcPr>
            <w:tcW w:w="12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4471C4"/>
            <w:hideMark/>
          </w:tcPr>
          <w:p w:rsidR="005247CF" w:rsidRDefault="005247CF">
            <w:pPr>
              <w:pStyle w:val="TableParagraph"/>
              <w:ind w:left="315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X²</w:t>
            </w:r>
          </w:p>
        </w:tc>
        <w:tc>
          <w:tcPr>
            <w:tcW w:w="190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4471C4"/>
            <w:hideMark/>
          </w:tcPr>
          <w:p w:rsidR="005247CF" w:rsidRDefault="005247CF">
            <w:pPr>
              <w:pStyle w:val="TableParagraph"/>
              <w:ind w:left="315"/>
              <w:rPr>
                <w:b/>
              </w:rPr>
            </w:pPr>
            <w:r>
              <w:rPr>
                <w:b/>
                <w:color w:val="FFFFFF"/>
              </w:rPr>
              <w:t>E(X²)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=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X</w:t>
            </w:r>
            <w:proofErr w:type="gramStart"/>
            <w:r>
              <w:rPr>
                <w:b/>
                <w:color w:val="FFFFFF"/>
              </w:rPr>
              <w:t>²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.</w:t>
            </w:r>
            <w:proofErr w:type="gramEnd"/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  <w:spacing w:val="-4"/>
              </w:rPr>
              <w:t>P(X)</w:t>
            </w:r>
          </w:p>
        </w:tc>
      </w:tr>
      <w:tr w:rsidR="005247CF" w:rsidTr="005247CF">
        <w:trPr>
          <w:trHeight w:val="290"/>
        </w:trPr>
        <w:tc>
          <w:tcPr>
            <w:tcW w:w="107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0F1"/>
            <w:hideMark/>
          </w:tcPr>
          <w:p w:rsidR="005247CF" w:rsidRDefault="005247CF">
            <w:pPr>
              <w:pStyle w:val="TableParagraph"/>
            </w:pPr>
            <w:r>
              <w:rPr>
                <w:spacing w:val="-2"/>
              </w:rPr>
              <w:t>-</w:t>
            </w:r>
            <w:r>
              <w:rPr>
                <w:spacing w:val="-4"/>
              </w:rPr>
              <w:t>2000</w:t>
            </w:r>
          </w:p>
        </w:tc>
        <w:tc>
          <w:tcPr>
            <w:tcW w:w="11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0F1"/>
            <w:hideMark/>
          </w:tcPr>
          <w:p w:rsidR="005247CF" w:rsidRDefault="005247CF">
            <w:pPr>
              <w:pStyle w:val="TableParagraph"/>
              <w:ind w:left="413"/>
            </w:pPr>
            <w:r>
              <w:rPr>
                <w:spacing w:val="-5"/>
              </w:rPr>
              <w:t>0.1</w:t>
            </w:r>
          </w:p>
        </w:tc>
        <w:tc>
          <w:tcPr>
            <w:tcW w:w="16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0F1"/>
            <w:hideMark/>
          </w:tcPr>
          <w:p w:rsidR="005247CF" w:rsidRDefault="005247CF">
            <w:pPr>
              <w:pStyle w:val="TableParagraph"/>
              <w:ind w:left="267"/>
            </w:pPr>
            <w:r>
              <w:rPr>
                <w:spacing w:val="-2"/>
              </w:rPr>
              <w:t>-</w:t>
            </w:r>
            <w:r>
              <w:rPr>
                <w:spacing w:val="-5"/>
              </w:rPr>
              <w:t>200</w:t>
            </w:r>
          </w:p>
        </w:tc>
        <w:tc>
          <w:tcPr>
            <w:tcW w:w="12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0F1"/>
            <w:hideMark/>
          </w:tcPr>
          <w:p w:rsidR="005247CF" w:rsidRDefault="005247CF">
            <w:pPr>
              <w:pStyle w:val="TableParagraph"/>
              <w:ind w:left="214"/>
            </w:pPr>
            <w:r>
              <w:rPr>
                <w:spacing w:val="-2"/>
              </w:rPr>
              <w:t>400000</w:t>
            </w:r>
          </w:p>
        </w:tc>
        <w:tc>
          <w:tcPr>
            <w:tcW w:w="190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D9E0F1"/>
            <w:hideMark/>
          </w:tcPr>
          <w:p w:rsidR="005247CF" w:rsidRDefault="005247CF">
            <w:pPr>
              <w:pStyle w:val="TableParagraph"/>
              <w:ind w:left="264"/>
            </w:pPr>
            <w:r>
              <w:rPr>
                <w:spacing w:val="-2"/>
              </w:rPr>
              <w:t>40000</w:t>
            </w:r>
          </w:p>
        </w:tc>
      </w:tr>
      <w:tr w:rsidR="005247CF" w:rsidTr="005247CF">
        <w:trPr>
          <w:trHeight w:val="290"/>
        </w:trPr>
        <w:tc>
          <w:tcPr>
            <w:tcW w:w="107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hideMark/>
          </w:tcPr>
          <w:p w:rsidR="005247CF" w:rsidRDefault="005247CF">
            <w:pPr>
              <w:pStyle w:val="TableParagraph"/>
              <w:spacing w:line="206" w:lineRule="exac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-</w:t>
            </w:r>
            <w:r>
              <w:rPr>
                <w:rFonts w:ascii="Arial"/>
                <w:spacing w:val="-4"/>
                <w:sz w:val="18"/>
              </w:rPr>
              <w:t>1000</w:t>
            </w:r>
          </w:p>
        </w:tc>
        <w:tc>
          <w:tcPr>
            <w:tcW w:w="11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hideMark/>
          </w:tcPr>
          <w:p w:rsidR="005247CF" w:rsidRDefault="005247CF">
            <w:pPr>
              <w:pStyle w:val="TableParagraph"/>
              <w:ind w:left="413"/>
            </w:pPr>
            <w:r>
              <w:rPr>
                <w:spacing w:val="-5"/>
              </w:rPr>
              <w:t>0.1</w:t>
            </w:r>
          </w:p>
        </w:tc>
        <w:tc>
          <w:tcPr>
            <w:tcW w:w="16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hideMark/>
          </w:tcPr>
          <w:p w:rsidR="005247CF" w:rsidRDefault="005247CF">
            <w:pPr>
              <w:pStyle w:val="TableParagraph"/>
              <w:ind w:left="267"/>
            </w:pPr>
            <w:r>
              <w:rPr>
                <w:spacing w:val="-2"/>
              </w:rPr>
              <w:t>-</w:t>
            </w:r>
            <w:r>
              <w:rPr>
                <w:spacing w:val="-5"/>
              </w:rPr>
              <w:t>100</w:t>
            </w:r>
          </w:p>
        </w:tc>
        <w:tc>
          <w:tcPr>
            <w:tcW w:w="12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hideMark/>
          </w:tcPr>
          <w:p w:rsidR="005247CF" w:rsidRDefault="005247CF">
            <w:pPr>
              <w:pStyle w:val="TableParagraph"/>
              <w:ind w:left="214"/>
            </w:pPr>
            <w:r>
              <w:rPr>
                <w:spacing w:val="-2"/>
              </w:rPr>
              <w:t>100000</w:t>
            </w:r>
          </w:p>
        </w:tc>
        <w:tc>
          <w:tcPr>
            <w:tcW w:w="190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hideMark/>
          </w:tcPr>
          <w:p w:rsidR="005247CF" w:rsidRDefault="005247CF">
            <w:pPr>
              <w:pStyle w:val="TableParagraph"/>
              <w:ind w:left="264"/>
            </w:pPr>
            <w:r>
              <w:rPr>
                <w:spacing w:val="-2"/>
              </w:rPr>
              <w:t>10000</w:t>
            </w:r>
          </w:p>
        </w:tc>
      </w:tr>
      <w:tr w:rsidR="005247CF" w:rsidTr="005247CF">
        <w:trPr>
          <w:trHeight w:val="290"/>
        </w:trPr>
        <w:tc>
          <w:tcPr>
            <w:tcW w:w="107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0F1"/>
            <w:hideMark/>
          </w:tcPr>
          <w:p w:rsidR="005247CF" w:rsidRDefault="005247CF">
            <w:pPr>
              <w:pStyle w:val="TableParagraph"/>
              <w:spacing w:line="206" w:lineRule="exact"/>
              <w:rPr>
                <w:rFonts w:ascii="Arial"/>
                <w:sz w:val="18"/>
              </w:rPr>
            </w:pPr>
            <w:r>
              <w:rPr>
                <w:rFonts w:ascii="Arial"/>
                <w:w w:val="99"/>
                <w:sz w:val="18"/>
              </w:rPr>
              <w:t>0</w:t>
            </w:r>
          </w:p>
        </w:tc>
        <w:tc>
          <w:tcPr>
            <w:tcW w:w="11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0F1"/>
            <w:hideMark/>
          </w:tcPr>
          <w:p w:rsidR="005247CF" w:rsidRDefault="005247CF">
            <w:pPr>
              <w:pStyle w:val="TableParagraph"/>
              <w:ind w:left="413"/>
            </w:pPr>
            <w:r>
              <w:rPr>
                <w:spacing w:val="-5"/>
              </w:rPr>
              <w:t>0.2</w:t>
            </w:r>
          </w:p>
        </w:tc>
        <w:tc>
          <w:tcPr>
            <w:tcW w:w="16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0F1"/>
            <w:hideMark/>
          </w:tcPr>
          <w:p w:rsidR="005247CF" w:rsidRDefault="005247CF">
            <w:pPr>
              <w:pStyle w:val="TableParagraph"/>
              <w:ind w:left="365"/>
            </w:pPr>
            <w:r>
              <w:t>0</w:t>
            </w:r>
          </w:p>
        </w:tc>
        <w:tc>
          <w:tcPr>
            <w:tcW w:w="12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0F1"/>
            <w:hideMark/>
          </w:tcPr>
          <w:p w:rsidR="005247CF" w:rsidRDefault="005247CF">
            <w:pPr>
              <w:pStyle w:val="TableParagraph"/>
              <w:ind w:left="0" w:right="213"/>
              <w:jc w:val="center"/>
            </w:pPr>
            <w:r>
              <w:t>0</w:t>
            </w:r>
          </w:p>
        </w:tc>
        <w:tc>
          <w:tcPr>
            <w:tcW w:w="190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D9E0F1"/>
            <w:hideMark/>
          </w:tcPr>
          <w:p w:rsidR="005247CF" w:rsidRDefault="005247CF">
            <w:pPr>
              <w:pStyle w:val="TableParagraph"/>
              <w:ind w:left="463"/>
            </w:pPr>
            <w:r>
              <w:t>0</w:t>
            </w:r>
          </w:p>
        </w:tc>
      </w:tr>
      <w:tr w:rsidR="005247CF" w:rsidTr="005247CF">
        <w:trPr>
          <w:trHeight w:val="289"/>
        </w:trPr>
        <w:tc>
          <w:tcPr>
            <w:tcW w:w="107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hideMark/>
          </w:tcPr>
          <w:p w:rsidR="005247CF" w:rsidRDefault="005247CF">
            <w:pPr>
              <w:pStyle w:val="TableParagraph"/>
              <w:spacing w:line="206" w:lineRule="exact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1000</w:t>
            </w:r>
          </w:p>
        </w:tc>
        <w:tc>
          <w:tcPr>
            <w:tcW w:w="11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hideMark/>
          </w:tcPr>
          <w:p w:rsidR="005247CF" w:rsidRDefault="005247CF">
            <w:pPr>
              <w:pStyle w:val="TableParagraph"/>
              <w:ind w:left="413"/>
            </w:pPr>
            <w:r>
              <w:rPr>
                <w:spacing w:val="-5"/>
              </w:rPr>
              <w:t>0.2</w:t>
            </w:r>
          </w:p>
        </w:tc>
        <w:tc>
          <w:tcPr>
            <w:tcW w:w="16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hideMark/>
          </w:tcPr>
          <w:p w:rsidR="005247CF" w:rsidRDefault="005247CF">
            <w:pPr>
              <w:pStyle w:val="TableParagraph"/>
              <w:ind w:left="317"/>
            </w:pPr>
            <w:r>
              <w:rPr>
                <w:spacing w:val="-5"/>
              </w:rPr>
              <w:t>200</w:t>
            </w:r>
          </w:p>
        </w:tc>
        <w:tc>
          <w:tcPr>
            <w:tcW w:w="12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hideMark/>
          </w:tcPr>
          <w:p w:rsidR="005247CF" w:rsidRDefault="005247CF">
            <w:pPr>
              <w:pStyle w:val="TableParagraph"/>
              <w:ind w:left="214"/>
            </w:pPr>
            <w:r>
              <w:rPr>
                <w:spacing w:val="-2"/>
              </w:rPr>
              <w:t>200000</w:t>
            </w:r>
          </w:p>
        </w:tc>
        <w:tc>
          <w:tcPr>
            <w:tcW w:w="190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hideMark/>
          </w:tcPr>
          <w:p w:rsidR="005247CF" w:rsidRDefault="005247CF">
            <w:pPr>
              <w:pStyle w:val="TableParagraph"/>
              <w:ind w:left="264"/>
            </w:pPr>
            <w:r>
              <w:rPr>
                <w:spacing w:val="-2"/>
              </w:rPr>
              <w:t>40000</w:t>
            </w:r>
          </w:p>
        </w:tc>
      </w:tr>
      <w:tr w:rsidR="005247CF" w:rsidTr="005247CF">
        <w:trPr>
          <w:trHeight w:val="290"/>
        </w:trPr>
        <w:tc>
          <w:tcPr>
            <w:tcW w:w="107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0F1"/>
            <w:hideMark/>
          </w:tcPr>
          <w:p w:rsidR="005247CF" w:rsidRDefault="005247CF">
            <w:pPr>
              <w:pStyle w:val="TableParagraph"/>
              <w:spacing w:line="206" w:lineRule="exact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2000</w:t>
            </w:r>
          </w:p>
        </w:tc>
        <w:tc>
          <w:tcPr>
            <w:tcW w:w="11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0F1"/>
            <w:hideMark/>
          </w:tcPr>
          <w:p w:rsidR="005247CF" w:rsidRDefault="005247CF">
            <w:pPr>
              <w:pStyle w:val="TableParagraph"/>
              <w:ind w:left="413"/>
            </w:pPr>
            <w:r>
              <w:rPr>
                <w:spacing w:val="-5"/>
              </w:rPr>
              <w:t>0.3</w:t>
            </w:r>
          </w:p>
        </w:tc>
        <w:tc>
          <w:tcPr>
            <w:tcW w:w="16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0F1"/>
            <w:hideMark/>
          </w:tcPr>
          <w:p w:rsidR="005247CF" w:rsidRDefault="005247CF">
            <w:pPr>
              <w:pStyle w:val="TableParagraph"/>
              <w:ind w:left="317"/>
            </w:pPr>
            <w:r>
              <w:rPr>
                <w:spacing w:val="-5"/>
              </w:rPr>
              <w:t>600</w:t>
            </w:r>
          </w:p>
        </w:tc>
        <w:tc>
          <w:tcPr>
            <w:tcW w:w="12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0F1"/>
            <w:hideMark/>
          </w:tcPr>
          <w:p w:rsidR="005247CF" w:rsidRDefault="005247CF">
            <w:pPr>
              <w:pStyle w:val="TableParagraph"/>
              <w:ind w:left="214"/>
            </w:pPr>
            <w:r>
              <w:rPr>
                <w:spacing w:val="-2"/>
              </w:rPr>
              <w:t>1200000</w:t>
            </w:r>
          </w:p>
        </w:tc>
        <w:tc>
          <w:tcPr>
            <w:tcW w:w="190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D9E0F1"/>
            <w:hideMark/>
          </w:tcPr>
          <w:p w:rsidR="005247CF" w:rsidRDefault="005247CF">
            <w:pPr>
              <w:pStyle w:val="TableParagraph"/>
              <w:ind w:left="264"/>
            </w:pPr>
            <w:r>
              <w:rPr>
                <w:spacing w:val="-2"/>
              </w:rPr>
              <w:t>360000</w:t>
            </w:r>
          </w:p>
        </w:tc>
      </w:tr>
      <w:tr w:rsidR="005247CF" w:rsidTr="005247CF">
        <w:trPr>
          <w:trHeight w:val="290"/>
        </w:trPr>
        <w:tc>
          <w:tcPr>
            <w:tcW w:w="107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hideMark/>
          </w:tcPr>
          <w:p w:rsidR="005247CF" w:rsidRDefault="005247CF">
            <w:pPr>
              <w:pStyle w:val="TableParagraph"/>
              <w:spacing w:line="206" w:lineRule="exact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3000</w:t>
            </w:r>
          </w:p>
        </w:tc>
        <w:tc>
          <w:tcPr>
            <w:tcW w:w="11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hideMark/>
          </w:tcPr>
          <w:p w:rsidR="005247CF" w:rsidRDefault="005247CF">
            <w:pPr>
              <w:pStyle w:val="TableParagraph"/>
              <w:ind w:left="413"/>
            </w:pPr>
            <w:r>
              <w:rPr>
                <w:spacing w:val="-5"/>
              </w:rPr>
              <w:t>0.1</w:t>
            </w:r>
          </w:p>
        </w:tc>
        <w:tc>
          <w:tcPr>
            <w:tcW w:w="16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hideMark/>
          </w:tcPr>
          <w:p w:rsidR="005247CF" w:rsidRDefault="005247CF">
            <w:pPr>
              <w:pStyle w:val="TableParagraph"/>
              <w:ind w:left="317"/>
            </w:pPr>
            <w:r>
              <w:rPr>
                <w:spacing w:val="-5"/>
              </w:rPr>
              <w:t>300</w:t>
            </w:r>
          </w:p>
        </w:tc>
        <w:tc>
          <w:tcPr>
            <w:tcW w:w="12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hideMark/>
          </w:tcPr>
          <w:p w:rsidR="005247CF" w:rsidRDefault="005247CF">
            <w:pPr>
              <w:pStyle w:val="TableParagraph"/>
              <w:ind w:left="214"/>
            </w:pPr>
            <w:r>
              <w:rPr>
                <w:spacing w:val="-2"/>
              </w:rPr>
              <w:t>900000</w:t>
            </w:r>
          </w:p>
        </w:tc>
        <w:tc>
          <w:tcPr>
            <w:tcW w:w="190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hideMark/>
          </w:tcPr>
          <w:p w:rsidR="005247CF" w:rsidRDefault="005247CF">
            <w:pPr>
              <w:pStyle w:val="TableParagraph"/>
              <w:ind w:left="264"/>
            </w:pPr>
            <w:r>
              <w:rPr>
                <w:spacing w:val="-2"/>
              </w:rPr>
              <w:t>90000</w:t>
            </w:r>
          </w:p>
        </w:tc>
      </w:tr>
      <w:tr w:rsidR="005247CF" w:rsidTr="005247CF">
        <w:trPr>
          <w:trHeight w:val="290"/>
        </w:trPr>
        <w:tc>
          <w:tcPr>
            <w:tcW w:w="107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0F1"/>
            <w:hideMark/>
          </w:tcPr>
          <w:p w:rsidR="005247CF" w:rsidRDefault="005247CF">
            <w:pPr>
              <w:pStyle w:val="TableParagraph"/>
              <w:ind w:left="158"/>
            </w:pPr>
            <w:r>
              <w:rPr>
                <w:spacing w:val="-4"/>
              </w:rPr>
              <w:t>Sum=</w:t>
            </w:r>
          </w:p>
        </w:tc>
        <w:tc>
          <w:tcPr>
            <w:tcW w:w="119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0F1"/>
            <w:hideMark/>
          </w:tcPr>
          <w:p w:rsidR="005247CF" w:rsidRDefault="005247CF">
            <w:pPr>
              <w:pStyle w:val="TableParagraph"/>
              <w:ind w:left="413"/>
            </w:pPr>
            <w:r>
              <w:rPr>
                <w:spacing w:val="-5"/>
              </w:rPr>
              <w:t>1.0</w:t>
            </w:r>
          </w:p>
        </w:tc>
        <w:tc>
          <w:tcPr>
            <w:tcW w:w="16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0F1"/>
            <w:hideMark/>
          </w:tcPr>
          <w:p w:rsidR="005247CF" w:rsidRDefault="005247CF">
            <w:pPr>
              <w:pStyle w:val="TableParagraph"/>
              <w:ind w:left="317"/>
            </w:pPr>
            <w:r>
              <w:rPr>
                <w:spacing w:val="-5"/>
              </w:rPr>
              <w:t>800</w:t>
            </w:r>
          </w:p>
        </w:tc>
        <w:tc>
          <w:tcPr>
            <w:tcW w:w="12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0F1"/>
            <w:hideMark/>
          </w:tcPr>
          <w:p w:rsidR="005247CF" w:rsidRDefault="005247CF">
            <w:pPr>
              <w:pStyle w:val="TableParagraph"/>
              <w:ind w:left="214"/>
            </w:pPr>
            <w:r>
              <w:rPr>
                <w:spacing w:val="-2"/>
              </w:rPr>
              <w:t>2800000</w:t>
            </w:r>
          </w:p>
        </w:tc>
        <w:tc>
          <w:tcPr>
            <w:tcW w:w="190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D9E0F1"/>
            <w:hideMark/>
          </w:tcPr>
          <w:p w:rsidR="005247CF" w:rsidRDefault="005247CF">
            <w:pPr>
              <w:pStyle w:val="TableParagraph"/>
              <w:ind w:left="264"/>
            </w:pPr>
            <w:r>
              <w:rPr>
                <w:spacing w:val="-2"/>
              </w:rPr>
              <w:t>360000</w:t>
            </w:r>
          </w:p>
        </w:tc>
      </w:tr>
    </w:tbl>
    <w:p w:rsidR="005247CF" w:rsidRDefault="005247CF" w:rsidP="005247CF">
      <w:pPr>
        <w:sectPr w:rsidR="005247CF">
          <w:pgSz w:w="12240" w:h="15840"/>
          <w:pgMar w:top="920" w:right="580" w:bottom="280" w:left="1340" w:header="720" w:footer="720" w:gutter="0"/>
          <w:cols w:space="720"/>
        </w:sectPr>
      </w:pPr>
    </w:p>
    <w:p w:rsidR="005247CF" w:rsidRPr="005247CF" w:rsidRDefault="005247CF" w:rsidP="005247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247CF">
        <w:rPr>
          <w:rFonts w:ascii="Times New Roman" w:hAnsi="Times New Roman" w:cs="Times New Roman"/>
          <w:bCs/>
          <w:sz w:val="28"/>
          <w:szCs w:val="28"/>
        </w:rPr>
        <w:lastRenderedPageBreak/>
        <w:t>Long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247CF">
        <w:rPr>
          <w:rFonts w:ascii="Times New Roman" w:hAnsi="Times New Roman" w:cs="Times New Roman"/>
          <w:bCs/>
          <w:sz w:val="28"/>
          <w:szCs w:val="28"/>
        </w:rPr>
        <w:t>term</w:t>
      </w:r>
      <w:proofErr w:type="gramEnd"/>
      <w:r w:rsidRPr="005247CF">
        <w:rPr>
          <w:rFonts w:ascii="Times New Roman" w:hAnsi="Times New Roman" w:cs="Times New Roman"/>
          <w:bCs/>
          <w:sz w:val="28"/>
          <w:szCs w:val="28"/>
        </w:rPr>
        <w:t xml:space="preserve"> earning of business is E[X]</w:t>
      </w:r>
    </w:p>
    <w:p w:rsidR="005247CF" w:rsidRPr="005247CF" w:rsidRDefault="005247CF" w:rsidP="005247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247CF">
        <w:rPr>
          <w:rFonts w:ascii="Times New Roman" w:hAnsi="Times New Roman" w:cs="Times New Roman"/>
          <w:bCs/>
          <w:sz w:val="28"/>
          <w:szCs w:val="28"/>
        </w:rPr>
        <w:t>E[X]=sum of X.P(X)=$ 800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5247CF" w:rsidRPr="005247CF" w:rsidRDefault="005247CF" w:rsidP="005247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247CF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5247CF">
        <w:t xml:space="preserve"> </w:t>
      </w:r>
      <w:r w:rsidRPr="005247CF">
        <w:rPr>
          <w:rFonts w:ascii="Times New Roman" w:hAnsi="Times New Roman" w:cs="Times New Roman"/>
          <w:sz w:val="28"/>
          <w:szCs w:val="28"/>
        </w:rPr>
        <w:t>The risk associated with a venture is (X) Variance = E(X2) - (E(X</w:t>
      </w:r>
      <w:proofErr w:type="gramStart"/>
      <w:r w:rsidRPr="005247CF">
        <w:rPr>
          <w:rFonts w:ascii="Times New Roman" w:hAnsi="Times New Roman" w:cs="Times New Roman"/>
          <w:sz w:val="28"/>
          <w:szCs w:val="28"/>
        </w:rPr>
        <w:t>))²</w:t>
      </w:r>
      <w:proofErr w:type="gramEnd"/>
    </w:p>
    <w:p w:rsidR="005247CF" w:rsidRPr="005247CF" w:rsidRDefault="005247CF" w:rsidP="005247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247CF">
        <w:rPr>
          <w:rFonts w:ascii="Times New Roman" w:hAnsi="Times New Roman" w:cs="Times New Roman"/>
          <w:sz w:val="28"/>
          <w:szCs w:val="28"/>
        </w:rPr>
        <w:t>= 360000 - 800²</w:t>
      </w:r>
    </w:p>
    <w:p w:rsidR="005247CF" w:rsidRPr="005247CF" w:rsidRDefault="005247CF" w:rsidP="005247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247CF">
        <w:rPr>
          <w:rFonts w:ascii="Times New Roman" w:hAnsi="Times New Roman" w:cs="Times New Roman"/>
          <w:sz w:val="28"/>
          <w:szCs w:val="28"/>
        </w:rPr>
        <w:t>= -280000 (-</w:t>
      </w:r>
      <w:proofErr w:type="spellStart"/>
      <w:r w:rsidRPr="005247CF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5247CF">
        <w:rPr>
          <w:rFonts w:ascii="Times New Roman" w:hAnsi="Times New Roman" w:cs="Times New Roman"/>
          <w:sz w:val="28"/>
          <w:szCs w:val="28"/>
        </w:rPr>
        <w:t xml:space="preserve"> value which indicates low risk) $ -529 Standard Deviation = sqrt Variance</w:t>
      </w:r>
    </w:p>
    <w:p w:rsidR="005247CF" w:rsidRPr="005247CF" w:rsidRDefault="005247CF" w:rsidP="005247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247CF">
        <w:rPr>
          <w:rFonts w:ascii="Times New Roman" w:hAnsi="Times New Roman" w:cs="Times New Roman"/>
          <w:sz w:val="28"/>
          <w:szCs w:val="28"/>
        </w:rPr>
        <w:t xml:space="preserve">Even if we look at the facts, the risk is modest because the possibility of profit is greater than </w:t>
      </w:r>
      <w:proofErr w:type="gramStart"/>
      <w:r w:rsidRPr="005247CF">
        <w:rPr>
          <w:rFonts w:ascii="Times New Roman" w:hAnsi="Times New Roman" w:cs="Times New Roman"/>
          <w:sz w:val="28"/>
          <w:szCs w:val="28"/>
        </w:rPr>
        <w:t>zero.$</w:t>
      </w:r>
      <w:proofErr w:type="gramEnd"/>
      <w:r w:rsidRPr="005247CF">
        <w:rPr>
          <w:rFonts w:ascii="Times New Roman" w:hAnsi="Times New Roman" w:cs="Times New Roman"/>
          <w:sz w:val="28"/>
          <w:szCs w:val="28"/>
        </w:rPr>
        <w:t xml:space="preserve"> is 0.8, indicating that if the business initiative fails, there is only a 0.2 chance of losing money.</w:t>
      </w:r>
    </w:p>
    <w:p w:rsidR="00ED4082" w:rsidRDefault="00000000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7DB1" w:rsidRDefault="00137DB1">
      <w:pPr>
        <w:spacing w:after="0" w:line="240" w:lineRule="auto"/>
      </w:pPr>
      <w:r>
        <w:separator/>
      </w:r>
    </w:p>
  </w:endnote>
  <w:endnote w:type="continuationSeparator" w:id="0">
    <w:p w:rsidR="00137DB1" w:rsidRDefault="00137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7DB1" w:rsidRDefault="00137DB1">
      <w:pPr>
        <w:spacing w:after="0" w:line="240" w:lineRule="auto"/>
      </w:pPr>
      <w:r>
        <w:separator/>
      </w:r>
    </w:p>
  </w:footnote>
  <w:footnote w:type="continuationSeparator" w:id="0">
    <w:p w:rsidR="00137DB1" w:rsidRDefault="00137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74517818">
    <w:abstractNumId w:val="1"/>
  </w:num>
  <w:num w:numId="2" w16cid:durableId="577786254">
    <w:abstractNumId w:val="2"/>
  </w:num>
  <w:num w:numId="3" w16cid:durableId="1519544374">
    <w:abstractNumId w:val="3"/>
  </w:num>
  <w:num w:numId="4" w16cid:durableId="214662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37DB1"/>
    <w:rsid w:val="00310065"/>
    <w:rsid w:val="005247CF"/>
    <w:rsid w:val="00614CA4"/>
    <w:rsid w:val="008A3179"/>
    <w:rsid w:val="008B5FFA"/>
    <w:rsid w:val="00AF65C6"/>
    <w:rsid w:val="00C8397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4046"/>
  <w15:docId w15:val="{329C876F-C04F-491D-AA25-59922FEC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5247CF"/>
    <w:pPr>
      <w:widowControl w:val="0"/>
      <w:autoSpaceDE w:val="0"/>
      <w:autoSpaceDN w:val="0"/>
      <w:spacing w:after="0" w:line="26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0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Mohd Shoeb</cp:lastModifiedBy>
  <cp:revision>3</cp:revision>
  <dcterms:created xsi:type="dcterms:W3CDTF">2013-09-25T10:59:00Z</dcterms:created>
  <dcterms:modified xsi:type="dcterms:W3CDTF">2023-03-22T10:27:00Z</dcterms:modified>
</cp:coreProperties>
</file>