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color w:val="1E2761"/>
          <w:sz w:val="48"/>
          <w:szCs w:val="48"/>
        </w:rPr>
        <w:t xml:space="preserve">RETAIL CUSTOMER SEGMENTATION</w:t>
      </w:r>
    </w:p>
    <w:p>
      <w:pPr>
        <w:spacing w:after="100"/>
        <w:jc w:val="center"/>
      </w:pPr>
      <w:r>
        <w:rPr>
          <w:rFonts w:ascii="Calibri" w:cs="Calibri" w:eastAsia="Calibri" w:hAnsi="Calibri"/>
          <w:b/>
          <w:bCs/>
          <w:color w:val="4FC3F7"/>
          <w:sz w:val="48"/>
          <w:szCs w:val="48"/>
        </w:rPr>
        <w:t xml:space="preserve">&amp; RFM ANALYSIS</w:t>
      </w:r>
    </w:p>
    <w:p>
      <w:pPr>
        <w:spacing w:after="80"/>
        <w:jc w:val="center"/>
      </w:pPr>
      <w:r>
        <w:rPr>
          <w:rFonts w:ascii="Calibri" w:cs="Calibri" w:eastAsia="Calibri" w:hAnsi="Calibri"/>
          <w:i/>
          <w:iCs/>
          <w:color w:val="64748B"/>
          <w:sz w:val="26"/>
          <w:szCs w:val="26"/>
        </w:rPr>
        <w:t xml:space="preserve">Project Report</w:t>
      </w:r>
    </w:p>
    <w:p>
      <w:pPr>
        <w:spacing w:after="400"/>
        <w:jc w:val="center"/>
      </w:pPr>
      <w:r>
        <w:rPr>
          <w:rFonts w:ascii="Calibri" w:cs="Calibri" w:eastAsia="Calibri" w:hAnsi="Calibri"/>
          <w:color w:val="64748B"/>
          <w:sz w:val="20"/>
          <w:szCs w:val="20"/>
        </w:rPr>
        <w:t xml:space="preserve">Dataset: UCI Online Retail (2010–2011)  |  Tools: Python, Power BI  |  Method: RFM + K-Means</w:t>
      </w:r>
    </w:p>
    <w:p>
      <w:pPr>
        <w:pStyle w:val="Heading1"/>
        <w:pBdr>
          <w:bottom w:val="single" w:color="1E2761" w:sz="6" w:space="1"/>
        </w:pBdr>
        <w:spacing w:after="150" w:before="300"/>
      </w:pPr>
      <w:r>
        <w:rPr>
          <w:rFonts w:ascii="Calibri" w:cs="Calibri" w:eastAsia="Calibri" w:hAnsi="Calibri"/>
          <w:b/>
          <w:bCs/>
          <w:color w:val="1E2761"/>
          <w:sz w:val="32"/>
          <w:szCs w:val="32"/>
        </w:rPr>
        <w:t xml:space="preserve">1. Introduction</w:t>
      </w:r>
    </w:p>
    <w:p>
      <w:pPr>
        <w:spacing w:after="120"/>
      </w:pPr>
      <w:r>
        <w:rPr>
          <w:rFonts w:ascii="Calibri" w:cs="Calibri" w:eastAsia="Calibri" w:hAnsi="Calibri"/>
          <w:color w:val="1E293B"/>
          <w:sz w:val="22"/>
          <w:szCs w:val="22"/>
        </w:rPr>
        <w:t xml:space="preserve">Customer segmentation is the process of dividing a company's customers into groups based on shared characteristics or behaviors. This project applies RFM (Recency, Frequency, Monetary) analysis to the UCI Online Retail dataset to identify distinct customer segments and provide actionable business recommendations.</w:t>
      </w:r>
    </w:p>
    <w:p>
      <w:pPr>
        <w:spacing w:after="100"/>
      </w:pPr>
    </w:p>
    <w:p>
      <w:pPr>
        <w:pStyle w:val="Heading2"/>
        <w:spacing w:after="100" w:before="200"/>
      </w:pPr>
      <w:r>
        <w:rPr>
          <w:rFonts w:ascii="Calibri" w:cs="Calibri" w:eastAsia="Calibri" w:hAnsi="Calibri"/>
          <w:b/>
          <w:bCs/>
          <w:color w:val="1E2761"/>
          <w:sz w:val="26"/>
          <w:szCs w:val="26"/>
        </w:rPr>
        <w:t xml:space="preserve">1.1 Objectives</w:t>
      </w:r>
    </w:p>
    <w:p>
      <w:pPr>
        <w:pStyle w:val="ListParagraph"/>
        <w:numPr>
          <w:ilvl w:val="0"/>
          <w:numId w:val="2"/>
        </w:numPr>
        <w:spacing w:after="80"/>
      </w:pPr>
      <w:r>
        <w:rPr>
          <w:rFonts w:ascii="Calibri" w:cs="Calibri" w:eastAsia="Calibri" w:hAnsi="Calibri"/>
          <w:color w:val="1E293B"/>
          <w:sz w:val="22"/>
          <w:szCs w:val="22"/>
        </w:rPr>
        <w:t xml:space="preserve">Perform data cleaning and preprocessing on the raw transaction dataset</w:t>
      </w:r>
    </w:p>
    <w:p>
      <w:pPr>
        <w:pStyle w:val="ListParagraph"/>
        <w:numPr>
          <w:ilvl w:val="0"/>
          <w:numId w:val="2"/>
        </w:numPr>
        <w:spacing w:after="80"/>
      </w:pPr>
      <w:r>
        <w:rPr>
          <w:rFonts w:ascii="Calibri" w:cs="Calibri" w:eastAsia="Calibri" w:hAnsi="Calibri"/>
          <w:color w:val="1E293B"/>
          <w:sz w:val="22"/>
          <w:szCs w:val="22"/>
        </w:rPr>
        <w:t xml:space="preserve">Calculate RFM metrics for each unique customer</w:t>
      </w:r>
    </w:p>
    <w:p>
      <w:pPr>
        <w:pStyle w:val="ListParagraph"/>
        <w:numPr>
          <w:ilvl w:val="0"/>
          <w:numId w:val="2"/>
        </w:numPr>
        <w:spacing w:after="80"/>
      </w:pPr>
      <w:r>
        <w:rPr>
          <w:rFonts w:ascii="Calibri" w:cs="Calibri" w:eastAsia="Calibri" w:hAnsi="Calibri"/>
          <w:color w:val="1E293B"/>
          <w:sz w:val="22"/>
          <w:szCs w:val="22"/>
        </w:rPr>
        <w:t xml:space="preserve">Score and segment customers using rule-based RFM scoring</w:t>
      </w:r>
    </w:p>
    <w:p>
      <w:pPr>
        <w:pStyle w:val="ListParagraph"/>
        <w:numPr>
          <w:ilvl w:val="0"/>
          <w:numId w:val="2"/>
        </w:numPr>
        <w:spacing w:after="80"/>
      </w:pPr>
      <w:r>
        <w:rPr>
          <w:rFonts w:ascii="Calibri" w:cs="Calibri" w:eastAsia="Calibri" w:hAnsi="Calibri"/>
          <w:color w:val="1E293B"/>
          <w:sz w:val="22"/>
          <w:szCs w:val="22"/>
        </w:rPr>
        <w:t xml:space="preserve">Apply K-Means clustering to find data-driven customer groups</w:t>
      </w:r>
    </w:p>
    <w:p>
      <w:pPr>
        <w:pStyle w:val="ListParagraph"/>
        <w:numPr>
          <w:ilvl w:val="0"/>
          <w:numId w:val="2"/>
        </w:numPr>
        <w:spacing w:after="80"/>
      </w:pPr>
      <w:r>
        <w:rPr>
          <w:rFonts w:ascii="Calibri" w:cs="Calibri" w:eastAsia="Calibri" w:hAnsi="Calibri"/>
          <w:color w:val="1E293B"/>
          <w:sz w:val="22"/>
          <w:szCs w:val="22"/>
        </w:rPr>
        <w:t xml:space="preserve">Build an interactive Power BI dashboard to visualize findings</w:t>
      </w:r>
    </w:p>
    <w:p>
      <w:pPr>
        <w:spacing w:after="100"/>
      </w:pPr>
    </w:p>
    <w:p>
      <w:pPr>
        <w:pStyle w:val="Heading1"/>
        <w:pBdr>
          <w:bottom w:val="single" w:color="1E2761" w:sz="6" w:space="1"/>
        </w:pBdr>
        <w:spacing w:after="150" w:before="300"/>
      </w:pPr>
      <w:r>
        <w:rPr>
          <w:rFonts w:ascii="Calibri" w:cs="Calibri" w:eastAsia="Calibri" w:hAnsi="Calibri"/>
          <w:b/>
          <w:bCs/>
          <w:color w:val="1E2761"/>
          <w:sz w:val="32"/>
          <w:szCs w:val="32"/>
        </w:rPr>
        <w:t xml:space="preserve">2. Dataset Overview</w:t>
      </w:r>
    </w:p>
    <w:p>
      <w:pPr>
        <w:spacing w:after="120"/>
      </w:pPr>
      <w:r>
        <w:rPr>
          <w:rFonts w:ascii="Calibri" w:cs="Calibri" w:eastAsia="Calibri" w:hAnsi="Calibri"/>
          <w:color w:val="1E293B"/>
          <w:sz w:val="22"/>
          <w:szCs w:val="22"/>
        </w:rPr>
        <w:t xml:space="preserve">The UCI Online Retail dataset is a transactional dataset from a UK-based non-store online retailer specializing in unique all-occasion gifts. The dataset covers transactions from December 1, 2010 to December 9, 2011. Many of the retailer's customers are wholesalers.</w:t>
      </w:r>
    </w:p>
    <w:p>
      <w:pPr>
        <w:spacing w:after="100"/>
      </w:pPr>
    </w:p>
    <w:p>
      <w:pPr>
        <w:pStyle w:val="Heading2"/>
        <w:spacing w:after="100" w:before="200"/>
      </w:pPr>
      <w:r>
        <w:rPr>
          <w:rFonts w:ascii="Calibri" w:cs="Calibri" w:eastAsia="Calibri" w:hAnsi="Calibri"/>
          <w:b/>
          <w:bCs/>
          <w:color w:val="1E2761"/>
          <w:sz w:val="26"/>
          <w:szCs w:val="26"/>
        </w:rPr>
        <w:t xml:space="preserve">2.1 Dataset Statistics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Attribute</w:t>
            </w:r>
          </w:p>
        </w:tc>
        <w:tc>
          <w:tcPr>
            <w:tcW w:type="dxa" w:w="48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Total Rows</w:t>
            </w:r>
          </w:p>
        </w:tc>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541,909</w:t>
            </w:r>
          </w:p>
        </w:tc>
      </w:tr>
      <w:tr>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Unique Customers</w:t>
            </w:r>
          </w:p>
        </w:tc>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4,338</w:t>
            </w:r>
          </w:p>
        </w:tc>
      </w:tr>
      <w:tr>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Unique Products</w:t>
            </w:r>
          </w:p>
        </w:tc>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3,684</w:t>
            </w:r>
          </w:p>
        </w:tc>
      </w:tr>
      <w:tr>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Countries</w:t>
            </w:r>
          </w:p>
        </w:tc>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38</w:t>
            </w:r>
          </w:p>
        </w:tc>
      </w:tr>
      <w:tr>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Date Range</w:t>
            </w:r>
          </w:p>
        </w:tc>
        <w:tc>
          <w:tcPr>
            <w:tcW w:type="dxa" w:w="48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01/12/2010 – 09/12/2011</w:t>
            </w:r>
          </w:p>
        </w:tc>
      </w:tr>
      <w:tr>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Currency</w:t>
            </w:r>
          </w:p>
        </w:tc>
        <w:tc>
          <w:tcPr>
            <w:tcW w:type="dxa" w:w="48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Sterling (£)</w:t>
            </w:r>
          </w:p>
        </w:tc>
      </w:tr>
    </w:tbl>
    <w:p>
      <w:pPr>
        <w:spacing w:after="100"/>
      </w:pPr>
    </w:p>
    <w:p>
      <w:pPr>
        <w:pStyle w:val="Heading2"/>
        <w:spacing w:after="100" w:before="200"/>
      </w:pPr>
      <w:r>
        <w:rPr>
          <w:rFonts w:ascii="Calibri" w:cs="Calibri" w:eastAsia="Calibri" w:hAnsi="Calibri"/>
          <w:b/>
          <w:bCs/>
          <w:color w:val="1E2761"/>
          <w:sz w:val="26"/>
          <w:szCs w:val="26"/>
        </w:rPr>
        <w:t xml:space="preserve">2.2 Column Descriptions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6120"/>
      </w:tblGrid>
      <w:tr>
        <w:tc>
          <w:tcPr>
            <w:tcW w:type="dxa" w:w="21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144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612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InvoiceNo</w:t>
            </w:r>
          </w:p>
        </w:tc>
        <w:tc>
          <w:tcPr>
            <w:tcW w:type="dxa" w:w="14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Text</w:t>
            </w:r>
          </w:p>
        </w:tc>
        <w:tc>
          <w:tcPr>
            <w:tcW w:type="dxa" w:w="61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6-digit transaction ID. Prefix 'C' = cancellation</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StockCode</w:t>
            </w:r>
          </w:p>
        </w:tc>
        <w:tc>
          <w:tcPr>
            <w:tcW w:type="dxa" w:w="14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Text</w:t>
            </w:r>
          </w:p>
        </w:tc>
        <w:tc>
          <w:tcPr>
            <w:tcW w:type="dxa" w:w="61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5-digit unique product code</w:t>
            </w:r>
          </w:p>
        </w:tc>
      </w:tr>
      <w:tr>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Description</w:t>
            </w:r>
          </w:p>
        </w:tc>
        <w:tc>
          <w:tcPr>
            <w:tcW w:type="dxa" w:w="14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Text</w:t>
            </w:r>
          </w:p>
        </w:tc>
        <w:tc>
          <w:tcPr>
            <w:tcW w:type="dxa" w:w="61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Human-readable product name</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Quantity</w:t>
            </w:r>
          </w:p>
        </w:tc>
        <w:tc>
          <w:tcPr>
            <w:tcW w:type="dxa" w:w="14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Number</w:t>
            </w:r>
          </w:p>
        </w:tc>
        <w:tc>
          <w:tcPr>
            <w:tcW w:type="dxa" w:w="61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Units purchased (negative = return)</w:t>
            </w:r>
          </w:p>
        </w:tc>
      </w:tr>
      <w:tr>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InvoiceDate</w:t>
            </w:r>
          </w:p>
        </w:tc>
        <w:tc>
          <w:tcPr>
            <w:tcW w:type="dxa" w:w="14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DateTime</w:t>
            </w:r>
          </w:p>
        </w:tc>
        <w:tc>
          <w:tcPr>
            <w:tcW w:type="dxa" w:w="61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Date and time of transaction</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UnitPrice</w:t>
            </w:r>
          </w:p>
        </w:tc>
        <w:tc>
          <w:tcPr>
            <w:tcW w:type="dxa" w:w="14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Decimal</w:t>
            </w:r>
          </w:p>
        </w:tc>
        <w:tc>
          <w:tcPr>
            <w:tcW w:type="dxa" w:w="61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Price per unit in Sterling (£)</w:t>
            </w:r>
          </w:p>
        </w:tc>
      </w:tr>
      <w:tr>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CustomerID</w:t>
            </w:r>
          </w:p>
        </w:tc>
        <w:tc>
          <w:tcPr>
            <w:tcW w:type="dxa" w:w="14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Text</w:t>
            </w:r>
          </w:p>
        </w:tc>
        <w:tc>
          <w:tcPr>
            <w:tcW w:type="dxa" w:w="61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5-digit unique customer identifier</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Country</w:t>
            </w:r>
          </w:p>
        </w:tc>
        <w:tc>
          <w:tcPr>
            <w:tcW w:type="dxa" w:w="14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Text</w:t>
            </w:r>
          </w:p>
        </w:tc>
        <w:tc>
          <w:tcPr>
            <w:tcW w:type="dxa" w:w="61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Country where the customer resides</w:t>
            </w:r>
          </w:p>
        </w:tc>
      </w:tr>
    </w:tbl>
    <w:p>
      <w:pPr>
        <w:spacing w:after="100"/>
      </w:pPr>
    </w:p>
    <w:p>
      <w:r>
        <w:br w:type="page"/>
      </w:r>
    </w:p>
    <w:p>
      <w:pPr>
        <w:pStyle w:val="Heading1"/>
        <w:pBdr>
          <w:bottom w:val="single" w:color="1E2761" w:sz="6" w:space="1"/>
        </w:pBdr>
        <w:spacing w:after="150" w:before="300"/>
      </w:pPr>
      <w:r>
        <w:rPr>
          <w:rFonts w:ascii="Calibri" w:cs="Calibri" w:eastAsia="Calibri" w:hAnsi="Calibri"/>
          <w:b/>
          <w:bCs/>
          <w:color w:val="1E2761"/>
          <w:sz w:val="32"/>
          <w:szCs w:val="32"/>
        </w:rPr>
        <w:t xml:space="preserve">3. Methodology</w:t>
      </w:r>
    </w:p>
    <w:p>
      <w:pPr>
        <w:pStyle w:val="Heading2"/>
        <w:spacing w:after="100" w:before="200"/>
      </w:pPr>
      <w:r>
        <w:rPr>
          <w:rFonts w:ascii="Calibri" w:cs="Calibri" w:eastAsia="Calibri" w:hAnsi="Calibri"/>
          <w:b/>
          <w:bCs/>
          <w:color w:val="1E2761"/>
          <w:sz w:val="26"/>
          <w:szCs w:val="26"/>
        </w:rPr>
        <w:t xml:space="preserve">3.1 Data Cleaning</w:t>
      </w:r>
    </w:p>
    <w:p>
      <w:pPr>
        <w:spacing w:after="120"/>
      </w:pPr>
      <w:r>
        <w:rPr>
          <w:rFonts w:ascii="Calibri" w:cs="Calibri" w:eastAsia="Calibri" w:hAnsi="Calibri"/>
          <w:color w:val="1E293B"/>
          <w:sz w:val="22"/>
          <w:szCs w:val="22"/>
        </w:rPr>
        <w:t xml:space="preserve">The following cleaning steps were applied to the raw dataset:</w:t>
      </w:r>
    </w:p>
    <w:p>
      <w:pPr>
        <w:pStyle w:val="ListParagraph"/>
        <w:numPr>
          <w:ilvl w:val="0"/>
          <w:numId w:val="2"/>
        </w:numPr>
        <w:spacing w:after="80"/>
      </w:pPr>
      <w:r>
        <w:rPr>
          <w:rFonts w:ascii="Calibri" w:cs="Calibri" w:eastAsia="Calibri" w:hAnsi="Calibri"/>
          <w:color w:val="1E293B"/>
          <w:sz w:val="22"/>
          <w:szCs w:val="22"/>
        </w:rPr>
        <w:t xml:space="preserve">Removed 135,080 rows with missing CustomerID (cannot compute RFM without customer identity)</w:t>
      </w:r>
    </w:p>
    <w:p>
      <w:pPr>
        <w:pStyle w:val="ListParagraph"/>
        <w:numPr>
          <w:ilvl w:val="0"/>
          <w:numId w:val="2"/>
        </w:numPr>
        <w:spacing w:after="80"/>
      </w:pPr>
      <w:r>
        <w:rPr>
          <w:rFonts w:ascii="Calibri" w:cs="Calibri" w:eastAsia="Calibri" w:hAnsi="Calibri"/>
          <w:color w:val="1E293B"/>
          <w:sz w:val="22"/>
          <w:szCs w:val="22"/>
        </w:rPr>
        <w:t xml:space="preserve">Removed 5,268 duplicate rows</w:t>
      </w:r>
    </w:p>
    <w:p>
      <w:pPr>
        <w:pStyle w:val="ListParagraph"/>
        <w:numPr>
          <w:ilvl w:val="0"/>
          <w:numId w:val="2"/>
        </w:numPr>
        <w:spacing w:after="80"/>
      </w:pPr>
      <w:r>
        <w:rPr>
          <w:rFonts w:ascii="Calibri" w:cs="Calibri" w:eastAsia="Calibri" w:hAnsi="Calibri"/>
          <w:color w:val="1E293B"/>
          <w:sz w:val="22"/>
          <w:szCs w:val="22"/>
        </w:rPr>
        <w:t xml:space="preserve">Removed cancelled orders — InvoiceNo values starting with 'C'</w:t>
      </w:r>
    </w:p>
    <w:p>
      <w:pPr>
        <w:pStyle w:val="ListParagraph"/>
        <w:numPr>
          <w:ilvl w:val="0"/>
          <w:numId w:val="2"/>
        </w:numPr>
        <w:spacing w:after="80"/>
      </w:pPr>
      <w:r>
        <w:rPr>
          <w:rFonts w:ascii="Calibri" w:cs="Calibri" w:eastAsia="Calibri" w:hAnsi="Calibri"/>
          <w:color w:val="1E293B"/>
          <w:sz w:val="22"/>
          <w:szCs w:val="22"/>
        </w:rPr>
        <w:t xml:space="preserve">Removed rows with Quantity &lt;= 0 or UnitPrice &lt;= 0</w:t>
      </w:r>
    </w:p>
    <w:p>
      <w:pPr>
        <w:pStyle w:val="ListParagraph"/>
        <w:numPr>
          <w:ilvl w:val="0"/>
          <w:numId w:val="2"/>
        </w:numPr>
        <w:spacing w:after="80"/>
      </w:pPr>
      <w:r>
        <w:rPr>
          <w:rFonts w:ascii="Calibri" w:cs="Calibri" w:eastAsia="Calibri" w:hAnsi="Calibri"/>
          <w:color w:val="1E293B"/>
          <w:sz w:val="22"/>
          <w:szCs w:val="22"/>
        </w:rPr>
        <w:t xml:space="preserve">Created a new column: TotalPrice = Quantity × UnitPrice</w:t>
      </w:r>
    </w:p>
    <w:p>
      <w:pPr>
        <w:spacing w:after="120"/>
      </w:pPr>
      <w:r>
        <w:rPr>
          <w:rFonts w:ascii="Calibri" w:cs="Calibri" w:eastAsia="Calibri" w:hAnsi="Calibri"/>
          <w:color w:val="1E293B"/>
          <w:sz w:val="22"/>
          <w:szCs w:val="22"/>
        </w:rPr>
        <w:t xml:space="preserve">After cleaning, the dataset retained approximately 397,924 valid transaction rows.</w:t>
      </w:r>
    </w:p>
    <w:p>
      <w:pPr>
        <w:spacing w:after="100"/>
      </w:pPr>
    </w:p>
    <w:p>
      <w:pPr>
        <w:pStyle w:val="Heading2"/>
        <w:spacing w:after="100" w:before="200"/>
      </w:pPr>
      <w:r>
        <w:rPr>
          <w:rFonts w:ascii="Calibri" w:cs="Calibri" w:eastAsia="Calibri" w:hAnsi="Calibri"/>
          <w:b/>
          <w:bCs/>
          <w:color w:val="1E2761"/>
          <w:sz w:val="26"/>
          <w:szCs w:val="26"/>
        </w:rPr>
        <w:t xml:space="preserve">3.2 RFM Metric Calculation</w:t>
      </w:r>
    </w:p>
    <w:p>
      <w:pPr>
        <w:spacing w:after="120"/>
      </w:pPr>
      <w:r>
        <w:rPr>
          <w:rFonts w:ascii="Calibri" w:cs="Calibri" w:eastAsia="Calibri" w:hAnsi="Calibri"/>
          <w:color w:val="1E293B"/>
          <w:sz w:val="22"/>
          <w:szCs w:val="22"/>
        </w:rPr>
        <w:t xml:space="preserve">A reference/snapshot date was set to one day after the last transaction (2011-12-10). RFM metrics were then computed per CustomerID: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320"/>
      </w:tblGrid>
      <w:tr>
        <w:tc>
          <w:tcPr>
            <w:tcW w:type="dxa" w:w="21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24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Formula</w:t>
            </w:r>
          </w:p>
        </w:tc>
        <w:tc>
          <w:tcPr>
            <w:tcW w:type="dxa" w:w="432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Interpretation</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3498DB"/>
                <w:sz w:val="18"/>
                <w:szCs w:val="18"/>
              </w:rPr>
              <w:t xml:space="preserve">Recency</w:t>
            </w:r>
          </w:p>
        </w:tc>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Days since last InvoiceDate</w:t>
            </w:r>
          </w:p>
        </w:tc>
        <w:tc>
          <w:tcPr>
            <w:tcW w:type="dxa" w:w="43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Lower = more recent = better</w:t>
            </w:r>
          </w:p>
        </w:tc>
      </w:tr>
      <w:tr>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2ecc71"/>
                <w:sz w:val="18"/>
                <w:szCs w:val="18"/>
              </w:rPr>
              <w:t xml:space="preserve">Frequency</w:t>
            </w:r>
          </w:p>
        </w:tc>
        <w:tc>
          <w:tcPr>
            <w:tcW w:type="dxa" w:w="32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Count of unique InvoiceNos</w:t>
            </w:r>
          </w:p>
        </w:tc>
        <w:tc>
          <w:tcPr>
            <w:tcW w:type="dxa" w:w="43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Higher = more purchases = better</w:t>
            </w:r>
          </w:p>
        </w:tc>
      </w:tr>
      <w:tr>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e67e22"/>
                <w:sz w:val="18"/>
                <w:szCs w:val="18"/>
              </w:rPr>
              <w:t xml:space="preserve">Monetary</w:t>
            </w:r>
          </w:p>
        </w:tc>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Sum of TotalPrice</w:t>
            </w:r>
          </w:p>
        </w:tc>
        <w:tc>
          <w:tcPr>
            <w:tcW w:type="dxa" w:w="43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Higher = more revenue = better</w:t>
            </w:r>
          </w:p>
        </w:tc>
      </w:tr>
    </w:tbl>
    <w:p>
      <w:pPr>
        <w:spacing w:after="100"/>
      </w:pPr>
    </w:p>
    <w:p>
      <w:pPr>
        <w:pStyle w:val="Heading2"/>
        <w:spacing w:after="100" w:before="200"/>
      </w:pPr>
      <w:r>
        <w:rPr>
          <w:rFonts w:ascii="Calibri" w:cs="Calibri" w:eastAsia="Calibri" w:hAnsi="Calibri"/>
          <w:b/>
          <w:bCs/>
          <w:color w:val="1E2761"/>
          <w:sz w:val="26"/>
          <w:szCs w:val="26"/>
        </w:rPr>
        <w:t xml:space="preserve">3.3 RFM Scoring</w:t>
      </w:r>
    </w:p>
    <w:p>
      <w:pPr>
        <w:spacing w:after="120"/>
      </w:pPr>
      <w:r>
        <w:rPr>
          <w:rFonts w:ascii="Calibri" w:cs="Calibri" w:eastAsia="Calibri" w:hAnsi="Calibri"/>
          <w:color w:val="1E293B"/>
          <w:sz w:val="22"/>
          <w:szCs w:val="22"/>
        </w:rPr>
        <w:t xml:space="preserve">Each metric was divided into 5 quantile-based bins (quintiles) using pandas qcut(), assigning scores from 1 to 5:</w:t>
      </w:r>
    </w:p>
    <w:p>
      <w:pPr>
        <w:pStyle w:val="ListParagraph"/>
        <w:numPr>
          <w:ilvl w:val="0"/>
          <w:numId w:val="2"/>
        </w:numPr>
        <w:spacing w:after="80"/>
      </w:pPr>
      <w:r>
        <w:rPr>
          <w:rFonts w:ascii="Calibri" w:cs="Calibri" w:eastAsia="Calibri" w:hAnsi="Calibri"/>
          <w:color w:val="1E293B"/>
          <w:sz w:val="22"/>
          <w:szCs w:val="22"/>
        </w:rPr>
        <w:t xml:space="preserve">Recency score: reversed — lower recency days = score 5 (best)</w:t>
      </w:r>
    </w:p>
    <w:p>
      <w:pPr>
        <w:pStyle w:val="ListParagraph"/>
        <w:numPr>
          <w:ilvl w:val="0"/>
          <w:numId w:val="2"/>
        </w:numPr>
        <w:spacing w:after="80"/>
      </w:pPr>
      <w:r>
        <w:rPr>
          <w:rFonts w:ascii="Calibri" w:cs="Calibri" w:eastAsia="Calibri" w:hAnsi="Calibri"/>
          <w:color w:val="1E293B"/>
          <w:sz w:val="22"/>
          <w:szCs w:val="22"/>
        </w:rPr>
        <w:t xml:space="preserve">Frequency score: higher count = score 5 (best)</w:t>
      </w:r>
    </w:p>
    <w:p>
      <w:pPr>
        <w:pStyle w:val="ListParagraph"/>
        <w:numPr>
          <w:ilvl w:val="0"/>
          <w:numId w:val="2"/>
        </w:numPr>
        <w:spacing w:after="80"/>
      </w:pPr>
      <w:r>
        <w:rPr>
          <w:rFonts w:ascii="Calibri" w:cs="Calibri" w:eastAsia="Calibri" w:hAnsi="Calibri"/>
          <w:color w:val="1E293B"/>
          <w:sz w:val="22"/>
          <w:szCs w:val="22"/>
        </w:rPr>
        <w:t xml:space="preserve">Monetary score: higher spend = score 5 (best)</w:t>
      </w:r>
    </w:p>
    <w:p>
      <w:pPr>
        <w:pStyle w:val="ListParagraph"/>
        <w:numPr>
          <w:ilvl w:val="0"/>
          <w:numId w:val="2"/>
        </w:numPr>
        <w:spacing w:after="80"/>
      </w:pPr>
      <w:r>
        <w:rPr>
          <w:rFonts w:ascii="Calibri" w:cs="Calibri" w:eastAsia="Calibri" w:hAnsi="Calibri"/>
          <w:color w:val="1E293B"/>
          <w:sz w:val="22"/>
          <w:szCs w:val="22"/>
        </w:rPr>
        <w:t xml:space="preserve">Combined RFM Score: string concatenation of R, F, M scores (e.g., '555' = Champion)</w:t>
      </w:r>
    </w:p>
    <w:p>
      <w:pPr>
        <w:spacing w:after="100"/>
      </w:pPr>
    </w:p>
    <w:p>
      <w:pPr>
        <w:pStyle w:val="Heading2"/>
        <w:spacing w:after="100" w:before="200"/>
      </w:pPr>
      <w:r>
        <w:rPr>
          <w:rFonts w:ascii="Calibri" w:cs="Calibri" w:eastAsia="Calibri" w:hAnsi="Calibri"/>
          <w:b/>
          <w:bCs/>
          <w:color w:val="1E2761"/>
          <w:sz w:val="26"/>
          <w:szCs w:val="26"/>
        </w:rPr>
        <w:t xml:space="preserve">3.4 K-Means Clustering</w:t>
      </w:r>
    </w:p>
    <w:p>
      <w:pPr>
        <w:spacing w:after="120"/>
      </w:pPr>
      <w:r>
        <w:rPr>
          <w:rFonts w:ascii="Calibri" w:cs="Calibri" w:eastAsia="Calibri" w:hAnsi="Calibri"/>
          <w:color w:val="1E293B"/>
          <w:sz w:val="22"/>
          <w:szCs w:val="22"/>
        </w:rPr>
        <w:t xml:space="preserve">K-Means clustering was applied using scipy.cluster.vq (chosen to avoid Windows OpenBLAS compatibility issues with scikit-learn). The elbow method was used to identify the optimal number of clusters. K=4 was selected based on the elbow curve and silhouette scores. Data was log-transformed and standardized (StandardScaler) before clustering to reduce skewness.</w:t>
      </w:r>
    </w:p>
    <w:p>
      <w:pPr>
        <w:spacing w:after="100"/>
      </w:pPr>
    </w:p>
    <w:p>
      <w:r>
        <w:br w:type="page"/>
      </w:r>
    </w:p>
    <w:p>
      <w:pPr>
        <w:pStyle w:val="Heading1"/>
        <w:pBdr>
          <w:bottom w:val="single" w:color="1E2761" w:sz="6" w:space="1"/>
        </w:pBdr>
        <w:spacing w:after="150" w:before="300"/>
      </w:pPr>
      <w:r>
        <w:rPr>
          <w:rFonts w:ascii="Calibri" w:cs="Calibri" w:eastAsia="Calibri" w:hAnsi="Calibri"/>
          <w:b/>
          <w:bCs/>
          <w:color w:val="1E2761"/>
          <w:sz w:val="32"/>
          <w:szCs w:val="32"/>
        </w:rPr>
        <w:t xml:space="preserve">4. Results</w:t>
      </w:r>
    </w:p>
    <w:p>
      <w:pPr>
        <w:pStyle w:val="Heading2"/>
        <w:spacing w:after="100" w:before="200"/>
      </w:pPr>
      <w:r>
        <w:rPr>
          <w:rFonts w:ascii="Calibri" w:cs="Calibri" w:eastAsia="Calibri" w:hAnsi="Calibri"/>
          <w:b/>
          <w:bCs/>
          <w:color w:val="1E2761"/>
          <w:sz w:val="26"/>
          <w:szCs w:val="26"/>
        </w:rPr>
        <w:t xml:space="preserve">4.1 Customer Segments (Rule-Based)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296"/>
        <w:gridCol w:w="1296"/>
        <w:gridCol w:w="1296"/>
        <w:gridCol w:w="3132"/>
      </w:tblGrid>
      <w:tr>
        <w:tc>
          <w:tcPr>
            <w:tcW w:type="dxa" w:w="270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1296"/>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 Score</w:t>
            </w:r>
          </w:p>
        </w:tc>
        <w:tc>
          <w:tcPr>
            <w:tcW w:type="dxa" w:w="1296"/>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F Score</w:t>
            </w:r>
          </w:p>
        </w:tc>
        <w:tc>
          <w:tcPr>
            <w:tcW w:type="dxa" w:w="1296"/>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 Score</w:t>
            </w:r>
          </w:p>
        </w:tc>
        <w:tc>
          <w:tcPr>
            <w:tcW w:type="dxa" w:w="3132"/>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Recommended Action</w:t>
            </w:r>
          </w:p>
        </w:tc>
      </w:tr>
      <w:tr>
        <w:tc>
          <w:tcPr>
            <w:tcW w:type="dxa" w:w="270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Champions</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3132"/>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Reward, upsell, ask for reviews</w:t>
            </w:r>
          </w:p>
        </w:tc>
      </w:tr>
      <w:tr>
        <w:tc>
          <w:tcPr>
            <w:tcW w:type="dxa" w:w="27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Loyal Customers</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3132"/>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Loyalty programs, early access</w:t>
            </w:r>
          </w:p>
        </w:tc>
      </w:tr>
      <w:tr>
        <w:tc>
          <w:tcPr>
            <w:tcW w:type="dxa" w:w="270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Potential Loyalists</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2-3</w:t>
            </w:r>
          </w:p>
        </w:tc>
        <w:tc>
          <w:tcPr>
            <w:tcW w:type="dxa" w:w="3132"/>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Personalized nurturing emails</w:t>
            </w:r>
          </w:p>
        </w:tc>
      </w:tr>
      <w:tr>
        <w:tc>
          <w:tcPr>
            <w:tcW w:type="dxa" w:w="27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New Customers</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3132"/>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Onboarding offers, discounts</w:t>
            </w:r>
          </w:p>
        </w:tc>
      </w:tr>
      <w:tr>
        <w:tc>
          <w:tcPr>
            <w:tcW w:type="dxa" w:w="270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About To Sleep</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2-3</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3132"/>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Re-engagement campaigns</w:t>
            </w:r>
          </w:p>
        </w:tc>
      </w:tr>
      <w:tr>
        <w:tc>
          <w:tcPr>
            <w:tcW w:type="dxa" w:w="27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At Risk</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3-4</w:t>
            </w:r>
          </w:p>
        </w:tc>
        <w:tc>
          <w:tcPr>
            <w:tcW w:type="dxa" w:w="3132"/>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Win-back offers, surveys</w:t>
            </w:r>
          </w:p>
        </w:tc>
      </w:tr>
      <w:tr>
        <w:tc>
          <w:tcPr>
            <w:tcW w:type="dxa" w:w="270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Cannot Lose Them</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4-5</w:t>
            </w:r>
          </w:p>
        </w:tc>
        <w:tc>
          <w:tcPr>
            <w:tcW w:type="dxa" w:w="3132"/>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Urgent personal outreach</w:t>
            </w:r>
          </w:p>
        </w:tc>
      </w:tr>
      <w:tr>
        <w:tc>
          <w:tcPr>
            <w:tcW w:type="dxa" w:w="270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Hibernating</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2</w:t>
            </w:r>
          </w:p>
        </w:tc>
        <w:tc>
          <w:tcPr>
            <w:tcW w:type="dxa" w:w="1296"/>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w:t>
            </w:r>
          </w:p>
        </w:tc>
        <w:tc>
          <w:tcPr>
            <w:tcW w:type="dxa" w:w="3132"/>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Strong discount offers</w:t>
            </w:r>
          </w:p>
        </w:tc>
      </w:tr>
      <w:tr>
        <w:tc>
          <w:tcPr>
            <w:tcW w:type="dxa" w:w="270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Lost Customers</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w:t>
            </w:r>
          </w:p>
        </w:tc>
        <w:tc>
          <w:tcPr>
            <w:tcW w:type="dxa" w:w="1296"/>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w:t>
            </w:r>
          </w:p>
        </w:tc>
        <w:tc>
          <w:tcPr>
            <w:tcW w:type="dxa" w:w="3132"/>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Last-chance email or let go</w:t>
            </w:r>
          </w:p>
        </w:tc>
      </w:tr>
    </w:tbl>
    <w:p>
      <w:pPr>
        <w:spacing w:after="100"/>
      </w:pPr>
    </w:p>
    <w:p>
      <w:pPr>
        <w:pStyle w:val="Heading2"/>
        <w:spacing w:after="100" w:before="200"/>
      </w:pPr>
      <w:r>
        <w:rPr>
          <w:rFonts w:ascii="Calibri" w:cs="Calibri" w:eastAsia="Calibri" w:hAnsi="Calibri"/>
          <w:b/>
          <w:bCs/>
          <w:color w:val="1E2761"/>
          <w:sz w:val="26"/>
          <w:szCs w:val="26"/>
        </w:rPr>
        <w:t xml:space="preserve">4.2 K-Means Cluster Profiles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1980"/>
        <w:gridCol w:w="1980"/>
        <w:gridCol w:w="1980"/>
      </w:tblGrid>
      <w:tr>
        <w:tc>
          <w:tcPr>
            <w:tcW w:type="dxa" w:w="162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Cluster</w:t>
            </w:r>
          </w:p>
        </w:tc>
        <w:tc>
          <w:tcPr>
            <w:tcW w:type="dxa" w:w="216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tcW w:type="dxa" w:w="198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Avg Recency</w:t>
            </w:r>
          </w:p>
        </w:tc>
        <w:tc>
          <w:tcPr>
            <w:tcW w:type="dxa" w:w="198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Avg Frequency</w:t>
            </w:r>
          </w:p>
        </w:tc>
        <w:tc>
          <w:tcPr>
            <w:tcW w:type="dxa" w:w="198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Avg Monetary</w:t>
            </w:r>
          </w:p>
        </w:tc>
      </w:tr>
      <w:tr>
        <w:tc>
          <w:tcPr>
            <w:tcW w:type="dxa" w:w="16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0</w:t>
            </w:r>
          </w:p>
        </w:tc>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VIP / Champions</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 (recent)</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High</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High (£)</w:t>
            </w:r>
          </w:p>
        </w:tc>
      </w:tr>
      <w:tr>
        <w:tc>
          <w:tcPr>
            <w:tcW w:type="dxa" w:w="16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1</w:t>
            </w:r>
          </w:p>
        </w:tc>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Lost / Inactive</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High (old)</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w:t>
            </w:r>
          </w:p>
        </w:tc>
      </w:tr>
      <w:tr>
        <w:tc>
          <w:tcPr>
            <w:tcW w:type="dxa" w:w="162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2</w:t>
            </w:r>
          </w:p>
        </w:tc>
        <w:tc>
          <w:tcPr>
            <w:tcW w:type="dxa" w:w="216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Loyal / Regular</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Medium</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Medium</w:t>
            </w:r>
          </w:p>
        </w:tc>
        <w:tc>
          <w:tcPr>
            <w:tcW w:type="dxa" w:w="19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Medium</w:t>
            </w:r>
          </w:p>
        </w:tc>
      </w:tr>
      <w:tr>
        <w:tc>
          <w:tcPr>
            <w:tcW w:type="dxa" w:w="162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3</w:t>
            </w:r>
          </w:p>
        </w:tc>
        <w:tc>
          <w:tcPr>
            <w:tcW w:type="dxa" w:w="216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At Risk / Sleeping</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Medium-High</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w:t>
            </w:r>
          </w:p>
        </w:tc>
        <w:tc>
          <w:tcPr>
            <w:tcW w:type="dxa" w:w="19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Low</w:t>
            </w:r>
          </w:p>
        </w:tc>
      </w:tr>
    </w:tbl>
    <w:p>
      <w:pPr>
        <w:spacing w:after="100"/>
      </w:pPr>
    </w:p>
    <w:p>
      <w:r>
        <w:br w:type="page"/>
      </w:r>
    </w:p>
    <w:p>
      <w:pPr>
        <w:pStyle w:val="Heading1"/>
        <w:pBdr>
          <w:bottom w:val="single" w:color="1E2761" w:sz="6" w:space="1"/>
        </w:pBdr>
        <w:spacing w:after="150" w:before="300"/>
      </w:pPr>
      <w:r>
        <w:rPr>
          <w:rFonts w:ascii="Calibri" w:cs="Calibri" w:eastAsia="Calibri" w:hAnsi="Calibri"/>
          <w:b/>
          <w:bCs/>
          <w:color w:val="1E2761"/>
          <w:sz w:val="32"/>
          <w:szCs w:val="32"/>
        </w:rPr>
        <w:t xml:space="preserve">5. Power BI Dashboard</w:t>
      </w:r>
    </w:p>
    <w:p>
      <w:pPr>
        <w:spacing w:after="120"/>
      </w:pPr>
      <w:r>
        <w:rPr>
          <w:rFonts w:ascii="Calibri" w:cs="Calibri" w:eastAsia="Calibri" w:hAnsi="Calibri"/>
          <w:color w:val="1E293B"/>
          <w:sz w:val="22"/>
          <w:szCs w:val="22"/>
        </w:rPr>
        <w:t xml:space="preserve">An interactive Power BI dashboard was built with 3 pages to visualize the RFM analysis results:</w:t>
      </w:r>
    </w:p>
    <w:p>
      <w:pPr>
        <w:spacing w:after="100"/>
      </w:pPr>
    </w:p>
    <w:p>
      <w:pPr>
        <w:pStyle w:val="Heading2"/>
        <w:spacing w:after="100" w:before="200"/>
      </w:pPr>
      <w:r>
        <w:rPr>
          <w:rFonts w:ascii="Calibri" w:cs="Calibri" w:eastAsia="Calibri" w:hAnsi="Calibri"/>
          <w:b/>
          <w:bCs/>
          <w:color w:val="1E2761"/>
          <w:sz w:val="26"/>
          <w:szCs w:val="26"/>
        </w:rPr>
        <w:t xml:space="preserve">Page 1 — Overview</w:t>
      </w:r>
    </w:p>
    <w:p>
      <w:pPr>
        <w:pStyle w:val="ListParagraph"/>
        <w:numPr>
          <w:ilvl w:val="0"/>
          <w:numId w:val="2"/>
        </w:numPr>
        <w:spacing w:after="80"/>
      </w:pPr>
      <w:r>
        <w:rPr>
          <w:rFonts w:ascii="Calibri" w:cs="Calibri" w:eastAsia="Calibri" w:hAnsi="Calibri"/>
          <w:color w:val="1E293B"/>
          <w:sz w:val="22"/>
          <w:szCs w:val="22"/>
        </w:rPr>
        <w:t xml:space="preserve">KPI Cards: Total Customers, Total Revenue, Avg Recency, Avg Frequency</w:t>
      </w:r>
    </w:p>
    <w:p>
      <w:pPr>
        <w:pStyle w:val="ListParagraph"/>
        <w:numPr>
          <w:ilvl w:val="0"/>
          <w:numId w:val="2"/>
        </w:numPr>
        <w:spacing w:after="80"/>
      </w:pPr>
      <w:r>
        <w:rPr>
          <w:rFonts w:ascii="Calibri" w:cs="Calibri" w:eastAsia="Calibri" w:hAnsi="Calibri"/>
          <w:color w:val="1E293B"/>
          <w:sz w:val="22"/>
          <w:szCs w:val="22"/>
        </w:rPr>
        <w:t xml:space="preserve">Pie Chart: Customer distribution by Segment</w:t>
      </w:r>
    </w:p>
    <w:p>
      <w:pPr>
        <w:pStyle w:val="ListParagraph"/>
        <w:numPr>
          <w:ilvl w:val="0"/>
          <w:numId w:val="2"/>
        </w:numPr>
        <w:spacing w:after="80"/>
      </w:pPr>
      <w:r>
        <w:rPr>
          <w:rFonts w:ascii="Calibri" w:cs="Calibri" w:eastAsia="Calibri" w:hAnsi="Calibri"/>
          <w:color w:val="1E293B"/>
          <w:sz w:val="22"/>
          <w:szCs w:val="22"/>
        </w:rPr>
        <w:t xml:space="preserve">Bar Chart: Count of Customers per Segment</w:t>
      </w:r>
    </w:p>
    <w:p>
      <w:pPr>
        <w:spacing w:after="100"/>
      </w:pPr>
    </w:p>
    <w:p>
      <w:pPr>
        <w:pStyle w:val="Heading2"/>
        <w:spacing w:after="100" w:before="200"/>
      </w:pPr>
      <w:r>
        <w:rPr>
          <w:rFonts w:ascii="Calibri" w:cs="Calibri" w:eastAsia="Calibri" w:hAnsi="Calibri"/>
          <w:b/>
          <w:bCs/>
          <w:color w:val="1E2761"/>
          <w:sz w:val="26"/>
          <w:szCs w:val="26"/>
        </w:rPr>
        <w:t xml:space="preserve">Page 2 — RFM Analysis</w:t>
      </w:r>
    </w:p>
    <w:p>
      <w:pPr>
        <w:pStyle w:val="ListParagraph"/>
        <w:numPr>
          <w:ilvl w:val="0"/>
          <w:numId w:val="2"/>
        </w:numPr>
        <w:spacing w:after="80"/>
      </w:pPr>
      <w:r>
        <w:rPr>
          <w:rFonts w:ascii="Calibri" w:cs="Calibri" w:eastAsia="Calibri" w:hAnsi="Calibri"/>
          <w:color w:val="1E293B"/>
          <w:sz w:val="22"/>
          <w:szCs w:val="22"/>
        </w:rPr>
        <w:t xml:space="preserve">Clustered Bar Chart: Avg Recency, Frequency, Monetary per Segment</w:t>
      </w:r>
    </w:p>
    <w:p>
      <w:pPr>
        <w:pStyle w:val="ListParagraph"/>
        <w:numPr>
          <w:ilvl w:val="0"/>
          <w:numId w:val="2"/>
        </w:numPr>
        <w:spacing w:after="80"/>
      </w:pPr>
      <w:r>
        <w:rPr>
          <w:rFonts w:ascii="Calibri" w:cs="Calibri" w:eastAsia="Calibri" w:hAnsi="Calibri"/>
          <w:color w:val="1E293B"/>
          <w:sz w:val="22"/>
          <w:szCs w:val="22"/>
        </w:rPr>
        <w:t xml:space="preserve">Matrix Table: Avg R, F, M scores per Segment</w:t>
      </w:r>
    </w:p>
    <w:p>
      <w:pPr>
        <w:pStyle w:val="ListParagraph"/>
        <w:numPr>
          <w:ilvl w:val="0"/>
          <w:numId w:val="2"/>
        </w:numPr>
        <w:spacing w:after="80"/>
      </w:pPr>
      <w:r>
        <w:rPr>
          <w:rFonts w:ascii="Calibri" w:cs="Calibri" w:eastAsia="Calibri" w:hAnsi="Calibri"/>
          <w:color w:val="1E293B"/>
          <w:sz w:val="22"/>
          <w:szCs w:val="22"/>
        </w:rPr>
        <w:t xml:space="preserve">Scatter Plot: Frequency (X) vs Monetary (Y), colored by Segment</w:t>
      </w:r>
    </w:p>
    <w:p>
      <w:pPr>
        <w:spacing w:after="100"/>
      </w:pPr>
    </w:p>
    <w:p>
      <w:pPr>
        <w:pStyle w:val="Heading2"/>
        <w:spacing w:after="100" w:before="200"/>
      </w:pPr>
      <w:r>
        <w:rPr>
          <w:rFonts w:ascii="Calibri" w:cs="Calibri" w:eastAsia="Calibri" w:hAnsi="Calibri"/>
          <w:b/>
          <w:bCs/>
          <w:color w:val="1E2761"/>
          <w:sz w:val="26"/>
          <w:szCs w:val="26"/>
        </w:rPr>
        <w:t xml:space="preserve">Page 3 — Cluster Analysis</w:t>
      </w:r>
    </w:p>
    <w:p>
      <w:pPr>
        <w:pStyle w:val="ListParagraph"/>
        <w:numPr>
          <w:ilvl w:val="0"/>
          <w:numId w:val="2"/>
        </w:numPr>
        <w:spacing w:after="80"/>
      </w:pPr>
      <w:r>
        <w:rPr>
          <w:rFonts w:ascii="Calibri" w:cs="Calibri" w:eastAsia="Calibri" w:hAnsi="Calibri"/>
          <w:color w:val="1E293B"/>
          <w:sz w:val="22"/>
          <w:szCs w:val="22"/>
        </w:rPr>
        <w:t xml:space="preserve">Donut Chart: Customer count per Cluster</w:t>
      </w:r>
    </w:p>
    <w:p>
      <w:pPr>
        <w:pStyle w:val="ListParagraph"/>
        <w:numPr>
          <w:ilvl w:val="0"/>
          <w:numId w:val="2"/>
        </w:numPr>
        <w:spacing w:after="80"/>
      </w:pPr>
      <w:r>
        <w:rPr>
          <w:rFonts w:ascii="Calibri" w:cs="Calibri" w:eastAsia="Calibri" w:hAnsi="Calibri"/>
          <w:color w:val="1E293B"/>
          <w:sz w:val="22"/>
          <w:szCs w:val="22"/>
        </w:rPr>
        <w:t xml:space="preserve">Bar Chart: Avg Monetary per Cluster</w:t>
      </w:r>
    </w:p>
    <w:p>
      <w:pPr>
        <w:pStyle w:val="ListParagraph"/>
        <w:numPr>
          <w:ilvl w:val="0"/>
          <w:numId w:val="2"/>
        </w:numPr>
        <w:spacing w:after="80"/>
      </w:pPr>
      <w:r>
        <w:rPr>
          <w:rFonts w:ascii="Calibri" w:cs="Calibri" w:eastAsia="Calibri" w:hAnsi="Calibri"/>
          <w:color w:val="1E293B"/>
          <w:sz w:val="22"/>
          <w:szCs w:val="22"/>
        </w:rPr>
        <w:t xml:space="preserve">Scatter Plot: Recency (X) vs Monetary (Y), colored by Cluster</w:t>
      </w:r>
    </w:p>
    <w:p>
      <w:pPr>
        <w:spacing w:after="100"/>
      </w:pPr>
    </w:p>
    <w:p>
      <w:pPr>
        <w:pStyle w:val="Heading1"/>
        <w:pBdr>
          <w:bottom w:val="single" w:color="1E2761" w:sz="6" w:space="1"/>
        </w:pBdr>
        <w:spacing w:after="150" w:before="300"/>
      </w:pPr>
      <w:r>
        <w:rPr>
          <w:rFonts w:ascii="Calibri" w:cs="Calibri" w:eastAsia="Calibri" w:hAnsi="Calibri"/>
          <w:b/>
          <w:bCs/>
          <w:color w:val="1E2761"/>
          <w:sz w:val="32"/>
          <w:szCs w:val="32"/>
        </w:rPr>
        <w:t xml:space="preserve">6. Business Recommendations</w:t>
      </w:r>
    </w:p>
    <w:p>
      <w:pPr>
        <w:pStyle w:val="Heading2"/>
        <w:spacing w:after="100" w:before="200"/>
      </w:pPr>
      <w:r>
        <w:rPr>
          <w:rFonts w:ascii="Calibri" w:cs="Calibri" w:eastAsia="Calibri" w:hAnsi="Calibri"/>
          <w:b/>
          <w:bCs/>
          <w:color w:val="1E2761"/>
          <w:sz w:val="26"/>
          <w:szCs w:val="26"/>
        </w:rPr>
        <w:t xml:space="preserve">6.1 High Priority</w:t>
      </w:r>
    </w:p>
    <w:p>
      <w:pPr>
        <w:pStyle w:val="ListParagraph"/>
        <w:numPr>
          <w:ilvl w:val="0"/>
          <w:numId w:val="2"/>
        </w:numPr>
        <w:spacing w:after="80"/>
      </w:pPr>
      <w:r>
        <w:rPr>
          <w:rFonts w:ascii="Calibri" w:cs="Calibri" w:eastAsia="Calibri" w:hAnsi="Calibri"/>
          <w:color w:val="1E293B"/>
          <w:sz w:val="22"/>
          <w:szCs w:val="22"/>
        </w:rPr>
        <w:t xml:space="preserve">Champions (top segment): Enroll in a VIP loyalty program. Offer exclusive early access to new products. Request product reviews and referrals.</w:t>
      </w:r>
    </w:p>
    <w:p>
      <w:pPr>
        <w:pStyle w:val="ListParagraph"/>
        <w:numPr>
          <w:ilvl w:val="0"/>
          <w:numId w:val="2"/>
        </w:numPr>
        <w:spacing w:after="80"/>
      </w:pPr>
      <w:r>
        <w:rPr>
          <w:rFonts w:ascii="Calibri" w:cs="Calibri" w:eastAsia="Calibri" w:hAnsi="Calibri"/>
          <w:color w:val="1E293B"/>
          <w:sz w:val="22"/>
          <w:szCs w:val="22"/>
        </w:rPr>
        <w:t xml:space="preserve">Cannot Lose Them: These high-value customers are at risk of churning. Launch immediate personal outreach — phone calls, personalized emails, or dedicated account management.</w:t>
      </w:r>
    </w:p>
    <w:p>
      <w:pPr>
        <w:spacing w:after="100"/>
      </w:pPr>
    </w:p>
    <w:p>
      <w:pPr>
        <w:pStyle w:val="Heading2"/>
        <w:spacing w:after="100" w:before="200"/>
      </w:pPr>
      <w:r>
        <w:rPr>
          <w:rFonts w:ascii="Calibri" w:cs="Calibri" w:eastAsia="Calibri" w:hAnsi="Calibri"/>
          <w:b/>
          <w:bCs/>
          <w:color w:val="1E2761"/>
          <w:sz w:val="26"/>
          <w:szCs w:val="26"/>
        </w:rPr>
        <w:t xml:space="preserve">6.2 Medium Priority</w:t>
      </w:r>
    </w:p>
    <w:p>
      <w:pPr>
        <w:pStyle w:val="ListParagraph"/>
        <w:numPr>
          <w:ilvl w:val="0"/>
          <w:numId w:val="2"/>
        </w:numPr>
        <w:spacing w:after="80"/>
      </w:pPr>
      <w:r>
        <w:rPr>
          <w:rFonts w:ascii="Calibri" w:cs="Calibri" w:eastAsia="Calibri" w:hAnsi="Calibri"/>
          <w:color w:val="1E293B"/>
          <w:sz w:val="22"/>
          <w:szCs w:val="22"/>
        </w:rPr>
        <w:t xml:space="preserve">At Risk: Send targeted win-back email campaigns with 20–30% discounts. Survey them to understand why they have not purchased recently.</w:t>
      </w:r>
    </w:p>
    <w:p>
      <w:pPr>
        <w:pStyle w:val="ListParagraph"/>
        <w:numPr>
          <w:ilvl w:val="0"/>
          <w:numId w:val="2"/>
        </w:numPr>
        <w:spacing w:after="80"/>
      </w:pPr>
      <w:r>
        <w:rPr>
          <w:rFonts w:ascii="Calibri" w:cs="Calibri" w:eastAsia="Calibri" w:hAnsi="Calibri"/>
          <w:color w:val="1E293B"/>
          <w:sz w:val="22"/>
          <w:szCs w:val="22"/>
        </w:rPr>
        <w:t xml:space="preserve">Loyal Customers: Maintain engagement through a formal loyalty points program. Provide early access to sales and new product launches.</w:t>
      </w:r>
    </w:p>
    <w:p>
      <w:pPr>
        <w:spacing w:after="100"/>
      </w:pPr>
    </w:p>
    <w:p>
      <w:pPr>
        <w:pStyle w:val="Heading2"/>
        <w:spacing w:after="100" w:before="200"/>
      </w:pPr>
      <w:r>
        <w:rPr>
          <w:rFonts w:ascii="Calibri" w:cs="Calibri" w:eastAsia="Calibri" w:hAnsi="Calibri"/>
          <w:b/>
          <w:bCs/>
          <w:color w:val="1E2761"/>
          <w:sz w:val="26"/>
          <w:szCs w:val="26"/>
        </w:rPr>
        <w:t xml:space="preserve">6.3 Growth Opportunities</w:t>
      </w:r>
    </w:p>
    <w:p>
      <w:pPr>
        <w:pStyle w:val="ListParagraph"/>
        <w:numPr>
          <w:ilvl w:val="0"/>
          <w:numId w:val="2"/>
        </w:numPr>
        <w:spacing w:after="80"/>
      </w:pPr>
      <w:r>
        <w:rPr>
          <w:rFonts w:ascii="Calibri" w:cs="Calibri" w:eastAsia="Calibri" w:hAnsi="Calibri"/>
          <w:color w:val="1E293B"/>
          <w:sz w:val="22"/>
          <w:szCs w:val="22"/>
        </w:rPr>
        <w:t xml:space="preserve">Potential Loyalists and New Customers: Invest in onboarding email sequences. Offer first-repeat-purchase discounts to encourage habitual buying.</w:t>
      </w:r>
    </w:p>
    <w:p>
      <w:pPr>
        <w:pStyle w:val="ListParagraph"/>
        <w:numPr>
          <w:ilvl w:val="0"/>
          <w:numId w:val="2"/>
        </w:numPr>
        <w:spacing w:after="80"/>
      </w:pPr>
      <w:r>
        <w:rPr>
          <w:rFonts w:ascii="Calibri" w:cs="Calibri" w:eastAsia="Calibri" w:hAnsi="Calibri"/>
          <w:color w:val="1E293B"/>
          <w:sz w:val="22"/>
          <w:szCs w:val="22"/>
        </w:rPr>
        <w:t xml:space="preserve">Hibernating: Send a low-cost batch email with a time-limited discount offer. If no response, move to Lost segment.</w:t>
      </w:r>
    </w:p>
    <w:p>
      <w:pPr>
        <w:spacing w:after="100"/>
      </w:pPr>
    </w:p>
    <w:p>
      <w:pPr>
        <w:pStyle w:val="Heading1"/>
        <w:pBdr>
          <w:bottom w:val="single" w:color="1E2761" w:sz="6" w:space="1"/>
        </w:pBdr>
        <w:spacing w:after="150" w:before="300"/>
      </w:pPr>
      <w:r>
        <w:rPr>
          <w:rFonts w:ascii="Calibri" w:cs="Calibri" w:eastAsia="Calibri" w:hAnsi="Calibri"/>
          <w:b/>
          <w:bCs/>
          <w:color w:val="1E2761"/>
          <w:sz w:val="32"/>
          <w:szCs w:val="32"/>
        </w:rPr>
        <w:t xml:space="preserve">7. Conclusion</w:t>
      </w:r>
    </w:p>
    <w:p>
      <w:pPr>
        <w:spacing w:after="120"/>
      </w:pPr>
      <w:r>
        <w:rPr>
          <w:rFonts w:ascii="Calibri" w:cs="Calibri" w:eastAsia="Calibri" w:hAnsi="Calibri"/>
          <w:color w:val="1E293B"/>
          <w:sz w:val="22"/>
          <w:szCs w:val="22"/>
        </w:rPr>
        <w:t xml:space="preserve">This project successfully demonstrated how RFM analysis combined with K-Means clustering can be used to segment retail customers into actionable groups. By analyzing 541,909 transactions from the UCI Online Retail dataset, we identified 9 distinct customer segments and 4 data-driven clusters.</w:t>
      </w:r>
    </w:p>
    <w:p>
      <w:pPr>
        <w:spacing w:after="100"/>
      </w:pPr>
    </w:p>
    <w:p>
      <w:pPr>
        <w:spacing w:after="120"/>
      </w:pPr>
      <w:r>
        <w:rPr>
          <w:rFonts w:ascii="Calibri" w:cs="Calibri" w:eastAsia="Calibri" w:hAnsi="Calibri"/>
          <w:color w:val="1E293B"/>
          <w:sz w:val="22"/>
          <w:szCs w:val="22"/>
        </w:rPr>
        <w:t xml:space="preserve">The Power BI dashboard provides business stakeholders with an interactive tool to explore customer segments, track KPIs, and make data-driven marketing decisions. The project pipeline — from raw data ingestion through cleaning, RFM scoring, machine learning, and visualization — demonstrates a complete end-to-end data science workflow.</w:t>
      </w:r>
    </w:p>
    <w:p>
      <w:pPr>
        <w:spacing w:after="100"/>
      </w:pPr>
    </w:p>
    <w:p>
      <w:pPr>
        <w:pStyle w:val="Heading1"/>
        <w:pBdr>
          <w:bottom w:val="single" w:color="1E2761" w:sz="6" w:space="1"/>
        </w:pBdr>
        <w:spacing w:after="150" w:before="300"/>
      </w:pPr>
      <w:r>
        <w:rPr>
          <w:rFonts w:ascii="Calibri" w:cs="Calibri" w:eastAsia="Calibri" w:hAnsi="Calibri"/>
          <w:b/>
          <w:bCs/>
          <w:color w:val="1E2761"/>
          <w:sz w:val="32"/>
          <w:szCs w:val="32"/>
        </w:rPr>
        <w:t xml:space="preserve">8. Tools &amp; Technologies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Tool / Library</w:t>
            </w:r>
          </w:p>
        </w:tc>
        <w:tc>
          <w:tcPr>
            <w:tcW w:type="dxa" w:w="6480"/>
            <w:tcBorders>
              <w:top w:val="single" w:color="CADCFC" w:sz="1"/>
              <w:left w:val="single" w:color="CADCFC" w:sz="1"/>
              <w:bottom w:val="single" w:color="CADCFC" w:sz="1"/>
              <w:right w:val="single" w:color="CADCF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2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Python 3.11</w:t>
            </w:r>
          </w:p>
        </w:tc>
        <w:tc>
          <w:tcPr>
            <w:tcW w:type="dxa" w:w="64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Core programming language</w:t>
            </w:r>
          </w:p>
        </w:tc>
      </w:tr>
      <w:tr>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Pandas &amp; NumPy</w:t>
            </w:r>
          </w:p>
        </w:tc>
        <w:tc>
          <w:tcPr>
            <w:tcW w:type="dxa" w:w="6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Data loading, cleaning, and transformation</w:t>
            </w:r>
          </w:p>
        </w:tc>
      </w:tr>
      <w:tr>
        <w:tc>
          <w:tcPr>
            <w:tcW w:type="dxa" w:w="32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Matplotlib &amp; Seaborn</w:t>
            </w:r>
          </w:p>
        </w:tc>
        <w:tc>
          <w:tcPr>
            <w:tcW w:type="dxa" w:w="64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Static charts and RFM distribution plots</w:t>
            </w:r>
          </w:p>
        </w:tc>
      </w:tr>
      <w:tr>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Plotly</w:t>
            </w:r>
          </w:p>
        </w:tc>
        <w:tc>
          <w:tcPr>
            <w:tcW w:type="dxa" w:w="6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Interactive 3D scatter plot for cluster visualization</w:t>
            </w:r>
          </w:p>
        </w:tc>
      </w:tr>
      <w:tr>
        <w:tc>
          <w:tcPr>
            <w:tcW w:type="dxa" w:w="32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Scikit-learn (sklearn)</w:t>
            </w:r>
          </w:p>
        </w:tc>
        <w:tc>
          <w:tcPr>
            <w:tcW w:type="dxa" w:w="64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StandardScaler for normalization</w:t>
            </w:r>
          </w:p>
        </w:tc>
      </w:tr>
      <w:tr>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SciPy (scipy.cluster.vq)</w:t>
            </w:r>
          </w:p>
        </w:tc>
        <w:tc>
          <w:tcPr>
            <w:tcW w:type="dxa" w:w="6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K-Means clustering (Windows-compatible)</w:t>
            </w:r>
          </w:p>
        </w:tc>
      </w:tr>
      <w:tr>
        <w:tc>
          <w:tcPr>
            <w:tcW w:type="dxa" w:w="324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bCs/>
                <w:color w:val="1E293B"/>
                <w:sz w:val="18"/>
                <w:szCs w:val="18"/>
              </w:rPr>
              <w:t xml:space="preserve">Jupyter Notebook / VS Code</w:t>
            </w:r>
          </w:p>
        </w:tc>
        <w:tc>
          <w:tcPr>
            <w:tcW w:type="dxa" w:w="6480"/>
            <w:tcBorders>
              <w:top w:val="single" w:color="CADCFC" w:sz="1"/>
              <w:left w:val="single" w:color="CADCFC" w:sz="1"/>
              <w:bottom w:val="single" w:color="CADCFC" w:sz="1"/>
              <w:right w:val="single" w:color="CADCFC" w:sz="1"/>
            </w:tcBorders>
            <w:shd w:fill="EEF2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Development environment</w:t>
            </w:r>
          </w:p>
        </w:tc>
      </w:tr>
      <w:tr>
        <w:tc>
          <w:tcPr>
            <w:tcW w:type="dxa" w:w="324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bCs/>
                <w:color w:val="1E293B"/>
                <w:sz w:val="18"/>
                <w:szCs w:val="18"/>
              </w:rPr>
              <w:t xml:space="preserve">Microsoft Power BI Desktop</w:t>
            </w:r>
          </w:p>
        </w:tc>
        <w:tc>
          <w:tcPr>
            <w:tcW w:type="dxa" w:w="6480"/>
            <w:tcBorders>
              <w:top w:val="single" w:color="CADCFC" w:sz="1"/>
              <w:left w:val="single" w:color="CADCFC" w:sz="1"/>
              <w:bottom w:val="single" w:color="CADCFC" w:sz="1"/>
              <w:right w:val="single" w:color="CADCFC" w:sz="1"/>
            </w:tcBorders>
            <w:shd w:fill="FFFFFF"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Interactive dashboard (3 pages)</w:t>
            </w:r>
          </w:p>
        </w:tc>
      </w:tr>
    </w:tbl>
    <w:p>
      <w:pPr>
        <w:spacing w:after="1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pPr>
    <w:r>
      <w:rPr>
        <w:rFonts w:ascii="Calibri" w:cs="Calibri" w:eastAsia="Calibri" w:hAnsi="Calibri"/>
        <w:color w:val="64748B"/>
        <w:sz w:val="18"/>
        <w:szCs w:val="18"/>
      </w:rPr>
      <w:t xml:space="preserve">Retail Customer Segmentation &amp; RFM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2026-06-08T05:58:55.588Z</dcterms:created>
  <dcterms:modified xsi:type="dcterms:W3CDTF">2026-06-08T05:58:55.588Z</dcterms:modified>
</cp:coreProperties>
</file>

<file path=docProps/custom.xml><?xml version="1.0" encoding="utf-8"?>
<Properties xmlns="http://schemas.openxmlformats.org/officeDocument/2006/custom-properties" xmlns:vt="http://schemas.openxmlformats.org/officeDocument/2006/docPropsVTypes"/>
</file>