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Statistical Analysis of Healthcare Expenditures Using MEPS:</w:t>
        <w:br/>
        <w:t>Calibrated Uncertainty for Individual-Level Cost Prediction</w:t>
      </w:r>
    </w:p>
    <w:p>
      <w:pPr>
        <w:jc w:val="center"/>
      </w:pPr>
      <w:r>
        <w:rPr>
          <w:b/>
        </w:rPr>
        <w:t>STAT 7980 – Project</w:t>
        <w:br/>
        <w:t>Instructor: Dr. Huan He</w:t>
        <w:br/>
        <w:t>Department of Mathematics and Statistics, Auburn University</w:t>
        <w:br/>
        <w:t>Fall 2026</w:t>
      </w:r>
    </w:p>
    <w:p>
      <w:pPr>
        <w:jc w:val="center"/>
      </w:pPr>
      <w:r>
        <w:rPr>
          <w:i/>
        </w:rPr>
        <w:t>Reproducible report draft and analysis plan</w:t>
      </w:r>
    </w:p>
    <w:p>
      <w:r>
        <w:br w:type="page"/>
      </w:r>
    </w:p>
    <w:p>
      <w:pPr>
        <w:pStyle w:val="Heading1"/>
      </w:pPr>
      <w:r>
        <w:t>1. Project Purpose and Research Questions</w:t>
      </w:r>
    </w:p>
    <w:p>
      <w:pPr>
        <w:spacing w:after="120"/>
      </w:pPr>
      <w:r>
        <w:t>This project follows the STAT 7980 syllabus and studies next-year person-level healthcare expenditure using the Medical Expenditure Panel Survey (MEPS). The main statistical challenge is that healthcare spending has many zero values, a strongly right-skewed positive distribution, and a small group of very high spenders. The project therefore combines classical health-expenditure models, machine-learning models, survey-weighted evaluation, and conformal prediction intervals.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Research question</w:t>
            </w:r>
          </w:p>
        </w:tc>
        <w:tc>
          <w:tcPr>
            <w:tcW w:type="dxa" w:w="4968"/>
            <w:vAlign w:val="center"/>
          </w:tcPr>
          <w:p>
            <w:r>
              <w:rPr>
                <w:b/>
              </w:rPr>
              <w:t>Operational analysis</w:t>
            </w:r>
          </w:p>
        </w:tc>
      </w:tr>
      <w:tr>
        <w:tc>
          <w:tcPr>
            <w:tcW w:type="dxa" w:w="4968"/>
          </w:tcPr>
          <w:p>
            <w:r>
              <w:t>RQ1: Point prediction</w:t>
            </w:r>
          </w:p>
        </w:tc>
        <w:tc>
          <w:tcPr>
            <w:tcW w:type="dxa" w:w="4968"/>
          </w:tcPr>
          <w:p>
            <w:r>
              <w:t>Compare classical and machine-learning models for Year-2 expenditure; evaluate survey-weighted RMSE, MAE, R², calibration, AUC, and PPV for the next-year top 5%.</w:t>
            </w:r>
          </w:p>
        </w:tc>
      </w:tr>
      <w:tr>
        <w:tc>
          <w:tcPr>
            <w:tcW w:type="dxa" w:w="4968"/>
          </w:tcPr>
          <w:p>
            <w:r>
              <w:t>RQ2: Valid uncertainty</w:t>
            </w:r>
          </w:p>
        </w:tc>
        <w:tc>
          <w:tcPr>
            <w:tcW w:type="dxa" w:w="4968"/>
          </w:tcPr>
          <w:p>
            <w:r>
              <w:t>Construct 90% split-conformal, scaled-residual, and CQR intervals; compare coverage, tail errors, and width with a parametric two-part Gamma interval.</w:t>
            </w:r>
          </w:p>
        </w:tc>
      </w:tr>
      <w:tr>
        <w:tc>
          <w:tcPr>
            <w:tcW w:type="dxa" w:w="4968"/>
          </w:tcPr>
          <w:p>
            <w:r>
              <w:t>RQ3: Who gets valid intervals</w:t>
            </w:r>
          </w:p>
        </w:tc>
        <w:tc>
          <w:tcPr>
            <w:tcW w:type="dxa" w:w="4968"/>
          </w:tcPr>
          <w:p>
            <w:r>
              <w:t>Audit coverage across age, race/ethnicity, insurance, income, and chronic-condition groups; use Mondrian conformal to examine the width cost of group-specific calibration.</w:t>
            </w:r>
          </w:p>
        </w:tc>
      </w:tr>
      <w:tr>
        <w:tc>
          <w:tcPr>
            <w:tcW w:type="dxa" w:w="4968"/>
          </w:tcPr>
          <w:p>
            <w:r>
              <w:t>RQ4: Value of history</w:t>
            </w:r>
          </w:p>
        </w:tc>
        <w:tc>
          <w:tcPr>
            <w:tcW w:type="dxa" w:w="4968"/>
          </w:tcPr>
          <w:p>
            <w:r>
              <w:t>Compare models with and without prior-year spending/utilization and quantify the change in prediction error and interval width.</w:t>
            </w:r>
          </w:p>
        </w:tc>
      </w:tr>
      <w:tr>
        <w:tc>
          <w:tcPr>
            <w:tcW w:type="dxa" w:w="4968"/>
          </w:tcPr>
          <w:p>
            <w:r>
              <w:t>RQ5: Optional</w:t>
            </w:r>
          </w:p>
        </w:tc>
        <w:tc>
          <w:tcPr>
            <w:tcW w:type="dxa" w:w="4968"/>
          </w:tcPr>
          <w:p>
            <w:r>
              <w:t>Extend high-cost classification to conformal risk control if time permits.</w:t>
            </w:r>
          </w:p>
        </w:tc>
      </w:tr>
    </w:tbl>
    <w:p>
      <w:pPr>
        <w:pStyle w:val="Heading1"/>
      </w:pPr>
      <w:r>
        <w:t>2. Data Source and Correct MEPS Files</w:t>
      </w:r>
    </w:p>
    <w:p>
      <w:pPr>
        <w:spacing w:after="120"/>
      </w:pPr>
      <w:r>
        <w:t>The primary analysis uses MEPS HC-217, Panel 23 longitudinal data (2018–2019). It follows the same people across two years and contains harmonized Year-1 and Year-2 variables. The replication analysis uses HC-225, Panel 24 (2019–2020). This choice directly matches the syllabus requirement to use a two-year panel for next-year prediction and to hold out a second panel for robustness.</w:t>
      </w:r>
    </w:p>
    <w:p>
      <w:pPr>
        <w:spacing w:after="120"/>
      </w:pPr>
      <w:r>
        <w:t>Survey design variables are LONGWT (longitudinal person weight), VARSTR (variance stratum), and VARPSU (primary sampling unit). Survey-weighted descriptive inference uses all three. Predictive losses and test metrics use LONGWT so evaluation represents the target population rather than the unweighted sample.</w:t>
      </w:r>
    </w:p>
    <w:p>
      <w:pPr>
        <w:pStyle w:val="Heading2"/>
      </w:pPr>
      <w:r>
        <w:t>2.1 Outcome and predictor timing</w:t>
      </w:r>
    </w:p>
    <w:p>
      <w:pPr>
        <w:spacing w:after="120"/>
      </w:pPr>
      <w:r>
        <w:t>Outcome: TOTEXPY2, total healthcare expenditure in Year 2. The main historical predictor is TOTEXPY1, total healthcare expenditure in Year 1. Other predictors are restricted to information observed in or by Year 1 so the model does not use future information.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Domain</w:t>
            </w:r>
          </w:p>
        </w:tc>
        <w:tc>
          <w:tcPr>
            <w:tcW w:type="dxa" w:w="4968"/>
            <w:vAlign w:val="center"/>
          </w:tcPr>
          <w:p>
            <w:r>
              <w:rPr>
                <w:b/>
              </w:rPr>
              <w:t>Variables used in the executable project</w:t>
            </w:r>
          </w:p>
        </w:tc>
      </w:tr>
      <w:tr>
        <w:tc>
          <w:tcPr>
            <w:tcW w:type="dxa" w:w="4968"/>
          </w:tcPr>
          <w:p>
            <w:r>
              <w:t>Demographics</w:t>
            </w:r>
          </w:p>
        </w:tc>
        <w:tc>
          <w:tcPr>
            <w:tcW w:type="dxa" w:w="4968"/>
          </w:tcPr>
          <w:p>
            <w:r>
              <w:t>AGEY1X, SEX, RACETHX, REGIONY1</w:t>
            </w:r>
          </w:p>
        </w:tc>
      </w:tr>
      <w:tr>
        <w:tc>
          <w:tcPr>
            <w:tcW w:type="dxa" w:w="4968"/>
          </w:tcPr>
          <w:p>
            <w:r>
              <w:t>Socioeconomic/insurance</w:t>
            </w:r>
          </w:p>
        </w:tc>
        <w:tc>
          <w:tcPr>
            <w:tcW w:type="dxa" w:w="4968"/>
          </w:tcPr>
          <w:p>
            <w:r>
              <w:t>POVCATY1, INSCOVY1, TTLPY1X</w:t>
            </w:r>
          </w:p>
        </w:tc>
      </w:tr>
      <w:tr>
        <w:tc>
          <w:tcPr>
            <w:tcW w:type="dxa" w:w="4968"/>
          </w:tcPr>
          <w:p>
            <w:r>
              <w:t>Health status</w:t>
            </w:r>
          </w:p>
        </w:tc>
        <w:tc>
          <w:tcPr>
            <w:tcW w:type="dxa" w:w="4968"/>
          </w:tcPr>
          <w:p>
            <w:r>
              <w:t>End-of-Year-1 self-rated physical and mental health variables available in the panel</w:t>
            </w:r>
          </w:p>
        </w:tc>
      </w:tr>
      <w:tr>
        <w:tc>
          <w:tcPr>
            <w:tcW w:type="dxa" w:w="4968"/>
          </w:tcPr>
          <w:p>
            <w:r>
              <w:t>Chronic burden</w:t>
            </w:r>
          </w:p>
        </w:tc>
        <w:tc>
          <w:tcPr>
            <w:tcW w:type="dxa" w:w="4968"/>
          </w:tcPr>
          <w:p>
            <w:r>
              <w:t>Count constructed from available Year-1 chronic-condition indicators</w:t>
            </w:r>
          </w:p>
        </w:tc>
      </w:tr>
      <w:tr>
        <w:tc>
          <w:tcPr>
            <w:tcW w:type="dxa" w:w="4968"/>
          </w:tcPr>
          <w:p>
            <w:r>
              <w:t>Prior utilization</w:t>
            </w:r>
          </w:p>
        </w:tc>
        <w:tc>
          <w:tcPr>
            <w:tcW w:type="dxa" w:w="4968"/>
          </w:tcPr>
          <w:p>
            <w:r>
              <w:t>OBTOTVY1, ERTOTY1, IPDISY1, RXTOTY1</w:t>
            </w:r>
          </w:p>
        </w:tc>
      </w:tr>
      <w:tr>
        <w:tc>
          <w:tcPr>
            <w:tcW w:type="dxa" w:w="4968"/>
          </w:tcPr>
          <w:p>
            <w:r>
              <w:t>Prior spending</w:t>
            </w:r>
          </w:p>
        </w:tc>
        <w:tc>
          <w:tcPr>
            <w:tcW w:type="dxa" w:w="4968"/>
          </w:tcPr>
          <w:p>
            <w:r>
              <w:t>TOTEXPY1</w:t>
            </w:r>
          </w:p>
        </w:tc>
      </w:tr>
      <w:tr>
        <w:tc>
          <w:tcPr>
            <w:tcW w:type="dxa" w:w="4968"/>
          </w:tcPr>
          <w:p>
            <w:r>
              <w:t>Outcome</w:t>
            </w:r>
          </w:p>
        </w:tc>
        <w:tc>
          <w:tcPr>
            <w:tcW w:type="dxa" w:w="4968"/>
          </w:tcPr>
          <w:p>
            <w:r>
              <w:t>TOTEXPY2</w:t>
            </w:r>
          </w:p>
        </w:tc>
      </w:tr>
    </w:tbl>
    <w:p>
      <w:pPr>
        <w:pStyle w:val="Heading1"/>
      </w:pPr>
      <w:r>
        <w:t>3. Reproducible Data Pipeline</w:t>
      </w:r>
    </w:p>
    <w:p>
      <w:pPr>
        <w:spacing w:after="120"/>
      </w:pPr>
      <w:r>
        <w:t>The repository contains run_all.R, which executes the complete analysis from the raw AHRQ public-use files to final tables and figures. The file 00_setup.R installs packages only when needed and then loads them. The download/preprocessing script downloads the AHRQ files and uses the official AHRQ R programming statements to import the fixed-width MEPS data.</w:t>
      </w:r>
    </w:p>
    <w:p>
      <w:pPr>
        <w:pStyle w:val="Heading2"/>
      </w:pPr>
      <w:r>
        <w:t>3.1 Step-by-step preprocessing</w:t>
      </w:r>
    </w:p>
    <w:p>
      <w:pPr>
        <w:pStyle w:val="ListBullet"/>
      </w:pPr>
      <w:r>
        <w:t>Keep respondents with ALL5RDS = 1 so Year-1 and Year-2 information is available across the standard two-year panel.</w:t>
      </w:r>
    </w:p>
    <w:p>
      <w:pPr>
        <w:pStyle w:val="ListBullet"/>
      </w:pPr>
      <w:r>
        <w:t>Require a positive LONGWT and valid nonnegative Year-1 and Year-2 expenditure.</w:t>
      </w:r>
    </w:p>
    <w:p>
      <w:pPr>
        <w:pStyle w:val="ListBullet"/>
      </w:pPr>
      <w:r>
        <w:t>Convert MEPS special negative response codes (for example, inapplicable or not ascertained) to missing for variables where negative values are not substantive.</w:t>
      </w:r>
    </w:p>
    <w:p>
      <w:pPr>
        <w:pStyle w:val="ListBullet"/>
      </w:pPr>
      <w:r>
        <w:t>Preserve legitimate negative income values; only documented special missing codes are set to missing for income.</w:t>
      </w:r>
    </w:p>
    <w:p>
      <w:pPr>
        <w:pStyle w:val="ListBullet"/>
      </w:pPr>
      <w:r>
        <w:t>Create readable analysis variables such as age_group, chronic_count, and chronic_group.</w:t>
      </w:r>
    </w:p>
    <w:p>
      <w:pPr>
        <w:pStyle w:val="ListBullet"/>
      </w:pPr>
      <w:r>
        <w:t>Write a missingness table before complete-case modeling so the amount of data loss is transparent.</w:t>
      </w:r>
    </w:p>
    <w:p>
      <w:pPr>
        <w:pStyle w:val="ListBullet"/>
      </w:pPr>
      <w:r>
        <w:t>Save both RDS and CSV versions of the processed primary data for reproducibility.</w:t>
      </w:r>
    </w:p>
    <w:p>
      <w:pPr>
        <w:spacing w:after="120"/>
      </w:pPr>
      <w:r>
        <w:t>The code uses a transparent complete-case strategy for the pre-specified model variables. This is easy to explain and audit in a master’s project. A later sensitivity analysis can replace it with multiple imputation if the advisor wants a more advanced missing-data treatment.</w:t>
      </w:r>
    </w:p>
    <w:p>
      <w:pPr>
        <w:pStyle w:val="Heading1"/>
      </w:pPr>
      <w:r>
        <w:t>4. Descriptive Analysis</w:t>
      </w:r>
    </w:p>
    <w:p>
      <w:pPr>
        <w:spacing w:after="120"/>
      </w:pPr>
      <w:r>
        <w:t>The first analysis section explains why ordinary Gaussian regression is insufficient. Using survey weights, the code estimates mean expenditure, zero-spending prevalence, weighted quantiles, spending concentration among the top 1%, 5%, and 10%, and persistence of high-cost status from Year 1 to Year 2.</w:t>
      </w:r>
    </w:p>
    <w:p>
      <w:pPr>
        <w:spacing w:after="120"/>
      </w:pPr>
      <w:r>
        <w:t>A survey design object is created with survey::svydesign(ids = ~VARPSU, strata = ~VARSTR, weights = ~LONGWT, nest = TRUE). This is used for population-representative descriptive statistics. The output includes a weighted spending-distribution figure and a high-cost persistence figure.</w:t>
      </w:r>
    </w:p>
    <w:p>
      <w:pPr>
        <w:pStyle w:val="Heading1"/>
      </w:pPr>
      <w:r>
        <w:t>5. Train / Calibration / Test Design</w:t>
      </w:r>
    </w:p>
    <w:p>
      <w:pPr>
        <w:spacing w:after="120"/>
      </w:pPr>
      <w:r>
        <w:t>The primary analytic sample is randomly divided into 60% training, 20% calibration, and 20% test data. The training set estimates model parameters. The calibration set is kept separate because conformal prediction requires data not used for fitting. The test set is untouched until final evaluation. This three-way split prevents optimistic interval and prediction performance.</w:t>
      </w:r>
    </w:p>
    <w:p>
      <w:pPr>
        <w:spacing w:after="120"/>
      </w:pPr>
      <w:r>
        <w:t>The next-year high-cost threshold is estimated as the survey-weighted 95th percentile of Year-2 expenditure in the training sample. Applying that fixed threshold to calibration and test data avoids using the test outcome distribution to define the target.</w:t>
      </w:r>
    </w:p>
    <w:p>
      <w:pPr>
        <w:pStyle w:val="Heading1"/>
      </w:pPr>
      <w:r>
        <w:t>6. Models for RQ1</w:t>
      </w:r>
    </w:p>
    <w:p>
      <w:pPr>
        <w:pStyle w:val="Heading2"/>
      </w:pPr>
      <w:r>
        <w:t>6.1 Two-part model</w:t>
      </w:r>
    </w:p>
    <w:p>
      <w:pPr>
        <w:spacing w:after="120"/>
      </w:pPr>
      <w:r>
        <w:t>Part 1 uses logistic regression to estimate the probability that Year-2 expenditure is positive. Part 2 uses a Gamma GLM with log link among people with positive spending. The unconditional mean prediction equals P(Y &gt; 0 | X) multiplied by E(Y | Y &gt; 0, X). This directly addresses the zero mass and positive right tail.</w:t>
      </w:r>
    </w:p>
    <w:p>
      <w:pPr>
        <w:pStyle w:val="Heading2"/>
      </w:pPr>
      <w:r>
        <w:t>6.2 Tweedie GLM</w:t>
      </w:r>
    </w:p>
    <w:p>
      <w:pPr>
        <w:spacing w:after="120"/>
      </w:pPr>
      <w:r>
        <w:t>The Tweedie model uses variance power p = 1.5 with a log link. For 1 &lt; p &lt; 2, the distribution can combine an atom at zero with a continuous positive component, making it a useful single-equation alternative to the two-part model.</w:t>
      </w:r>
    </w:p>
    <w:p>
      <w:pPr>
        <w:pStyle w:val="Heading2"/>
      </w:pPr>
      <w:r>
        <w:t>6.3 Log-OLS with Duan smearing</w:t>
      </w:r>
    </w:p>
    <w:p>
      <w:pPr>
        <w:spacing w:after="120"/>
      </w:pPr>
      <w:r>
        <w:t>OLS is fitted to log(1 + expenditure). Because simply exponentiating a log-scale prediction is biased, the code computes a survey-weighted Duan smearing factor from training residuals before transforming predictions back to dollars.</w:t>
      </w:r>
    </w:p>
    <w:p>
      <w:pPr>
        <w:pStyle w:val="Heading2"/>
      </w:pPr>
      <w:r>
        <w:t>6.4 Quantile regression</w:t>
      </w:r>
    </w:p>
    <w:p>
      <w:pPr>
        <w:spacing w:after="120"/>
      </w:pPr>
      <w:r>
        <w:t>Weighted quantile regression estimates the median for a robust point prediction and the 5th and 95th conditional quantiles for conformalized quantile regression. This model focuses directly on conditional quantiles rather than assuming a parametric variance structure.</w:t>
      </w:r>
    </w:p>
    <w:p>
      <w:pPr>
        <w:pStyle w:val="Heading2"/>
      </w:pPr>
      <w:r>
        <w:t>6.5 Gradient boosting</w:t>
      </w:r>
    </w:p>
    <w:p>
      <w:pPr>
        <w:spacing w:after="120"/>
      </w:pPr>
      <w:r>
        <w:t>XGBoost is fit on both raw expenditure and log(1 + expenditure). Categorical variables are one-hot encoded and the longitudinal weight enters the training loss. Feature importance is summarized using gain, which measures how much splits using a feature reduce the model loss. It is interpreted as predictive importance, not causal importance.</w:t>
      </w:r>
    </w:p>
    <w:p>
      <w:pPr>
        <w:pStyle w:val="Heading1"/>
      </w:pPr>
      <w:r>
        <w:t>7. Model Evaluation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Metric</w:t>
            </w:r>
          </w:p>
        </w:tc>
        <w:tc>
          <w:tcPr>
            <w:tcW w:type="dxa" w:w="4968"/>
            <w:vAlign w:val="center"/>
          </w:tcPr>
          <w:p>
            <w:r>
              <w:rPr>
                <w:b/>
              </w:rPr>
              <w:t>Why it is included</w:t>
            </w:r>
          </w:p>
        </w:tc>
      </w:tr>
      <w:tr>
        <w:tc>
          <w:tcPr>
            <w:tcW w:type="dxa" w:w="4968"/>
          </w:tcPr>
          <w:p>
            <w:r>
              <w:t>Weighted RMSE</w:t>
            </w:r>
          </w:p>
        </w:tc>
        <w:tc>
          <w:tcPr>
            <w:tcW w:type="dxa" w:w="4968"/>
          </w:tcPr>
          <w:p>
            <w:r>
              <w:t>Penalizes large dollar errors strongly; important because high-cost errors matter.</w:t>
            </w:r>
          </w:p>
        </w:tc>
      </w:tr>
      <w:tr>
        <w:tc>
          <w:tcPr>
            <w:tcW w:type="dxa" w:w="4968"/>
          </w:tcPr>
          <w:p>
            <w:r>
              <w:t>Weighted MAE</w:t>
            </w:r>
          </w:p>
        </w:tc>
        <w:tc>
          <w:tcPr>
            <w:tcW w:type="dxa" w:w="4968"/>
          </w:tcPr>
          <w:p>
            <w:r>
              <w:t>More robust to extreme expenditure values than RMSE.</w:t>
            </w:r>
          </w:p>
        </w:tc>
      </w:tr>
      <w:tr>
        <w:tc>
          <w:tcPr>
            <w:tcW w:type="dxa" w:w="4968"/>
          </w:tcPr>
          <w:p>
            <w:r>
              <w:t>Weighted R²</w:t>
            </w:r>
          </w:p>
        </w:tc>
        <w:tc>
          <w:tcPr>
            <w:tcW w:type="dxa" w:w="4968"/>
          </w:tcPr>
          <w:p>
            <w:r>
              <w:t>Summarizes improvement over a weighted mean benchmark.</w:t>
            </w:r>
          </w:p>
        </w:tc>
      </w:tr>
      <w:tr>
        <w:tc>
          <w:tcPr>
            <w:tcW w:type="dxa" w:w="4968"/>
          </w:tcPr>
          <w:p>
            <w:r>
              <w:t>Calibration by predicted-spending decile</w:t>
            </w:r>
          </w:p>
        </w:tc>
        <w:tc>
          <w:tcPr>
            <w:tcW w:type="dxa" w:w="4968"/>
          </w:tcPr>
          <w:p>
            <w:r>
              <w:t>Checks whether predicted and observed mean spending agree across the risk spectrum.</w:t>
            </w:r>
          </w:p>
        </w:tc>
      </w:tr>
      <w:tr>
        <w:tc>
          <w:tcPr>
            <w:tcW w:type="dxa" w:w="4968"/>
          </w:tcPr>
          <w:p>
            <w:r>
              <w:t>Weighted AUC for top 5%</w:t>
            </w:r>
          </w:p>
        </w:tc>
        <w:tc>
          <w:tcPr>
            <w:tcW w:type="dxa" w:w="4968"/>
          </w:tcPr>
          <w:p>
            <w:r>
              <w:t>Measures ranking ability for identifying next-year high-cost individuals.</w:t>
            </w:r>
          </w:p>
        </w:tc>
      </w:tr>
      <w:tr>
        <w:tc>
          <w:tcPr>
            <w:tcW w:type="dxa" w:w="4968"/>
          </w:tcPr>
          <w:p>
            <w:r>
              <w:t>PPV at 5% budget</w:t>
            </w:r>
          </w:p>
        </w:tc>
        <w:tc>
          <w:tcPr>
            <w:tcW w:type="dxa" w:w="4968"/>
          </w:tcPr>
          <w:p>
            <w:r>
              <w:t>Answers a practical case-management question: among the 5% selected, what proportion are truly high cost?</w:t>
            </w:r>
          </w:p>
        </w:tc>
      </w:tr>
    </w:tbl>
    <w:p>
      <w:pPr>
        <w:spacing w:after="120"/>
      </w:pPr>
      <w:r>
        <w:t>The repository writes a single model-performance table and calibration plots. The model with the smallest weighted test RMSE is used as the base point predictor for the main conformal analysis, while all model results remain available for comparison.</w:t>
      </w:r>
    </w:p>
    <w:p>
      <w:pPr>
        <w:pStyle w:val="Heading1"/>
      </w:pPr>
      <w:r>
        <w:t>8. Feature Importance and Interpretation</w:t>
      </w:r>
    </w:p>
    <w:p>
      <w:pPr>
        <w:spacing w:after="120"/>
      </w:pPr>
      <w:r>
        <w:t>The project writes an XGBoost feature-importance table and a top-20 plot. The interpretation should focus on whether prior-year expenditure/utilization dominate prediction, how chronic burden contributes, and whether demographic or insurance factors provide additional predictive information. The report must avoid causal language: high importance means useful for prediction in this model, not that changing the feature would change spending.</w:t>
      </w:r>
    </w:p>
    <w:p>
      <w:pPr>
        <w:pStyle w:val="Heading1"/>
      </w:pPr>
      <w:r>
        <w:t>9. Conformal Prediction for RQ2</w:t>
      </w:r>
    </w:p>
    <w:p>
      <w:pPr>
        <w:pStyle w:val="Heading2"/>
      </w:pPr>
      <w:r>
        <w:t>9.1 Split conformal with absolute residuals</w:t>
      </w:r>
    </w:p>
    <w:p>
      <w:pPr>
        <w:spacing w:after="120"/>
      </w:pPr>
      <w:r>
        <w:t>For each calibration subject, the nonconformity score is |Y − Ŷ|. The weighted 90th percentile of these calibration scores is added to and subtracted from each test prediction. The lower bound is truncated at zero because expenditure cannot be negative. This method targets 90% marginal coverage without requiring a correct parametric error distribution.</w:t>
      </w:r>
    </w:p>
    <w:p>
      <w:pPr>
        <w:pStyle w:val="Heading2"/>
      </w:pPr>
      <w:r>
        <w:t>9.2 Scaled-residual conformal</w:t>
      </w:r>
    </w:p>
    <w:p>
      <w:pPr>
        <w:spacing w:after="120"/>
      </w:pPr>
      <w:r>
        <w:t>Healthcare prediction errors tend to grow with predicted spending. The scaled method divides the residual by sqrt(Ŷ + 1), calibrates that score, and then multiplies the calibrated cutoff by sqrt(Ŷ + 1) for each test subject. This produces narrower intervals for lower-risk people and wider intervals for high predicted spending.</w:t>
      </w:r>
    </w:p>
    <w:p>
      <w:pPr>
        <w:pStyle w:val="Heading2"/>
      </w:pPr>
      <w:r>
        <w:t>9.3 Conformalized quantile regression</w:t>
      </w:r>
    </w:p>
    <w:p>
      <w:pPr>
        <w:spacing w:after="120"/>
      </w:pPr>
      <w:r>
        <w:t>CQR starts with estimated 5th and 95th conditional quantiles. The calibration score is max(q_low − Y, Y − q_high). The weighted 90th percentile of this score expands both quantile bounds. CQR adapts interval width to the covariates before the conformal correction and is often more informative than constant-width intervals.</w:t>
      </w:r>
    </w:p>
    <w:p>
      <w:pPr>
        <w:pStyle w:val="Heading2"/>
      </w:pPr>
      <w:r>
        <w:t>9.4 Parametric comparison</w:t>
      </w:r>
    </w:p>
    <w:p>
      <w:pPr>
        <w:spacing w:after="120"/>
      </w:pPr>
      <w:r>
        <w:t>The project also simulates a 90% interval from the two-part Gamma model: Bernoulli draws represent zero versus positive spending, and Gamma draws represent positive expenditure. Comparing this model-based interval with conformal intervals allows the project to test whether parametric assumptions lead to under-coverage, especially in the upper tail.</w:t>
      </w:r>
    </w:p>
    <w:p>
      <w:pPr>
        <w:pStyle w:val="Heading1"/>
      </w:pPr>
      <w:r>
        <w:t>10. Coverage Audit and Mondrian Conformal (RQ3)</w:t>
      </w:r>
    </w:p>
    <w:p>
      <w:pPr>
        <w:spacing w:after="120"/>
      </w:pPr>
      <w:r>
        <w:t>For every interval method, the code reports survey-weighted marginal coverage, lower-tail miscoverage, upper-tail miscoverage, and mean width. CQR coverage is then audited within age group, race/ethnicity, insurance, income category, and chronic-condition count. This distinguishes overall validity from conditional reliability.</w:t>
      </w:r>
    </w:p>
    <w:p>
      <w:pPr>
        <w:spacing w:after="120"/>
      </w:pPr>
      <w:r>
        <w:t>Mondrian conformal uses a separate calibration residual quantile within each age group. The code compares group-specific coverage with the global conformal interval and calculates the width cost of equalizing coverage. Very small calibration groups fall back to the global cutoff to avoid unstable quantiles.</w:t>
      </w:r>
    </w:p>
    <w:p>
      <w:pPr>
        <w:pStyle w:val="Heading1"/>
      </w:pPr>
      <w:r>
        <w:t>11. Value of History (RQ4)</w:t>
      </w:r>
    </w:p>
    <w:p>
      <w:pPr>
        <w:spacing w:after="120"/>
      </w:pPr>
      <w:r>
        <w:t>A transparent log-OLS model without prior-year spending/utilization is compared with the same specification after adding office visits, ER use, inpatient discharges, prescription count, and Year-1 total expenditure. Both are wrapped with the same 90% split-conformal method. The key statistic is the change in weighted error and mean interval width. A narrower interval after adding history means prior use makes an individual’s next-year spending more predictable.</w:t>
      </w:r>
    </w:p>
    <w:p>
      <w:pPr>
        <w:pStyle w:val="Heading1"/>
      </w:pPr>
      <w:r>
        <w:t>12. Replication and Robustness</w:t>
      </w:r>
    </w:p>
    <w:p>
      <w:pPr>
        <w:spacing w:after="120"/>
      </w:pPr>
      <w:r>
        <w:t>Panel 24 (2019–2020) is used as the second longitudinal panel. The initial robustness analysis transports the primary-panel specification to Panel 24 and reports weighted RMSE, MAE, and R². A stronger extension is to refit the complete model set on Panel 24 and compare the ordering and interval results. The syllabus also calls for sensitivity to survey-weighted versus unweighted conformal calibration; this can be added by replacing the weighted calibration quantile with the ordinary empirical quantile and comparing coverage.</w:t>
      </w:r>
    </w:p>
    <w:p>
      <w:pPr>
        <w:pStyle w:val="Heading1"/>
      </w:pPr>
      <w:r>
        <w:t>13. Expected Output Files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Output</w:t>
            </w:r>
          </w:p>
        </w:tc>
        <w:tc>
          <w:tcPr>
            <w:tcW w:type="dxa" w:w="4968"/>
            <w:vAlign w:val="center"/>
          </w:tcPr>
          <w:p>
            <w:r>
              <w:rPr>
                <w:b/>
              </w:rPr>
              <w:t>Purpose</w:t>
            </w:r>
          </w:p>
        </w:tc>
      </w:tr>
      <w:tr>
        <w:tc>
          <w:tcPr>
            <w:tcW w:type="dxa" w:w="4968"/>
          </w:tcPr>
          <w:p>
            <w:r>
              <w:t>descriptive_summary.csv</w:t>
            </w:r>
          </w:p>
        </w:tc>
        <w:tc>
          <w:tcPr>
            <w:tcW w:type="dxa" w:w="4968"/>
          </w:tcPr>
          <w:p>
            <w:r>
              <w:t>Weighted means, zero-spending fractions, and expenditure quantiles</w:t>
            </w:r>
          </w:p>
        </w:tc>
      </w:tr>
      <w:tr>
        <w:tc>
          <w:tcPr>
            <w:tcW w:type="dxa" w:w="4968"/>
          </w:tcPr>
          <w:p>
            <w:r>
              <w:t>spending_concentration.csv</w:t>
            </w:r>
          </w:p>
        </w:tc>
        <w:tc>
          <w:tcPr>
            <w:tcW w:type="dxa" w:w="4968"/>
          </w:tcPr>
          <w:p>
            <w:r>
              <w:t>Top 1%, 5%, 10% shares of total expenditure</w:t>
            </w:r>
          </w:p>
        </w:tc>
      </w:tr>
      <w:tr>
        <w:tc>
          <w:tcPr>
            <w:tcW w:type="dxa" w:w="4968"/>
          </w:tcPr>
          <w:p>
            <w:r>
              <w:t>model_performance.csv</w:t>
            </w:r>
          </w:p>
        </w:tc>
        <w:tc>
          <w:tcPr>
            <w:tcW w:type="dxa" w:w="4968"/>
          </w:tcPr>
          <w:p>
            <w:r>
              <w:t>Weighted RMSE, MAE, R², AUC, and PPV@5%</w:t>
            </w:r>
          </w:p>
        </w:tc>
      </w:tr>
      <w:tr>
        <w:tc>
          <w:tcPr>
            <w:tcW w:type="dxa" w:w="4968"/>
          </w:tcPr>
          <w:p>
            <w:r>
              <w:t>calibration_by_decile.csv</w:t>
            </w:r>
          </w:p>
        </w:tc>
        <w:tc>
          <w:tcPr>
            <w:tcW w:type="dxa" w:w="4968"/>
          </w:tcPr>
          <w:p>
            <w:r>
              <w:t>Observed versus predicted spending by risk decile</w:t>
            </w:r>
          </w:p>
        </w:tc>
      </w:tr>
      <w:tr>
        <w:tc>
          <w:tcPr>
            <w:tcW w:type="dxa" w:w="4968"/>
          </w:tcPr>
          <w:p>
            <w:r>
              <w:t>xgboost_feature_importance.csv</w:t>
            </w:r>
          </w:p>
        </w:tc>
        <w:tc>
          <w:tcPr>
            <w:tcW w:type="dxa" w:w="4968"/>
          </w:tcPr>
          <w:p>
            <w:r>
              <w:t>Predictive feature importance</w:t>
            </w:r>
          </w:p>
        </w:tc>
      </w:tr>
      <w:tr>
        <w:tc>
          <w:tcPr>
            <w:tcW w:type="dxa" w:w="4968"/>
          </w:tcPr>
          <w:p>
            <w:r>
              <w:t>interval_performance.csv</w:t>
            </w:r>
          </w:p>
        </w:tc>
        <w:tc>
          <w:tcPr>
            <w:tcW w:type="dxa" w:w="4968"/>
          </w:tcPr>
          <w:p>
            <w:r>
              <w:t>Coverage, width, and tail errors for all interval methods</w:t>
            </w:r>
          </w:p>
        </w:tc>
      </w:tr>
      <w:tr>
        <w:tc>
          <w:tcPr>
            <w:tcW w:type="dxa" w:w="4968"/>
          </w:tcPr>
          <w:p>
            <w:r>
              <w:t>subgroup_cqr_coverage.csv</w:t>
            </w:r>
          </w:p>
        </w:tc>
        <w:tc>
          <w:tcPr>
            <w:tcW w:type="dxa" w:w="4968"/>
          </w:tcPr>
          <w:p>
            <w:r>
              <w:t>Coverage audit required by RQ3</w:t>
            </w:r>
          </w:p>
        </w:tc>
      </w:tr>
      <w:tr>
        <w:tc>
          <w:tcPr>
            <w:tcW w:type="dxa" w:w="4968"/>
          </w:tcPr>
          <w:p>
            <w:r>
              <w:t>mondrian_width_cost.csv</w:t>
            </w:r>
          </w:p>
        </w:tc>
        <w:tc>
          <w:tcPr>
            <w:tcW w:type="dxa" w:w="4968"/>
          </w:tcPr>
          <w:p>
            <w:r>
              <w:t>Extra width required for group-specific calibration</w:t>
            </w:r>
          </w:p>
        </w:tc>
      </w:tr>
      <w:tr>
        <w:tc>
          <w:tcPr>
            <w:tcW w:type="dxa" w:w="4968"/>
          </w:tcPr>
          <w:p>
            <w:r>
              <w:t>value_of_history.csv</w:t>
            </w:r>
          </w:p>
        </w:tc>
        <w:tc>
          <w:tcPr>
            <w:tcW w:type="dxa" w:w="4968"/>
          </w:tcPr>
          <w:p>
            <w:r>
              <w:t>RQ4 comparison with versus without prior-year history</w:t>
            </w:r>
          </w:p>
        </w:tc>
      </w:tr>
      <w:tr>
        <w:tc>
          <w:tcPr>
            <w:tcW w:type="dxa" w:w="4968"/>
          </w:tcPr>
          <w:p>
            <w:r>
              <w:t>replication_performance.csv</w:t>
            </w:r>
          </w:p>
        </w:tc>
        <w:tc>
          <w:tcPr>
            <w:tcW w:type="dxa" w:w="4968"/>
          </w:tcPr>
          <w:p>
            <w:r>
              <w:t>Panel 24 robustness result</w:t>
            </w:r>
          </w:p>
        </w:tc>
      </w:tr>
    </w:tbl>
    <w:p>
      <w:pPr>
        <w:pStyle w:val="Heading1"/>
      </w:pPr>
      <w:r>
        <w:t>14. How to Write the Final Results Section</w:t>
      </w:r>
    </w:p>
    <w:p>
      <w:pPr>
        <w:spacing w:after="120"/>
      </w:pPr>
      <w:r>
        <w:t>After run_all.R finishes, the report/STAT7980_Final_Report.Rmd file automatically reads the produced CSV tables and figures. The final results section should report actual values rather than general statements. For RQ1, identify the model with the smallest weighted RMSE and discuss whether the same model also has the best MAE and high-cost ranking. For RQ2, report whether each 90% interval reaches approximately 0.90 weighted coverage, its average width, and whether misses are concentrated above the upper bound. For RQ3, identify groups whose coverage departs most from the nominal level and report the interval-width increase from Mondrian calibration. For RQ4, report the percentage decrease in error and interval width when prior-year history is added.</w:t>
      </w:r>
    </w:p>
    <w:p>
      <w:pPr>
        <w:spacing w:after="120"/>
      </w:pPr>
      <w:r>
        <w:t>Because the raw MEPS data cannot be executed inside this document itself, no numerical result is fabricated here. The supplied R pipeline generates the real values directly from AHRQ data and the report inserts them automatically.</w:t>
      </w:r>
    </w:p>
    <w:p>
      <w:pPr>
        <w:pStyle w:val="Heading1"/>
      </w:pPr>
      <w:r>
        <w:t>15. Limitations and Interpretation</w:t>
      </w:r>
    </w:p>
    <w:p>
      <w:pPr>
        <w:pStyle w:val="ListBullet"/>
      </w:pPr>
      <w:r>
        <w:t>Prediction is not causal inference. Coefficients and feature importance should not be interpreted as treatment effects.</w:t>
      </w:r>
    </w:p>
    <w:p>
      <w:pPr>
        <w:pStyle w:val="ListBullet"/>
      </w:pPr>
      <w:r>
        <w:t>Complete-case analysis can change the target population when predictor missingness is substantial; the missingness table should be reviewed before final submission.</w:t>
      </w:r>
    </w:p>
    <w:p>
      <w:pPr>
        <w:pStyle w:val="ListBullet"/>
      </w:pPr>
      <w:r>
        <w:t>2020 is an unusual healthcare-utilization year, so the Panel 24 replication may reflect pandemic-related changes rather than ordinary temporal drift.</w:t>
      </w:r>
    </w:p>
    <w:p>
      <w:pPr>
        <w:pStyle w:val="ListBullet"/>
      </w:pPr>
      <w:r>
        <w:t>Conformal prediction guarantees are primarily marginal under exchangeability; subgroup coverage can differ, motivating the RQ3 audit.</w:t>
      </w:r>
    </w:p>
    <w:p>
      <w:pPr>
        <w:pStyle w:val="ListBullet"/>
      </w:pPr>
      <w:r>
        <w:t>Group-conditional calibration can be unstable in small groups and may require wider intervals.</w:t>
      </w:r>
    </w:p>
    <w:p>
      <w:pPr>
        <w:pStyle w:val="ListBullet"/>
      </w:pPr>
      <w:r>
        <w:t>Public-use MEPS variables are de-identified and may not contain every clinical detail relevant to future expenditure.</w:t>
      </w:r>
    </w:p>
    <w:p>
      <w:pPr>
        <w:pStyle w:val="Heading1"/>
      </w:pPr>
      <w:r>
        <w:t>16. Reproducibility Appendix</w:t>
      </w:r>
    </w:p>
    <w:p>
      <w:pPr>
        <w:spacing w:after="120"/>
      </w:pPr>
      <w:r>
        <w:t>Run 00_setup.R once, then run run_all.R from the project root. The analysis downloads the official public-use longitudinal files from AHRQ, saves the cleaned data, fits all models, produces every table and figure, and stores model objects. Finally run rmarkdown::render("report/STAT7980_Final_Report.Rmd", output_format = "word_document") to create the numerical final report. The random seed is fixed at 7980. Git should be used to version the scripts and report. Any AI coding or editing assistance should be disclosed in the reproducibility appendix, consistent with the syllabus.</w:t>
      </w:r>
    </w:p>
    <w:p>
      <w:pPr>
        <w:pStyle w:val="Heading1"/>
      </w:pPr>
      <w:r>
        <w:t>References</w:t>
      </w:r>
    </w:p>
    <w:p>
      <w:pPr>
        <w:pStyle w:val="ListBullet"/>
      </w:pPr>
      <w:r>
        <w:t>Agency for Healthcare Research and Quality (AHRQ). Medical Expenditure Panel Survey public-use files and documentation.</w:t>
      </w:r>
    </w:p>
    <w:p>
      <w:pPr>
        <w:pStyle w:val="ListBullet"/>
      </w:pPr>
      <w:r>
        <w:t>Deb, P., &amp; Norton, E. C. (2018). Modeling health care expenditures and use. Annual Review of Public Health, 39, 489–505.</w:t>
      </w:r>
    </w:p>
    <w:p>
      <w:pPr>
        <w:pStyle w:val="ListBullet"/>
      </w:pPr>
      <w:r>
        <w:t>Manning, W. G., &amp; Mullahy, J. (2001). Estimating log models: to transform or not to transform? Journal of Health Economics, 20(4), 461–494.</w:t>
      </w:r>
    </w:p>
    <w:p>
      <w:pPr>
        <w:pStyle w:val="ListBullet"/>
      </w:pPr>
      <w:r>
        <w:t>Buntin, M. B., &amp; Zaslavsky, A. M. (2004). Too much ado about two-part models and transformation? Journal of Health Economics, 23(3), 525–542.</w:t>
      </w:r>
    </w:p>
    <w:p>
      <w:pPr>
        <w:pStyle w:val="ListBullet"/>
      </w:pPr>
      <w:r>
        <w:t>Angelopoulos, A. N., &amp; Bates, S. (2023). Conformal prediction: a gentle introduction. Foundations and Trends in Machine Learning, 16(4), 494–591.</w:t>
      </w:r>
    </w:p>
    <w:p>
      <w:pPr>
        <w:pStyle w:val="ListBullet"/>
      </w:pPr>
      <w:r>
        <w:t>Romano, Y., Patterson, E., &amp; Candès, E. (2019). Conformalized quantile regression. NeurIPS 32.</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