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p>
    <w:p>
      <w:pPr>
        <w:spacing w:after="80" w:before="0"/>
        <w:jc w:val="center"/>
      </w:pPr>
      <w:r>
        <w:rPr>
          <w:rFonts w:ascii="Arial" w:cs="Arial" w:eastAsia="Arial" w:hAnsi="Arial"/>
          <w:b/>
          <w:bCs/>
          <w:color w:val="0F6E56"/>
          <w:sz w:val="72"/>
          <w:szCs w:val="72"/>
        </w:rPr>
        <w:t xml:space="preserve">VendorPulse</w:t>
      </w:r>
    </w:p>
    <w:p>
      <w:pPr>
        <w:spacing w:after="200" w:before="0"/>
        <w:jc w:val="center"/>
      </w:pPr>
      <w:r>
        <w:rPr>
          <w:rFonts w:ascii="Arial" w:cs="Arial" w:eastAsia="Arial" w:hAnsi="Arial"/>
          <w:color w:val="1D9E75"/>
          <w:sz w:val="36"/>
          <w:szCs w:val="36"/>
        </w:rPr>
        <w:t xml:space="preserve">Vendor Relationship Memory Agent</w:t>
      </w:r>
    </w:p>
    <w:p>
      <w:pPr>
        <w:spacing w:after="80" w:before="0"/>
        <w:jc w:val="center"/>
      </w:pPr>
      <w:r>
        <w:rPr>
          <w:rFonts w:ascii="Arial" w:cs="Arial" w:eastAsia="Arial" w:hAnsi="Arial"/>
          <w:b/>
          <w:bCs/>
          <w:color w:val="3d3d3a"/>
          <w:sz w:val="26"/>
          <w:szCs w:val="26"/>
        </w:rPr>
        <w:t xml:space="preserve">Product Requirements Document</w:t>
      </w:r>
    </w:p>
    <w:p>
      <w:pPr>
        <w:spacing w:after="60" w:before="0"/>
        <w:jc w:val="center"/>
      </w:pPr>
      <w:r>
        <w:rPr>
          <w:rFonts w:ascii="Arial" w:cs="Arial" w:eastAsia="Arial" w:hAnsi="Arial"/>
          <w:color w:val="888888"/>
          <w:sz w:val="22"/>
          <w:szCs w:val="22"/>
        </w:rPr>
        <w:t xml:space="preserve">Version 1.0  |  April 2026</w:t>
      </w:r>
    </w:p>
    <w:p>
      <w:pPr>
        <w:spacing w:after="60" w:before="0"/>
        <w:jc w:val="center"/>
      </w:pPr>
      <w:r>
        <w:rPr>
          <w:rFonts w:ascii="Arial" w:cs="Arial" w:eastAsia="Arial" w:hAnsi="Arial"/>
          <w:color w:val="888888"/>
          <w:sz w:val="22"/>
          <w:szCs w:val="22"/>
        </w:rPr>
        <w:t xml:space="preserve">Built with Hindsight Agent Memory by Vectorize</w:t>
      </w:r>
    </w:p>
    <w:p>
      <w:pPr>
        <w:spacing w:after="0" w:before="400"/>
      </w:pPr>
    </w:p>
    <w:p>
      <w:pPr>
        <w:pBdr>
          <w:top w:val="single" w:color="9FE1CB" w:sz="4" w:space="1"/>
        </w:pBdr>
        <w:spacing w:after="0" w:before="0"/>
        <w:jc w:val="center"/>
      </w:pPr>
    </w:p>
    <w:p>
      <w:pPr>
        <w:spacing w:after="0" w:before="200"/>
      </w:pPr>
    </w:p>
    <w:p>
      <w:r>
        <w:br w:type="page"/>
      </w:r>
    </w:p>
    <w:p>
      <w:pPr>
        <w:pStyle w:val="Heading1"/>
        <w:spacing w:after="160" w:before="360"/>
      </w:pPr>
      <w:r>
        <w:rPr>
          <w:rFonts w:ascii="Arial" w:cs="Arial" w:eastAsia="Arial" w:hAnsi="Arial"/>
          <w:b/>
          <w:bCs/>
          <w:color w:val="0F6E56"/>
          <w:sz w:val="32"/>
          <w:szCs w:val="32"/>
        </w:rPr>
        <w:t xml:space="preserve">1. Executive Summary</w:t>
      </w:r>
    </w:p>
    <w:p>
      <w:pPr>
        <w:spacing w:after="120" w:before="0"/>
      </w:pPr>
      <w:r>
        <w:rPr>
          <w:rFonts w:ascii="Arial" w:cs="Arial" w:eastAsia="Arial" w:hAnsi="Arial"/>
          <w:b w:val="false"/>
          <w:bCs w:val="false"/>
          <w:sz w:val="22"/>
          <w:szCs w:val="22"/>
        </w:rPr>
        <w:t xml:space="preserve">VendorPulse is an AI agent that gives companies persistent, longitudinal memory of every vendor relationship they manage. It reads emails, contracts, invoices, and call transcripts, extracts structured facts, and remembers them permanently using Hindsight agent memory.</w:t>
      </w:r>
    </w:p>
    <w:p>
      <w:pPr>
        <w:spacing w:after="0" w:before="80"/>
      </w:pPr>
    </w:p>
    <w:p>
      <w:pPr>
        <w:spacing w:after="120" w:before="0"/>
      </w:pPr>
      <w:r>
        <w:rPr>
          <w:rFonts w:ascii="Arial" w:cs="Arial" w:eastAsia="Arial" w:hAnsi="Arial"/>
          <w:b w:val="false"/>
          <w:bCs w:val="false"/>
          <w:sz w:val="22"/>
          <w:szCs w:val="22"/>
        </w:rPr>
        <w:t xml:space="preserve">The core problem it solves: vendors maintain perfect institutional records of every deal, price change, and commitment they have made. Their customers do not. The result is that companies routinely negotiate renewals blind, against counterparties who have complete information.</w:t>
      </w:r>
    </w:p>
    <w:p>
      <w:pPr>
        <w:spacing w:after="0" w:before="80"/>
      </w:pPr>
    </w:p>
    <w:p>
      <w:pPr>
        <w:spacing w:after="120" w:before="0"/>
      </w:pPr>
      <w:r>
        <w:rPr>
          <w:rFonts w:ascii="Arial" w:cs="Arial" w:eastAsia="Arial" w:hAnsi="Arial"/>
          <w:b w:val="false"/>
          <w:bCs w:val="false"/>
          <w:sz w:val="22"/>
          <w:szCs w:val="22"/>
        </w:rPr>
        <w:t xml:space="preserve">VendorPulse closes that gap. It acts as a permanent procurement memory that gets sharper the longer it runs, surfacing drift in pricing or SLAs, broken promises, and leverage points that would otherwise be buried in inboxes and filing systems.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D9E75" w:sz="4"/>
              <w:left w:val="single" w:color="1D9E75" w:sz="4"/>
              <w:bottom w:val="single" w:color="1D9E75" w:sz="4"/>
              <w:right w:val="single" w:color="1D9E75" w:sz="4"/>
            </w:tcBorders>
            <w:shd w:fill="E1F5EE" w:val="clear"/>
            <w:tcMar>
              <w:top w:type="dxa" w:w="100"/>
              <w:left w:type="dxa" w:w="120"/>
              <w:bottom w:type="dxa" w:w="100"/>
              <w:right w:type="dxa" w:w="120"/>
            </w:tcMar>
            <w:vAlign w:val="center"/>
          </w:tcPr>
          <w:p>
            <w:pPr>
              <w:jc w:val="center"/>
            </w:pPr>
            <w:r>
              <w:rPr>
                <w:rFonts w:ascii="Arial" w:cs="Arial" w:eastAsia="Arial" w:hAnsi="Arial"/>
                <w:b/>
                <w:bCs/>
                <w:color w:val="0F6E56"/>
                <w:sz w:val="20"/>
                <w:szCs w:val="20"/>
              </w:rPr>
              <w:t xml:space="preserve">One line</w:t>
            </w:r>
          </w:p>
        </w:tc>
        <w:tc>
          <w:tcPr>
            <w:tcW w:type="dxa" w:w="8160"/>
            <w:tcBorders>
              <w:top w:val="single" w:color="1D9E75" w:sz="4"/>
              <w:left w:val="single" w:color="1D9E75" w:sz="4"/>
              <w:bottom w:val="single" w:color="1D9E75" w:sz="4"/>
              <w:right w:val="single" w:color="1D9E75" w:sz="4"/>
            </w:tcBorders>
            <w:shd w:fill="F4FCF9" w:val="clear"/>
            <w:tcMar>
              <w:top w:type="dxa" w:w="100"/>
              <w:left w:type="dxa" w:w="140"/>
              <w:bottom w:type="dxa" w:w="100"/>
              <w:right w:type="dxa" w:w="120"/>
            </w:tcMar>
          </w:tcPr>
          <w:p>
            <w:r>
              <w:rPr>
                <w:rFonts w:ascii="Arial" w:cs="Arial" w:eastAsia="Arial" w:hAnsi="Arial"/>
                <w:sz w:val="22"/>
                <w:szCs w:val="22"/>
              </w:rPr>
              <w:t xml:space="preserve">VendorPulse is the CRM for the vendor side of your business — a relationship memory that never forgets and gets smarter every renewal cycle.</w:t>
            </w:r>
          </w:p>
        </w:tc>
      </w:tr>
    </w:tbl>
    <w:p>
      <w:pPr>
        <w:spacing w:after="0" w:before="200"/>
      </w:pPr>
    </w:p>
    <w:p>
      <w:pPr>
        <w:pStyle w:val="Heading1"/>
        <w:spacing w:after="160" w:before="360"/>
      </w:pPr>
      <w:r>
        <w:rPr>
          <w:rFonts w:ascii="Arial" w:cs="Arial" w:eastAsia="Arial" w:hAnsi="Arial"/>
          <w:b/>
          <w:bCs/>
          <w:color w:val="0F6E56"/>
          <w:sz w:val="32"/>
          <w:szCs w:val="32"/>
        </w:rPr>
        <w:t xml:space="preserve">2. Problem Statement</w:t>
      </w:r>
    </w:p>
    <w:p>
      <w:pPr>
        <w:pStyle w:val="Heading2"/>
        <w:spacing w:after="120" w:before="280"/>
      </w:pPr>
      <w:r>
        <w:rPr>
          <w:rFonts w:ascii="Arial" w:cs="Arial" w:eastAsia="Arial" w:hAnsi="Arial"/>
          <w:b/>
          <w:bCs/>
          <w:color w:val="1D9E75"/>
          <w:sz w:val="26"/>
          <w:szCs w:val="26"/>
        </w:rPr>
        <w:t xml:space="preserve">2.1 The Core Asymmetry</w:t>
      </w:r>
    </w:p>
    <w:p>
      <w:pPr>
        <w:spacing w:after="120" w:before="0"/>
      </w:pPr>
      <w:r>
        <w:rPr>
          <w:rFonts w:ascii="Arial" w:cs="Arial" w:eastAsia="Arial" w:hAnsi="Arial"/>
          <w:b w:val="false"/>
          <w:bCs w:val="false"/>
          <w:sz w:val="22"/>
          <w:szCs w:val="22"/>
        </w:rPr>
        <w:t xml:space="preserve">Every SaaS vendor, supplier, and service provider maintains a complete, searchable record of your account: billing history, contract versions, support incidents, sales call notes, and renewal dates. Their sales and account management teams are briefed before every conversation.</w:t>
      </w:r>
    </w:p>
    <w:p>
      <w:pPr>
        <w:spacing w:after="0" w:before="80"/>
      </w:pPr>
    </w:p>
    <w:p>
      <w:pPr>
        <w:spacing w:after="120" w:before="0"/>
      </w:pPr>
      <w:r>
        <w:rPr>
          <w:rFonts w:ascii="Arial" w:cs="Arial" w:eastAsia="Arial" w:hAnsi="Arial"/>
          <w:b w:val="false"/>
          <w:bCs w:val="false"/>
          <w:sz w:val="22"/>
          <w:szCs w:val="22"/>
        </w:rPr>
        <w:t xml:space="preserve">On the buyer side, this institutional knowledge is almost never systematically captured. It lives in:</w:t>
      </w:r>
    </w:p>
    <w:p>
      <w:pPr>
        <w:pStyle w:val="ListParagraph"/>
        <w:numPr>
          <w:ilvl w:val="0"/>
          <w:numId w:val="2"/>
        </w:numPr>
        <w:spacing w:after="60" w:before="40"/>
      </w:pPr>
      <w:r>
        <w:rPr>
          <w:rFonts w:ascii="Arial" w:cs="Arial" w:eastAsia="Arial" w:hAnsi="Arial"/>
          <w:sz w:val="22"/>
          <w:szCs w:val="22"/>
        </w:rPr>
        <w:t xml:space="preserve">Email threads that are hard to search and easy to miss</w:t>
      </w:r>
    </w:p>
    <w:p>
      <w:pPr>
        <w:pStyle w:val="ListParagraph"/>
        <w:numPr>
          <w:ilvl w:val="0"/>
          <w:numId w:val="2"/>
        </w:numPr>
        <w:spacing w:after="60" w:before="40"/>
      </w:pPr>
      <w:r>
        <w:rPr>
          <w:rFonts w:ascii="Arial" w:cs="Arial" w:eastAsia="Arial" w:hAnsi="Arial"/>
          <w:sz w:val="22"/>
          <w:szCs w:val="22"/>
        </w:rPr>
        <w:t xml:space="preserve">Contract PDFs stored in Google Drive folders nobody navigates</w:t>
      </w:r>
    </w:p>
    <w:p>
      <w:pPr>
        <w:pStyle w:val="ListParagraph"/>
        <w:numPr>
          <w:ilvl w:val="0"/>
          <w:numId w:val="2"/>
        </w:numPr>
        <w:spacing w:after="60" w:before="40"/>
      </w:pPr>
      <w:r>
        <w:rPr>
          <w:rFonts w:ascii="Arial" w:cs="Arial" w:eastAsia="Arial" w:hAnsi="Arial"/>
          <w:sz w:val="22"/>
          <w:szCs w:val="22"/>
        </w:rPr>
        <w:t xml:space="preserve">The memory of the employee who negotiated the original deal — who may have left the company</w:t>
      </w:r>
    </w:p>
    <w:p>
      <w:pPr>
        <w:pStyle w:val="ListParagraph"/>
        <w:numPr>
          <w:ilvl w:val="0"/>
          <w:numId w:val="2"/>
        </w:numPr>
        <w:spacing w:after="60" w:before="40"/>
      </w:pPr>
      <w:r>
        <w:rPr>
          <w:rFonts w:ascii="Arial" w:cs="Arial" w:eastAsia="Arial" w:hAnsi="Arial"/>
          <w:sz w:val="22"/>
          <w:szCs w:val="22"/>
        </w:rPr>
        <w:t xml:space="preserve">Slack messages and call notes that are never connected to the vendor record</w:t>
      </w:r>
    </w:p>
    <w:p>
      <w:pPr>
        <w:spacing w:after="0" w:before="120"/>
      </w:pPr>
    </w:p>
    <w:p>
      <w:pPr>
        <w:pStyle w:val="Heading2"/>
        <w:spacing w:after="120" w:before="280"/>
      </w:pPr>
      <w:r>
        <w:rPr>
          <w:rFonts w:ascii="Arial" w:cs="Arial" w:eastAsia="Arial" w:hAnsi="Arial"/>
          <w:b/>
          <w:bCs/>
          <w:color w:val="1D9E75"/>
          <w:sz w:val="26"/>
          <w:szCs w:val="26"/>
        </w:rPr>
        <w:t xml:space="preserve">2.2 A Concrete Example</w:t>
      </w:r>
    </w:p>
    <w:p>
      <w:pPr>
        <w:spacing w:after="120" w:before="0"/>
      </w:pPr>
      <w:r>
        <w:rPr>
          <w:rFonts w:ascii="Arial" w:cs="Arial" w:eastAsia="Arial" w:hAnsi="Arial"/>
          <w:b w:val="false"/>
          <w:bCs w:val="false"/>
          <w:sz w:val="22"/>
          <w:szCs w:val="22"/>
        </w:rPr>
        <w:t xml:space="preserve">Imagine your company signed a Twilio contract in 2022. Here is what has happened since: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c>
          <w:tcPr>
            <w:tcW w:type="dxa" w:w="312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312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312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Jan 2023</w:t>
            </w:r>
          </w:p>
        </w:tc>
        <w:tc>
          <w:tcPr>
            <w:tcW w:type="dxa" w:w="3120"/>
            <w:tcBorders>
              <w:top w:val="single" w:color="CCCCCC" w:sz="1"/>
              <w:left w:val="single" w:color="CCCCCC" w:sz="1"/>
              <w:bottom w:val="single" w:color="CCCCCC" w:sz="1"/>
              <w:right w:val="single" w:color="CCCCCC" w:sz="1"/>
            </w:tcBorders>
            <w:shd w:fill="F4FCF9" w:val="clear"/>
            <w:tcMar>
              <w:top w:type="dxa" w:w="80"/>
              <w:left w:type="dxa" w:w="120"/>
              <w:bottom w:type="dxa" w:w="80"/>
              <w:right w:type="dxa" w:w="120"/>
            </w:tcMar>
          </w:tcPr>
          <w:p>
            <w:r>
              <w:rPr>
                <w:rFonts w:ascii="Arial" w:cs="Arial" w:eastAsia="Arial" w:hAnsi="Arial"/>
                <w:b w:val="false"/>
                <w:bCs w:val="false"/>
                <w:color w:val="1a1a1a"/>
                <w:sz w:val="21"/>
                <w:szCs w:val="21"/>
              </w:rPr>
              <w:t xml:space="preserve">Price raised 8%</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No notice given. Most teams never noticed.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Jun 2023</w:t>
            </w:r>
          </w:p>
        </w:tc>
        <w:tc>
          <w:tcPr>
            <w:tcW w:type="dxa" w:w="3120"/>
            <w:tcBorders>
              <w:top w:val="single" w:color="CCCCCC" w:sz="1"/>
              <w:left w:val="single" w:color="CCCCCC" w:sz="1"/>
              <w:bottom w:val="single" w:color="CCCCCC" w:sz="1"/>
              <w:right w:val="single" w:color="CCCCCC" w:sz="1"/>
            </w:tcBorders>
            <w:shd w:fill="F4FCF9" w:val="clear"/>
            <w:tcMar>
              <w:top w:type="dxa" w:w="80"/>
              <w:left w:type="dxa" w:w="120"/>
              <w:bottom w:type="dxa" w:w="80"/>
              <w:right w:type="dxa" w:w="120"/>
            </w:tcMar>
          </w:tcPr>
          <w:p>
            <w:r>
              <w:rPr>
                <w:rFonts w:ascii="Arial" w:cs="Arial" w:eastAsia="Arial" w:hAnsi="Arial"/>
                <w:b w:val="false"/>
                <w:bCs w:val="false"/>
                <w:color w:val="1a1a1a"/>
                <w:sz w:val="21"/>
                <w:szCs w:val="21"/>
              </w:rPr>
              <w:t xml:space="preserve">4-hour outage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Lost customers. No SLA credit was ever issued.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Feb 2024</w:t>
            </w:r>
          </w:p>
        </w:tc>
        <w:tc>
          <w:tcPr>
            <w:tcW w:type="dxa" w:w="3120"/>
            <w:tcBorders>
              <w:top w:val="single" w:color="CCCCCC" w:sz="1"/>
              <w:left w:val="single" w:color="CCCCCC" w:sz="1"/>
              <w:bottom w:val="single" w:color="CCCCCC" w:sz="1"/>
              <w:right w:val="single" w:color="CCCCCC" w:sz="1"/>
            </w:tcBorders>
            <w:shd w:fill="F4FCF9" w:val="clear"/>
            <w:tcMar>
              <w:top w:type="dxa" w:w="80"/>
              <w:left w:type="dxa" w:w="120"/>
              <w:bottom w:type="dxa" w:w="80"/>
              <w:right w:type="dxa" w:w="120"/>
            </w:tcMar>
          </w:tcPr>
          <w:p>
            <w:r>
              <w:rPr>
                <w:rFonts w:ascii="Arial" w:cs="Arial" w:eastAsia="Arial" w:hAnsi="Arial"/>
                <w:b w:val="false"/>
                <w:bCs w:val="false"/>
                <w:color w:val="1a1a1a"/>
                <w:sz w:val="21"/>
                <w:szCs w:val="21"/>
              </w:rPr>
              <w:t xml:space="preserve">Renewal doc sent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99.95% uptime SLA quietly removed from contract.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May 2024</w:t>
            </w:r>
          </w:p>
        </w:tc>
        <w:tc>
          <w:tcPr>
            <w:tcW w:type="dxa" w:w="3120"/>
            <w:tcBorders>
              <w:top w:val="single" w:color="CCCCCC" w:sz="1"/>
              <w:left w:val="single" w:color="CCCCCC" w:sz="1"/>
              <w:bottom w:val="single" w:color="CCCCCC" w:sz="1"/>
              <w:right w:val="single" w:color="CCCCCC" w:sz="1"/>
            </w:tcBorders>
            <w:shd w:fill="F4FCF9" w:val="clear"/>
            <w:tcMar>
              <w:top w:type="dxa" w:w="80"/>
              <w:left w:type="dxa" w:w="120"/>
              <w:bottom w:type="dxa" w:w="80"/>
              <w:right w:type="dxa" w:w="120"/>
            </w:tcMar>
          </w:tcPr>
          <w:p>
            <w:r>
              <w:rPr>
                <w:rFonts w:ascii="Arial" w:cs="Arial" w:eastAsia="Arial" w:hAnsi="Arial"/>
                <w:b w:val="false"/>
                <w:bCs w:val="false"/>
                <w:color w:val="1a1a1a"/>
                <w:sz w:val="21"/>
                <w:szCs w:val="21"/>
              </w:rPr>
              <w:t xml:space="preserve">Sales call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Rep promised rate lock through Q2. Nothing in writing.</w:t>
            </w:r>
          </w:p>
        </w:tc>
      </w:tr>
    </w:tbl>
    <w:p>
      <w:pPr>
        <w:spacing w:after="0" w:before="120"/>
      </w:pPr>
    </w:p>
    <w:p>
      <w:pPr>
        <w:spacing w:after="120" w:before="0"/>
      </w:pPr>
      <w:r>
        <w:rPr>
          <w:rFonts w:ascii="Arial" w:cs="Arial" w:eastAsia="Arial" w:hAnsi="Arial"/>
          <w:b w:val="false"/>
          <w:bCs w:val="false"/>
          <w:sz w:val="22"/>
          <w:szCs w:val="22"/>
        </w:rPr>
        <w:t xml:space="preserve">None of this is captured anywhere that a new procurement lead could find. When renewal arrives, your team signs a worse contract without knowing what they gave up.</w:t>
      </w:r>
    </w:p>
    <w:p>
      <w:pPr>
        <w:spacing w:after="0" w:before="120"/>
      </w:pPr>
    </w:p>
    <w:p>
      <w:pPr>
        <w:pStyle w:val="Heading2"/>
        <w:spacing w:after="120" w:before="280"/>
      </w:pPr>
      <w:r>
        <w:rPr>
          <w:rFonts w:ascii="Arial" w:cs="Arial" w:eastAsia="Arial" w:hAnsi="Arial"/>
          <w:b/>
          <w:bCs/>
          <w:color w:val="1D9E75"/>
          <w:sz w:val="26"/>
          <w:szCs w:val="26"/>
        </w:rPr>
        <w:t xml:space="preserve">2.3 Why Existing Tools Do Not Solve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85041"/>
                <w:sz w:val="21"/>
                <w:szCs w:val="21"/>
              </w:rPr>
              <w:t xml:space="preserve">Contract tools (Ironclad, Juro)</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Store PDFs and track renewal dates. Do not read content, detect change, or reason across history.</w:t>
            </w:r>
          </w:p>
        </w:tc>
      </w:tr>
      <w:tr>
        <w:tc>
          <w:tcPr>
            <w:tcW w:type="dxa" w:w="312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85041"/>
                <w:sz w:val="21"/>
                <w:szCs w:val="21"/>
              </w:rPr>
              <w:t xml:space="preserve">Procurement platforms (Zip, Coupa)</w:t>
            </w:r>
          </w:p>
        </w:tc>
        <w:tc>
          <w:tcPr>
            <w:tcW w:type="dxa" w:w="6240"/>
            <w:tcBorders>
              <w:top w:val="single" w:color="CCCCCC" w:sz="1"/>
              <w:left w:val="single" w:color="CCCCCC" w:sz="1"/>
              <w:bottom w:val="single" w:color="CCCCCC" w:sz="1"/>
              <w:right w:val="single" w:color="CCCCCC" w:sz="1"/>
            </w:tcBorders>
            <w:shd w:fill="F9FFFE" w:val="clear"/>
            <w:tcMar>
              <w:top w:type="dxa" w:w="80"/>
              <w:left w:type="dxa" w:w="120"/>
              <w:bottom w:type="dxa" w:w="80"/>
              <w:right w:type="dxa" w:w="120"/>
            </w:tcMar>
          </w:tcPr>
          <w:p>
            <w:r>
              <w:rPr>
                <w:rFonts w:ascii="Arial" w:cs="Arial" w:eastAsia="Arial" w:hAnsi="Arial"/>
                <w:sz w:val="21"/>
                <w:szCs w:val="21"/>
              </w:rPr>
              <w:t xml:space="preserve">Track spend and approvals. No relationship memory, no conversational query.</w:t>
            </w:r>
          </w:p>
        </w:tc>
      </w:tr>
      <w:tr>
        <w:tc>
          <w:tcPr>
            <w:tcW w:type="dxa" w:w="312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85041"/>
                <w:sz w:val="21"/>
                <w:szCs w:val="21"/>
              </w:rPr>
              <w:t xml:space="preserve">CRMs (Salesforce, HubSpot)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Built for customer relationships, not vendor management. No ingestion of emails or invoices.</w:t>
            </w:r>
          </w:p>
        </w:tc>
      </w:tr>
      <w:tr>
        <w:tc>
          <w:tcPr>
            <w:tcW w:type="dxa" w:w="312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85041"/>
                <w:sz w:val="21"/>
                <w:szCs w:val="21"/>
              </w:rPr>
              <w:t xml:space="preserve">Generic AI assistants</w:t>
            </w:r>
          </w:p>
        </w:tc>
        <w:tc>
          <w:tcPr>
            <w:tcW w:type="dxa" w:w="6240"/>
            <w:tcBorders>
              <w:top w:val="single" w:color="CCCCCC" w:sz="1"/>
              <w:left w:val="single" w:color="CCCCCC" w:sz="1"/>
              <w:bottom w:val="single" w:color="CCCCCC" w:sz="1"/>
              <w:right w:val="single" w:color="CCCCCC" w:sz="1"/>
            </w:tcBorders>
            <w:shd w:fill="F9FFFE" w:val="clear"/>
            <w:tcMar>
              <w:top w:type="dxa" w:w="80"/>
              <w:left w:type="dxa" w:w="120"/>
              <w:bottom w:type="dxa" w:w="80"/>
              <w:right w:type="dxa" w:w="120"/>
            </w:tcMar>
          </w:tcPr>
          <w:p>
            <w:r>
              <w:rPr>
                <w:rFonts w:ascii="Arial" w:cs="Arial" w:eastAsia="Arial" w:hAnsi="Arial"/>
                <w:sz w:val="21"/>
                <w:szCs w:val="21"/>
              </w:rPr>
              <w:t xml:space="preserve">No persistent memory. Every conversation starts from zero.</w:t>
            </w:r>
          </w:p>
        </w:tc>
      </w:tr>
    </w:tbl>
    <w:p>
      <w:pPr>
        <w:spacing w:after="0" w:before="200"/>
      </w:pPr>
    </w:p>
    <w:p>
      <w:pPr>
        <w:pStyle w:val="Heading1"/>
        <w:spacing w:after="160" w:before="360"/>
      </w:pPr>
      <w:r>
        <w:rPr>
          <w:rFonts w:ascii="Arial" w:cs="Arial" w:eastAsia="Arial" w:hAnsi="Arial"/>
          <w:b/>
          <w:bCs/>
          <w:color w:val="0F6E56"/>
          <w:sz w:val="32"/>
          <w:szCs w:val="32"/>
        </w:rPr>
        <w:t xml:space="preserve">3. Product Vision</w:t>
      </w:r>
    </w:p>
    <w:p>
      <w:pPr>
        <w:spacing w:after="120" w:before="0"/>
      </w:pPr>
      <w:r>
        <w:rPr>
          <w:rFonts w:ascii="Arial" w:cs="Arial" w:eastAsia="Arial" w:hAnsi="Arial"/>
          <w:b w:val="false"/>
          <w:bCs w:val="false"/>
          <w:sz w:val="22"/>
          <w:szCs w:val="22"/>
        </w:rPr>
        <w:t xml:space="preserve">VendorPulse is a memory-first AI agent. It is not a document repository with a search bar. It is an agent that reads, extracts, remembers, and reasons — across every vendor touchpoint, across years of history.</w:t>
      </w:r>
    </w:p>
    <w:p>
      <w:pPr>
        <w:spacing w:after="0" w:before="80"/>
      </w:pPr>
    </w:p>
    <w:p>
      <w:pPr>
        <w:spacing w:after="120" w:before="0"/>
      </w:pPr>
      <w:r>
        <w:rPr>
          <w:rFonts w:ascii="Arial" w:cs="Arial" w:eastAsia="Arial" w:hAnsi="Arial"/>
          <w:b w:val="false"/>
          <w:bCs w:val="false"/>
          <w:sz w:val="22"/>
          <w:szCs w:val="22"/>
        </w:rPr>
        <w:t xml:space="preserve">The defining property is that the agent gets measurably better the longer it runs. Interaction 1: it knows nothing. Interaction 10: it knows your Twilio history. Interaction 100: it knows every vendor relationship in your company and can spot cross-vendor patterns.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D9E75" w:sz="4"/>
              <w:left w:val="single" w:color="1D9E75" w:sz="4"/>
              <w:bottom w:val="single" w:color="1D9E75" w:sz="4"/>
              <w:right w:val="single" w:color="1D9E75" w:sz="4"/>
            </w:tcBorders>
            <w:shd w:fill="E1F5EE" w:val="clear"/>
            <w:tcMar>
              <w:top w:type="dxa" w:w="100"/>
              <w:left w:type="dxa" w:w="120"/>
              <w:bottom w:type="dxa" w:w="100"/>
              <w:right w:type="dxa" w:w="120"/>
            </w:tcMar>
            <w:vAlign w:val="center"/>
          </w:tcPr>
          <w:p>
            <w:pPr>
              <w:jc w:val="center"/>
            </w:pPr>
            <w:r>
              <w:rPr>
                <w:rFonts w:ascii="Arial" w:cs="Arial" w:eastAsia="Arial" w:hAnsi="Arial"/>
                <w:b/>
                <w:bCs/>
                <w:color w:val="0F6E56"/>
                <w:sz w:val="20"/>
                <w:szCs w:val="20"/>
              </w:rPr>
              <w:t xml:space="preserve">Vision</w:t>
            </w:r>
          </w:p>
        </w:tc>
        <w:tc>
          <w:tcPr>
            <w:tcW w:type="dxa" w:w="8160"/>
            <w:tcBorders>
              <w:top w:val="single" w:color="1D9E75" w:sz="4"/>
              <w:left w:val="single" w:color="1D9E75" w:sz="4"/>
              <w:bottom w:val="single" w:color="1D9E75" w:sz="4"/>
              <w:right w:val="single" w:color="1D9E75" w:sz="4"/>
            </w:tcBorders>
            <w:shd w:fill="F4FCF9" w:val="clear"/>
            <w:tcMar>
              <w:top w:type="dxa" w:w="100"/>
              <w:left w:type="dxa" w:w="140"/>
              <w:bottom w:type="dxa" w:w="100"/>
              <w:right w:type="dxa" w:w="120"/>
            </w:tcMar>
          </w:tcPr>
          <w:p>
            <w:r>
              <w:rPr>
                <w:rFonts w:ascii="Arial" w:cs="Arial" w:eastAsia="Arial" w:hAnsi="Arial"/>
                <w:sz w:val="22"/>
                <w:szCs w:val="22"/>
              </w:rPr>
              <w:t xml:space="preserve">Give every procurement team the institutional memory of a 10-year veteran who remembers every conversation, every invoice, and every broken promise.</w:t>
            </w:r>
          </w:p>
        </w:tc>
      </w:tr>
    </w:tbl>
    <w:p>
      <w:pPr>
        <w:spacing w:after="0" w:before="200"/>
      </w:pPr>
    </w:p>
    <w:p>
      <w:pPr>
        <w:pStyle w:val="Heading1"/>
        <w:spacing w:after="160" w:before="360"/>
      </w:pPr>
      <w:r>
        <w:rPr>
          <w:rFonts w:ascii="Arial" w:cs="Arial" w:eastAsia="Arial" w:hAnsi="Arial"/>
          <w:b/>
          <w:bCs/>
          <w:color w:val="0F6E56"/>
          <w:sz w:val="32"/>
          <w:szCs w:val="32"/>
        </w:rPr>
        <w:t xml:space="preserve">4. Target Users</w:t>
      </w:r>
    </w:p>
    <w:p>
      <w:pPr>
        <w:pStyle w:val="Heading2"/>
        <w:spacing w:after="120" w:before="280"/>
      </w:pPr>
      <w:r>
        <w:rPr>
          <w:rFonts w:ascii="Arial" w:cs="Arial" w:eastAsia="Arial" w:hAnsi="Arial"/>
          <w:b/>
          <w:bCs/>
          <w:color w:val="1D9E75"/>
          <w:sz w:val="26"/>
          <w:szCs w:val="26"/>
        </w:rPr>
        <w:t xml:space="preserve">Primary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85041"/>
                <w:sz w:val="21"/>
                <w:szCs w:val="21"/>
              </w:rPr>
              <w:t xml:space="preserve">Procurement leads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Need leverage before renewals. Currently reconstruct history manually from email search.</w:t>
            </w:r>
          </w:p>
        </w:tc>
      </w:tr>
      <w:tr>
        <w:tc>
          <w:tcPr>
            <w:tcW w:type="dxa" w:w="312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85041"/>
                <w:sz w:val="21"/>
                <w:szCs w:val="21"/>
              </w:rPr>
              <w:t xml:space="preserve">CFOs / Finance</w:t>
            </w:r>
          </w:p>
        </w:tc>
        <w:tc>
          <w:tcPr>
            <w:tcW w:type="dxa" w:w="6240"/>
            <w:tcBorders>
              <w:top w:val="single" w:color="CCCCCC" w:sz="1"/>
              <w:left w:val="single" w:color="CCCCCC" w:sz="1"/>
              <w:bottom w:val="single" w:color="CCCCCC" w:sz="1"/>
              <w:right w:val="single" w:color="CCCCCC" w:sz="1"/>
            </w:tcBorders>
            <w:shd w:fill="F9FFFE" w:val="clear"/>
            <w:tcMar>
              <w:top w:type="dxa" w:w="80"/>
              <w:left w:type="dxa" w:w="120"/>
              <w:bottom w:type="dxa" w:w="80"/>
              <w:right w:type="dxa" w:w="120"/>
            </w:tcMar>
          </w:tcPr>
          <w:p>
            <w:r>
              <w:rPr>
                <w:rFonts w:ascii="Arial" w:cs="Arial" w:eastAsia="Arial" w:hAnsi="Arial"/>
                <w:sz w:val="21"/>
                <w:szCs w:val="21"/>
              </w:rPr>
              <w:t xml:space="preserve">Want visibility into vendor cost drift and SLA compliance over time.</w:t>
            </w:r>
          </w:p>
        </w:tc>
      </w:tr>
      <w:tr>
        <w:tc>
          <w:tcPr>
            <w:tcW w:type="dxa" w:w="312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85041"/>
                <w:sz w:val="21"/>
                <w:szCs w:val="21"/>
              </w:rPr>
              <w:t xml:space="preserve">Legal / Ops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Track whether vendors are honoring contractual commitments.</w:t>
            </w:r>
          </w:p>
        </w:tc>
      </w:tr>
    </w:tbl>
    <w:p>
      <w:pPr>
        <w:spacing w:after="0" w:before="120"/>
      </w:pPr>
    </w:p>
    <w:p>
      <w:pPr>
        <w:pStyle w:val="Heading2"/>
        <w:spacing w:after="120" w:before="280"/>
      </w:pPr>
      <w:r>
        <w:rPr>
          <w:rFonts w:ascii="Arial" w:cs="Arial" w:eastAsia="Arial" w:hAnsi="Arial"/>
          <w:b/>
          <w:bCs/>
          <w:color w:val="1D9E75"/>
          <w:sz w:val="26"/>
          <w:szCs w:val="26"/>
        </w:rPr>
        <w:t xml:space="preserve">Target Companies</w:t>
      </w:r>
    </w:p>
    <w:p>
      <w:pPr>
        <w:pStyle w:val="ListParagraph"/>
        <w:numPr>
          <w:ilvl w:val="0"/>
          <w:numId w:val="2"/>
        </w:numPr>
        <w:spacing w:after="60" w:before="40"/>
      </w:pPr>
      <w:r>
        <w:rPr>
          <w:rFonts w:ascii="Arial" w:cs="Arial" w:eastAsia="Arial" w:hAnsi="Arial"/>
          <w:sz w:val="22"/>
          <w:szCs w:val="22"/>
        </w:rPr>
        <w:t xml:space="preserve">Mid-market companies with 20–500 employees</w:t>
      </w:r>
    </w:p>
    <w:p>
      <w:pPr>
        <w:pStyle w:val="ListParagraph"/>
        <w:numPr>
          <w:ilvl w:val="0"/>
          <w:numId w:val="2"/>
        </w:numPr>
        <w:spacing w:after="60" w:before="40"/>
      </w:pPr>
      <w:r>
        <w:rPr>
          <w:rFonts w:ascii="Arial" w:cs="Arial" w:eastAsia="Arial" w:hAnsi="Arial"/>
          <w:sz w:val="22"/>
          <w:szCs w:val="22"/>
        </w:rPr>
        <w:t xml:space="preserve">5 or more active SaaS or service vendors with annual contracts</w:t>
      </w:r>
    </w:p>
    <w:p>
      <w:pPr>
        <w:pStyle w:val="ListParagraph"/>
        <w:numPr>
          <w:ilvl w:val="0"/>
          <w:numId w:val="2"/>
        </w:numPr>
        <w:spacing w:after="60" w:before="40"/>
      </w:pPr>
      <w:r>
        <w:rPr>
          <w:rFonts w:ascii="Arial" w:cs="Arial" w:eastAsia="Arial" w:hAnsi="Arial"/>
          <w:sz w:val="22"/>
          <w:szCs w:val="22"/>
        </w:rPr>
        <w:t xml:space="preserve">At least one person responsible for procurement or vendor management</w:t>
      </w:r>
    </w:p>
    <w:p>
      <w:pPr>
        <w:pStyle w:val="ListParagraph"/>
        <w:numPr>
          <w:ilvl w:val="0"/>
          <w:numId w:val="2"/>
        </w:numPr>
        <w:spacing w:after="60" w:before="40"/>
      </w:pPr>
      <w:r>
        <w:rPr>
          <w:rFonts w:ascii="Arial" w:cs="Arial" w:eastAsia="Arial" w:hAnsi="Arial"/>
          <w:sz w:val="22"/>
          <w:szCs w:val="22"/>
        </w:rPr>
        <w:t xml:space="preserve">Pain felt most acutely at renewal time (typically annual)</w:t>
      </w:r>
    </w:p>
    <w:p>
      <w:pPr>
        <w:spacing w:after="0" w:before="200"/>
      </w:pPr>
    </w:p>
    <w:p>
      <w:pPr>
        <w:pStyle w:val="Heading1"/>
        <w:spacing w:after="160" w:before="360"/>
      </w:pPr>
      <w:r>
        <w:rPr>
          <w:rFonts w:ascii="Arial" w:cs="Arial" w:eastAsia="Arial" w:hAnsi="Arial"/>
          <w:b/>
          <w:bCs/>
          <w:color w:val="0F6E56"/>
          <w:sz w:val="32"/>
          <w:szCs w:val="32"/>
        </w:rPr>
        <w:t xml:space="preserve">5. Core Features</w:t>
      </w:r>
    </w:p>
    <w:p>
      <w:pPr>
        <w:pStyle w:val="Heading2"/>
        <w:spacing w:after="120" w:before="280"/>
      </w:pPr>
      <w:r>
        <w:rPr>
          <w:rFonts w:ascii="Arial" w:cs="Arial" w:eastAsia="Arial" w:hAnsi="Arial"/>
          <w:b/>
          <w:bCs/>
          <w:color w:val="1D9E75"/>
          <w:sz w:val="26"/>
          <w:szCs w:val="26"/>
        </w:rPr>
        <w:t xml:space="preserve">5.1 Document Ingestion</w:t>
      </w:r>
    </w:p>
    <w:p>
      <w:pPr>
        <w:spacing w:after="120" w:before="0"/>
      </w:pPr>
      <w:r>
        <w:rPr>
          <w:rFonts w:ascii="Arial" w:cs="Arial" w:eastAsia="Arial" w:hAnsi="Arial"/>
          <w:b w:val="false"/>
          <w:bCs w:val="false"/>
          <w:sz w:val="22"/>
          <w:szCs w:val="22"/>
        </w:rPr>
        <w:t xml:space="preserve">VendorPulse accepts the following document types as input sources:</w:t>
      </w:r>
    </w:p>
    <w:p>
      <w:pPr>
        <w:pStyle w:val="ListParagraph"/>
        <w:numPr>
          <w:ilvl w:val="0"/>
          <w:numId w:val="2"/>
        </w:numPr>
        <w:spacing w:after="60" w:before="40"/>
      </w:pPr>
      <w:r>
        <w:rPr>
          <w:rFonts w:ascii="Arial" w:cs="Arial" w:eastAsia="Arial" w:hAnsi="Arial"/>
          <w:sz w:val="22"/>
          <w:szCs w:val="22"/>
        </w:rPr>
        <w:t xml:space="preserve">Emails (.eml files or Gmail API connection)</w:t>
      </w:r>
    </w:p>
    <w:p>
      <w:pPr>
        <w:pStyle w:val="ListParagraph"/>
        <w:numPr>
          <w:ilvl w:val="0"/>
          <w:numId w:val="2"/>
        </w:numPr>
        <w:spacing w:after="60" w:before="40"/>
      </w:pPr>
      <w:r>
        <w:rPr>
          <w:rFonts w:ascii="Arial" w:cs="Arial" w:eastAsia="Arial" w:hAnsi="Arial"/>
          <w:sz w:val="22"/>
          <w:szCs w:val="22"/>
        </w:rPr>
        <w:t xml:space="preserve">Contracts and agreements (PDF)</w:t>
      </w:r>
    </w:p>
    <w:p>
      <w:pPr>
        <w:pStyle w:val="ListParagraph"/>
        <w:numPr>
          <w:ilvl w:val="0"/>
          <w:numId w:val="2"/>
        </w:numPr>
        <w:spacing w:after="60" w:before="40"/>
      </w:pPr>
      <w:r>
        <w:rPr>
          <w:rFonts w:ascii="Arial" w:cs="Arial" w:eastAsia="Arial" w:hAnsi="Arial"/>
          <w:sz w:val="22"/>
          <w:szCs w:val="22"/>
        </w:rPr>
        <w:t xml:space="preserve">Invoices (PDF or CSV)</w:t>
      </w:r>
    </w:p>
    <w:p>
      <w:pPr>
        <w:pStyle w:val="ListParagraph"/>
        <w:numPr>
          <w:ilvl w:val="0"/>
          <w:numId w:val="2"/>
        </w:numPr>
        <w:spacing w:after="60" w:before="40"/>
      </w:pPr>
      <w:r>
        <w:rPr>
          <w:rFonts w:ascii="Arial" w:cs="Arial" w:eastAsia="Arial" w:hAnsi="Arial"/>
          <w:sz w:val="22"/>
          <w:szCs w:val="22"/>
        </w:rPr>
        <w:t xml:space="preserve">Call transcripts (TXT or structured JSON from tools like Gong or Otter)</w:t>
      </w:r>
    </w:p>
    <w:p>
      <w:pPr>
        <w:pStyle w:val="ListParagraph"/>
        <w:numPr>
          <w:ilvl w:val="0"/>
          <w:numId w:val="2"/>
        </w:numPr>
        <w:spacing w:after="60" w:before="40"/>
      </w:pPr>
      <w:r>
        <w:rPr>
          <w:rFonts w:ascii="Arial" w:cs="Arial" w:eastAsia="Arial" w:hAnsi="Arial"/>
          <w:sz w:val="22"/>
          <w:szCs w:val="22"/>
        </w:rPr>
        <w:t xml:space="preserve">Support ticket exports (CSV)</w:t>
      </w:r>
    </w:p>
    <w:p>
      <w:pPr>
        <w:spacing w:after="0" w:before="80"/>
      </w:pPr>
    </w:p>
    <w:p>
      <w:pPr>
        <w:spacing w:after="120" w:before="0"/>
      </w:pPr>
      <w:r>
        <w:rPr>
          <w:rFonts w:ascii="Arial" w:cs="Arial" w:eastAsia="Arial" w:hAnsi="Arial"/>
          <w:b w:val="false"/>
          <w:bCs w:val="false"/>
          <w:sz w:val="22"/>
          <w:szCs w:val="22"/>
        </w:rPr>
        <w:t xml:space="preserve">Each document is normalized (cleaned, chunked into ~500-token segments, date-stamped), then passed to the LLM extractor which pulls structured facts: price figures, SLA terms, commitment statements, incident records, and named contacts.</w:t>
      </w:r>
    </w:p>
    <w:p>
      <w:pPr>
        <w:spacing w:after="0" w:before="120"/>
      </w:pPr>
    </w:p>
    <w:p>
      <w:pPr>
        <w:pStyle w:val="Heading2"/>
        <w:spacing w:after="120" w:before="280"/>
      </w:pPr>
      <w:r>
        <w:rPr>
          <w:rFonts w:ascii="Arial" w:cs="Arial" w:eastAsia="Arial" w:hAnsi="Arial"/>
          <w:b/>
          <w:bCs/>
          <w:color w:val="1D9E75"/>
          <w:sz w:val="26"/>
          <w:szCs w:val="26"/>
        </w:rPr>
        <w:t xml:space="preserve">5.2 Hindsight Memory Architecture</w:t>
      </w:r>
    </w:p>
    <w:p>
      <w:pPr>
        <w:spacing w:after="120" w:before="0"/>
      </w:pPr>
      <w:r>
        <w:rPr>
          <w:rFonts w:ascii="Arial" w:cs="Arial" w:eastAsia="Arial" w:hAnsi="Arial"/>
          <w:b w:val="false"/>
          <w:bCs w:val="false"/>
          <w:sz w:val="22"/>
          <w:szCs w:val="22"/>
        </w:rPr>
        <w:t xml:space="preserve">The agent uses two memory types per vendor, stored in Hindsight:</w:t>
      </w:r>
    </w:p>
    <w:p>
      <w:pPr>
        <w:spacing w:after="0" w:before="80"/>
      </w:pPr>
    </w:p>
    <w:p>
      <w:pPr>
        <w:pStyle w:val="Heading3"/>
        <w:spacing w:after="80" w:before="200"/>
      </w:pPr>
      <w:r>
        <w:rPr>
          <w:rFonts w:ascii="Arial" w:cs="Arial" w:eastAsia="Arial" w:hAnsi="Arial"/>
          <w:b/>
          <w:bCs/>
          <w:color w:val="085041"/>
          <w:sz w:val="22"/>
          <w:szCs w:val="22"/>
        </w:rPr>
        <w:t xml:space="preserve">Baseline Memory</w:t>
      </w:r>
    </w:p>
    <w:p>
      <w:pPr>
        <w:spacing w:after="120" w:before="0"/>
      </w:pPr>
      <w:r>
        <w:rPr>
          <w:rFonts w:ascii="Arial" w:cs="Arial" w:eastAsia="Arial" w:hAnsi="Arial"/>
          <w:b w:val="false"/>
          <w:bCs w:val="false"/>
          <w:sz w:val="22"/>
          <w:szCs w:val="22"/>
        </w:rPr>
        <w:t xml:space="preserve">Written once when the first contract is processed. Never overwritten. Fields include:</w:t>
      </w:r>
    </w:p>
    <w:p>
      <w:pPr>
        <w:pStyle w:val="ListParagraph"/>
        <w:numPr>
          <w:ilvl w:val="0"/>
          <w:numId w:val="2"/>
        </w:numPr>
        <w:spacing w:after="60" w:before="40"/>
      </w:pPr>
      <w:r>
        <w:rPr>
          <w:rFonts w:ascii="Arial" w:cs="Arial" w:eastAsia="Arial" w:hAnsi="Arial"/>
          <w:sz w:val="22"/>
          <w:szCs w:val="22"/>
        </w:rPr>
        <w:t xml:space="preserve">vendor_id and vendor name</w:t>
      </w:r>
    </w:p>
    <w:p>
      <w:pPr>
        <w:pStyle w:val="ListParagraph"/>
        <w:numPr>
          <w:ilvl w:val="0"/>
          <w:numId w:val="2"/>
        </w:numPr>
        <w:spacing w:after="60" w:before="40"/>
      </w:pPr>
      <w:r>
        <w:rPr>
          <w:rFonts w:ascii="Arial" w:cs="Arial" w:eastAsia="Arial" w:hAnsi="Arial"/>
          <w:sz w:val="22"/>
          <w:szCs w:val="22"/>
        </w:rPr>
        <w:t xml:space="preserve">agreed pricing at signing</w:t>
      </w:r>
    </w:p>
    <w:p>
      <w:pPr>
        <w:pStyle w:val="ListParagraph"/>
        <w:numPr>
          <w:ilvl w:val="0"/>
          <w:numId w:val="2"/>
        </w:numPr>
        <w:spacing w:after="60" w:before="40"/>
      </w:pPr>
      <w:r>
        <w:rPr>
          <w:rFonts w:ascii="Arial" w:cs="Arial" w:eastAsia="Arial" w:hAnsi="Arial"/>
          <w:sz w:val="22"/>
          <w:szCs w:val="22"/>
        </w:rPr>
        <w:t xml:space="preserve">SLA terms at signing</w:t>
      </w:r>
    </w:p>
    <w:p>
      <w:pPr>
        <w:pStyle w:val="ListParagraph"/>
        <w:numPr>
          <w:ilvl w:val="0"/>
          <w:numId w:val="2"/>
        </w:numPr>
        <w:spacing w:after="60" w:before="40"/>
      </w:pPr>
      <w:r>
        <w:rPr>
          <w:rFonts w:ascii="Arial" w:cs="Arial" w:eastAsia="Arial" w:hAnsi="Arial"/>
          <w:sz w:val="22"/>
          <w:szCs w:val="22"/>
        </w:rPr>
        <w:t xml:space="preserve">contract start date and renewal date</w:t>
      </w:r>
    </w:p>
    <w:p>
      <w:pPr>
        <w:pStyle w:val="ListParagraph"/>
        <w:numPr>
          <w:ilvl w:val="0"/>
          <w:numId w:val="2"/>
        </w:numPr>
        <w:spacing w:after="60" w:before="40"/>
      </w:pPr>
      <w:r>
        <w:rPr>
          <w:rFonts w:ascii="Arial" w:cs="Arial" w:eastAsia="Arial" w:hAnsi="Arial"/>
          <w:sz w:val="22"/>
          <w:szCs w:val="22"/>
        </w:rPr>
        <w:t xml:space="preserve">primary rep name and contact</w:t>
      </w:r>
    </w:p>
    <w:p>
      <w:pPr>
        <w:spacing w:after="0" w:before="80"/>
      </w:pPr>
    </w:p>
    <w:p>
      <w:pPr>
        <w:pStyle w:val="Heading3"/>
        <w:spacing w:after="80" w:before="200"/>
      </w:pPr>
      <w:r>
        <w:rPr>
          <w:rFonts w:ascii="Arial" w:cs="Arial" w:eastAsia="Arial" w:hAnsi="Arial"/>
          <w:b/>
          <w:bCs/>
          <w:color w:val="085041"/>
          <w:sz w:val="22"/>
          <w:szCs w:val="22"/>
        </w:rPr>
        <w:t xml:space="preserve">Event Log Memory</w:t>
      </w:r>
    </w:p>
    <w:p>
      <w:pPr>
        <w:spacing w:after="120" w:before="0"/>
      </w:pPr>
      <w:r>
        <w:rPr>
          <w:rFonts w:ascii="Arial" w:cs="Arial" w:eastAsia="Arial" w:hAnsi="Arial"/>
          <w:b w:val="false"/>
          <w:bCs w:val="false"/>
          <w:sz w:val="22"/>
          <w:szCs w:val="22"/>
        </w:rPr>
        <w:t xml:space="preserve">Append-only. Every new fact extracted from a document becomes a timestamped event. Event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60"/>
        <w:gridCol w:w="4200"/>
      </w:tblGrid>
      <w:tr>
        <w:tc>
          <w:tcPr>
            <w:tcW w:type="dxa" w:w="312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12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Example</w:t>
            </w:r>
          </w:p>
        </w:tc>
        <w:tc>
          <w:tcPr>
            <w:tcW w:type="dxa" w:w="312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Stored fields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price_change</w:t>
            </w:r>
          </w:p>
        </w:tc>
        <w:tc>
          <w:tcPr>
            <w:tcW w:type="dxa" w:w="3120"/>
            <w:tcBorders>
              <w:top w:val="single" w:color="CCCCCC" w:sz="1"/>
              <w:left w:val="single" w:color="CCCCCC" w:sz="1"/>
              <w:bottom w:val="single" w:color="CCCCCC" w:sz="1"/>
              <w:right w:val="single" w:color="CCCCCC" w:sz="1"/>
            </w:tcBorders>
            <w:shd w:fill="F4FCF9" w:val="clear"/>
            <w:tcMar>
              <w:top w:type="dxa" w:w="80"/>
              <w:left w:type="dxa" w:w="120"/>
              <w:bottom w:type="dxa" w:w="80"/>
              <w:right w:type="dxa" w:w="120"/>
            </w:tcMar>
          </w:tcPr>
          <w:p>
            <w:r>
              <w:rPr>
                <w:rFonts w:ascii="Arial" w:cs="Arial" w:eastAsia="Arial" w:hAnsi="Arial"/>
                <w:b w:val="false"/>
                <w:bCs w:val="false"/>
                <w:color w:val="1a1a1a"/>
                <w:sz w:val="21"/>
                <w:szCs w:val="21"/>
              </w:rPr>
              <w:t xml:space="preserve">Invoice shows $0.0081/SMS vs $0.0075 baseline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old_value, new_value, delta_pct, source_doc</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sla_violation</w:t>
            </w:r>
          </w:p>
        </w:tc>
        <w:tc>
          <w:tcPr>
            <w:tcW w:type="dxa" w:w="3120"/>
            <w:tcBorders>
              <w:top w:val="single" w:color="CCCCCC" w:sz="1"/>
              <w:left w:val="single" w:color="CCCCCC" w:sz="1"/>
              <w:bottom w:val="single" w:color="CCCCCC" w:sz="1"/>
              <w:right w:val="single" w:color="CCCCCC" w:sz="1"/>
            </w:tcBorders>
            <w:shd w:fill="F4FCF9" w:val="clear"/>
            <w:tcMar>
              <w:top w:type="dxa" w:w="80"/>
              <w:left w:type="dxa" w:w="120"/>
              <w:bottom w:type="dxa" w:w="80"/>
              <w:right w:type="dxa" w:w="120"/>
            </w:tcMar>
          </w:tcPr>
          <w:p>
            <w:r>
              <w:rPr>
                <w:rFonts w:ascii="Arial" w:cs="Arial" w:eastAsia="Arial" w:hAnsi="Arial"/>
                <w:b w:val="false"/>
                <w:bCs w:val="false"/>
                <w:color w:val="1a1a1a"/>
                <w:sz w:val="21"/>
                <w:szCs w:val="21"/>
              </w:rPr>
              <w:t xml:space="preserve">Outage lasted 4h, no credit issued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duration, impact, credit_issued, resolution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commitment_made</w:t>
            </w:r>
          </w:p>
        </w:tc>
        <w:tc>
          <w:tcPr>
            <w:tcW w:type="dxa" w:w="3120"/>
            <w:tcBorders>
              <w:top w:val="single" w:color="CCCCCC" w:sz="1"/>
              <w:left w:val="single" w:color="CCCCCC" w:sz="1"/>
              <w:bottom w:val="single" w:color="CCCCCC" w:sz="1"/>
              <w:right w:val="single" w:color="CCCCCC" w:sz="1"/>
            </w:tcBorders>
            <w:shd w:fill="F4FCF9" w:val="clear"/>
            <w:tcMar>
              <w:top w:type="dxa" w:w="80"/>
              <w:left w:type="dxa" w:w="120"/>
              <w:bottom w:type="dxa" w:w="80"/>
              <w:right w:type="dxa" w:w="120"/>
            </w:tcMar>
          </w:tcPr>
          <w:p>
            <w:r>
              <w:rPr>
                <w:rFonts w:ascii="Arial" w:cs="Arial" w:eastAsia="Arial" w:hAnsi="Arial"/>
                <w:b w:val="false"/>
                <w:bCs w:val="false"/>
                <w:color w:val="1a1a1a"/>
                <w:sz w:val="21"/>
                <w:szCs w:val="21"/>
              </w:rPr>
              <w:t xml:space="preserve">Rep promised rate lock through Q2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text, speaker, medium, date, fulfilled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term_change</w:t>
            </w:r>
          </w:p>
        </w:tc>
        <w:tc>
          <w:tcPr>
            <w:tcW w:type="dxa" w:w="3120"/>
            <w:tcBorders>
              <w:top w:val="single" w:color="CCCCCC" w:sz="1"/>
              <w:left w:val="single" w:color="CCCCCC" w:sz="1"/>
              <w:bottom w:val="single" w:color="CCCCCC" w:sz="1"/>
              <w:right w:val="single" w:color="CCCCCC" w:sz="1"/>
            </w:tcBorders>
            <w:shd w:fill="F4FCF9" w:val="clear"/>
            <w:tcMar>
              <w:top w:type="dxa" w:w="80"/>
              <w:left w:type="dxa" w:w="120"/>
              <w:bottom w:type="dxa" w:w="80"/>
              <w:right w:type="dxa" w:w="120"/>
            </w:tcMar>
          </w:tcPr>
          <w:p>
            <w:r>
              <w:rPr>
                <w:rFonts w:ascii="Arial" w:cs="Arial" w:eastAsia="Arial" w:hAnsi="Arial"/>
                <w:b w:val="false"/>
                <w:bCs w:val="false"/>
                <w:color w:val="1a1a1a"/>
                <w:sz w:val="21"/>
                <w:szCs w:val="21"/>
              </w:rPr>
              <w:t xml:space="preserve">SLA clause removed from renewal doc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old_clause, new_clause, significance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incident</w:t>
            </w:r>
          </w:p>
        </w:tc>
        <w:tc>
          <w:tcPr>
            <w:tcW w:type="dxa" w:w="3120"/>
            <w:tcBorders>
              <w:top w:val="single" w:color="CCCCCC" w:sz="1"/>
              <w:left w:val="single" w:color="CCCCCC" w:sz="1"/>
              <w:bottom w:val="single" w:color="CCCCCC" w:sz="1"/>
              <w:right w:val="single" w:color="CCCCCC" w:sz="1"/>
            </w:tcBorders>
            <w:shd w:fill="F4FCF9" w:val="clear"/>
            <w:tcMar>
              <w:top w:type="dxa" w:w="80"/>
              <w:left w:type="dxa" w:w="120"/>
              <w:bottom w:type="dxa" w:w="80"/>
              <w:right w:type="dxa" w:w="120"/>
            </w:tcMar>
          </w:tcPr>
          <w:p>
            <w:r>
              <w:rPr>
                <w:rFonts w:ascii="Arial" w:cs="Arial" w:eastAsia="Arial" w:hAnsi="Arial"/>
                <w:b w:val="false"/>
                <w:bCs w:val="false"/>
                <w:color w:val="1a1a1a"/>
                <w:sz w:val="21"/>
                <w:szCs w:val="21"/>
              </w:rPr>
              <w:t xml:space="preserve">Service degraded for 2h on Mar 12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description, duration, resolution_time</w:t>
            </w:r>
          </w:p>
        </w:tc>
      </w:tr>
    </w:tbl>
    <w:p>
      <w:pPr>
        <w:spacing w:after="0" w:before="120"/>
      </w:pPr>
    </w:p>
    <w:p>
      <w:pPr>
        <w:pStyle w:val="Heading2"/>
        <w:spacing w:after="120" w:before="280"/>
      </w:pPr>
      <w:r>
        <w:rPr>
          <w:rFonts w:ascii="Arial" w:cs="Arial" w:eastAsia="Arial" w:hAnsi="Arial"/>
          <w:b/>
          <w:bCs/>
          <w:color w:val="1D9E75"/>
          <w:sz w:val="26"/>
          <w:szCs w:val="26"/>
        </w:rPr>
        <w:t xml:space="preserve">5.3 Drift Detection</w:t>
      </w:r>
    </w:p>
    <w:p>
      <w:pPr>
        <w:spacing w:after="120" w:before="0"/>
      </w:pPr>
      <w:r>
        <w:rPr>
          <w:rFonts w:ascii="Arial" w:cs="Arial" w:eastAsia="Arial" w:hAnsi="Arial"/>
          <w:b w:val="false"/>
          <w:bCs w:val="false"/>
          <w:sz w:val="22"/>
          <w:szCs w:val="22"/>
        </w:rPr>
        <w:t xml:space="preserve">Every time a new document is ingested, the agent runs drift detection:</w:t>
      </w:r>
    </w:p>
    <w:p>
      <w:pPr>
        <w:pStyle w:val="ListParagraph"/>
        <w:numPr>
          <w:ilvl w:val="0"/>
          <w:numId w:val="3"/>
        </w:numPr>
        <w:spacing w:after="60" w:before="40"/>
      </w:pPr>
      <w:r>
        <w:rPr>
          <w:rFonts w:ascii="Arial" w:cs="Arial" w:eastAsia="Arial" w:hAnsi="Arial"/>
          <w:sz w:val="22"/>
          <w:szCs w:val="22"/>
        </w:rPr>
        <w:t xml:space="preserve">Extract structured facts from the document using the LLM extractor.</w:t>
      </w:r>
    </w:p>
    <w:p>
      <w:pPr>
        <w:pStyle w:val="ListParagraph"/>
        <w:numPr>
          <w:ilvl w:val="0"/>
          <w:numId w:val="3"/>
        </w:numPr>
        <w:spacing w:after="60" w:before="40"/>
      </w:pPr>
      <w:r>
        <w:rPr>
          <w:rFonts w:ascii="Arial" w:cs="Arial" w:eastAsia="Arial" w:hAnsi="Arial"/>
          <w:sz w:val="22"/>
          <w:szCs w:val="22"/>
        </w:rPr>
        <w:t xml:space="preserve">Recall the vendor’s baseline memory from Hindsight.</w:t>
      </w:r>
    </w:p>
    <w:p>
      <w:pPr>
        <w:pStyle w:val="ListParagraph"/>
        <w:numPr>
          <w:ilvl w:val="0"/>
          <w:numId w:val="3"/>
        </w:numPr>
        <w:spacing w:after="60" w:before="40"/>
      </w:pPr>
      <w:r>
        <w:rPr>
          <w:rFonts w:ascii="Arial" w:cs="Arial" w:eastAsia="Arial" w:hAnsi="Arial"/>
          <w:sz w:val="22"/>
          <w:szCs w:val="22"/>
        </w:rPr>
        <w:t xml:space="preserve">Compare each extracted fact against the baseline. Classify the delta.</w:t>
      </w:r>
    </w:p>
    <w:p>
      <w:pPr>
        <w:pStyle w:val="ListParagraph"/>
        <w:numPr>
          <w:ilvl w:val="0"/>
          <w:numId w:val="3"/>
        </w:numPr>
        <w:spacing w:after="60" w:before="40"/>
      </w:pPr>
      <w:r>
        <w:rPr>
          <w:rFonts w:ascii="Arial" w:cs="Arial" w:eastAsia="Arial" w:hAnsi="Arial"/>
          <w:sz w:val="22"/>
          <w:szCs w:val="22"/>
        </w:rPr>
        <w:t xml:space="preserve">Assign a severity level: 1 (minor variation), 2 (notable deviation), 3 (material breach).</w:t>
      </w:r>
    </w:p>
    <w:p>
      <w:pPr>
        <w:pStyle w:val="ListParagraph"/>
        <w:numPr>
          <w:ilvl w:val="0"/>
          <w:numId w:val="3"/>
        </w:numPr>
        <w:spacing w:after="60" w:before="40"/>
      </w:pPr>
      <w:r>
        <w:rPr>
          <w:rFonts w:ascii="Arial" w:cs="Arial" w:eastAsia="Arial" w:hAnsi="Arial"/>
          <w:sz w:val="22"/>
          <w:szCs w:val="22"/>
        </w:rPr>
        <w:t xml:space="preserve">Severity 3 triggers an immediate alert. Severity 2 is appended to the event log and surfaces in the weekly digest. Severity 1 is logged silently.</w:t>
      </w:r>
    </w:p>
    <w:p>
      <w:pPr>
        <w:spacing w:after="0" w:before="80"/>
      </w:pPr>
    </w:p>
    <w:p>
      <w:pPr>
        <w:spacing w:after="120" w:before="0"/>
      </w:pPr>
      <w:r>
        <w:rPr>
          <w:rFonts w:ascii="Arial" w:cs="Arial" w:eastAsia="Arial" w:hAnsi="Arial"/>
          <w:b w:val="false"/>
          <w:bCs w:val="false"/>
          <w:sz w:val="22"/>
          <w:szCs w:val="22"/>
        </w:rPr>
        <w:t xml:space="preserve">The drift classification prompt asks the LLM: given this baseline fact and this new observation, is this a material change? If so, explain the delta in one sentence and assign a severity. This produces structured output that feeds both the alerting system and the event log.</w:t>
      </w:r>
    </w:p>
    <w:p>
      <w:pPr>
        <w:spacing w:after="0" w:before="120"/>
      </w:pPr>
    </w:p>
    <w:p>
      <w:pPr>
        <w:pStyle w:val="Heading2"/>
        <w:spacing w:after="120" w:before="280"/>
      </w:pPr>
      <w:r>
        <w:rPr>
          <w:rFonts w:ascii="Arial" w:cs="Arial" w:eastAsia="Arial" w:hAnsi="Arial"/>
          <w:b/>
          <w:bCs/>
          <w:color w:val="1D9E75"/>
          <w:sz w:val="26"/>
          <w:szCs w:val="26"/>
        </w:rPr>
        <w:t xml:space="preserve">5.4 Negotiation Brief</w:t>
      </w:r>
    </w:p>
    <w:p>
      <w:pPr>
        <w:spacing w:after="120" w:before="0"/>
      </w:pPr>
      <w:r>
        <w:rPr>
          <w:rFonts w:ascii="Arial" w:cs="Arial" w:eastAsia="Arial" w:hAnsi="Arial"/>
          <w:b w:val="false"/>
          <w:bCs w:val="false"/>
          <w:sz w:val="22"/>
          <w:szCs w:val="22"/>
        </w:rPr>
        <w:t xml:space="preserve">Before any vendor meeting, the user can ask: “Brief me on [vendor] before my call.” The agent recalls all baseline and event log memories for that vendor and generates a structured brief containing:</w:t>
      </w:r>
    </w:p>
    <w:p>
      <w:pPr>
        <w:pStyle w:val="ListParagraph"/>
        <w:numPr>
          <w:ilvl w:val="0"/>
          <w:numId w:val="2"/>
        </w:numPr>
        <w:spacing w:after="60" w:before="40"/>
      </w:pPr>
      <w:r>
        <w:rPr>
          <w:rFonts w:ascii="Arial" w:cs="Arial" w:eastAsia="Arial" w:hAnsi="Arial"/>
          <w:sz w:val="22"/>
          <w:szCs w:val="22"/>
        </w:rPr>
        <w:t xml:space="preserve">Pricing history and cumulative drift since signing</w:t>
      </w:r>
    </w:p>
    <w:p>
      <w:pPr>
        <w:pStyle w:val="ListParagraph"/>
        <w:numPr>
          <w:ilvl w:val="0"/>
          <w:numId w:val="2"/>
        </w:numPr>
        <w:spacing w:after="60" w:before="40"/>
      </w:pPr>
      <w:r>
        <w:rPr>
          <w:rFonts w:ascii="Arial" w:cs="Arial" w:eastAsia="Arial" w:hAnsi="Arial"/>
          <w:sz w:val="22"/>
          <w:szCs w:val="22"/>
        </w:rPr>
        <w:t xml:space="preserve">SLA violations and whether credits were issued</w:t>
      </w:r>
    </w:p>
    <w:p>
      <w:pPr>
        <w:pStyle w:val="ListParagraph"/>
        <w:numPr>
          <w:ilvl w:val="0"/>
          <w:numId w:val="2"/>
        </w:numPr>
        <w:spacing w:after="60" w:before="40"/>
      </w:pPr>
      <w:r>
        <w:rPr>
          <w:rFonts w:ascii="Arial" w:cs="Arial" w:eastAsia="Arial" w:hAnsi="Arial"/>
          <w:sz w:val="22"/>
          <w:szCs w:val="22"/>
        </w:rPr>
        <w:t xml:space="preserve">Commitments made by the vendor and whether they were honored</w:t>
      </w:r>
    </w:p>
    <w:p>
      <w:pPr>
        <w:pStyle w:val="ListParagraph"/>
        <w:numPr>
          <w:ilvl w:val="0"/>
          <w:numId w:val="2"/>
        </w:numPr>
        <w:spacing w:after="60" w:before="40"/>
      </w:pPr>
      <w:r>
        <w:rPr>
          <w:rFonts w:ascii="Arial" w:cs="Arial" w:eastAsia="Arial" w:hAnsi="Arial"/>
          <w:sz w:val="22"/>
          <w:szCs w:val="22"/>
        </w:rPr>
        <w:t xml:space="preserve">Unresolved incidents the vendor caused</w:t>
      </w:r>
    </w:p>
    <w:p>
      <w:pPr>
        <w:pStyle w:val="ListParagraph"/>
        <w:numPr>
          <w:ilvl w:val="0"/>
          <w:numId w:val="2"/>
        </w:numPr>
        <w:spacing w:after="60" w:before="40"/>
      </w:pPr>
      <w:r>
        <w:rPr>
          <w:rFonts w:ascii="Arial" w:cs="Arial" w:eastAsia="Arial" w:hAnsi="Arial"/>
          <w:sz w:val="22"/>
          <w:szCs w:val="22"/>
        </w:rPr>
        <w:t xml:space="preserve">Suggested opening position and negotiation angles based on history</w:t>
      </w:r>
    </w:p>
    <w:p>
      <w:pPr>
        <w:spacing w:after="0" w:before="120"/>
      </w:pPr>
    </w:p>
    <w:p>
      <w:pPr>
        <w:pStyle w:val="Heading2"/>
        <w:spacing w:after="120" w:before="280"/>
      </w:pPr>
      <w:r>
        <w:rPr>
          <w:rFonts w:ascii="Arial" w:cs="Arial" w:eastAsia="Arial" w:hAnsi="Arial"/>
          <w:b/>
          <w:bCs/>
          <w:color w:val="1D9E75"/>
          <w:sz w:val="26"/>
          <w:szCs w:val="26"/>
        </w:rPr>
        <w:t xml:space="preserve">5.5 Conversational Query</w:t>
      </w:r>
    </w:p>
    <w:p>
      <w:pPr>
        <w:spacing w:after="120" w:before="0"/>
      </w:pPr>
      <w:r>
        <w:rPr>
          <w:rFonts w:ascii="Arial" w:cs="Arial" w:eastAsia="Arial" w:hAnsi="Arial"/>
          <w:b w:val="false"/>
          <w:bCs w:val="false"/>
          <w:sz w:val="22"/>
          <w:szCs w:val="22"/>
        </w:rPr>
        <w:t xml:space="preserve">Users can ask natural language questions against the full memory:</w:t>
      </w:r>
    </w:p>
    <w:p>
      <w:pPr>
        <w:pStyle w:val="ListParagraph"/>
        <w:numPr>
          <w:ilvl w:val="0"/>
          <w:numId w:val="2"/>
        </w:numPr>
        <w:spacing w:after="60" w:before="40"/>
      </w:pPr>
      <w:r>
        <w:rPr>
          <w:rFonts w:ascii="Arial" w:cs="Arial" w:eastAsia="Arial" w:hAnsi="Arial"/>
          <w:sz w:val="22"/>
          <w:szCs w:val="22"/>
        </w:rPr>
        <w:t xml:space="preserve">“What has Twilio promised us that they have not delivered?”</w:t>
      </w:r>
    </w:p>
    <w:p>
      <w:pPr>
        <w:pStyle w:val="ListParagraph"/>
        <w:numPr>
          <w:ilvl w:val="0"/>
          <w:numId w:val="2"/>
        </w:numPr>
        <w:spacing w:after="60" w:before="40"/>
      </w:pPr>
      <w:r>
        <w:rPr>
          <w:rFonts w:ascii="Arial" w:cs="Arial" w:eastAsia="Arial" w:hAnsi="Arial"/>
          <w:sz w:val="22"/>
          <w:szCs w:val="22"/>
        </w:rPr>
        <w:t xml:space="preserve">“Which of our vendors have raised prices without notice in the last 12 months?”</w:t>
      </w:r>
    </w:p>
    <w:p>
      <w:pPr>
        <w:pStyle w:val="ListParagraph"/>
        <w:numPr>
          <w:ilvl w:val="0"/>
          <w:numId w:val="2"/>
        </w:numPr>
        <w:spacing w:after="60" w:before="40"/>
      </w:pPr>
      <w:r>
        <w:rPr>
          <w:rFonts w:ascii="Arial" w:cs="Arial" w:eastAsia="Arial" w:hAnsi="Arial"/>
          <w:sz w:val="22"/>
          <w:szCs w:val="22"/>
        </w:rPr>
        <w:t xml:space="preserve">“When did AWS remove the support response time SLA from our contract?”</w:t>
      </w:r>
    </w:p>
    <w:p>
      <w:pPr>
        <w:pStyle w:val="ListParagraph"/>
        <w:numPr>
          <w:ilvl w:val="0"/>
          <w:numId w:val="2"/>
        </w:numPr>
        <w:spacing w:after="60" w:before="40"/>
      </w:pPr>
      <w:r>
        <w:rPr>
          <w:rFonts w:ascii="Arial" w:cs="Arial" w:eastAsia="Arial" w:hAnsi="Arial"/>
          <w:sz w:val="22"/>
          <w:szCs w:val="22"/>
        </w:rPr>
        <w:t xml:space="preserve">“What is our total vendor cost drift this year compared to signed contracts?”</w:t>
      </w:r>
    </w:p>
    <w:p>
      <w:pPr>
        <w:spacing w:after="0" w:before="200"/>
      </w:pPr>
    </w:p>
    <w:p>
      <w:pPr>
        <w:pStyle w:val="Heading1"/>
        <w:spacing w:after="160" w:before="360"/>
      </w:pPr>
      <w:r>
        <w:rPr>
          <w:rFonts w:ascii="Arial" w:cs="Arial" w:eastAsia="Arial" w:hAnsi="Arial"/>
          <w:b/>
          <w:bCs/>
          <w:color w:val="0F6E56"/>
          <w:sz w:val="32"/>
          <w:szCs w:val="32"/>
        </w:rPr>
        <w:t xml:space="preserve">6. Technical Architecture</w:t>
      </w:r>
    </w:p>
    <w:p>
      <w:pPr>
        <w:pStyle w:val="Heading2"/>
        <w:spacing w:after="120" w:before="280"/>
      </w:pPr>
      <w:r>
        <w:rPr>
          <w:rFonts w:ascii="Arial" w:cs="Arial" w:eastAsia="Arial" w:hAnsi="Arial"/>
          <w:b/>
          <w:bCs/>
          <w:color w:val="1D9E75"/>
          <w:sz w:val="26"/>
          <w:szCs w:val="26"/>
        </w:rPr>
        <w:t xml:space="preserve">6.1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85041"/>
                <w:sz w:val="21"/>
                <w:szCs w:val="21"/>
              </w:rPr>
              <w:t xml:space="preserve">Agent memory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Hindsight by Vectorize (hindsight.vectorize.io)</w:t>
            </w:r>
          </w:p>
        </w:tc>
      </w:tr>
      <w:tr>
        <w:tc>
          <w:tcPr>
            <w:tcW w:type="dxa" w:w="312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85041"/>
                <w:sz w:val="21"/>
                <w:szCs w:val="21"/>
              </w:rPr>
              <w:t xml:space="preserve">LLM</w:t>
            </w:r>
          </w:p>
        </w:tc>
        <w:tc>
          <w:tcPr>
            <w:tcW w:type="dxa" w:w="6240"/>
            <w:tcBorders>
              <w:top w:val="single" w:color="CCCCCC" w:sz="1"/>
              <w:left w:val="single" w:color="CCCCCC" w:sz="1"/>
              <w:bottom w:val="single" w:color="CCCCCC" w:sz="1"/>
              <w:right w:val="single" w:color="CCCCCC" w:sz="1"/>
            </w:tcBorders>
            <w:shd w:fill="F9FFFE" w:val="clear"/>
            <w:tcMar>
              <w:top w:type="dxa" w:w="80"/>
              <w:left w:type="dxa" w:w="120"/>
              <w:bottom w:type="dxa" w:w="80"/>
              <w:right w:type="dxa" w:w="120"/>
            </w:tcMar>
          </w:tcPr>
          <w:p>
            <w:r>
              <w:rPr>
                <w:rFonts w:ascii="Arial" w:cs="Arial" w:eastAsia="Arial" w:hAnsi="Arial"/>
                <w:sz w:val="21"/>
                <w:szCs w:val="21"/>
              </w:rPr>
              <w:t xml:space="preserve">Groq with qwen/qwen3-32b or openai/gpt-oss-120b (function calling enabled)</w:t>
            </w:r>
          </w:p>
        </w:tc>
      </w:tr>
      <w:tr>
        <w:tc>
          <w:tcPr>
            <w:tcW w:type="dxa" w:w="312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85041"/>
                <w:sz w:val="21"/>
                <w:szCs w:val="21"/>
              </w:rPr>
              <w:t xml:space="preserve">Document parsing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pdfplumber for PDFs, standard email parsing for .eml files</w:t>
            </w:r>
          </w:p>
        </w:tc>
      </w:tr>
      <w:tr>
        <w:tc>
          <w:tcPr>
            <w:tcW w:type="dxa" w:w="312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85041"/>
                <w:sz w:val="21"/>
                <w:szCs w:val="21"/>
              </w:rPr>
              <w:t xml:space="preserve">Backend</w:t>
            </w:r>
          </w:p>
        </w:tc>
        <w:tc>
          <w:tcPr>
            <w:tcW w:type="dxa" w:w="6240"/>
            <w:tcBorders>
              <w:top w:val="single" w:color="CCCCCC" w:sz="1"/>
              <w:left w:val="single" w:color="CCCCCC" w:sz="1"/>
              <w:bottom w:val="single" w:color="CCCCCC" w:sz="1"/>
              <w:right w:val="single" w:color="CCCCCC" w:sz="1"/>
            </w:tcBorders>
            <w:shd w:fill="F9FFFE" w:val="clear"/>
            <w:tcMar>
              <w:top w:type="dxa" w:w="80"/>
              <w:left w:type="dxa" w:w="120"/>
              <w:bottom w:type="dxa" w:w="80"/>
              <w:right w:type="dxa" w:w="120"/>
            </w:tcMar>
          </w:tcPr>
          <w:p>
            <w:r>
              <w:rPr>
                <w:rFonts w:ascii="Arial" w:cs="Arial" w:eastAsia="Arial" w:hAnsi="Arial"/>
                <w:sz w:val="21"/>
                <w:szCs w:val="21"/>
              </w:rPr>
              <w:t xml:space="preserve">Python FastAPI or simple CLI</w:t>
            </w:r>
          </w:p>
        </w:tc>
      </w:tr>
      <w:tr>
        <w:tc>
          <w:tcPr>
            <w:tcW w:type="dxa" w:w="312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85041"/>
                <w:sz w:val="21"/>
                <w:szCs w:val="21"/>
              </w:rPr>
              <w:t xml:space="preserve">Frontend (MVP)</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Minimal web UI or CLI interface</w:t>
            </w:r>
          </w:p>
        </w:tc>
      </w:tr>
      <w:tr>
        <w:tc>
          <w:tcPr>
            <w:tcW w:type="dxa" w:w="312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85041"/>
                <w:sz w:val="21"/>
                <w:szCs w:val="21"/>
              </w:rPr>
              <w:t xml:space="preserve">Synthetic data</w:t>
            </w:r>
          </w:p>
        </w:tc>
        <w:tc>
          <w:tcPr>
            <w:tcW w:type="dxa" w:w="6240"/>
            <w:tcBorders>
              <w:top w:val="single" w:color="CCCCCC" w:sz="1"/>
              <w:left w:val="single" w:color="CCCCCC" w:sz="1"/>
              <w:bottom w:val="single" w:color="CCCCCC" w:sz="1"/>
              <w:right w:val="single" w:color="CCCCCC" w:sz="1"/>
            </w:tcBorders>
            <w:shd w:fill="F9FFFE" w:val="clear"/>
            <w:tcMar>
              <w:top w:type="dxa" w:w="80"/>
              <w:left w:type="dxa" w:w="120"/>
              <w:bottom w:type="dxa" w:w="80"/>
              <w:right w:type="dxa" w:w="120"/>
            </w:tcMar>
          </w:tcPr>
          <w:p>
            <w:r>
              <w:rPr>
                <w:rFonts w:ascii="Arial" w:cs="Arial" w:eastAsia="Arial" w:hAnsi="Arial"/>
                <w:sz w:val="21"/>
                <w:szCs w:val="21"/>
              </w:rPr>
              <w:t xml:space="preserve">2 years of realistic vendor history for demo (Twilio scenario)</w:t>
            </w:r>
          </w:p>
        </w:tc>
      </w:tr>
    </w:tbl>
    <w:p>
      <w:pPr>
        <w:spacing w:after="0" w:before="120"/>
      </w:pPr>
    </w:p>
    <w:p>
      <w:pPr>
        <w:pStyle w:val="Heading2"/>
        <w:spacing w:after="120" w:before="280"/>
      </w:pPr>
      <w:r>
        <w:rPr>
          <w:rFonts w:ascii="Arial" w:cs="Arial" w:eastAsia="Arial" w:hAnsi="Arial"/>
          <w:b/>
          <w:bCs/>
          <w:color w:val="1D9E75"/>
          <w:sz w:val="26"/>
          <w:szCs w:val="26"/>
        </w:rPr>
        <w:t xml:space="preserve">6.2 Key Prompts</w:t>
      </w:r>
    </w:p>
    <w:p>
      <w:pPr>
        <w:pStyle w:val="Heading3"/>
        <w:spacing w:after="80" w:before="200"/>
      </w:pPr>
      <w:r>
        <w:rPr>
          <w:rFonts w:ascii="Arial" w:cs="Arial" w:eastAsia="Arial" w:hAnsi="Arial"/>
          <w:b/>
          <w:bCs/>
          <w:color w:val="085041"/>
          <w:sz w:val="22"/>
          <w:szCs w:val="22"/>
        </w:rPr>
        <w:t xml:space="preserve">Extractor Prompt</w:t>
      </w:r>
    </w:p>
    <w:p>
      <w:pPr>
        <w:spacing w:after="120" w:before="0"/>
      </w:pPr>
      <w:r>
        <w:rPr>
          <w:rFonts w:ascii="Arial" w:cs="Arial" w:eastAsia="Arial" w:hAnsi="Arial"/>
          <w:b w:val="false"/>
          <w:bCs w:val="false"/>
          <w:sz w:val="22"/>
          <w:szCs w:val="22"/>
        </w:rPr>
        <w:t xml:space="preserve">Used on every normalized document chunk. Returns JSON with fields: fact_type (price | sla | commitment | incident | term_change), value, date, confidence (0–1), and a one-sentence summary. Low-confidence extractions (below 0.7) are discarded.</w:t>
      </w:r>
    </w:p>
    <w:p>
      <w:pPr>
        <w:spacing w:after="0" w:before="80"/>
      </w:pPr>
    </w:p>
    <w:p>
      <w:pPr>
        <w:pStyle w:val="Heading3"/>
        <w:spacing w:after="80" w:before="200"/>
      </w:pPr>
      <w:r>
        <w:rPr>
          <w:rFonts w:ascii="Arial" w:cs="Arial" w:eastAsia="Arial" w:hAnsi="Arial"/>
          <w:b/>
          <w:bCs/>
          <w:color w:val="085041"/>
          <w:sz w:val="22"/>
          <w:szCs w:val="22"/>
        </w:rPr>
        <w:t xml:space="preserve">Drift Classification Prompt</w:t>
      </w:r>
    </w:p>
    <w:p>
      <w:pPr>
        <w:spacing w:after="120" w:before="0"/>
      </w:pPr>
      <w:r>
        <w:rPr>
          <w:rFonts w:ascii="Arial" w:cs="Arial" w:eastAsia="Arial" w:hAnsi="Arial"/>
          <w:b w:val="false"/>
          <w:bCs w:val="false"/>
          <w:sz w:val="22"/>
          <w:szCs w:val="22"/>
        </w:rPr>
        <w:t xml:space="preserve">Given a baseline fact and a new extracted fact, returns: is_drift (bool), severity (1–3), delta_summary (one sentence), and recommended_action. This is the core of the detection pipeline.</w:t>
      </w:r>
    </w:p>
    <w:p>
      <w:pPr>
        <w:spacing w:after="0" w:before="80"/>
      </w:pPr>
    </w:p>
    <w:p>
      <w:pPr>
        <w:pStyle w:val="Heading3"/>
        <w:spacing w:after="80" w:before="200"/>
      </w:pPr>
      <w:r>
        <w:rPr>
          <w:rFonts w:ascii="Arial" w:cs="Arial" w:eastAsia="Arial" w:hAnsi="Arial"/>
          <w:b/>
          <w:bCs/>
          <w:color w:val="085041"/>
          <w:sz w:val="22"/>
          <w:szCs w:val="22"/>
        </w:rPr>
        <w:t xml:space="preserve">Brief Generation Prompt</w:t>
      </w:r>
    </w:p>
    <w:p>
      <w:pPr>
        <w:spacing w:after="120" w:before="0"/>
      </w:pPr>
      <w:r>
        <w:rPr>
          <w:rFonts w:ascii="Arial" w:cs="Arial" w:eastAsia="Arial" w:hAnsi="Arial"/>
          <w:b w:val="false"/>
          <w:bCs w:val="false"/>
          <w:sz w:val="22"/>
          <w:szCs w:val="22"/>
        </w:rPr>
        <w:t xml:space="preserve">Given all recalled memories for a vendor, synthesizes a structured negotiation brief. Sections: pricing history, SLA compliance, commitments, leverage points, suggested opening position.</w:t>
      </w:r>
    </w:p>
    <w:p>
      <w:pPr>
        <w:spacing w:after="0" w:before="120"/>
      </w:pPr>
    </w:p>
    <w:p>
      <w:pPr>
        <w:pStyle w:val="Heading2"/>
        <w:spacing w:after="120" w:before="280"/>
      </w:pPr>
      <w:r>
        <w:rPr>
          <w:rFonts w:ascii="Arial" w:cs="Arial" w:eastAsia="Arial" w:hAnsi="Arial"/>
          <w:b/>
          <w:bCs/>
          <w:color w:val="1D9E75"/>
          <w:sz w:val="26"/>
          <w:szCs w:val="26"/>
        </w:rPr>
        <w:t xml:space="preserve">6.3 Hindsight Memory Schema</w:t>
      </w:r>
    </w:p>
    <w:p>
      <w:pPr>
        <w:spacing w:after="120" w:before="0"/>
      </w:pPr>
      <w:r>
        <w:rPr>
          <w:rFonts w:ascii="Arial" w:cs="Arial" w:eastAsia="Arial" w:hAnsi="Arial"/>
          <w:b w:val="false"/>
          <w:bCs w:val="false"/>
          <w:sz w:val="22"/>
          <w:szCs w:val="22"/>
        </w:rPr>
        <w:t xml:space="preserve">Memories are namespaced per vendor using a vendor_id prefix. Two namespaces per vendor:</w:t>
      </w:r>
    </w:p>
    <w:p>
      <w:pPr>
        <w:pStyle w:val="ListParagraph"/>
        <w:numPr>
          <w:ilvl w:val="0"/>
          <w:numId w:val="2"/>
        </w:numPr>
        <w:spacing w:after="60" w:before="40"/>
      </w:pPr>
      <w:r>
        <w:rPr>
          <w:rFonts w:ascii="Arial" w:cs="Arial" w:eastAsia="Arial" w:hAnsi="Arial"/>
          <w:sz w:val="22"/>
          <w:szCs w:val="22"/>
        </w:rPr>
        <w:t xml:space="preserve">{vendor_id}:baseline — one memory, written at contract ingestion, never mutated</w:t>
      </w:r>
    </w:p>
    <w:p>
      <w:pPr>
        <w:pStyle w:val="ListParagraph"/>
        <w:numPr>
          <w:ilvl w:val="0"/>
          <w:numId w:val="2"/>
        </w:numPr>
        <w:spacing w:after="60" w:before="40"/>
      </w:pPr>
      <w:r>
        <w:rPr>
          <w:rFonts w:ascii="Arial" w:cs="Arial" w:eastAsia="Arial" w:hAnsi="Arial"/>
          <w:sz w:val="22"/>
          <w:szCs w:val="22"/>
        </w:rPr>
        <w:t xml:space="preserve">{vendor_id}:events — append-only list of timestamped event memories</w:t>
      </w:r>
    </w:p>
    <w:p>
      <w:pPr>
        <w:spacing w:after="0" w:before="80"/>
      </w:pPr>
    </w:p>
    <w:p>
      <w:pPr>
        <w:spacing w:after="120" w:before="0"/>
      </w:pPr>
      <w:r>
        <w:rPr>
          <w:rFonts w:ascii="Arial" w:cs="Arial" w:eastAsia="Arial" w:hAnsi="Arial"/>
          <w:b w:val="false"/>
          <w:bCs w:val="false"/>
          <w:sz w:val="22"/>
          <w:szCs w:val="22"/>
        </w:rPr>
        <w:t xml:space="preserve">This separation is architecturally important. Drift detection compares incoming facts against an immutable baseline, rather than trying to diff two mutable records. The baseline is the source of truth. The event log is the history.</w:t>
      </w:r>
    </w:p>
    <w:p>
      <w:pPr>
        <w:spacing w:after="0" w:before="200"/>
      </w:pPr>
    </w:p>
    <w:p>
      <w:pPr>
        <w:pStyle w:val="Heading1"/>
        <w:spacing w:after="160" w:before="360"/>
      </w:pPr>
      <w:r>
        <w:rPr>
          <w:rFonts w:ascii="Arial" w:cs="Arial" w:eastAsia="Arial" w:hAnsi="Arial"/>
          <w:b/>
          <w:bCs/>
          <w:color w:val="0F6E56"/>
          <w:sz w:val="32"/>
          <w:szCs w:val="32"/>
        </w:rPr>
        <w:t xml:space="preserve">7. MVP Scope (Hackathon Build)</w:t>
      </w:r>
    </w:p>
    <w:p>
      <w:pPr>
        <w:pStyle w:val="Heading2"/>
        <w:spacing w:after="120" w:before="280"/>
      </w:pPr>
      <w:r>
        <w:rPr>
          <w:rFonts w:ascii="Arial" w:cs="Arial" w:eastAsia="Arial" w:hAnsi="Arial"/>
          <w:b/>
          <w:bCs/>
          <w:color w:val="1D9E75"/>
          <w:sz w:val="26"/>
          <w:szCs w:val="26"/>
        </w:rPr>
        <w:t xml:space="preserve">In Scope</w:t>
      </w:r>
    </w:p>
    <w:p>
      <w:pPr>
        <w:pStyle w:val="ListParagraph"/>
        <w:numPr>
          <w:ilvl w:val="0"/>
          <w:numId w:val="2"/>
        </w:numPr>
        <w:spacing w:after="60" w:before="40"/>
      </w:pPr>
      <w:r>
        <w:rPr>
          <w:rFonts w:ascii="Arial" w:cs="Arial" w:eastAsia="Arial" w:hAnsi="Arial"/>
          <w:sz w:val="22"/>
          <w:szCs w:val="22"/>
        </w:rPr>
        <w:t xml:space="preserve">One vendor fully modeled end-to-end (Twilio scenario)</w:t>
      </w:r>
    </w:p>
    <w:p>
      <w:pPr>
        <w:pStyle w:val="ListParagraph"/>
        <w:numPr>
          <w:ilvl w:val="0"/>
          <w:numId w:val="2"/>
        </w:numPr>
        <w:spacing w:after="60" w:before="40"/>
      </w:pPr>
      <w:r>
        <w:rPr>
          <w:rFonts w:ascii="Arial" w:cs="Arial" w:eastAsia="Arial" w:hAnsi="Arial"/>
          <w:sz w:val="22"/>
          <w:szCs w:val="22"/>
        </w:rPr>
        <w:t xml:space="preserve">Document ingestion: PDF contracts, PDF invoices, .txt transcripts</w:t>
      </w:r>
    </w:p>
    <w:p>
      <w:pPr>
        <w:pStyle w:val="ListParagraph"/>
        <w:numPr>
          <w:ilvl w:val="0"/>
          <w:numId w:val="2"/>
        </w:numPr>
        <w:spacing w:after="60" w:before="40"/>
      </w:pPr>
      <w:r>
        <w:rPr>
          <w:rFonts w:ascii="Arial" w:cs="Arial" w:eastAsia="Arial" w:hAnsi="Arial"/>
          <w:sz w:val="22"/>
          <w:szCs w:val="22"/>
        </w:rPr>
        <w:t xml:space="preserve">LLM extraction pipeline with structured JSON output</w:t>
      </w:r>
    </w:p>
    <w:p>
      <w:pPr>
        <w:pStyle w:val="ListParagraph"/>
        <w:numPr>
          <w:ilvl w:val="0"/>
          <w:numId w:val="2"/>
        </w:numPr>
        <w:spacing w:after="60" w:before="40"/>
      </w:pPr>
      <w:r>
        <w:rPr>
          <w:rFonts w:ascii="Arial" w:cs="Arial" w:eastAsia="Arial" w:hAnsi="Arial"/>
          <w:sz w:val="22"/>
          <w:szCs w:val="22"/>
        </w:rPr>
        <w:t xml:space="preserve">Hindsight baseline + event log memory for the demo vendor</w:t>
      </w:r>
    </w:p>
    <w:p>
      <w:pPr>
        <w:pStyle w:val="ListParagraph"/>
        <w:numPr>
          <w:ilvl w:val="0"/>
          <w:numId w:val="2"/>
        </w:numPr>
        <w:spacing w:after="60" w:before="40"/>
      </w:pPr>
      <w:r>
        <w:rPr>
          <w:rFonts w:ascii="Arial" w:cs="Arial" w:eastAsia="Arial" w:hAnsi="Arial"/>
          <w:sz w:val="22"/>
          <w:szCs w:val="22"/>
        </w:rPr>
        <w:t xml:space="preserve">Drift detection with severity classification and alert output</w:t>
      </w:r>
    </w:p>
    <w:p>
      <w:pPr>
        <w:pStyle w:val="ListParagraph"/>
        <w:numPr>
          <w:ilvl w:val="0"/>
          <w:numId w:val="2"/>
        </w:numPr>
        <w:spacing w:after="60" w:before="40"/>
      </w:pPr>
      <w:r>
        <w:rPr>
          <w:rFonts w:ascii="Arial" w:cs="Arial" w:eastAsia="Arial" w:hAnsi="Arial"/>
          <w:sz w:val="22"/>
          <w:szCs w:val="22"/>
        </w:rPr>
        <w:t xml:space="preserve">Negotiation brief generation via conversational query</w:t>
      </w:r>
    </w:p>
    <w:p>
      <w:pPr>
        <w:pStyle w:val="ListParagraph"/>
        <w:numPr>
          <w:ilvl w:val="0"/>
          <w:numId w:val="2"/>
        </w:numPr>
        <w:spacing w:after="60" w:before="40"/>
      </w:pPr>
      <w:r>
        <w:rPr>
          <w:rFonts w:ascii="Arial" w:cs="Arial" w:eastAsia="Arial" w:hAnsi="Arial"/>
          <w:sz w:val="22"/>
          <w:szCs w:val="22"/>
        </w:rPr>
        <w:t xml:space="preserve">Synthetic 2-year history for compelling demo</w:t>
      </w:r>
    </w:p>
    <w:p>
      <w:pPr>
        <w:pStyle w:val="ListParagraph"/>
        <w:numPr>
          <w:ilvl w:val="0"/>
          <w:numId w:val="2"/>
        </w:numPr>
        <w:spacing w:after="60" w:before="40"/>
      </w:pPr>
      <w:r>
        <w:rPr>
          <w:rFonts w:ascii="Arial" w:cs="Arial" w:eastAsia="Arial" w:hAnsi="Arial"/>
          <w:sz w:val="22"/>
          <w:szCs w:val="22"/>
        </w:rPr>
        <w:t xml:space="preserve">Simple CLI or minimal web interface</w:t>
      </w:r>
    </w:p>
    <w:p>
      <w:pPr>
        <w:spacing w:after="0" w:before="80"/>
      </w:pPr>
    </w:p>
    <w:p>
      <w:pPr>
        <w:pStyle w:val="Heading2"/>
        <w:spacing w:after="120" w:before="280"/>
      </w:pPr>
      <w:r>
        <w:rPr>
          <w:rFonts w:ascii="Arial" w:cs="Arial" w:eastAsia="Arial" w:hAnsi="Arial"/>
          <w:b/>
          <w:bCs/>
          <w:color w:val="1D9E75"/>
          <w:sz w:val="26"/>
          <w:szCs w:val="26"/>
        </w:rPr>
        <w:t xml:space="preserve">Out of Scope for MVP</w:t>
      </w:r>
    </w:p>
    <w:p>
      <w:pPr>
        <w:pStyle w:val="ListParagraph"/>
        <w:numPr>
          <w:ilvl w:val="0"/>
          <w:numId w:val="2"/>
        </w:numPr>
        <w:spacing w:after="60" w:before="40"/>
      </w:pPr>
      <w:r>
        <w:rPr>
          <w:rFonts w:ascii="Arial" w:cs="Arial" w:eastAsia="Arial" w:hAnsi="Arial"/>
          <w:sz w:val="22"/>
          <w:szCs w:val="22"/>
        </w:rPr>
        <w:t xml:space="preserve">Live Gmail or email API integration</w:t>
      </w:r>
    </w:p>
    <w:p>
      <w:pPr>
        <w:pStyle w:val="ListParagraph"/>
        <w:numPr>
          <w:ilvl w:val="0"/>
          <w:numId w:val="2"/>
        </w:numPr>
        <w:spacing w:after="60" w:before="40"/>
      </w:pPr>
      <w:r>
        <w:rPr>
          <w:rFonts w:ascii="Arial" w:cs="Arial" w:eastAsia="Arial" w:hAnsi="Arial"/>
          <w:sz w:val="22"/>
          <w:szCs w:val="22"/>
        </w:rPr>
        <w:t xml:space="preserve">Multi-vendor management UI</w:t>
      </w:r>
    </w:p>
    <w:p>
      <w:pPr>
        <w:pStyle w:val="ListParagraph"/>
        <w:numPr>
          <w:ilvl w:val="0"/>
          <w:numId w:val="2"/>
        </w:numPr>
        <w:spacing w:after="60" w:before="40"/>
      </w:pPr>
      <w:r>
        <w:rPr>
          <w:rFonts w:ascii="Arial" w:cs="Arial" w:eastAsia="Arial" w:hAnsi="Arial"/>
          <w:sz w:val="22"/>
          <w:szCs w:val="22"/>
        </w:rPr>
        <w:t xml:space="preserve">User authentication and multi-tenant support</w:t>
      </w:r>
    </w:p>
    <w:p>
      <w:pPr>
        <w:pStyle w:val="ListParagraph"/>
        <w:numPr>
          <w:ilvl w:val="0"/>
          <w:numId w:val="2"/>
        </w:numPr>
        <w:spacing w:after="60" w:before="40"/>
      </w:pPr>
      <w:r>
        <w:rPr>
          <w:rFonts w:ascii="Arial" w:cs="Arial" w:eastAsia="Arial" w:hAnsi="Arial"/>
          <w:sz w:val="22"/>
          <w:szCs w:val="22"/>
        </w:rPr>
        <w:t xml:space="preserve">Automated renewal date tracking and reminders</w:t>
      </w:r>
    </w:p>
    <w:p>
      <w:pPr>
        <w:pStyle w:val="ListParagraph"/>
        <w:numPr>
          <w:ilvl w:val="0"/>
          <w:numId w:val="2"/>
        </w:numPr>
        <w:spacing w:after="60" w:before="40"/>
      </w:pPr>
      <w:r>
        <w:rPr>
          <w:rFonts w:ascii="Arial" w:cs="Arial" w:eastAsia="Arial" w:hAnsi="Arial"/>
          <w:sz w:val="22"/>
          <w:szCs w:val="22"/>
        </w:rPr>
        <w:t xml:space="preserve">CRM or Slack integration</w:t>
      </w:r>
    </w:p>
    <w:p>
      <w:pPr>
        <w:spacing w:after="0" w:before="200"/>
      </w:pPr>
    </w:p>
    <w:p>
      <w:pPr>
        <w:pStyle w:val="Heading1"/>
        <w:spacing w:after="160" w:before="360"/>
      </w:pPr>
      <w:r>
        <w:rPr>
          <w:rFonts w:ascii="Arial" w:cs="Arial" w:eastAsia="Arial" w:hAnsi="Arial"/>
          <w:b/>
          <w:bCs/>
          <w:color w:val="0F6E56"/>
          <w:sz w:val="32"/>
          <w:szCs w:val="32"/>
        </w:rPr>
        <w:t xml:space="preserve">8. Demo Script (60 Seconds)</w:t>
      </w:r>
    </w:p>
    <w:p>
      <w:pPr>
        <w:spacing w:after="120" w:before="0"/>
      </w:pPr>
      <w:r>
        <w:rPr>
          <w:rFonts w:ascii="Arial" w:cs="Arial" w:eastAsia="Arial" w:hAnsi="Arial"/>
          <w:b w:val="false"/>
          <w:bCs w:val="false"/>
          <w:sz w:val="22"/>
          <w:szCs w:val="22"/>
        </w:rPr>
        <w:t xml:space="preserve">The demo tells a single, linear story that makes the value of memory viscerally obvious.</w:t>
      </w:r>
    </w:p>
    <w:p>
      <w:pPr>
        <w:spacing w:after="0" w:before="80"/>
      </w:pPr>
    </w:p>
    <w:p>
      <w:pPr>
        <w:pStyle w:val="Heading3"/>
        <w:spacing w:after="80" w:before="200"/>
      </w:pPr>
      <w:r>
        <w:rPr>
          <w:rFonts w:ascii="Arial" w:cs="Arial" w:eastAsia="Arial" w:hAnsi="Arial"/>
          <w:b/>
          <w:bCs/>
          <w:color w:val="085041"/>
          <w:sz w:val="22"/>
          <w:szCs w:val="22"/>
        </w:rPr>
        <w:t xml:space="preserve">Step 1 — Show the problem (15 sec)</w:t>
      </w:r>
    </w:p>
    <w:p>
      <w:pPr>
        <w:spacing w:after="120" w:before="0"/>
      </w:pPr>
      <w:r>
        <w:rPr>
          <w:rFonts w:ascii="Arial" w:cs="Arial" w:eastAsia="Arial" w:hAnsi="Arial"/>
          <w:b w:val="false"/>
          <w:bCs w:val="false"/>
          <w:sz w:val="22"/>
          <w:szCs w:val="22"/>
        </w:rPr>
        <w:t xml:space="preserve">Start with an empty agent. Ask: “Brief me on Twilio before my renewal call.” The agent responds with nothing useful. It has no memory. This is the before state.</w:t>
      </w:r>
    </w:p>
    <w:p>
      <w:pPr>
        <w:spacing w:after="0" w:before="80"/>
      </w:pPr>
    </w:p>
    <w:p>
      <w:pPr>
        <w:pStyle w:val="Heading3"/>
        <w:spacing w:after="80" w:before="200"/>
      </w:pPr>
      <w:r>
        <w:rPr>
          <w:rFonts w:ascii="Arial" w:cs="Arial" w:eastAsia="Arial" w:hAnsi="Arial"/>
          <w:b/>
          <w:bCs/>
          <w:color w:val="085041"/>
          <w:sz w:val="22"/>
          <w:szCs w:val="22"/>
        </w:rPr>
        <w:t xml:space="preserve">Step 2 — Feed it history (10 sec)</w:t>
      </w:r>
    </w:p>
    <w:p>
      <w:pPr>
        <w:spacing w:after="120" w:before="0"/>
      </w:pPr>
      <w:r>
        <w:rPr>
          <w:rFonts w:ascii="Arial" w:cs="Arial" w:eastAsia="Arial" w:hAnsi="Arial"/>
          <w:b w:val="false"/>
          <w:bCs w:val="false"/>
          <w:sz w:val="22"/>
          <w:szCs w:val="22"/>
        </w:rPr>
        <w:t xml:space="preserve">Drop in the 2022 contract PDF, 24 monthly invoices, one incident email, and the May 2024 call transcript. The ingestion pipeline runs. Memories are written to Hindsight.</w:t>
      </w:r>
    </w:p>
    <w:p>
      <w:pPr>
        <w:spacing w:after="0" w:before="80"/>
      </w:pPr>
    </w:p>
    <w:p>
      <w:pPr>
        <w:pStyle w:val="Heading3"/>
        <w:spacing w:after="80" w:before="200"/>
      </w:pPr>
      <w:r>
        <w:rPr>
          <w:rFonts w:ascii="Arial" w:cs="Arial" w:eastAsia="Arial" w:hAnsi="Arial"/>
          <w:b/>
          <w:bCs/>
          <w:color w:val="085041"/>
          <w:sz w:val="22"/>
          <w:szCs w:val="22"/>
        </w:rPr>
        <w:t xml:space="preserve">Step 3 — Show the after state (25 sec)</w:t>
      </w:r>
    </w:p>
    <w:p>
      <w:pPr>
        <w:spacing w:after="120" w:before="0"/>
      </w:pPr>
      <w:r>
        <w:rPr>
          <w:rFonts w:ascii="Arial" w:cs="Arial" w:eastAsia="Arial" w:hAnsi="Arial"/>
          <w:b w:val="false"/>
          <w:bCs w:val="false"/>
          <w:sz w:val="22"/>
          <w:szCs w:val="22"/>
        </w:rPr>
        <w:t xml:space="preserve">Ask the same question: “Brief me on Twilio.” The agent now returns:</w:t>
      </w:r>
    </w:p>
    <w:p>
      <w:pPr>
        <w:pStyle w:val="ListParagraph"/>
        <w:numPr>
          <w:ilvl w:val="0"/>
          <w:numId w:val="2"/>
        </w:numPr>
        <w:spacing w:after="60" w:before="40"/>
      </w:pPr>
      <w:r>
        <w:rPr>
          <w:rFonts w:ascii="Arial" w:cs="Arial" w:eastAsia="Arial" w:hAnsi="Arial"/>
          <w:sz w:val="22"/>
          <w:szCs w:val="22"/>
        </w:rPr>
        <w:t xml:space="preserve">Pricing has drifted 8% above the signed rate with no notice</w:t>
      </w:r>
    </w:p>
    <w:p>
      <w:pPr>
        <w:pStyle w:val="ListParagraph"/>
        <w:numPr>
          <w:ilvl w:val="0"/>
          <w:numId w:val="2"/>
        </w:numPr>
        <w:spacing w:after="60" w:before="40"/>
      </w:pPr>
      <w:r>
        <w:rPr>
          <w:rFonts w:ascii="Arial" w:cs="Arial" w:eastAsia="Arial" w:hAnsi="Arial"/>
          <w:sz w:val="22"/>
          <w:szCs w:val="22"/>
        </w:rPr>
        <w:t xml:space="preserve">A 4-hour outage in June 2023 for which no SLA credit was issued</w:t>
      </w:r>
    </w:p>
    <w:p>
      <w:pPr>
        <w:pStyle w:val="ListParagraph"/>
        <w:numPr>
          <w:ilvl w:val="0"/>
          <w:numId w:val="2"/>
        </w:numPr>
        <w:spacing w:after="60" w:before="40"/>
      </w:pPr>
      <w:r>
        <w:rPr>
          <w:rFonts w:ascii="Arial" w:cs="Arial" w:eastAsia="Arial" w:hAnsi="Arial"/>
          <w:sz w:val="22"/>
          <w:szCs w:val="22"/>
        </w:rPr>
        <w:t xml:space="preserve">The uptime SLA was removed from the February 2024 renewal document</w:t>
      </w:r>
    </w:p>
    <w:p>
      <w:pPr>
        <w:pStyle w:val="ListParagraph"/>
        <w:numPr>
          <w:ilvl w:val="0"/>
          <w:numId w:val="2"/>
        </w:numPr>
        <w:spacing w:after="60" w:before="40"/>
      </w:pPr>
      <w:r>
        <w:rPr>
          <w:rFonts w:ascii="Arial" w:cs="Arial" w:eastAsia="Arial" w:hAnsi="Arial"/>
          <w:sz w:val="22"/>
          <w:szCs w:val="22"/>
        </w:rPr>
        <w:t xml:space="preserve">The sales rep verbally promised a rate lock that has not been honored</w:t>
      </w:r>
    </w:p>
    <w:p>
      <w:pPr>
        <w:pStyle w:val="ListParagraph"/>
        <w:numPr>
          <w:ilvl w:val="0"/>
          <w:numId w:val="2"/>
        </w:numPr>
        <w:spacing w:after="60" w:before="40"/>
      </w:pPr>
      <w:r>
        <w:rPr>
          <w:rFonts w:ascii="Arial" w:cs="Arial" w:eastAsia="Arial" w:hAnsi="Arial"/>
          <w:sz w:val="22"/>
          <w:szCs w:val="22"/>
        </w:rPr>
        <w:t xml:space="preserve">Suggested opening: request retroactive SLA credit and insist on written rate lock before signing</w:t>
      </w:r>
    </w:p>
    <w:p>
      <w:pPr>
        <w:spacing w:after="0" w:before="80"/>
      </w:pPr>
    </w:p>
    <w:p>
      <w:pPr>
        <w:pStyle w:val="Heading3"/>
        <w:spacing w:after="80" w:before="200"/>
      </w:pPr>
      <w:r>
        <w:rPr>
          <w:rFonts w:ascii="Arial" w:cs="Arial" w:eastAsia="Arial" w:hAnsi="Arial"/>
          <w:b/>
          <w:bCs/>
          <w:color w:val="085041"/>
          <w:sz w:val="22"/>
          <w:szCs w:val="22"/>
        </w:rPr>
        <w:t xml:space="preserve">Step 4 — Drift detection live (10 sec)</w:t>
      </w:r>
    </w:p>
    <w:p>
      <w:pPr>
        <w:spacing w:after="120" w:before="0"/>
      </w:pPr>
      <w:r>
        <w:rPr>
          <w:rFonts w:ascii="Arial" w:cs="Arial" w:eastAsia="Arial" w:hAnsi="Arial"/>
          <w:b w:val="false"/>
          <w:bCs w:val="false"/>
          <w:sz w:val="22"/>
          <w:szCs w:val="22"/>
        </w:rPr>
        <w:t xml:space="preserve">Drop in a new invoice that shows another 5% price increase. The drift detection pipeline fires and outputs a severity-3 alert. The event log updates in real time.</w:t>
      </w:r>
    </w:p>
    <w:p>
      <w:pPr>
        <w:spacing w:after="0" w:before="200"/>
      </w:pPr>
    </w:p>
    <w:p>
      <w:pPr>
        <w:pStyle w:val="Heading1"/>
        <w:spacing w:after="160" w:before="360"/>
      </w:pPr>
      <w:r>
        <w:rPr>
          <w:rFonts w:ascii="Arial" w:cs="Arial" w:eastAsia="Arial" w:hAnsi="Arial"/>
          <w:b/>
          <w:bCs/>
          <w:color w:val="0F6E56"/>
          <w:sz w:val="32"/>
          <w:szCs w:val="32"/>
        </w:rPr>
        <w:t xml:space="preserve">9. Judging Criteria Alignment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c>
          <w:tcPr>
            <w:tcW w:type="dxa" w:w="312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312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312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How VendorPulse addresses it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Innovation</w:t>
            </w:r>
          </w:p>
        </w:tc>
        <w:tc>
          <w:tcPr>
            <w:tcW w:type="dxa" w:w="3120"/>
            <w:tcBorders>
              <w:top w:val="single" w:color="CCCCCC" w:sz="1"/>
              <w:left w:val="single" w:color="CCCCCC" w:sz="1"/>
              <w:bottom w:val="single" w:color="CCCCCC" w:sz="1"/>
              <w:right w:val="single" w:color="CCCCCC" w:sz="1"/>
            </w:tcBorders>
            <w:shd w:fill="F4FCF9" w:val="clear"/>
            <w:tcMar>
              <w:top w:type="dxa" w:w="80"/>
              <w:left w:type="dxa" w:w="120"/>
              <w:bottom w:type="dxa" w:w="80"/>
              <w:right w:type="dxa" w:w="120"/>
            </w:tcMar>
          </w:tcPr>
          <w:p>
            <w:r>
              <w:rPr>
                <w:rFonts w:ascii="Arial" w:cs="Arial" w:eastAsia="Arial" w:hAnsi="Arial"/>
                <w:b w:val="false"/>
                <w:bCs w:val="false"/>
                <w:color w:val="1a1a1a"/>
                <w:sz w:val="21"/>
                <w:szCs w:val="21"/>
              </w:rPr>
              <w:t xml:space="preserve">30%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No existing tool connects contracts + emails + invoices + transcripts into a longitudinal relationship memory. CRMs track customers. This tracks vendors.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Use of Hindsight Memory</w:t>
            </w:r>
          </w:p>
        </w:tc>
        <w:tc>
          <w:tcPr>
            <w:tcW w:type="dxa" w:w="3120"/>
            <w:tcBorders>
              <w:top w:val="single" w:color="CCCCCC" w:sz="1"/>
              <w:left w:val="single" w:color="CCCCCC" w:sz="1"/>
              <w:bottom w:val="single" w:color="CCCCCC" w:sz="1"/>
              <w:right w:val="single" w:color="CCCCCC" w:sz="1"/>
            </w:tcBorders>
            <w:shd w:fill="F4FCF9" w:val="clear"/>
            <w:tcMar>
              <w:top w:type="dxa" w:w="80"/>
              <w:left w:type="dxa" w:w="120"/>
              <w:bottom w:type="dxa" w:w="80"/>
              <w:right w:type="dxa" w:w="120"/>
            </w:tcMar>
          </w:tcPr>
          <w:p>
            <w:r>
              <w:rPr>
                <w:rFonts w:ascii="Arial" w:cs="Arial" w:eastAsia="Arial" w:hAnsi="Arial"/>
                <w:b w:val="false"/>
                <w:bCs w:val="false"/>
                <w:color w:val="1a1a1a"/>
                <w:sz w:val="21"/>
                <w:szCs w:val="21"/>
              </w:rPr>
              <w:t xml:space="preserve">25%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Memory is the entire product. Without Hindsight, this is a one-shot summarizer. With it, the agent accumulates leverage and gets sharper every cycle.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Technical Implementation</w:t>
            </w:r>
          </w:p>
        </w:tc>
        <w:tc>
          <w:tcPr>
            <w:tcW w:type="dxa" w:w="3120"/>
            <w:tcBorders>
              <w:top w:val="single" w:color="CCCCCC" w:sz="1"/>
              <w:left w:val="single" w:color="CCCCCC" w:sz="1"/>
              <w:bottom w:val="single" w:color="CCCCCC" w:sz="1"/>
              <w:right w:val="single" w:color="CCCCCC" w:sz="1"/>
            </w:tcBorders>
            <w:shd w:fill="F4FCF9" w:val="clear"/>
            <w:tcMar>
              <w:top w:type="dxa" w:w="80"/>
              <w:left w:type="dxa" w:w="120"/>
              <w:bottom w:type="dxa" w:w="80"/>
              <w:right w:type="dxa" w:w="120"/>
            </w:tcMar>
          </w:tcPr>
          <w:p>
            <w:r>
              <w:rPr>
                <w:rFonts w:ascii="Arial" w:cs="Arial" w:eastAsia="Arial" w:hAnsi="Arial"/>
                <w:b w:val="false"/>
                <w:bCs w:val="false"/>
                <w:color w:val="1a1a1a"/>
                <w:sz w:val="21"/>
                <w:szCs w:val="21"/>
              </w:rPr>
              <w:t xml:space="preserve">20%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Clean extraction pipeline, structured memory schema, severity-classified drift detection, conversational brief generation.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User Experience</w:t>
            </w:r>
          </w:p>
        </w:tc>
        <w:tc>
          <w:tcPr>
            <w:tcW w:type="dxa" w:w="3120"/>
            <w:tcBorders>
              <w:top w:val="single" w:color="CCCCCC" w:sz="1"/>
              <w:left w:val="single" w:color="CCCCCC" w:sz="1"/>
              <w:bottom w:val="single" w:color="CCCCCC" w:sz="1"/>
              <w:right w:val="single" w:color="CCCCCC" w:sz="1"/>
            </w:tcBorders>
            <w:shd w:fill="F4FCF9" w:val="clear"/>
            <w:tcMar>
              <w:top w:type="dxa" w:w="80"/>
              <w:left w:type="dxa" w:w="120"/>
              <w:bottom w:type="dxa" w:w="80"/>
              <w:right w:type="dxa" w:w="120"/>
            </w:tcMar>
          </w:tcPr>
          <w:p>
            <w:r>
              <w:rPr>
                <w:rFonts w:ascii="Arial" w:cs="Arial" w:eastAsia="Arial" w:hAnsi="Arial"/>
                <w:b w:val="false"/>
                <w:bCs w:val="false"/>
                <w:color w:val="1a1a1a"/>
                <w:sz w:val="21"/>
                <w:szCs w:val="21"/>
              </w:rPr>
              <w:t xml:space="preserve">15%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Demo tells a clear before/after story in under 60 seconds. Value is obvious without explanation.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Real-world Impact</w:t>
            </w:r>
          </w:p>
        </w:tc>
        <w:tc>
          <w:tcPr>
            <w:tcW w:type="dxa" w:w="3120"/>
            <w:tcBorders>
              <w:top w:val="single" w:color="CCCCCC" w:sz="1"/>
              <w:left w:val="single" w:color="CCCCCC" w:sz="1"/>
              <w:bottom w:val="single" w:color="CCCCCC" w:sz="1"/>
              <w:right w:val="single" w:color="CCCCCC" w:sz="1"/>
            </w:tcBorders>
            <w:shd w:fill="F4FCF9" w:val="clear"/>
            <w:tcMar>
              <w:top w:type="dxa" w:w="80"/>
              <w:left w:type="dxa" w:w="120"/>
              <w:bottom w:type="dxa" w:w="80"/>
              <w:right w:type="dxa" w:w="120"/>
            </w:tcMar>
          </w:tcPr>
          <w:p>
            <w:r>
              <w:rPr>
                <w:rFonts w:ascii="Arial" w:cs="Arial" w:eastAsia="Arial" w:hAnsi="Arial"/>
                <w:b w:val="false"/>
                <w:bCs w:val="false"/>
                <w:color w:val="1a1a1a"/>
                <w:sz w:val="21"/>
                <w:szCs w:val="21"/>
              </w:rPr>
              <w:t xml:space="preserve">10%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Every company above 20 employees has this pain. The ROI is measurable: one recovered SLA credit or a 5% better renewal pays for years of the product.</w:t>
            </w:r>
          </w:p>
        </w:tc>
      </w:tr>
    </w:tbl>
    <w:p>
      <w:pPr>
        <w:spacing w:after="0" w:before="200"/>
      </w:pPr>
    </w:p>
    <w:p>
      <w:pPr>
        <w:pStyle w:val="Heading1"/>
        <w:spacing w:after="160" w:before="360"/>
      </w:pPr>
      <w:r>
        <w:rPr>
          <w:rFonts w:ascii="Arial" w:cs="Arial" w:eastAsia="Arial" w:hAnsi="Arial"/>
          <w:b/>
          <w:bCs/>
          <w:color w:val="0F6E56"/>
          <w:sz w:val="32"/>
          <w:szCs w:val="32"/>
        </w:rPr>
        <w:t xml:space="preserve">10. Future Roadmap</w:t>
      </w:r>
    </w:p>
    <w:p>
      <w:pPr>
        <w:pStyle w:val="Heading2"/>
        <w:spacing w:after="120" w:before="280"/>
      </w:pPr>
      <w:r>
        <w:rPr>
          <w:rFonts w:ascii="Arial" w:cs="Arial" w:eastAsia="Arial" w:hAnsi="Arial"/>
          <w:b/>
          <w:bCs/>
          <w:color w:val="1D9E75"/>
          <w:sz w:val="26"/>
          <w:szCs w:val="26"/>
        </w:rPr>
        <w:t xml:space="preserve">Phase 2 (Post-Hackathon)</w:t>
      </w:r>
    </w:p>
    <w:p>
      <w:pPr>
        <w:pStyle w:val="ListParagraph"/>
        <w:numPr>
          <w:ilvl w:val="0"/>
          <w:numId w:val="2"/>
        </w:numPr>
        <w:spacing w:after="60" w:before="40"/>
      </w:pPr>
      <w:r>
        <w:rPr>
          <w:rFonts w:ascii="Arial" w:cs="Arial" w:eastAsia="Arial" w:hAnsi="Arial"/>
          <w:sz w:val="22"/>
          <w:szCs w:val="22"/>
        </w:rPr>
        <w:t xml:space="preserve">Live Gmail and Outlook integration for continuous ingestion</w:t>
      </w:r>
    </w:p>
    <w:p>
      <w:pPr>
        <w:pStyle w:val="ListParagraph"/>
        <w:numPr>
          <w:ilvl w:val="0"/>
          <w:numId w:val="2"/>
        </w:numPr>
        <w:spacing w:after="60" w:before="40"/>
      </w:pPr>
      <w:r>
        <w:rPr>
          <w:rFonts w:ascii="Arial" w:cs="Arial" w:eastAsia="Arial" w:hAnsi="Arial"/>
          <w:sz w:val="22"/>
          <w:szCs w:val="22"/>
        </w:rPr>
        <w:t xml:space="preserve">Multi-vendor dashboard with cost drift visualization</w:t>
      </w:r>
    </w:p>
    <w:p>
      <w:pPr>
        <w:pStyle w:val="ListParagraph"/>
        <w:numPr>
          <w:ilvl w:val="0"/>
          <w:numId w:val="2"/>
        </w:numPr>
        <w:spacing w:after="60" w:before="40"/>
      </w:pPr>
      <w:r>
        <w:rPr>
          <w:rFonts w:ascii="Arial" w:cs="Arial" w:eastAsia="Arial" w:hAnsi="Arial"/>
          <w:sz w:val="22"/>
          <w:szCs w:val="22"/>
        </w:rPr>
        <w:t xml:space="preserve">Renewal calendar with automated pre-brief generation</w:t>
      </w:r>
    </w:p>
    <w:p>
      <w:pPr>
        <w:pStyle w:val="ListParagraph"/>
        <w:numPr>
          <w:ilvl w:val="0"/>
          <w:numId w:val="2"/>
        </w:numPr>
        <w:spacing w:after="60" w:before="40"/>
      </w:pPr>
      <w:r>
        <w:rPr>
          <w:rFonts w:ascii="Arial" w:cs="Arial" w:eastAsia="Arial" w:hAnsi="Arial"/>
          <w:sz w:val="22"/>
          <w:szCs w:val="22"/>
        </w:rPr>
        <w:t xml:space="preserve">Slack bot: “@vendorpulse brief me on AWS”</w:t>
      </w:r>
    </w:p>
    <w:p>
      <w:pPr>
        <w:spacing w:after="0" w:before="80"/>
      </w:pPr>
    </w:p>
    <w:p>
      <w:pPr>
        <w:pStyle w:val="Heading2"/>
        <w:spacing w:after="120" w:before="280"/>
      </w:pPr>
      <w:r>
        <w:rPr>
          <w:rFonts w:ascii="Arial" w:cs="Arial" w:eastAsia="Arial" w:hAnsi="Arial"/>
          <w:b/>
          <w:bCs/>
          <w:color w:val="1D9E75"/>
          <w:sz w:val="26"/>
          <w:szCs w:val="26"/>
        </w:rPr>
        <w:t xml:space="preserve">Phase 3 (Growth)</w:t>
      </w:r>
    </w:p>
    <w:p>
      <w:pPr>
        <w:pStyle w:val="ListParagraph"/>
        <w:numPr>
          <w:ilvl w:val="0"/>
          <w:numId w:val="2"/>
        </w:numPr>
        <w:spacing w:after="60" w:before="40"/>
      </w:pPr>
      <w:r>
        <w:rPr>
          <w:rFonts w:ascii="Arial" w:cs="Arial" w:eastAsia="Arial" w:hAnsi="Arial"/>
          <w:sz w:val="22"/>
          <w:szCs w:val="22"/>
        </w:rPr>
        <w:t xml:space="preserve">Cross-vendor benchmarking: “How does your Salesforce pricing compare to market?”</w:t>
      </w:r>
    </w:p>
    <w:p>
      <w:pPr>
        <w:pStyle w:val="ListParagraph"/>
        <w:numPr>
          <w:ilvl w:val="0"/>
          <w:numId w:val="2"/>
        </w:numPr>
        <w:spacing w:after="60" w:before="40"/>
      </w:pPr>
      <w:r>
        <w:rPr>
          <w:rFonts w:ascii="Arial" w:cs="Arial" w:eastAsia="Arial" w:hAnsi="Arial"/>
          <w:sz w:val="22"/>
          <w:szCs w:val="22"/>
        </w:rPr>
        <w:t xml:space="preserve">Vendor scorecard: reliability, SLA compliance, pricing integrity over time</w:t>
      </w:r>
    </w:p>
    <w:p>
      <w:pPr>
        <w:pStyle w:val="ListParagraph"/>
        <w:numPr>
          <w:ilvl w:val="0"/>
          <w:numId w:val="2"/>
        </w:numPr>
        <w:spacing w:after="60" w:before="40"/>
      </w:pPr>
      <w:r>
        <w:rPr>
          <w:rFonts w:ascii="Arial" w:cs="Arial" w:eastAsia="Arial" w:hAnsi="Arial"/>
          <w:sz w:val="22"/>
          <w:szCs w:val="22"/>
        </w:rPr>
        <w:t xml:space="preserve">Team handoff mode: instant briefing for new procurement hires</w:t>
      </w:r>
    </w:p>
    <w:p>
      <w:pPr>
        <w:pStyle w:val="ListParagraph"/>
        <w:numPr>
          <w:ilvl w:val="0"/>
          <w:numId w:val="2"/>
        </w:numPr>
        <w:spacing w:after="60" w:before="40"/>
      </w:pPr>
      <w:r>
        <w:rPr>
          <w:rFonts w:ascii="Arial" w:cs="Arial" w:eastAsia="Arial" w:hAnsi="Arial"/>
          <w:sz w:val="22"/>
          <w:szCs w:val="22"/>
        </w:rPr>
        <w:t xml:space="preserve">API for integration with procurement platforms like Zip and Coupa</w:t>
      </w:r>
    </w:p>
    <w:p>
      <w:pPr>
        <w:spacing w:after="0" w:before="200"/>
      </w:pPr>
    </w:p>
    <w:p>
      <w:pPr>
        <w:pStyle w:val="Heading1"/>
        <w:spacing w:after="160" w:before="360"/>
      </w:pPr>
      <w:r>
        <w:rPr>
          <w:rFonts w:ascii="Arial" w:cs="Arial" w:eastAsia="Arial" w:hAnsi="Arial"/>
          <w:b/>
          <w:bCs/>
          <w:color w:val="0F6E56"/>
          <w:sz w:val="32"/>
          <w:szCs w:val="32"/>
        </w:rPr>
        <w:t xml:space="preserve">11. Context for AI Collaborators</w:t>
      </w:r>
    </w:p>
    <w:p>
      <w:pPr>
        <w:spacing w:after="120" w:before="0"/>
      </w:pPr>
      <w:r>
        <w:rPr>
          <w:rFonts w:ascii="Arial" w:cs="Arial" w:eastAsia="Arial" w:hAnsi="Arial"/>
          <w:b w:val="false"/>
          <w:bCs w:val="false"/>
          <w:sz w:val="22"/>
          <w:szCs w:val="22"/>
        </w:rPr>
        <w:t xml:space="preserve">This section is written specifically to give any LLM reading this document the full context needed to reason about, extend, or implement VendorPulse without additional explanation.</w:t>
      </w:r>
    </w:p>
    <w:p>
      <w:pPr>
        <w:spacing w:after="0" w:before="80"/>
      </w:pPr>
    </w:p>
    <w:p>
      <w:pPr>
        <w:pStyle w:val="Heading2"/>
        <w:spacing w:after="120" w:before="280"/>
      </w:pPr>
      <w:r>
        <w:rPr>
          <w:rFonts w:ascii="Arial" w:cs="Arial" w:eastAsia="Arial" w:hAnsi="Arial"/>
          <w:b/>
          <w:bCs/>
          <w:color w:val="1D9E75"/>
          <w:sz w:val="26"/>
          <w:szCs w:val="26"/>
        </w:rPr>
        <w:t xml:space="preserve">What this product is, precisely</w:t>
      </w:r>
    </w:p>
    <w:p>
      <w:pPr>
        <w:spacing w:after="120" w:before="0"/>
      </w:pPr>
      <w:r>
        <w:rPr>
          <w:rFonts w:ascii="Arial" w:cs="Arial" w:eastAsia="Arial" w:hAnsi="Arial"/>
          <w:b w:val="false"/>
          <w:bCs w:val="false"/>
          <w:sz w:val="22"/>
          <w:szCs w:val="22"/>
        </w:rPr>
        <w:t xml:space="preserve">VendorPulse is an AI agent with persistent long-term memory. Its primary data store is Hindsight (https://hindsight.vectorize.io), a memory layer for AI agents built by Vectorize. The agent reads documents about vendor relationships, extracts structured facts using an LLM, and stores those facts as memories. When queried, it recalls relevant memories and reasons across them to answer questions, detect anomalies, and generate briefs.</w:t>
      </w:r>
    </w:p>
    <w:p>
      <w:pPr>
        <w:spacing w:after="0" w:before="120"/>
      </w:pPr>
    </w:p>
    <w:p>
      <w:pPr>
        <w:pStyle w:val="Heading2"/>
        <w:spacing w:after="120" w:before="280"/>
      </w:pPr>
      <w:r>
        <w:rPr>
          <w:rFonts w:ascii="Arial" w:cs="Arial" w:eastAsia="Arial" w:hAnsi="Arial"/>
          <w:b/>
          <w:bCs/>
          <w:color w:val="1D9E75"/>
          <w:sz w:val="26"/>
          <w:szCs w:val="26"/>
        </w:rPr>
        <w:t xml:space="preserve">What makes it different from a RAG system</w:t>
      </w:r>
    </w:p>
    <w:p>
      <w:pPr>
        <w:spacing w:after="120" w:before="0"/>
      </w:pPr>
      <w:r>
        <w:rPr>
          <w:rFonts w:ascii="Arial" w:cs="Arial" w:eastAsia="Arial" w:hAnsi="Arial"/>
          <w:b w:val="false"/>
          <w:bCs w:val="false"/>
          <w:sz w:val="22"/>
          <w:szCs w:val="22"/>
        </w:rPr>
        <w:t xml:space="preserve">A RAG (retrieval augmented generation) system retrieves chunks of raw text and passes them to an LLM. VendorPulse extracts structured facts first, then stores those facts as memories. This means:</w:t>
      </w:r>
    </w:p>
    <w:p>
      <w:pPr>
        <w:pStyle w:val="ListParagraph"/>
        <w:numPr>
          <w:ilvl w:val="0"/>
          <w:numId w:val="2"/>
        </w:numPr>
        <w:spacing w:after="60" w:before="40"/>
      </w:pPr>
      <w:r>
        <w:rPr>
          <w:rFonts w:ascii="Arial" w:cs="Arial" w:eastAsia="Arial" w:hAnsi="Arial"/>
          <w:sz w:val="22"/>
          <w:szCs w:val="22"/>
        </w:rPr>
        <w:t xml:space="preserve">Memories are semantically typed (price_change, sla_violation, etc.), not raw text chunks</w:t>
      </w:r>
    </w:p>
    <w:p>
      <w:pPr>
        <w:pStyle w:val="ListParagraph"/>
        <w:numPr>
          <w:ilvl w:val="0"/>
          <w:numId w:val="2"/>
        </w:numPr>
        <w:spacing w:after="60" w:before="40"/>
      </w:pPr>
      <w:r>
        <w:rPr>
          <w:rFonts w:ascii="Arial" w:cs="Arial" w:eastAsia="Arial" w:hAnsi="Arial"/>
          <w:sz w:val="22"/>
          <w:szCs w:val="22"/>
        </w:rPr>
        <w:t xml:space="preserve">Drift detection compares structured values, not fuzzy text similarity</w:t>
      </w:r>
    </w:p>
    <w:p>
      <w:pPr>
        <w:pStyle w:val="ListParagraph"/>
        <w:numPr>
          <w:ilvl w:val="0"/>
          <w:numId w:val="2"/>
        </w:numPr>
        <w:spacing w:after="60" w:before="40"/>
      </w:pPr>
      <w:r>
        <w:rPr>
          <w:rFonts w:ascii="Arial" w:cs="Arial" w:eastAsia="Arial" w:hAnsi="Arial"/>
          <w:sz w:val="22"/>
          <w:szCs w:val="22"/>
        </w:rPr>
        <w:t xml:space="preserve">The agent can reason across time because events are timestamped and typed</w:t>
      </w:r>
    </w:p>
    <w:p>
      <w:pPr>
        <w:pStyle w:val="ListParagraph"/>
        <w:numPr>
          <w:ilvl w:val="0"/>
          <w:numId w:val="2"/>
        </w:numPr>
        <w:spacing w:after="60" w:before="40"/>
      </w:pPr>
      <w:r>
        <w:rPr>
          <w:rFonts w:ascii="Arial" w:cs="Arial" w:eastAsia="Arial" w:hAnsi="Arial"/>
          <w:sz w:val="22"/>
          <w:szCs w:val="22"/>
        </w:rPr>
        <w:t xml:space="preserve">The baseline is immutable, making comparison reliable even years later</w:t>
      </w:r>
    </w:p>
    <w:p>
      <w:pPr>
        <w:spacing w:after="0" w:before="120"/>
      </w:pPr>
    </w:p>
    <w:p>
      <w:pPr>
        <w:pStyle w:val="Heading2"/>
        <w:spacing w:after="120" w:before="280"/>
      </w:pPr>
      <w:r>
        <w:rPr>
          <w:rFonts w:ascii="Arial" w:cs="Arial" w:eastAsia="Arial" w:hAnsi="Arial"/>
          <w:b/>
          <w:bCs/>
          <w:color w:val="1D9E75"/>
          <w:sz w:val="26"/>
          <w:szCs w:val="26"/>
        </w:rPr>
        <w:t xml:space="preserve">The key architectural decision</w:t>
      </w:r>
    </w:p>
    <w:p>
      <w:pPr>
        <w:spacing w:after="120" w:before="0"/>
      </w:pPr>
      <w:r>
        <w:rPr>
          <w:rFonts w:ascii="Arial" w:cs="Arial" w:eastAsia="Arial" w:hAnsi="Arial"/>
          <w:b w:val="false"/>
          <w:bCs w:val="false"/>
          <w:sz w:val="22"/>
          <w:szCs w:val="22"/>
        </w:rPr>
        <w:t xml:space="preserve">Two memory namespaces per vendor: {vendor_id}:baseline (immutable, written at contract signing) and {vendor_id}:events (append-only event log). Never mutate the baseline. Every change is a new event. Drift detection always compares incoming facts against the baseline, not against the most recent event. This makes the system robust to incremental drift — each small change looks minor; the baseline reveals the cumulative shift.</w:t>
      </w:r>
    </w:p>
    <w:p>
      <w:pPr>
        <w:spacing w:after="0" w:before="120"/>
      </w:pPr>
    </w:p>
    <w:p>
      <w:pPr>
        <w:pStyle w:val="Heading2"/>
        <w:spacing w:after="120" w:before="280"/>
      </w:pPr>
      <w:r>
        <w:rPr>
          <w:rFonts w:ascii="Arial" w:cs="Arial" w:eastAsia="Arial" w:hAnsi="Arial"/>
          <w:b/>
          <w:bCs/>
          <w:color w:val="1D9E75"/>
          <w:sz w:val="26"/>
          <w:szCs w:val="26"/>
        </w:rPr>
        <w:t xml:space="preserve">The three prompts that matter most</w:t>
      </w:r>
    </w:p>
    <w:p>
      <w:pPr>
        <w:pStyle w:val="ListParagraph"/>
        <w:numPr>
          <w:ilvl w:val="0"/>
          <w:numId w:val="2"/>
        </w:numPr>
        <w:spacing w:after="60" w:before="40"/>
      </w:pPr>
      <w:r>
        <w:rPr>
          <w:rFonts w:ascii="Arial" w:cs="Arial" w:eastAsia="Arial" w:hAnsi="Arial"/>
          <w:sz w:val="22"/>
          <w:szCs w:val="22"/>
        </w:rPr>
        <w:t xml:space="preserve">Extractor prompt: reads a normalized document chunk, returns structured JSON fact or null if no fact found</w:t>
      </w:r>
    </w:p>
    <w:p>
      <w:pPr>
        <w:pStyle w:val="ListParagraph"/>
        <w:numPr>
          <w:ilvl w:val="0"/>
          <w:numId w:val="2"/>
        </w:numPr>
        <w:spacing w:after="60" w:before="40"/>
      </w:pPr>
      <w:r>
        <w:rPr>
          <w:rFonts w:ascii="Arial" w:cs="Arial" w:eastAsia="Arial" w:hAnsi="Arial"/>
          <w:sz w:val="22"/>
          <w:szCs w:val="22"/>
        </w:rPr>
        <w:t xml:space="preserve">Drift classifier: given a baseline value and a new value, returns severity 1–3 and a one-sentence delta summary</w:t>
      </w:r>
    </w:p>
    <w:p>
      <w:pPr>
        <w:pStyle w:val="ListParagraph"/>
        <w:numPr>
          <w:ilvl w:val="0"/>
          <w:numId w:val="2"/>
        </w:numPr>
        <w:spacing w:after="60" w:before="40"/>
      </w:pPr>
      <w:r>
        <w:rPr>
          <w:rFonts w:ascii="Arial" w:cs="Arial" w:eastAsia="Arial" w:hAnsi="Arial"/>
          <w:sz w:val="22"/>
          <w:szCs w:val="22"/>
        </w:rPr>
        <w:t xml:space="preserve">Brief generator: given all recalled memories for a vendor, returns a structured negotiation brief with leverage points and suggested opening position</w:t>
      </w:r>
    </w:p>
    <w:p>
      <w:pPr>
        <w:spacing w:after="0" w:before="120"/>
      </w:pPr>
    </w:p>
    <w:p>
      <w:pPr>
        <w:pStyle w:val="Heading2"/>
        <w:spacing w:after="120" w:before="280"/>
      </w:pPr>
      <w:r>
        <w:rPr>
          <w:rFonts w:ascii="Arial" w:cs="Arial" w:eastAsia="Arial" w:hAnsi="Arial"/>
          <w:b/>
          <w:bCs/>
          <w:color w:val="1D9E75"/>
          <w:sz w:val="26"/>
          <w:szCs w:val="26"/>
        </w:rPr>
        <w:t xml:space="preserve">What success looks like in the demo</w:t>
      </w:r>
    </w:p>
    <w:p>
      <w:pPr>
        <w:spacing w:after="120" w:before="0"/>
      </w:pPr>
      <w:r>
        <w:rPr>
          <w:rFonts w:ascii="Arial" w:cs="Arial" w:eastAsia="Arial" w:hAnsi="Arial"/>
          <w:b w:val="false"/>
          <w:bCs w:val="false"/>
          <w:sz w:val="22"/>
          <w:szCs w:val="22"/>
        </w:rPr>
        <w:t xml:space="preserve">A judge should be able to watch the demo and immediately understand: (1) the agent knew nothing before ingestion, (2) after ingestion it has complete vendor history, and (3) the history reveals things the user did not know they had forgotten. The Twilio scenario — price drift, removed SLA, unissued credit, unwritten promise — hits all four points in under 60 seconds.</w:t>
      </w:r>
    </w:p>
    <w:p>
      <w:pPr>
        <w:spacing w:after="0" w:before="200"/>
      </w:pPr>
    </w:p>
    <w:p>
      <w:pPr>
        <w:pStyle w:val="Heading1"/>
        <w:spacing w:after="160" w:before="360"/>
      </w:pPr>
      <w:r>
        <w:rPr>
          <w:rFonts w:ascii="Arial" w:cs="Arial" w:eastAsia="Arial" w:hAnsi="Arial"/>
          <w:b/>
          <w:bCs/>
          <w:color w:val="0F6E56"/>
          <w:sz w:val="32"/>
          <w:szCs w:val="32"/>
        </w:rPr>
        <w:t xml:space="preserve">12.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85041"/>
                <w:sz w:val="21"/>
                <w:szCs w:val="21"/>
              </w:rPr>
              <w:t xml:space="preserve">Hindsight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Agent memory system by Vectorize. Stores, retrieves, and manages memories for AI agents across sessions. See hindsight.vectorize.io.</w:t>
            </w:r>
          </w:p>
        </w:tc>
      </w:tr>
      <w:tr>
        <w:tc>
          <w:tcPr>
            <w:tcW w:type="dxa" w:w="312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85041"/>
                <w:sz w:val="21"/>
                <w:szCs w:val="21"/>
              </w:rPr>
              <w:t xml:space="preserve">Baseline memory</w:t>
            </w:r>
          </w:p>
        </w:tc>
        <w:tc>
          <w:tcPr>
            <w:tcW w:type="dxa" w:w="6240"/>
            <w:tcBorders>
              <w:top w:val="single" w:color="CCCCCC" w:sz="1"/>
              <w:left w:val="single" w:color="CCCCCC" w:sz="1"/>
              <w:bottom w:val="single" w:color="CCCCCC" w:sz="1"/>
              <w:right w:val="single" w:color="CCCCCC" w:sz="1"/>
            </w:tcBorders>
            <w:shd w:fill="F9FFFE" w:val="clear"/>
            <w:tcMar>
              <w:top w:type="dxa" w:w="80"/>
              <w:left w:type="dxa" w:w="120"/>
              <w:bottom w:type="dxa" w:w="80"/>
              <w:right w:type="dxa" w:w="120"/>
            </w:tcMar>
          </w:tcPr>
          <w:p>
            <w:r>
              <w:rPr>
                <w:rFonts w:ascii="Arial" w:cs="Arial" w:eastAsia="Arial" w:hAnsi="Arial"/>
                <w:sz w:val="21"/>
                <w:szCs w:val="21"/>
              </w:rPr>
              <w:t xml:space="preserve">Immutable Hindsight memory written when a vendor contract is first ingested. Records the original agreed terms.</w:t>
            </w:r>
          </w:p>
        </w:tc>
      </w:tr>
      <w:tr>
        <w:tc>
          <w:tcPr>
            <w:tcW w:type="dxa" w:w="312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85041"/>
                <w:sz w:val="21"/>
                <w:szCs w:val="21"/>
              </w:rPr>
              <w:t xml:space="preserve">Event log memory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Append-only Hindsight memory. Each new extracted fact becomes a timestamped event entry.</w:t>
            </w:r>
          </w:p>
        </w:tc>
      </w:tr>
      <w:tr>
        <w:tc>
          <w:tcPr>
            <w:tcW w:type="dxa" w:w="312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85041"/>
                <w:sz w:val="21"/>
                <w:szCs w:val="21"/>
              </w:rPr>
              <w:t xml:space="preserve">Drift</w:t>
            </w:r>
          </w:p>
        </w:tc>
        <w:tc>
          <w:tcPr>
            <w:tcW w:type="dxa" w:w="6240"/>
            <w:tcBorders>
              <w:top w:val="single" w:color="CCCCCC" w:sz="1"/>
              <w:left w:val="single" w:color="CCCCCC" w:sz="1"/>
              <w:bottom w:val="single" w:color="CCCCCC" w:sz="1"/>
              <w:right w:val="single" w:color="CCCCCC" w:sz="1"/>
            </w:tcBorders>
            <w:shd w:fill="F9FFFE" w:val="clear"/>
            <w:tcMar>
              <w:top w:type="dxa" w:w="80"/>
              <w:left w:type="dxa" w:w="120"/>
              <w:bottom w:type="dxa" w:w="80"/>
              <w:right w:type="dxa" w:w="120"/>
            </w:tcMar>
          </w:tcPr>
          <w:p>
            <w:r>
              <w:rPr>
                <w:rFonts w:ascii="Arial" w:cs="Arial" w:eastAsia="Arial" w:hAnsi="Arial"/>
                <w:sz w:val="21"/>
                <w:szCs w:val="21"/>
              </w:rPr>
              <w:t xml:space="preserve">Any deviation of a vendor’s current behavior from their baseline commitment. May be in pricing, SLA terms, support quality, or contractual clauses.</w:t>
            </w:r>
          </w:p>
        </w:tc>
      </w:tr>
      <w:tr>
        <w:tc>
          <w:tcPr>
            <w:tcW w:type="dxa" w:w="312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85041"/>
                <w:sz w:val="21"/>
                <w:szCs w:val="21"/>
              </w:rPr>
              <w:t xml:space="preserve">Severity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Classification of a drift event: 1 = minor variation, 2 = notable deviation worth logging, 3 = material breach requiring immediate alert.</w:t>
            </w:r>
          </w:p>
        </w:tc>
      </w:tr>
      <w:tr>
        <w:tc>
          <w:tcPr>
            <w:tcW w:type="dxa" w:w="312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85041"/>
                <w:sz w:val="21"/>
                <w:szCs w:val="21"/>
              </w:rPr>
              <w:t xml:space="preserve">Negotiation brief</w:t>
            </w:r>
          </w:p>
        </w:tc>
        <w:tc>
          <w:tcPr>
            <w:tcW w:type="dxa" w:w="6240"/>
            <w:tcBorders>
              <w:top w:val="single" w:color="CCCCCC" w:sz="1"/>
              <w:left w:val="single" w:color="CCCCCC" w:sz="1"/>
              <w:bottom w:val="single" w:color="CCCCCC" w:sz="1"/>
              <w:right w:val="single" w:color="CCCCCC" w:sz="1"/>
            </w:tcBorders>
            <w:shd w:fill="F9FFFE" w:val="clear"/>
            <w:tcMar>
              <w:top w:type="dxa" w:w="80"/>
              <w:left w:type="dxa" w:w="120"/>
              <w:bottom w:type="dxa" w:w="80"/>
              <w:right w:type="dxa" w:w="120"/>
            </w:tcMar>
          </w:tcPr>
          <w:p>
            <w:r>
              <w:rPr>
                <w:rFonts w:ascii="Arial" w:cs="Arial" w:eastAsia="Arial" w:hAnsi="Arial"/>
                <w:sz w:val="21"/>
                <w:szCs w:val="21"/>
              </w:rPr>
              <w:t xml:space="preserve">Agent-generated summary of a vendor relationship history, structured for use before a renewal or negotiation call.</w:t>
            </w:r>
          </w:p>
        </w:tc>
      </w:tr>
      <w:tr>
        <w:tc>
          <w:tcPr>
            <w:tcW w:type="dxa" w:w="312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85041"/>
                <w:sz w:val="21"/>
                <w:szCs w:val="21"/>
              </w:rPr>
              <w:t xml:space="preserve">Extractor prompt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LLM prompt that reads a normalized document chunk and outputs a structured fact as JSON, or null.</w:t>
            </w:r>
          </w:p>
        </w:tc>
      </w:tr>
      <w:tr>
        <w:tc>
          <w:tcPr>
            <w:tcW w:type="dxa" w:w="312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85041"/>
                <w:sz w:val="21"/>
                <w:szCs w:val="21"/>
              </w:rPr>
              <w:t xml:space="preserve">Drift classifier</w:t>
            </w:r>
          </w:p>
        </w:tc>
        <w:tc>
          <w:tcPr>
            <w:tcW w:type="dxa" w:w="6240"/>
            <w:tcBorders>
              <w:top w:val="single" w:color="CCCCCC" w:sz="1"/>
              <w:left w:val="single" w:color="CCCCCC" w:sz="1"/>
              <w:bottom w:val="single" w:color="CCCCCC" w:sz="1"/>
              <w:right w:val="single" w:color="CCCCCC" w:sz="1"/>
            </w:tcBorders>
            <w:shd w:fill="F9FFFE" w:val="clear"/>
            <w:tcMar>
              <w:top w:type="dxa" w:w="80"/>
              <w:left w:type="dxa" w:w="120"/>
              <w:bottom w:type="dxa" w:w="80"/>
              <w:right w:type="dxa" w:w="120"/>
            </w:tcMar>
          </w:tcPr>
          <w:p>
            <w:r>
              <w:rPr>
                <w:rFonts w:ascii="Arial" w:cs="Arial" w:eastAsia="Arial" w:hAnsi="Arial"/>
                <w:sz w:val="21"/>
                <w:szCs w:val="21"/>
              </w:rPr>
              <w:t xml:space="preserve">LLM prompt that compares a new fact against a baseline and outputs severity and delta summary.</w:t>
            </w:r>
          </w:p>
        </w:tc>
      </w:tr>
      <w:tr>
        <w:tc>
          <w:tcPr>
            <w:tcW w:type="dxa" w:w="312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85041"/>
                <w:sz w:val="21"/>
                <w:szCs w:val="21"/>
              </w:rPr>
              <w:t xml:space="preserve">vendor_id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Unique identifier for a vendor, used as the namespace prefix for Hindsight memories.</w:t>
            </w:r>
          </w:p>
        </w:tc>
      </w:tr>
    </w:tbl>
    <w:p>
      <w:pPr>
        <w:spacing w:after="0" w:before="200"/>
      </w:pPr>
    </w:p>
    <w:p>
      <w:pPr>
        <w:pBdr>
          <w:bottom w:val="single" w:color="9FE1CB" w:sz="2" w:space="1"/>
        </w:pBdr>
        <w:spacing w:after="160" w:before="160"/>
      </w:pPr>
    </w:p>
    <w:p>
      <w:pPr>
        <w:spacing w:after="0" w:before="120"/>
        <w:jc w:val="center"/>
      </w:pPr>
      <w:r>
        <w:rPr>
          <w:rFonts w:ascii="Arial" w:cs="Arial" w:eastAsia="Arial" w:hAnsi="Arial"/>
          <w:color w:val="888888"/>
          <w:sz w:val="18"/>
          <w:szCs w:val="18"/>
        </w:rPr>
        <w:t xml:space="preserve">VendorPulse  ·  Built for the Hindsight Hackathon  ·  April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FE1CB" w:sz="2" w:space="1"/>
      </w:pBdr>
      <w:tabs>
        <w:tab w:val="right" w:pos="9026"/>
      </w:tabs>
      <w:spacing w:before="120"/>
    </w:pPr>
    <w:r>
      <w:rPr>
        <w:rFonts w:ascii="Arial" w:cs="Arial" w:eastAsia="Arial" w:hAnsi="Arial"/>
        <w:color w:val="888888"/>
        <w:sz w:val="18"/>
        <w:szCs w:val="18"/>
      </w:rPr>
      <w:t xml:space="preserve">VendorPulse PRD  v1.0  |  April 2026</w:t>
    </w:r>
    <w:r>
      <w:rPr>
        <w:rFonts w:ascii="Arial" w:cs="Arial" w:eastAsia="Arial" w:hAnsi="Arial"/>
        <w:color w:val="888888"/>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9E75" w:sz="6" w:space="1"/>
      </w:pBdr>
      <w:spacing w:after="120"/>
    </w:pPr>
    <w:r>
      <w:rPr>
        <w:rFonts w:ascii="Arial" w:cs="Arial" w:eastAsia="Arial" w:hAnsi="Arial"/>
        <w:color w:val="085041"/>
        <w:sz w:val="18"/>
        <w:szCs w:val="18"/>
      </w:rPr>
      <w:t xml:space="preserve">VendorPulse — Product Requirements Document</w:t>
    </w:r>
    <w:r>
      <w:rPr>
        <w:rFonts w:ascii="Arial" w:cs="Arial" w:eastAsia="Arial" w:hAnsi="Arial"/>
        <w:i/>
        <w:iCs/>
        <w:color w:val="999999"/>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sz w:val="32"/>
      <w:szCs w:val="32"/>
    </w:rPr>
  </w:style>
  <w:style w:type="paragraph" w:styleId="Heading2">
    <w:name w:val="Heading 2"/>
    <w:basedOn w:val="Normal"/>
    <w:next w:val="Normal"/>
    <w:qFormat/>
    <w:pPr>
      <w:spacing w:after="120" w:before="280"/>
      <w:outlineLvl w:val="1"/>
    </w:pPr>
    <w:rPr>
      <w:rFonts w:ascii="Arial" w:cs="Arial" w:eastAsia="Arial" w:hAnsi="Arial"/>
      <w:b/>
      <w:bCs/>
      <w:sz w:val="26"/>
      <w:szCs w:val="26"/>
    </w:rPr>
  </w:style>
  <w:style w:type="paragraph" w:styleId="Heading3">
    <w:name w:val="Heading 3"/>
    <w:basedOn w:val="Normal"/>
    <w:next w:val="Normal"/>
    <w:qFormat/>
    <w:pPr>
      <w:spacing w:after="8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2026-04-12T10:13:25.301Z</dcterms:created>
  <dcterms:modified xsi:type="dcterms:W3CDTF">2026-04-12T10:13:25.302Z</dcterms:modified>
</cp:coreProperties>
</file>

<file path=docProps/custom.xml><?xml version="1.0" encoding="utf-8"?>
<Properties xmlns="http://schemas.openxmlformats.org/officeDocument/2006/custom-properties" xmlns:vt="http://schemas.openxmlformats.org/officeDocument/2006/docPropsVTypes"/>
</file>