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bidi/>
        <w:spacing w:after="160" w:before="0" w:line="300"/>
        <w:jc w:val="center"/>
      </w:pPr>
      <w:r>
        <w:rPr>
          <w:rFonts w:ascii="Arial" w:cs="Arial" w:eastAsia="Arial" w:hAnsi="Arial"/>
          <w:b/>
          <w:bCs/>
          <w:color w:val="0F6E56"/>
          <w:sz w:val="50"/>
          <w:szCs w:val="50"/>
          <w:rtl/>
        </w:rPr>
        <w:t xml:space="preserve">خط التكامل والنشر والبيئات</w:t>
      </w:r>
    </w:p>
    <w:p>
      <w:pPr>
        <w:bidi/>
        <w:spacing w:after="60" w:before="0" w:line="300"/>
        <w:jc w:val="center"/>
      </w:pPr>
      <w:r>
        <w:rPr>
          <w:rFonts w:ascii="Arial" w:cs="Arial" w:eastAsia="Arial" w:hAnsi="Arial"/>
          <w:b w:val="false"/>
          <w:bCs w:val="false"/>
          <w:color w:val="6B6B6B"/>
          <w:sz w:val="26"/>
          <w:szCs w:val="26"/>
          <w:rtl/>
        </w:rPr>
        <w:t xml:space="preserve">CI/CD Pipeline &amp; Environments</w:t>
      </w:r>
    </w:p>
    <w:p>
      <w:pPr>
        <w:bidi/>
        <w:spacing w:after="900" w:before="0" w:line="300"/>
        <w:jc w:val="center"/>
      </w:pPr>
      <w:r>
        <w:rPr>
          <w:rFonts w:ascii="Arial" w:cs="Arial" w:eastAsia="Arial" w:hAnsi="Arial"/>
          <w:b/>
          <w:bCs/>
          <w:color w:val="212121"/>
          <w:sz w:val="26"/>
          <w:szCs w:val="26"/>
          <w:rtl/>
        </w:rPr>
        <w:t xml:space="preserve">منصة تجارة الجملة الإلكترونية B2B / B2C</w:t>
      </w:r>
    </w:p>
    <w:p>
      <w:pPr>
        <w:shd w:fill="0F6E56" w:val="clear"/>
        <w:bidi/>
        <w:spacing w:after="200" w:before="0" w:line="3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  <w:rtl/>
        </w:rPr>
        <w:t xml:space="preserve">مستند المرحلة الرابعة: التطوير — DEV-02</w:t>
      </w:r>
    </w:p>
    <w:p>
      <w:pPr>
        <w:bidi/>
        <w:spacing w:after="100" w:before="0" w:line="300"/>
        <w:jc w:val="center"/>
      </w:pPr>
      <w:r>
        <w:rPr>
          <w:rFonts w:ascii="Arial" w:cs="Arial" w:eastAsia="Arial" w:hAnsi="Arial"/>
          <w:b w:val="false"/>
          <w:bCs w:val="false"/>
          <w:color w:val="6B6B6B"/>
          <w:sz w:val="20"/>
          <w:szCs w:val="20"/>
          <w:rtl/>
        </w:rPr>
        <w:t xml:space="preserve">الإصدار 1.0  •  يوليو 2026</w:t>
      </w:r>
    </w:p>
    <w:p>
      <w:r>
        <w:br w:type="page"/>
      </w:r>
    </w:p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1. البيئات الثلاث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1900"/>
        <w:gridCol w:w="3000"/>
        <w:gridCol w:w="2900"/>
        <w:gridCol w:w="1500"/>
      </w:tblGrid>
      <w:tr>
        <w:trPr>
          <w:tblHeader/>
        </w:trPr>
        <w:tc>
          <w:tcPr>
            <w:tcW w:type="dxa" w:w="19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البيئة</w:t>
            </w:r>
          </w:p>
        </w:tc>
        <w:tc>
          <w:tcPr>
            <w:tcW w:type="dxa" w:w="30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الغرض</w:t>
            </w:r>
          </w:p>
        </w:tc>
        <w:tc>
          <w:tcPr>
            <w:tcW w:type="dxa" w:w="29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البيانات</w:t>
            </w:r>
          </w:p>
        </w:tc>
        <w:tc>
          <w:tcPr>
            <w:tcW w:type="dxa" w:w="15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من ينشر</w:t>
            </w:r>
          </w:p>
        </w:tc>
      </w:tr>
      <w:tr>
        <w:tc>
          <w:tcPr>
            <w:tcW w:type="dxa" w:w="1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Development</w:t>
            </w:r>
          </w:p>
        </w:tc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تطوير محلي</w:t>
            </w:r>
          </w:p>
        </w:tc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بيانات بذور وهمية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المطور على جهازه</w:t>
            </w:r>
          </w:p>
        </w:tc>
      </w:tr>
      <w:tr>
        <w:tc>
          <w:tcPr>
            <w:tcW w:type="dxa" w:w="19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Staging</w:t>
            </w:r>
          </w:p>
        </w:tc>
        <w:tc>
          <w:tcPr>
            <w:tcW w:type="dxa" w:w="30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مطابقة الإنتاج والاختبار وUAT</w:t>
            </w:r>
          </w:p>
        </w:tc>
        <w:tc>
          <w:tcPr>
            <w:tcW w:type="dxa" w:w="29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بيانات اختبار + Sandbox للدفع وZATCA</w:t>
            </w:r>
          </w:p>
        </w:tc>
        <w:tc>
          <w:tcPr>
            <w:tcW w:type="dxa" w:w="15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تلقائي عند الدمج في main</w:t>
            </w:r>
          </w:p>
        </w:tc>
      </w:tr>
      <w:tr>
        <w:tc>
          <w:tcPr>
            <w:tcW w:type="dxa" w:w="1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Production</w:t>
            </w:r>
          </w:p>
        </w:tc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الخدمة الفعلية</w:t>
            </w:r>
          </w:p>
        </w:tc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بيانات حقيقية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بموافقة يدوية بعد نجاح Staging</w:t>
            </w:r>
          </w:p>
        </w:tc>
      </w:tr>
    </w:tbl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2. مراحل خط CI/CD</w:t>
      </w:r>
    </w:p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  <w:rtl/>
        </w:rPr>
        <w:t xml:space="preserve">يعمل الخط تلقائياً عند كل Pull Request وعند الدمج في main، ويطبّق بوابات الجودة المنصوصة في DEV-01.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700"/>
        <w:gridCol w:w="2100"/>
        <w:gridCol w:w="3600"/>
        <w:gridCol w:w="2900"/>
      </w:tblGrid>
      <w:tr>
        <w:trPr>
          <w:tblHeader/>
        </w:trPr>
        <w:tc>
          <w:tcPr>
            <w:tcW w:type="dxa" w:w="7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1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المرحلة</w:t>
            </w:r>
          </w:p>
        </w:tc>
        <w:tc>
          <w:tcPr>
            <w:tcW w:type="dxa" w:w="36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الإجراء</w:t>
            </w:r>
          </w:p>
        </w:tc>
        <w:tc>
          <w:tcPr>
            <w:tcW w:type="dxa" w:w="29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شرط النجاح</w:t>
            </w:r>
          </w:p>
        </w:tc>
      </w:tr>
      <w:t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الفحص الثابت</w:t>
            </w:r>
          </w:p>
        </w:tc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ruff + mypy + dart analyze</w:t>
            </w:r>
          </w:p>
        </w:tc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صفر أخطاء</w:t>
            </w:r>
          </w:p>
        </w:tc>
      </w:tr>
      <w:tr>
        <w:tc>
          <w:tcPr>
            <w:tcW w:type="dxa" w:w="7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21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الاختبارات</w:t>
            </w:r>
          </w:p>
        </w:tc>
        <w:tc>
          <w:tcPr>
            <w:tcW w:type="dxa" w:w="3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وحدة + تكامل على قاعدة اختبار</w:t>
            </w:r>
          </w:p>
        </w:tc>
        <w:tc>
          <w:tcPr>
            <w:tcW w:type="dxa" w:w="29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نجاح 100% وتغطية فوق الخط</w:t>
            </w:r>
          </w:p>
        </w:tc>
      </w:tr>
      <w:t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فحص الأمان</w:t>
            </w:r>
          </w:p>
        </w:tc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فحص التبعيات ومسح الأسرار</w:t>
            </w:r>
          </w:p>
        </w:tc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لا ثغرة حرجة ولا سر مكشوف</w:t>
            </w:r>
          </w:p>
        </w:tc>
      </w:tr>
      <w:tr>
        <w:tc>
          <w:tcPr>
            <w:tcW w:type="dxa" w:w="7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21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البناء</w:t>
            </w:r>
          </w:p>
        </w:tc>
        <w:tc>
          <w:tcPr>
            <w:tcW w:type="dxa" w:w="3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بناء صور Docker للخلفية والتطبيقات</w:t>
            </w:r>
          </w:p>
        </w:tc>
        <w:tc>
          <w:tcPr>
            <w:tcW w:type="dxa" w:w="29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بناء ناجح موسوم بالإصدار</w:t>
            </w:r>
          </w:p>
        </w:tc>
      </w:tr>
      <w:tr>
        <w:tc>
          <w:tcPr>
            <w:tcW w:type="dxa" w:w="7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النشر التجريبي</w:t>
            </w:r>
          </w:p>
        </w:tc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نشر تلقائي على Staging + Migrations</w:t>
            </w:r>
          </w:p>
        </w:tc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بيئة حية تجتاز فحص الجاهزية</w:t>
            </w:r>
          </w:p>
        </w:tc>
      </w:tr>
      <w:tr>
        <w:tc>
          <w:tcPr>
            <w:tcW w:type="dxa" w:w="7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21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النشر الإنتاجي</w:t>
            </w:r>
          </w:p>
        </w:tc>
        <w:tc>
          <w:tcPr>
            <w:tcW w:type="dxa" w:w="36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بموافقة يدوية، نشر تدريجي مع إمكان التراجع</w:t>
            </w:r>
          </w:p>
        </w:tc>
        <w:tc>
          <w:tcPr>
            <w:tcW w:type="dxa" w:w="29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مؤشرات صحية مستقرة بعد النشر</w:t>
            </w:r>
          </w:p>
        </w:tc>
      </w:tr>
    </w:tbl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3. إدارة الأسرار والإعدادات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2500"/>
        <w:gridCol w:w="6800"/>
      </w:tblGrid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فصل تام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لا أسرار في المستودع إطلاقاً — كلها متغيرات بيئة عبر Docker secrets لكل بيئة.</w:t>
            </w:r>
          </w:p>
        </w:tc>
      </w:tr>
      <w:tr>
        <w:tc>
          <w:tcPr>
            <w:tcW w:type="dxa" w:w="25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ملف مرجعي</w:t>
            </w:r>
          </w:p>
        </w:tc>
        <w:tc>
          <w:tcPr>
            <w:tcW w:type="dxa" w:w="6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env.example موثق بكل المفاتيح المطلوبة بقيم وهمية، يُحدّث مع كل مفتاح جديد.</w:t>
            </w:r>
          </w:p>
        </w:tc>
      </w:tr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التدوير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أسرار الإنتاج (مفاتيح الدفع، JWT) قابلة للتدوير دون إعادة نشر الكود.</w:t>
            </w:r>
          </w:p>
        </w:tc>
      </w:tr>
    </w:tbl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4. قاعدة البيانات والهجرات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2500"/>
        <w:gridCol w:w="6800"/>
      </w:tblGrid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Alembic إلزامي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كل تغيير مخطط عبر Migration مُراجَع، يعمل صعوداً ونزولاً — لا create_all في أي بيئة.</w:t>
            </w:r>
          </w:p>
        </w:tc>
      </w:tr>
      <w:tr>
        <w:tc>
          <w:tcPr>
            <w:tcW w:type="dxa" w:w="25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الترتيب</w:t>
            </w:r>
          </w:p>
        </w:tc>
        <w:tc>
          <w:tcPr>
            <w:tcW w:type="dxa" w:w="6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تُطبّق الهجرات آلياً في خطوة النشر قبل تشغيل النسخة الجديدة.</w:t>
            </w:r>
          </w:p>
        </w:tc>
      </w:tr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النسخ الاحتياطي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نسخة تلقائية قبل كل هجرة إنتاجية، ونسخ يومي مع اختبار استعادة ربع سنوي.</w:t>
            </w:r>
          </w:p>
        </w:tc>
      </w:tr>
    </w:tbl>
    <w:p>
      <w:r>
        <w:br w:type="page"/>
      </w:r>
    </w:p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5. المراقبة والتنبيه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الجانب</w:t>
            </w:r>
          </w:p>
        </w:tc>
        <w:tc>
          <w:tcPr>
            <w:tcW w:type="dxa" w:w="71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المطلوب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السجلات</w:t>
            </w:r>
          </w:p>
        </w:tc>
        <w:tc>
          <w:tcPr>
            <w:tcW w:type="dxa" w:w="7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تجميع مركزي منظم (JSON) لكل الخدمات مع معرّف تتبع لكل طلب</w:t>
            </w:r>
          </w:p>
        </w:tc>
      </w:tr>
      <w:tr>
        <w:tc>
          <w:tcPr>
            <w:tcW w:type="dxa" w:w="22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المقاييس</w:t>
            </w:r>
          </w:p>
        </w:tc>
        <w:tc>
          <w:tcPr>
            <w:tcW w:type="dxa" w:w="71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زمن الاستجابة، معدل الأخطاء، الإنتاجية — مقابل أهداف SRS القسم 6</w:t>
            </w:r>
          </w:p>
        </w:tc>
      </w:tr>
      <w:tr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التنبيهات</w:t>
            </w:r>
          </w:p>
        </w:tc>
        <w:tc>
          <w:tcPr>
            <w:tcW w:type="dxa" w:w="71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إشعار فوري عند تجاوز عتبة الأخطاء أو زمن الاستجابة أو فشل مهمة خلفية</w:t>
            </w:r>
          </w:p>
        </w:tc>
      </w:tr>
      <w:tr>
        <w:tc>
          <w:tcPr>
            <w:tcW w:type="dxa" w:w="22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مهام Celery</w:t>
            </w:r>
          </w:p>
        </w:tc>
        <w:tc>
          <w:tcPr>
            <w:tcW w:type="dxa" w:w="71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لوحة لمراقبة المؤشر الليلي والتسويات وطوابير الإشعارات وإعادة المحاولة</w:t>
            </w:r>
          </w:p>
        </w:tc>
      </w:tr>
    </w:tbl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6. استراتيجية الإصدارات والتراجع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2500"/>
        <w:gridCol w:w="6800"/>
      </w:tblGrid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الترقيم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إصدار دلالي (SemVer) موسوم على كل بناء إنتاجي.</w:t>
            </w:r>
          </w:p>
        </w:tc>
      </w:tr>
      <w:tr>
        <w:tc>
          <w:tcPr>
            <w:tcW w:type="dxa" w:w="25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التراجع</w:t>
            </w:r>
          </w:p>
        </w:tc>
        <w:tc>
          <w:tcPr>
            <w:tcW w:type="dxa" w:w="6800"/>
            <w:shd w:fill="F5FAF8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كل نشر إنتاجي قابل للتراجع الفوري للإصدار السابق مع هجرة عكسية آمنة.</w:t>
            </w:r>
          </w:p>
        </w:tc>
      </w:tr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  <w:rtl/>
              </w:rPr>
              <w:t xml:space="preserve">أعلام الميزات</w:t>
            </w:r>
          </w:p>
        </w:tc>
        <w:tc>
          <w:tcPr>
            <w:tcW w:type="dxa" w:w="68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الميزات الكبيرة خلف أعلام (Feature Flags) للتفعيل التدريجي دون إعادة نشر.</w:t>
            </w:r>
          </w:p>
        </w:tc>
      </w:tr>
    </w:tbl>
    <w:p>
      <w:pPr>
        <w:pBdr>
          <w:bottom w:val="single" w:color="0F6E56" w:sz="12" w:space="4"/>
        </w:pBdr>
        <w:bidi/>
        <w:spacing w:after="140" w:before="280" w:line="300"/>
        <w:jc w:val="start"/>
      </w:pPr>
      <w:r>
        <w:rPr>
          <w:rFonts w:ascii="Arial" w:cs="Arial" w:eastAsia="Arial" w:hAnsi="Arial"/>
          <w:b/>
          <w:bCs/>
          <w:color w:val="0F6E56"/>
          <w:sz w:val="28"/>
          <w:szCs w:val="28"/>
          <w:rtl/>
        </w:rPr>
        <w:t xml:space="preserve">7. الاعتماد</w:t>
      </w:r>
    </w:p>
    <w:tbl>
      <w:tblPr>
        <w:bidiVisual/>
        <w:tblW w:type="dxa" w:w="9300"/>
        <w:tblBorders>
          <w:top w:val="single" w:color="9CC5B7" w:sz="4"/>
          <w:left w:val="single" w:color="9CC5B7" w:sz="4"/>
          <w:bottom w:val="single" w:color="9CC5B7" w:sz="4"/>
          <w:right w:val="single" w:color="9CC5B7" w:sz="4"/>
          <w:insideH w:val="single" w:color="9CC5B7" w:sz="4"/>
          <w:insideV w:val="single" w:color="9CC5B7" w:sz="4"/>
        </w:tblBorders>
      </w:tblPr>
      <w:tblGrid>
        <w:gridCol w:w="2600"/>
        <w:gridCol w:w="3200"/>
        <w:gridCol w:w="1900"/>
        <w:gridCol w:w="1600"/>
      </w:tblGrid>
      <w:tr>
        <w:trPr>
          <w:tblHeader/>
        </w:trPr>
        <w:tc>
          <w:tcPr>
            <w:tcW w:type="dxa" w:w="26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32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الصفة</w:t>
            </w:r>
          </w:p>
        </w:tc>
        <w:tc>
          <w:tcPr>
            <w:tcW w:type="dxa" w:w="19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التوقيع</w:t>
            </w:r>
          </w:p>
        </w:tc>
        <w:tc>
          <w:tcPr>
            <w:tcW w:type="dxa" w:w="1600"/>
            <w:shd w:fill="0F6E5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التاريخ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محمد</w:t>
            </w:r>
          </w:p>
        </w:tc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المهندس الرئيسي / مدير المشروع</w:t>
            </w:r>
          </w:p>
        </w:tc>
        <w:tc>
          <w:tcPr>
            <w:tcW w:type="dxa" w:w="1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16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bidi/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2026-07-03T12:24:37.226Z</dcterms:created>
  <dcterms:modified xsi:type="dcterms:W3CDTF">2026-07-03T12:24:37.226Z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