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 w:before="0" w:line="30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  <w:rtl/>
        </w:rPr>
        <w:t xml:space="preserve">وثيقة المعمارية عالية المستوى</w:t>
      </w:r>
    </w:p>
    <w:p>
      <w:pPr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6"/>
          <w:szCs w:val="26"/>
          <w:rtl/>
        </w:rPr>
        <w:t xml:space="preserve">High-Level Design (HLD)</w:t>
      </w:r>
    </w:p>
    <w:p>
      <w:pPr>
        <w:bidi/>
        <w:spacing w:after="900" w:before="0" w:line="30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  <w:rtl/>
        </w:rPr>
        <w:t xml:space="preserve">منصة تجارة الجملة الإلكترونية B2B / B2C</w:t>
      </w:r>
    </w:p>
    <w:p>
      <w:pPr>
        <w:shd w:fill="0F6E56" w:val="clear"/>
        <w:bidi/>
        <w:spacing w:after="200" w:before="0" w:line="3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rtl/>
        </w:rPr>
        <w:t xml:space="preserve">مستند المرحلة الثالثة: التصميم — DES-01</w:t>
      </w:r>
    </w:p>
    <w:p>
      <w:pPr>
        <w:bidi/>
        <w:spacing w:after="10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  <w:rtl/>
        </w:rPr>
        <w:t xml:space="preserve">الإصدار 1.0  •  يوليو 2026  •  المراجع: REQ-02 (SRS)، DES-02 (ERD/SQL)، DES-03 (OpenAPI)</w:t>
      </w:r>
    </w:p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1. المعمارية العامة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النمط المعتمد: Modular Monolith — تطبيق FastAPI واحد مقسم داخلياً إلى ثماني وحدات معزولة الحدود (كل وحدة: router + service + repository)، قابلة للفصل لاحقاً إلى خدمات مستقلة دون إعادة كتابة. هذا الخيار يوازن بين سرعة التطوير بفريق فردي معزز بالذكاء الاصطناعي وبين قابلية التوسع المستقبلية.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18"/>
          <w:szCs w:val="18"/>
          <w:rtl/>
        </w:rPr>
        <w:t xml:space="preserve">الشكل 1: المعمارية عالية المستوى — أربع طبقات: العملاء، البوابة، الوحدات الخدمية والمهام الخلفية، وطبقة البيانات</w:t>
      </w:r>
    </w:p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2. مسؤوليات المكونات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600"/>
        <w:gridCol w:w="5000"/>
        <w:gridCol w:w="17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المكوّن</w:t>
            </w:r>
          </w:p>
        </w:tc>
        <w:tc>
          <w:tcPr>
            <w:tcW w:type="dxa" w:w="50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المسؤولية</w:t>
            </w:r>
          </w:p>
        </w:tc>
        <w:tc>
          <w:tcPr>
            <w:tcW w:type="dxa" w:w="17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مرجع SRS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API Gateway</w:t>
            </w:r>
          </w:p>
        </w:tc>
        <w:tc>
          <w:tcPr>
            <w:tcW w:type="dxa" w:w="5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توثيق JWT، تحديد المعدل، توجيه الدولة عبر ترويسة X-Country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SRS-AUT-02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Identity &amp; KYC</w:t>
            </w:r>
          </w:p>
        </w:tc>
        <w:tc>
          <w:tcPr>
            <w:tcW w:type="dxa" w:w="50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الحسابات، OTP، سير اعتماد التاجر والمورد، الصلاحيات</w:t>
            </w:r>
          </w:p>
        </w:tc>
        <w:tc>
          <w:tcPr>
            <w:tcW w:type="dxa" w:w="1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SRS-AUT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Catalog &amp; Search</w:t>
            </w:r>
          </w:p>
        </w:tc>
        <w:tc>
          <w:tcPr>
            <w:tcW w:type="dxa" w:w="5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المنتجات والتصنيفات والترجمة، فهرسة Elasticsearch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SRS-CAT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Pricing &amp; RFQ</w:t>
            </w:r>
          </w:p>
        </w:tc>
        <w:tc>
          <w:tcPr>
            <w:tcW w:type="dxa" w:w="50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الشرائح، فصل أسعار الأدوار، دورة عروض الأسعار</w:t>
            </w:r>
          </w:p>
        </w:tc>
        <w:tc>
          <w:tcPr>
            <w:tcW w:type="dxa" w:w="1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SRS-PRC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Orders &amp; Returns</w:t>
            </w:r>
          </w:p>
        </w:tc>
        <w:tc>
          <w:tcPr>
            <w:tcW w:type="dxa" w:w="5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آلة الحالات، الخصم الذري، التقسيم متعدد الموردين، المرتجعات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SRS-ORD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Payments &amp; Wallet</w:t>
            </w:r>
          </w:p>
        </w:tc>
        <w:tc>
          <w:tcPr>
            <w:tcW w:type="dxa" w:w="50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Adapter البوابات، دفتر القيود، التسويات، فوترة ZATCA</w:t>
            </w:r>
          </w:p>
        </w:tc>
        <w:tc>
          <w:tcPr>
            <w:tcW w:type="dxa" w:w="1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SRS-PAY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Delivery &amp; Fleet</w:t>
            </w:r>
          </w:p>
        </w:tc>
        <w:tc>
          <w:tcPr>
            <w:tcW w:type="dxa" w:w="5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المناطق، الإسناد، التتبع الحي، إثبات التسليم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SRS-DLV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Market Price Engine</w:t>
            </w:r>
          </w:p>
        </w:tc>
        <w:tc>
          <w:tcPr>
            <w:tcW w:type="dxa" w:w="50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اللقطات، المطابقة، المؤشر الليلي، شارة التوفير</w:t>
            </w:r>
          </w:p>
        </w:tc>
        <w:tc>
          <w:tcPr>
            <w:tcW w:type="dxa" w:w="1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SRS-MKT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Celery Workers</w:t>
            </w:r>
          </w:p>
        </w:tc>
        <w:tc>
          <w:tcPr>
            <w:tcW w:type="dxa" w:w="5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المؤشر الليلي، التسويات الأسبوعية، طوابير الإشعارات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SRS-MKT/PAY/NTF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3. تصميم البيانات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المخطط الكامل مُسلَّم كملف تنفيذي DES-02_schema.sql (نحو 20 جدولاً بالقيود والفهارس والتعليقات). أبرز القرارات: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المال Numeric(12,2)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قيود CHECK موجبة على كل الأسعار، ودقة 3 خانات للدينار الكويتي على مستوى العرض.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الترجمة المركزية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جدول translations واحد بمفتاح (كيان، معرف، لغة، حقل) — إضافة لغة لا تلمس أي جدول.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المحفظة دفتر قيود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wallet_entries بقيود دائن/مدين مرجعية — الرصيد محصلة، لا حقل يُعدَّل.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لقطات التسعير في الطلب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order_items يجمّد سعر الوحدة والشريحة ومؤشر السوق وقت التأكيد — التقارير التاريخية لا تتأثر بتغير الأسعار.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الخصم الذري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UPDATE مشروط بالمخزون الكافي داخل معاملة الطلب — نمط الاستخدام موثق داخل ملف SQL نفسه.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مؤشر السوق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جدول لقطات مفهرس للحساب + جدول مؤشر يومي بمفتاح (منتج، دولة، تاريخ) يغذي الشارة وتاريخ الأسعار.</w:t>
            </w:r>
          </w:p>
        </w:tc>
      </w:tr>
    </w:tbl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4. عقود الواجهات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العقد الكامل مُسلَّم بصيغة OpenAPI 3 في DES-03_openapi.yaml (17 مساراً للنواة) — يُستورد مباشرة في Postman/Swagger ويولّد منه عملاء التطبيقات. المبادئ الحاكمة: الاستجابات حسب الدور (أسعار الجملة لا تظهر في أي استجابة لغير التاجر الموثق)، وX-Country ترويسة إلزامية، وAccept-Language يحدد لغة المحتوى المترجم، وأخطاء بأكواد دلالية (409 نفاد مخزون، 402 يتطلب بريميوم، 423 قفل محاولات).</w:t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5. معمارية الأمن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الجلسات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Access JWT قصير (15 دقيقة) + Refresh في كوكي HttpOnly Secure — لا توكنات في localStorage.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الأسرار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متغيرات بيئة عبر Docker secrets، ولا أسرار في المستودع (قاعدة من مراجعة النموذج الأولي).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الدفع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لا تخزين لبيانات البطاقات، وتحقق توقيع لكل Webhook مع Idempotency.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البيانات الشخصية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تشفير الحقول الحساسة، وحذف منطقي مع سياسة احتفاظ متوافقة مع PDPL.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الحوكمة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مراجعة بشرية لكل كود مولّد بالذكاء الاصطناعي + فحص أمني خارجي قبل الإطلاق (قيد PLN-01).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6. النشر والتشغيل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71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المواصفة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Development</w:t>
            </w:r>
          </w:p>
        </w:tc>
        <w:tc>
          <w:tcPr>
            <w:tcW w:type="dxa" w:w="7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Docker Compose كامل المكونات محلياً + بيانات بذور</w:t>
            </w:r>
          </w:p>
        </w:tc>
      </w:tr>
      <w:tr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Staging</w:t>
            </w:r>
          </w:p>
        </w:tc>
        <w:tc>
          <w:tcPr>
            <w:tcW w:type="dxa" w:w="7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خادم سحابي مطابق للإنتاج، بيئات Sandbox للدفع وZATCA، تُجرى عليه UAT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Production</w:t>
            </w:r>
          </w:p>
        </w:tc>
        <w:tc>
          <w:tcPr>
            <w:tcW w:type="dxa" w:w="7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Docker على خوادم سحابية، نسخ يومي مع اختبار استعادة ربع سنوي، مراقبة وتنبيهات (RTO أقل من 4 ساعات)</w:t>
            </w:r>
          </w:p>
        </w:tc>
      </w:tr>
      <w:tr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CI/CD</w:t>
            </w:r>
          </w:p>
        </w:tc>
        <w:tc>
          <w:tcPr>
            <w:tcW w:type="dxa" w:w="7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فحص ثابت + اختبارات + بناء صور عند كل دمج، ونشر Staging تلقائي والإنتاج بموافقة يدوية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7. قرارات معمارية موثقة (ADR)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600"/>
        <w:gridCol w:w="2900"/>
        <w:gridCol w:w="38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القرار</w:t>
            </w:r>
          </w:p>
        </w:tc>
        <w:tc>
          <w:tcPr>
            <w:tcW w:type="dxa" w:w="29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البدائل المرفوضة</w:t>
            </w:r>
          </w:p>
        </w:tc>
        <w:tc>
          <w:tcPr>
            <w:tcW w:type="dxa" w:w="38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Modular Monolith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Microservices من البداية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فريق فردي — التعقيد التشغيلي للخدمات المصغرة غير مبرر قبل النمو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Flutter للتطبيقات الثلاثة</w:t>
            </w:r>
          </w:p>
        </w:tc>
        <w:tc>
          <w:tcPr>
            <w:tcW w:type="dxa" w:w="2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Native لكل منصة</w:t>
            </w:r>
          </w:p>
        </w:tc>
        <w:tc>
          <w:tcPr>
            <w:tcW w:type="dxa" w:w="3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كود واحد يخفض الكلفة 60%+ ويناسب النموذج المعزز بالذكاء الاصطناعي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PostgreSQL موحدة بفصل country_id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قاعدة لكل دولة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تشغيل أبسط، والفصل بالمفتاح يكفي للأحجام المستهدفة، مع مسار ترقية Schema-per-country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مضلعات GeoJSON في jsonb</w:t>
            </w:r>
          </w:p>
        </w:tc>
        <w:tc>
          <w:tcPr>
            <w:tcW w:type="dxa" w:w="2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PostGIS فوراً</w:t>
            </w:r>
          </w:p>
        </w:tc>
        <w:tc>
          <w:tcPr>
            <w:tcW w:type="dxa" w:w="3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يكفي للتحقق من التغطية، وPostGIS ترقية موثقة عند الحاجة لاستعلامات جغرافية معقدة</w:t>
            </w:r>
          </w:p>
        </w:tc>
      </w:tr>
    </w:tbl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8. التصديق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بالتوقيع أدناه تُعتمد المعمارية والمخطط والعقود (DES-01/02/03) أساساً لبدء مرحلة التطوير، وبها يكتمل شرط المراجعة البوابية المنصوص في الحالة التجارية PLN-02.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600"/>
        <w:gridCol w:w="3200"/>
        <w:gridCol w:w="1900"/>
        <w:gridCol w:w="16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3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الصفة</w:t>
            </w:r>
          </w:p>
        </w:tc>
        <w:tc>
          <w:tcPr>
            <w:tcW w:type="dxa" w:w="19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التوقيع</w:t>
            </w:r>
          </w:p>
        </w:tc>
        <w:tc>
          <w:tcPr>
            <w:tcW w:type="dxa" w:w="1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راعي المشروع</w:t>
            </w:r>
          </w:p>
        </w:tc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محمد</w:t>
            </w:r>
          </w:p>
        </w:tc>
        <w:tc>
          <w:tcPr>
            <w:tcW w:type="dxa" w:w="3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المهندس الرئيسي / مدير المشروع</w:t>
            </w:r>
          </w:p>
        </w:tc>
        <w:tc>
          <w:tcPr>
            <w:tcW w:type="dxa" w:w="1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f93679f7b6b065f9ece334ffdfaccbb11ba9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2026-07-03T12:20:43.762Z</dcterms:created>
  <dcterms:modified xsi:type="dcterms:W3CDTF">2026-07-03T12:20:43.773Z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