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bidi/>
        <w:spacing w:after="160" w:before="0" w:line="30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  <w:rtl/>
        </w:rPr>
        <w:t xml:space="preserve">معايير الكود وسير العمل</w:t>
      </w:r>
    </w:p>
    <w:p>
      <w:pPr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6"/>
          <w:szCs w:val="26"/>
          <w:rtl/>
        </w:rPr>
        <w:t xml:space="preserve">Coding Standards &amp; Git Workflow</w:t>
      </w:r>
    </w:p>
    <w:p>
      <w:pPr>
        <w:bidi/>
        <w:spacing w:after="900" w:before="0" w:line="30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  <w:rtl/>
        </w:rPr>
        <w:t xml:space="preserve">منصة تجارة الجملة الإلكترونية B2B / B2C</w:t>
      </w:r>
    </w:p>
    <w:p>
      <w:pPr>
        <w:shd w:fill="0F6E56" w:val="clear"/>
        <w:bidi/>
        <w:spacing w:after="200" w:before="0" w:line="3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  <w:rtl/>
        </w:rPr>
        <w:t xml:space="preserve">مستند المرحلة الرابعة: التطوير — DEV-01</w:t>
      </w:r>
    </w:p>
    <w:p>
      <w:pPr>
        <w:bidi/>
        <w:spacing w:after="100" w:before="0" w:line="30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  <w:rtl/>
        </w:rPr>
        <w:t xml:space="preserve">الإصدار 1.0  •  يوليو 2026  •  نموذج تطوير معزز بالذكاء الاصطناعي</w:t>
      </w:r>
    </w:p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1. الغرض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توحيد أسلوب كتابة الكود ومراجعته ودمجه لضمان جودة متسقة وقابلية توسع، بصرف النظر عمّن كتب الكود — مهندساً أو أداة ذكاء اصطناعي. هذه المعايير ملزمة لكل سطر يدخل المستودع.</w:t>
      </w:r>
    </w:p>
    <w:p>
      <w:pPr>
        <w:shd w:fill="E1F5EE" w:val="clear"/>
        <w:bidi/>
        <w:spacing w:after="160" w:before="0" w:line="300"/>
        <w:jc w:val="start"/>
      </w:pPr>
      <w:r>
        <w:rPr>
          <w:rFonts w:ascii="Arial" w:cs="Arial" w:eastAsia="Arial" w:hAnsi="Arial"/>
          <w:b/>
          <w:bCs/>
          <w:color w:val="0F6E56"/>
          <w:sz w:val="21"/>
          <w:szCs w:val="21"/>
          <w:rtl/>
        </w:rPr>
        <w:t xml:space="preserve">القاعدة الحاكمة: لا يُدمج أي كود — بشرياً كان أو مولّداً بالذكاء الاصطناعي — دون اجتياز الفحص الآلي ومراجعة بشرية موثقة. الكود المولّد يُعامل كمقترح لا كحقيقة.</w:t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2. بنية المستودع والطبقات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مستودع أحادي (Monorepo) يضم الخلفية والتطبيقات ومكتبة مشتركة. تُحفظ الحدود بين الطبقات بصرامة، وقد كشفت مراجعة النموذج الأولي أن غيابها هو أكبر خطر معماري.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1800"/>
        <w:gridCol w:w="4400"/>
        <w:gridCol w:w="3100"/>
      </w:tblGrid>
      <w:tr>
        <w:trPr>
          <w:tblHeader/>
        </w:trPr>
        <w:tc>
          <w:tcPr>
            <w:tcW w:type="dxa" w:w="18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الطبقة</w:t>
            </w:r>
          </w:p>
        </w:tc>
        <w:tc>
          <w:tcPr>
            <w:tcW w:type="dxa" w:w="44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المسؤولية الحصرية</w:t>
            </w:r>
          </w:p>
        </w:tc>
        <w:tc>
          <w:tcPr>
            <w:tcW w:type="dxa" w:w="31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ما يُمنع فيها</w:t>
            </w:r>
          </w:p>
        </w:tc>
      </w:tr>
      <w:tr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Router / API</w:t>
            </w:r>
          </w:p>
        </w:tc>
        <w:tc>
          <w:tcPr>
            <w:tcW w:type="dxa" w:w="4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استقبال الطلب، التحقق من الإدخال، إرجاع الاستجابة</w:t>
            </w:r>
          </w:p>
        </w:tc>
        <w:tc>
          <w:tcPr>
            <w:tcW w:type="dxa" w:w="3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منطق أعمال أو استعلامات مباشرة</w:t>
            </w:r>
          </w:p>
        </w:tc>
      </w:tr>
      <w:tr>
        <w:tc>
          <w:tcPr>
            <w:tcW w:type="dxa" w:w="1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Service</w:t>
            </w:r>
          </w:p>
        </w:tc>
        <w:tc>
          <w:tcPr>
            <w:tcW w:type="dxa" w:w="44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منطق الأعمال، قابل للاستدعاء من API وCelery والاختبار</w:t>
            </w:r>
          </w:p>
        </w:tc>
        <w:tc>
          <w:tcPr>
            <w:tcW w:type="dxa" w:w="3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تفاصيل HTTP أو SQL خام</w:t>
            </w:r>
          </w:p>
        </w:tc>
      </w:tr>
      <w:tr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Repository</w:t>
            </w:r>
          </w:p>
        </w:tc>
        <w:tc>
          <w:tcPr>
            <w:tcW w:type="dxa" w:w="4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الوصول للبيانات عبر ORM</w:t>
            </w:r>
          </w:p>
        </w:tc>
        <w:tc>
          <w:tcPr>
            <w:tcW w:type="dxa" w:w="3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قرارات أعمال</w:t>
            </w:r>
          </w:p>
        </w:tc>
      </w:tr>
      <w:tr>
        <w:tc>
          <w:tcPr>
            <w:tcW w:type="dxa" w:w="1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Schema</w:t>
            </w:r>
          </w:p>
        </w:tc>
        <w:tc>
          <w:tcPr>
            <w:tcW w:type="dxa" w:w="44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عقود الإدخال/الإخراج (Pydantic)</w:t>
            </w:r>
          </w:p>
        </w:tc>
        <w:tc>
          <w:tcPr>
            <w:tcW w:type="dxa" w:w="3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استخدام dict حر بدل نماذج</w:t>
            </w:r>
          </w:p>
        </w:tc>
      </w:tr>
      <w:tr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Model</w:t>
            </w:r>
          </w:p>
        </w:tc>
        <w:tc>
          <w:tcPr>
            <w:tcW w:type="dxa" w:w="44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تعريف الجداول</w:t>
            </w:r>
          </w:p>
        </w:tc>
        <w:tc>
          <w:tcPr>
            <w:tcW w:type="dxa" w:w="3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منطق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3. التسمية والأسلوب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500"/>
        <w:gridCol w:w="6800"/>
      </w:tblGrid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الخلفية Python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التزام PEP 8 مؤتمت بـ ruff، فحص أنواع بـ mypy الوضع الصارم، تنسيق بـ black — لا استثناءات يدوية.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التطبيقات Dart/Flutter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التزام dart analyze + قواعد lint المشروع، ومكونات صغيرة مفصولة عن المنطق.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التسمية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أسماء واضحة كاملة بالإنجليزية للكود، لا اختصارات غامضة، والثوابت في ملف إعدادات مركزي لا مبعثرة.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التعليقات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التعليق يشرح لماذا لا ماذا، وكل قرار غير بديهي يُوثّق، والتعليقات بالإنجليزية.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حجم الوحدة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الدالة تفعل شيئاً واحداً، والملف لا يتضخم (تنبيه فوق 400 سطر) — تجنباً لنمط Fat Controller الذي رُصد في النموذج الأولي.</w:t>
            </w:r>
          </w:p>
        </w:tc>
      </w:tr>
    </w:tbl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4. القواعد غير القابلة للتفاوض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هذه القواعد مستخلصة مباشرة من مراجعة النموذج الأولي ومن SRS، ومخالفتها ترفض الدمج آلياً حيثما أمكن: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4200"/>
        <w:gridCol w:w="5100"/>
      </w:tblGrid>
      <w:tr>
        <w:trPr>
          <w:tblHeader/>
        </w:trPr>
        <w:tc>
          <w:tcPr>
            <w:tcW w:type="dxa" w:w="42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القاعدة</w:t>
            </w:r>
          </w:p>
        </w:tc>
        <w:tc>
          <w:tcPr>
            <w:tcW w:type="dxa" w:w="51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المبرر</w:t>
            </w:r>
          </w:p>
        </w:tc>
      </w:tr>
      <w:t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كل قيمة مالية Decimal — يُمنع Float</w:t>
            </w:r>
          </w:p>
        </w:tc>
        <w:tc>
          <w:tcPr>
            <w:tcW w:type="dxa" w:w="5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أخطاء التقريب تفشل الفواتير وتطابق ZATCA</w:t>
            </w:r>
          </w:p>
        </w:tc>
      </w:tr>
      <w:tr>
        <w:tc>
          <w:tcPr>
            <w:tcW w:type="dxa" w:w="4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لا سر في الكود أو المستودع — بيئة فقط</w:t>
            </w:r>
          </w:p>
        </w:tc>
        <w:tc>
          <w:tcPr>
            <w:tcW w:type="dxa" w:w="5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منع تسريب الأسرار (رُصد .env في النموذج)</w:t>
            </w:r>
          </w:p>
        </w:tc>
      </w:tr>
      <w:t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لا رمز OTP ولا بيانات حساسة في أي استجابة</w:t>
            </w:r>
          </w:p>
        </w:tc>
        <w:tc>
          <w:tcPr>
            <w:tcW w:type="dxa" w:w="5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ثغرة استيلاء على الحسابات (رُصدت في النموذج)</w:t>
            </w:r>
          </w:p>
        </w:tc>
      </w:tr>
      <w:tr>
        <w:tc>
          <w:tcPr>
            <w:tcW w:type="dxa" w:w="4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خصم المخزون ذري داخل معاملة</w:t>
            </w:r>
          </w:p>
        </w:tc>
        <w:tc>
          <w:tcPr>
            <w:tcW w:type="dxa" w:w="5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منع البيع الزائد (رُصد سباق في النموذج)</w:t>
            </w:r>
          </w:p>
        </w:tc>
      </w:tr>
      <w:t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توكنات في كوكي HttpOnly لا localStorage</w:t>
            </w:r>
          </w:p>
        </w:tc>
        <w:tc>
          <w:tcPr>
            <w:tcW w:type="dxa" w:w="5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الحماية من سرقة الجلسات عبر XSS</w:t>
            </w:r>
          </w:p>
        </w:tc>
      </w:tr>
      <w:tr>
        <w:tc>
          <w:tcPr>
            <w:tcW w:type="dxa" w:w="4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كل استعلام كتابة داخل معاملة صريحة</w:t>
            </w:r>
          </w:p>
        </w:tc>
        <w:tc>
          <w:tcPr>
            <w:tcW w:type="dxa" w:w="5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سلامة البيانات</w:t>
            </w:r>
          </w:p>
        </w:tc>
      </w:tr>
      <w:t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لا حزمة بمصدر مجهول أو اسم منتحل</w:t>
            </w:r>
          </w:p>
        </w:tc>
        <w:tc>
          <w:tcPr>
            <w:tcW w:type="dxa" w:w="5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رُصدت حزمة cv2 منتحلة في النموذج</w:t>
            </w:r>
          </w:p>
        </w:tc>
      </w:tr>
      <w:tr>
        <w:tc>
          <w:tcPr>
            <w:tcW w:type="dxa" w:w="4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Migrations عبر Alembic — لا create_all</w:t>
            </w:r>
          </w:p>
        </w:tc>
        <w:tc>
          <w:tcPr>
            <w:tcW w:type="dxa" w:w="5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تعديل المخطط على بيانات حقيقية بأمان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5. سير عمل Git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500"/>
        <w:gridCol w:w="6800"/>
      </w:tblGrid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الفروع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main محمي (لا دفع مباشر)، فرع لكل مهمة feature/xxx أو fix/xxx من main، وعمر الفرع قصير (أقل من أسبوع).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الربط بالمتطلبات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كل فرع مرتبط بمتطلب في مصفوفة التتبع RTM، ويُحدّث عمود الحالة عند الدمج.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الرسائل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Conventional Commits: feat/fix/refactor/test/docs مع وصف موجز بالإنجليزية.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Pull Request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لكل دمج PR إلزامي يصف: ماذا، لماذا، وأي متطلب RTM، مع لقطات للواجهات إن وُجدت.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6. بوابة مراجعة الكود المولّد بالذكاء الاصطناعي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لأن معظم الكود يُولّد بأدوات الذكاء الاصطناعي، هذه البوابة هي أهم ضمان للجودة. كل PR يجتاز قائمة تحقق قبل الدمج: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نقطة الفحص</w:t>
            </w:r>
          </w:p>
        </w:tc>
        <w:tc>
          <w:tcPr>
            <w:tcW w:type="dxa" w:w="67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السؤال الحاكم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الصحة الوظيفية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هل ينفذ المطلوب فعلاً ويطابق مواصفة SRS المرتبطة؟</w:t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القواعد غير القابلة للتفاوض</w:t>
            </w:r>
          </w:p>
        </w:tc>
        <w:tc>
          <w:tcPr>
            <w:tcW w:type="dxa" w:w="6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هل يلتزم كل قواعد القسم 4؟ (المال، الأسرار، الذرية، الجلسات)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الحدود المعمارية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هل المنطق في الطبقة الصحيحة ولم يتسرب للـRouter؟</w:t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الأمان</w:t>
            </w:r>
          </w:p>
        </w:tc>
        <w:tc>
          <w:tcPr>
            <w:tcW w:type="dxa" w:w="6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مدخلات موثقة؟ صلاحيات مفحوصة؟ لا تسريب بيانات في الاستجابة؟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الحزم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هل كل تبعية جديدة من مصدر موثوق وبإصدار مثبّت؟</w:t>
            </w:r>
          </w:p>
        </w:tc>
      </w:tr>
      <w:tr>
        <w:tc>
          <w:tcPr>
            <w:tcW w:type="dxa" w:w="2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الاختبار</w:t>
            </w:r>
          </w:p>
        </w:tc>
        <w:tc>
          <w:tcPr>
            <w:tcW w:type="dxa" w:w="6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هل يغطي اختبار مسارات المال والحالات الحدية؟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الوهم البرمجي</w:t>
            </w:r>
          </w:p>
        </w:tc>
        <w:tc>
          <w:tcPr>
            <w:tcW w:type="dxa" w:w="6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هل كل دالة/حزمة يستدعيها الكود موجودة فعلاً (لا Hallucination)؟</w:t>
            </w:r>
          </w:p>
        </w:tc>
      </w:tr>
    </w:tbl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7. معايير الاختبار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500"/>
        <w:gridCol w:w="6800"/>
      </w:tblGrid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تغطية إلزامية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كل منطق تسعير ومخزون ودفع مغطى باختبارات وحدة — هذه مسارات المال ولا تُدمج بدونها.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اختبارات التكامل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المسارات الحرجة (تسجيل ← طلب ← خصم ← دفع ← تسوية) باختبارات تكامل على قاعدة اختبار.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E2E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المسارات الأساسية في التطبيقات بـ Playwright/Flutter integration tests.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البوابة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لا يُدمج PR إذا انخفضت التغطية عن الخط المتفق، أو فشل أي اختبار.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8. تعريف الإنجاز (Definition of Done)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لا تُعتبر أي مهمة منجزة إلا باكتمال كل ما يلي: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800"/>
        <w:gridCol w:w="8500"/>
      </w:tblGrid>
      <w:tr>
        <w:trPr>
          <w:tblHeader/>
        </w:trPr>
        <w:tc>
          <w:tcPr>
            <w:tcW w:type="dxa" w:w="8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85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الشرط</w:t>
            </w:r>
          </w:p>
        </w:tc>
      </w:tr>
      <w:tr>
        <w:tc>
          <w:tcPr>
            <w:tcW w:type="dxa" w:w="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8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الكود يطابق مواصفة SRS المرتبطة ويجتاز الفحص الآلي (ruff/mypy/analyze)</w:t>
            </w:r>
          </w:p>
        </w:tc>
      </w:tr>
      <w:tr>
        <w:tc>
          <w:tcPr>
            <w:tcW w:type="dxa" w:w="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8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اجتياز بوابة مراجعة الكود المولّد (القسم 6) بمراجعة بشرية موثقة في PR</w:t>
            </w:r>
          </w:p>
        </w:tc>
      </w:tr>
      <w:tr>
        <w:tc>
          <w:tcPr>
            <w:tcW w:type="dxa" w:w="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8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اختبارات وحدة وتكامل للمسارات المتأثرة تعمل بنجاح</w:t>
            </w:r>
          </w:p>
        </w:tc>
      </w:tr>
      <w:tr>
        <w:tc>
          <w:tcPr>
            <w:tcW w:type="dxa" w:w="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8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Migration مكتوب إن تغيّر المخطط، ويعمل صعوداً ونزولاً</w:t>
            </w:r>
          </w:p>
        </w:tc>
      </w:tr>
      <w:tr>
        <w:tc>
          <w:tcPr>
            <w:tcW w:type="dxa" w:w="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8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تحديث حالة المتطلب في مصفوفة التتبع RTM</w:t>
            </w:r>
          </w:p>
        </w:tc>
      </w:tr>
      <w:tr>
        <w:tc>
          <w:tcPr>
            <w:tcW w:type="dxa" w:w="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8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دمج في main عبر PR دون تحذيرات، والبيئة التجريبية تعمل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9. الاعتماد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تُعتمد هذه المعايير قاعدة ملزمة لكل كود في المشروع، وتُراجع عند كل تغيير جوهري في الأدوات.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600"/>
        <w:gridCol w:w="3200"/>
        <w:gridCol w:w="1900"/>
        <w:gridCol w:w="16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32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الصفة</w:t>
            </w:r>
          </w:p>
        </w:tc>
        <w:tc>
          <w:tcPr>
            <w:tcW w:type="dxa" w:w="19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التوقيع</w:t>
            </w:r>
          </w:p>
        </w:tc>
        <w:tc>
          <w:tcPr>
            <w:tcW w:type="dxa" w:w="1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محمد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المهندس الرئيسي / مدير المشروع</w:t>
            </w:r>
          </w:p>
        </w:tc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2026-07-03T12:24:36.882Z</dcterms:created>
  <dcterms:modified xsi:type="dcterms:W3CDTF">2026-07-03T12:24:36.894Z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