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160" w:before="0" w:line="300"/>
        <w:jc w:val="center"/>
      </w:pPr>
      <w:r>
        <w:rPr>
          <w:rFonts w:ascii="Arial" w:cs="Arial" w:eastAsia="Arial" w:hAnsi="Arial"/>
          <w:b/>
          <w:bCs/>
          <w:color w:val="0F6E56"/>
          <w:sz w:val="54"/>
          <w:szCs w:val="54"/>
          <w:rtl/>
        </w:rPr>
        <w:t xml:space="preserve">خطة الاختبار</w:t>
      </w:r>
    </w:p>
    <w:p>
      <w:pPr>
        <w:bidi/>
        <w:spacing w:after="60" w:before="0" w:line="300"/>
        <w:jc w:val="center"/>
      </w:pPr>
      <w:r>
        <w:rPr>
          <w:rFonts w:ascii="Arial" w:cs="Arial" w:eastAsia="Arial" w:hAnsi="Arial"/>
          <w:b w:val="false"/>
          <w:bCs w:val="false"/>
          <w:color w:val="6B6B6B"/>
          <w:sz w:val="26"/>
          <w:szCs w:val="26"/>
          <w:rtl/>
        </w:rPr>
        <w:t xml:space="preserve">Test Plan</w:t>
      </w:r>
    </w:p>
    <w:p>
      <w:pPr>
        <w:bidi/>
        <w:spacing w:after="900" w:before="0" w:line="300"/>
        <w:jc w:val="center"/>
      </w:pPr>
      <w:r>
        <w:rPr>
          <w:rFonts w:ascii="Arial" w:cs="Arial" w:eastAsia="Arial" w:hAnsi="Arial"/>
          <w:b/>
          <w:bCs/>
          <w:color w:val="212121"/>
          <w:sz w:val="26"/>
          <w:szCs w:val="26"/>
          <w:rtl/>
        </w:rPr>
        <w:t xml:space="preserve">منصة تجارة الجملة الإلكترونية B2B / B2C</w:t>
      </w:r>
    </w:p>
    <w:p>
      <w:pPr>
        <w:shd w:fill="0F6E56" w:val="clear"/>
        <w:bidi/>
        <w:spacing w:after="200" w:before="0" w:line="300"/>
        <w:jc w:val="center"/>
      </w:pPr>
      <w:r>
        <w:rPr>
          <w:rFonts w:ascii="Arial" w:cs="Arial" w:eastAsia="Arial" w:hAnsi="Arial"/>
          <w:b/>
          <w:bCs/>
          <w:color w:val="FFFFFF"/>
          <w:sz w:val="22"/>
          <w:szCs w:val="22"/>
          <w:rtl/>
        </w:rPr>
        <w:t xml:space="preserve">مستند المرحلة الخامسة: الاختبار — TST-01</w:t>
      </w:r>
    </w:p>
    <w:p>
      <w:pPr>
        <w:bidi/>
        <w:spacing w:after="100" w:before="0" w:line="300"/>
        <w:jc w:val="center"/>
      </w:pPr>
      <w:r>
        <w:rPr>
          <w:rFonts w:ascii="Arial" w:cs="Arial" w:eastAsia="Arial" w:hAnsi="Arial"/>
          <w:b w:val="false"/>
          <w:bCs w:val="false"/>
          <w:color w:val="6B6B6B"/>
          <w:sz w:val="20"/>
          <w:szCs w:val="20"/>
          <w:rtl/>
        </w:rPr>
        <w:t xml:space="preserve">الإصدار 1.0  •  يوليو 2026  •  المرجع الملزم: REQ-02 (SRS)، REQ-03 (RTM)</w:t>
      </w:r>
    </w:p>
    <w:p>
      <w:r>
        <w:br w:type="page"/>
      </w:r>
    </w:p>
    <w:p>
      <w:pPr>
        <w:pBdr>
          <w:bottom w:val="single" w:color="0F6E56" w:sz="12" w:space="4"/>
        </w:pBdr>
        <w:bidi/>
        <w:spacing w:after="140" w:before="280" w:line="300"/>
        <w:jc w:val="start"/>
      </w:pPr>
      <w:r>
        <w:rPr>
          <w:rFonts w:ascii="Arial" w:cs="Arial" w:eastAsia="Arial" w:hAnsi="Arial"/>
          <w:b/>
          <w:bCs/>
          <w:color w:val="0F6E56"/>
          <w:sz w:val="28"/>
          <w:szCs w:val="28"/>
          <w:rtl/>
        </w:rPr>
        <w:t xml:space="preserve">1. الغرض والنطاق</w:t>
      </w:r>
    </w:p>
    <w:p>
      <w:pPr>
        <w:bidi/>
        <w:spacing w:after="100" w:before="0" w:line="300"/>
        <w:jc w:val="start"/>
      </w:pPr>
      <w:r>
        <w:rPr>
          <w:rFonts w:ascii="Arial" w:cs="Arial" w:eastAsia="Arial" w:hAnsi="Arial"/>
          <w:b w:val="false"/>
          <w:bCs w:val="false"/>
          <w:color w:val="333333"/>
          <w:sz w:val="21"/>
          <w:szCs w:val="21"/>
          <w:rtl/>
        </w:rPr>
        <w:t xml:space="preserve">تحدد هذه الخطة استراتيجية التحقق من أن المنصة تطابق مواصفات SRS ومعايير القبول قبل الإطلاق. النطاق يشمل التطبيقات الأربعة والواجهة الخلفية ومحرك مقارنة الأسعار والتكاملات الخارجية. كل حالة اختبار مرتبطة بمواصفة SRS عبر مصفوفة التتبع REQ-03.</w:t>
      </w:r>
    </w:p>
    <w:p>
      <w:pPr>
        <w:pBdr>
          <w:bottom w:val="single" w:color="0F6E56" w:sz="12" w:space="4"/>
        </w:pBdr>
        <w:bidi/>
        <w:spacing w:after="140" w:before="280" w:line="300"/>
        <w:jc w:val="start"/>
      </w:pPr>
      <w:r>
        <w:rPr>
          <w:rFonts w:ascii="Arial" w:cs="Arial" w:eastAsia="Arial" w:hAnsi="Arial"/>
          <w:b/>
          <w:bCs/>
          <w:color w:val="0F6E56"/>
          <w:sz w:val="28"/>
          <w:szCs w:val="28"/>
          <w:rtl/>
        </w:rPr>
        <w:t xml:space="preserve">2. مستويات الاختبار</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1900"/>
        <w:gridCol w:w="3100"/>
        <w:gridCol w:w="2400"/>
        <w:gridCol w:w="1900"/>
      </w:tblGrid>
      <w:tr>
        <w:trPr>
          <w:tblHeader/>
        </w:trPr>
        <w:tc>
          <w:tcPr>
            <w:tcW w:type="dxa" w:w="19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المستوى</w:t>
            </w:r>
          </w:p>
        </w:tc>
        <w:tc>
          <w:tcPr>
            <w:tcW w:type="dxa" w:w="31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النطاق</w:t>
            </w:r>
          </w:p>
        </w:tc>
        <w:tc>
          <w:tcPr>
            <w:tcW w:type="dxa" w:w="24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المسؤول</w:t>
            </w:r>
          </w:p>
        </w:tc>
        <w:tc>
          <w:tcPr>
            <w:tcW w:type="dxa" w:w="19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الأداة</w:t>
            </w:r>
          </w:p>
        </w:tc>
      </w:tr>
      <w:tr>
        <w:tc>
          <w:tcPr>
            <w:tcW w:type="dxa" w:w="19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اختبار الوحدة</w:t>
            </w:r>
          </w:p>
        </w:tc>
        <w:tc>
          <w:tcPr>
            <w:tcW w:type="dxa" w:w="31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منطق التسعير والمخزون والدفع بمعزل</w:t>
            </w:r>
          </w:p>
        </w:tc>
        <w:tc>
          <w:tcPr>
            <w:tcW w:type="dxa" w:w="24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المطور/الذكاء الاصطناعي</w:t>
            </w:r>
          </w:p>
        </w:tc>
        <w:tc>
          <w:tcPr>
            <w:tcW w:type="dxa" w:w="19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pytest / flutter test</w:t>
            </w:r>
          </w:p>
        </w:tc>
      </w:tr>
      <w:tr>
        <w:tc>
          <w:tcPr>
            <w:tcW w:type="dxa" w:w="19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اختبار التكامل</w:t>
            </w:r>
          </w:p>
        </w:tc>
        <w:tc>
          <w:tcPr>
            <w:tcW w:type="dxa" w:w="31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تفاعل الوحدات وقاعدة البيانات والطوابير</w:t>
            </w:r>
          </w:p>
        </w:tc>
        <w:tc>
          <w:tcPr>
            <w:tcW w:type="dxa" w:w="24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المطور</w:t>
            </w:r>
          </w:p>
        </w:tc>
        <w:tc>
          <w:tcPr>
            <w:tcW w:type="dxa" w:w="19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pytest + قاعدة اختبار</w:t>
            </w:r>
          </w:p>
        </w:tc>
      </w:tr>
      <w:tr>
        <w:tc>
          <w:tcPr>
            <w:tcW w:type="dxa" w:w="19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اختبار النظام</w:t>
            </w:r>
          </w:p>
        </w:tc>
        <w:tc>
          <w:tcPr>
            <w:tcW w:type="dxa" w:w="31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المسارات الكاملة عبر التطبيقات</w:t>
            </w:r>
          </w:p>
        </w:tc>
        <w:tc>
          <w:tcPr>
            <w:tcW w:type="dxa" w:w="24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المهندس الرئيسي</w:t>
            </w:r>
          </w:p>
        </w:tc>
        <w:tc>
          <w:tcPr>
            <w:tcW w:type="dxa" w:w="19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Playwright / integration</w:t>
            </w:r>
          </w:p>
        </w:tc>
      </w:tr>
      <w:tr>
        <w:tc>
          <w:tcPr>
            <w:tcW w:type="dxa" w:w="19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اختبار القبول UAT</w:t>
            </w:r>
          </w:p>
        </w:tc>
        <w:tc>
          <w:tcPr>
            <w:tcW w:type="dxa" w:w="31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سيناريوهات العمل الحقيقية</w:t>
            </w:r>
          </w:p>
        </w:tc>
        <w:tc>
          <w:tcPr>
            <w:tcW w:type="dxa" w:w="24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ممثلو المستخدمين</w:t>
            </w:r>
          </w:p>
        </w:tc>
        <w:tc>
          <w:tcPr>
            <w:tcW w:type="dxa" w:w="19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تنفيذ يدوي موثق</w:t>
            </w:r>
          </w:p>
        </w:tc>
      </w:tr>
      <w:tr>
        <w:tc>
          <w:tcPr>
            <w:tcW w:type="dxa" w:w="19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اختبار غير وظيفي</w:t>
            </w:r>
          </w:p>
        </w:tc>
        <w:tc>
          <w:tcPr>
            <w:tcW w:type="dxa" w:w="31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الأداء، الحمل، الأمان</w:t>
            </w:r>
          </w:p>
        </w:tc>
        <w:tc>
          <w:tcPr>
            <w:tcW w:type="dxa" w:w="24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مختص مستقل</w:t>
            </w:r>
          </w:p>
        </w:tc>
        <w:tc>
          <w:tcPr>
            <w:tcW w:type="dxa" w:w="19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أدوات حمل + فحص أمني</w:t>
            </w:r>
          </w:p>
        </w:tc>
      </w:tr>
    </w:tbl>
    <w:p>
      <w:pPr>
        <w:pBdr>
          <w:bottom w:val="single" w:color="0F6E56" w:sz="12" w:space="4"/>
        </w:pBdr>
        <w:bidi/>
        <w:spacing w:after="140" w:before="280" w:line="300"/>
        <w:jc w:val="start"/>
      </w:pPr>
      <w:r>
        <w:rPr>
          <w:rFonts w:ascii="Arial" w:cs="Arial" w:eastAsia="Arial" w:hAnsi="Arial"/>
          <w:b/>
          <w:bCs/>
          <w:color w:val="0F6E56"/>
          <w:sz w:val="28"/>
          <w:szCs w:val="28"/>
          <w:rtl/>
        </w:rPr>
        <w:t xml:space="preserve">3. أنواع الاختبار غير الوظيفي</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2500"/>
        <w:gridCol w:w="6800"/>
      </w:tblGrid>
      <w:tr>
        <w:tc>
          <w:tcPr>
            <w:tcW w:type="dxa" w:w="2500"/>
            <w:tcMar>
              <w:top w:type="dxa" w:w="90"/>
              <w:left w:type="dxa" w:w="140"/>
              <w:bottom w:type="dxa" w:w="90"/>
              <w:right w:type="dxa" w:w="140"/>
            </w:tcMar>
            <w:vAlign w:val="center"/>
          </w:tcPr>
          <w:p>
            <w:pPr>
              <w:bidi/>
              <w:spacing w:after="0" w:line="280"/>
            </w:pPr>
            <w:r>
              <w:rPr>
                <w:rFonts w:ascii="Arial" w:cs="Arial" w:eastAsia="Arial" w:hAnsi="Arial"/>
                <w:b/>
                <w:bCs/>
                <w:color w:val="0F6E56"/>
                <w:sz w:val="20"/>
                <w:szCs w:val="20"/>
                <w:rtl/>
              </w:rPr>
              <w:t xml:space="preserve">الأداء والحمل</w:t>
            </w:r>
          </w:p>
        </w:tc>
        <w:tc>
          <w:tcPr>
            <w:tcW w:type="dxa" w:w="68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التحقق من أهداف SRS القسم 6: استجابة القراءة p95 أقل من 500ms، البحث أقل من 300ms، وتحمّل 1,000 مستخدم متزامن و50 طلباً/دقيقة.</w:t>
            </w:r>
          </w:p>
        </w:tc>
      </w:tr>
      <w:tr>
        <w:tc>
          <w:tcPr>
            <w:tcW w:type="dxa" w:w="2500"/>
            <w:shd w:fill="F5FAF8" w:val="clear"/>
            <w:tcMar>
              <w:top w:type="dxa" w:w="90"/>
              <w:left w:type="dxa" w:w="140"/>
              <w:bottom w:type="dxa" w:w="90"/>
              <w:right w:type="dxa" w:w="140"/>
            </w:tcMar>
            <w:vAlign w:val="center"/>
          </w:tcPr>
          <w:p>
            <w:pPr>
              <w:bidi/>
              <w:spacing w:after="0" w:line="280"/>
            </w:pPr>
            <w:r>
              <w:rPr>
                <w:rFonts w:ascii="Arial" w:cs="Arial" w:eastAsia="Arial" w:hAnsi="Arial"/>
                <w:b/>
                <w:bCs/>
                <w:color w:val="0F6E56"/>
                <w:sz w:val="20"/>
                <w:szCs w:val="20"/>
                <w:rtl/>
              </w:rPr>
              <w:t xml:space="preserve">الأمان</w:t>
            </w:r>
          </w:p>
        </w:tc>
        <w:tc>
          <w:tcPr>
            <w:tcW w:type="dxa" w:w="68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فحص خارجي إلزامي لمواصفات الهوية والدفع (SRS-AUT، SRS-PAY) مقابل OWASP ASVS مستوى 2 قبل الإطلاق.</w:t>
            </w:r>
          </w:p>
        </w:tc>
      </w:tr>
      <w:tr>
        <w:tc>
          <w:tcPr>
            <w:tcW w:type="dxa" w:w="2500"/>
            <w:tcMar>
              <w:top w:type="dxa" w:w="90"/>
              <w:left w:type="dxa" w:w="140"/>
              <w:bottom w:type="dxa" w:w="90"/>
              <w:right w:type="dxa" w:w="140"/>
            </w:tcMar>
            <w:vAlign w:val="center"/>
          </w:tcPr>
          <w:p>
            <w:pPr>
              <w:bidi/>
              <w:spacing w:after="0" w:line="280"/>
            </w:pPr>
            <w:r>
              <w:rPr>
                <w:rFonts w:ascii="Arial" w:cs="Arial" w:eastAsia="Arial" w:hAnsi="Arial"/>
                <w:b/>
                <w:bCs/>
                <w:color w:val="0F6E56"/>
                <w:sz w:val="20"/>
                <w:szCs w:val="20"/>
                <w:rtl/>
              </w:rPr>
              <w:t xml:space="preserve">التوافق</w:t>
            </w:r>
          </w:p>
        </w:tc>
        <w:tc>
          <w:tcPr>
            <w:tcW w:type="dxa" w:w="68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التطبيقات على أجهزة ونسخ نظام تشغيل متعددة، والواجهة على المتصفحات الرئيسية.</w:t>
            </w:r>
          </w:p>
        </w:tc>
      </w:tr>
      <w:tr>
        <w:tc>
          <w:tcPr>
            <w:tcW w:type="dxa" w:w="2500"/>
            <w:shd w:fill="F5FAF8" w:val="clear"/>
            <w:tcMar>
              <w:top w:type="dxa" w:w="90"/>
              <w:left w:type="dxa" w:w="140"/>
              <w:bottom w:type="dxa" w:w="90"/>
              <w:right w:type="dxa" w:w="140"/>
            </w:tcMar>
            <w:vAlign w:val="center"/>
          </w:tcPr>
          <w:p>
            <w:pPr>
              <w:bidi/>
              <w:spacing w:after="0" w:line="280"/>
            </w:pPr>
            <w:r>
              <w:rPr>
                <w:rFonts w:ascii="Arial" w:cs="Arial" w:eastAsia="Arial" w:hAnsi="Arial"/>
                <w:b/>
                <w:bCs/>
                <w:color w:val="0F6E56"/>
                <w:sz w:val="20"/>
                <w:szCs w:val="20"/>
                <w:rtl/>
              </w:rPr>
              <w:t xml:space="preserve">التدويل</w:t>
            </w:r>
          </w:p>
        </w:tc>
        <w:tc>
          <w:tcPr>
            <w:tcW w:type="dxa" w:w="68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صحة RTL/LTR، الترجمة، تنسيق العملات (خصوصاً الدينار الكويتي ثلاث خانات)، واحتساب الضرائب لكل دولة.</w:t>
            </w:r>
          </w:p>
        </w:tc>
      </w:tr>
    </w:tbl>
    <w:p>
      <w:r>
        <w:br w:type="page"/>
      </w:r>
    </w:p>
    <w:p>
      <w:pPr>
        <w:pBdr>
          <w:bottom w:val="single" w:color="0F6E56" w:sz="12" w:space="4"/>
        </w:pBdr>
        <w:bidi/>
        <w:spacing w:after="140" w:before="280" w:line="300"/>
        <w:jc w:val="start"/>
      </w:pPr>
      <w:r>
        <w:rPr>
          <w:rFonts w:ascii="Arial" w:cs="Arial" w:eastAsia="Arial" w:hAnsi="Arial"/>
          <w:b/>
          <w:bCs/>
          <w:color w:val="0F6E56"/>
          <w:sz w:val="28"/>
          <w:szCs w:val="28"/>
          <w:rtl/>
        </w:rPr>
        <w:t xml:space="preserve">4. المسارات الحرجة (أولوية قصوى)</w:t>
      </w:r>
    </w:p>
    <w:p>
      <w:pPr>
        <w:bidi/>
        <w:spacing w:after="100" w:before="0" w:line="300"/>
        <w:jc w:val="start"/>
      </w:pPr>
      <w:r>
        <w:rPr>
          <w:rFonts w:ascii="Arial" w:cs="Arial" w:eastAsia="Arial" w:hAnsi="Arial"/>
          <w:b w:val="false"/>
          <w:bCs w:val="false"/>
          <w:color w:val="333333"/>
          <w:sz w:val="21"/>
          <w:szCs w:val="21"/>
          <w:rtl/>
        </w:rPr>
        <w:t xml:space="preserve">هذه المسارات تمثل مسارات المال وسلامة البيانات، ولا يُقبل الإطلاق بأي إخفاق فيها:</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2600"/>
        <w:gridCol w:w="6700"/>
      </w:tblGrid>
      <w:tr>
        <w:trPr>
          <w:tblHeader/>
        </w:trPr>
        <w:tc>
          <w:tcPr>
            <w:tcW w:type="dxa" w:w="2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المسار</w:t>
            </w:r>
          </w:p>
        </w:tc>
        <w:tc>
          <w:tcPr>
            <w:tcW w:type="dxa" w:w="67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ما يتم التحقق منه</w:t>
            </w:r>
          </w:p>
        </w:tc>
      </w:tr>
      <w:tr>
        <w:tc>
          <w:tcPr>
            <w:tcW w:type="dxa" w:w="2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دورة الطلب الكاملة</w:t>
            </w:r>
          </w:p>
        </w:tc>
        <w:tc>
          <w:tcPr>
            <w:tcW w:type="dxa" w:w="6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تصفح ← سلة متعددة الموردين ← تأكيد ← خصم مخزون ذري ← دفع ← توصيل ← إثبات تسليم ← تسوية</w:t>
            </w:r>
          </w:p>
        </w:tc>
      </w:tr>
      <w:tr>
        <w:tc>
          <w:tcPr>
            <w:tcW w:type="dxa" w:w="2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الخصم الذري للمخزون</w:t>
            </w:r>
          </w:p>
        </w:tc>
        <w:tc>
          <w:tcPr>
            <w:tcW w:type="dxa" w:w="6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طلبان متزامنان لآخر كمية — واحد فقط ينجح دون بيع زائد (SRS-ORD-02)</w:t>
            </w:r>
          </w:p>
        </w:tc>
      </w:tr>
      <w:tr>
        <w:tc>
          <w:tcPr>
            <w:tcW w:type="dxa" w:w="2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فصل أسعار الأدوار</w:t>
            </w:r>
          </w:p>
        </w:tc>
        <w:tc>
          <w:tcPr>
            <w:tcW w:type="dxa" w:w="6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المستهلك لا يرى أسعار الجملة ولا الشرائح في أي استجابة (SRS-PRC-02)</w:t>
            </w:r>
          </w:p>
        </w:tc>
      </w:tr>
      <w:tr>
        <w:tc>
          <w:tcPr>
            <w:tcW w:type="dxa" w:w="2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شارة مقارنة السوق</w:t>
            </w:r>
          </w:p>
        </w:tc>
        <w:tc>
          <w:tcPr>
            <w:tcW w:type="dxa" w:w="6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تظهر فقط عند التوفير ≥ 2% ولا تعرض مقارنة سالبة أبداً (SRS-MKT-03)</w:t>
            </w:r>
          </w:p>
        </w:tc>
      </w:tr>
      <w:tr>
        <w:tc>
          <w:tcPr>
            <w:tcW w:type="dxa" w:w="2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الفوترة والضرائب</w:t>
            </w:r>
          </w:p>
        </w:tc>
        <w:tc>
          <w:tcPr>
            <w:tcW w:type="dxa" w:w="6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مطابقة مجاميع الفاتورة للهللة وتوافق ZATCA على عينة (SRS-PAY-04)</w:t>
            </w:r>
          </w:p>
        </w:tc>
      </w:tr>
      <w:tr>
        <w:tc>
          <w:tcPr>
            <w:tcW w:type="dxa" w:w="2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أمن الجلسات وOTP</w:t>
            </w:r>
          </w:p>
        </w:tc>
        <w:tc>
          <w:tcPr>
            <w:tcW w:type="dxa" w:w="6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لا تسريب OTP، قفل بعد 3 محاولات، توكن تجديد في كوكي آمن (SRS-AUT-01/02)</w:t>
            </w:r>
          </w:p>
        </w:tc>
      </w:tr>
    </w:tbl>
    <w:p>
      <w:pPr>
        <w:pBdr>
          <w:bottom w:val="single" w:color="0F6E56" w:sz="12" w:space="4"/>
        </w:pBdr>
        <w:bidi/>
        <w:spacing w:after="140" w:before="280" w:line="300"/>
        <w:jc w:val="start"/>
      </w:pPr>
      <w:r>
        <w:rPr>
          <w:rFonts w:ascii="Arial" w:cs="Arial" w:eastAsia="Arial" w:hAnsi="Arial"/>
          <w:b/>
          <w:bCs/>
          <w:color w:val="0F6E56"/>
          <w:sz w:val="28"/>
          <w:szCs w:val="28"/>
          <w:rtl/>
        </w:rPr>
        <w:t xml:space="preserve">5. معايير الدخول والخروج</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2400"/>
        <w:gridCol w:w="6900"/>
      </w:tblGrid>
      <w:tr>
        <w:trPr>
          <w:tblHeader/>
        </w:trPr>
        <w:tc>
          <w:tcPr>
            <w:tcW w:type="dxa" w:w="24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المعيار</w:t>
            </w:r>
          </w:p>
        </w:tc>
        <w:tc>
          <w:tcPr>
            <w:tcW w:type="dxa" w:w="69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الشرط</w:t>
            </w:r>
          </w:p>
        </w:tc>
      </w:tr>
      <w:tr>
        <w:tc>
          <w:tcPr>
            <w:tcW w:type="dxa" w:w="24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دخول الاختبار</w:t>
            </w:r>
          </w:p>
        </w:tc>
        <w:tc>
          <w:tcPr>
            <w:tcW w:type="dxa" w:w="69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اكتمال الميزة وتعريف الإنجاز (DEV-01)، وبيئة Staging مستقرة، وبيانات اختبار جاهزة</w:t>
            </w:r>
          </w:p>
        </w:tc>
      </w:tr>
      <w:tr>
        <w:tc>
          <w:tcPr>
            <w:tcW w:type="dxa" w:w="24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خروج الاختبار</w:t>
            </w:r>
          </w:p>
        </w:tc>
        <w:tc>
          <w:tcPr>
            <w:tcW w:type="dxa" w:w="69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تنفيذ 100% من حالات الاختبار، ونجاح كل المسارات الحرجة، وصفر عيوب حرجة أو عالية مفتوحة</w:t>
            </w:r>
          </w:p>
        </w:tc>
      </w:tr>
      <w:tr>
        <w:tc>
          <w:tcPr>
            <w:tcW w:type="dxa" w:w="24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تعليق الاختبار</w:t>
            </w:r>
          </w:p>
        </w:tc>
        <w:tc>
          <w:tcPr>
            <w:tcW w:type="dxa" w:w="69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إخفاق مسار حرج يوقف الاختبار حتى الإصلاح وإعادة الفحص</w:t>
            </w:r>
          </w:p>
        </w:tc>
      </w:tr>
    </w:tbl>
    <w:p>
      <w:pPr>
        <w:pBdr>
          <w:bottom w:val="single" w:color="0F6E56" w:sz="12" w:space="4"/>
        </w:pBdr>
        <w:bidi/>
        <w:spacing w:after="140" w:before="280" w:line="300"/>
        <w:jc w:val="start"/>
      </w:pPr>
      <w:r>
        <w:rPr>
          <w:rFonts w:ascii="Arial" w:cs="Arial" w:eastAsia="Arial" w:hAnsi="Arial"/>
          <w:b/>
          <w:bCs/>
          <w:color w:val="0F6E56"/>
          <w:sz w:val="28"/>
          <w:szCs w:val="28"/>
          <w:rtl/>
        </w:rPr>
        <w:t xml:space="preserve">6. تصنيف العيوب</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1500"/>
        <w:gridCol w:w="5500"/>
        <w:gridCol w:w="2300"/>
      </w:tblGrid>
      <w:tr>
        <w:trPr>
          <w:tblHeader/>
        </w:trPr>
        <w:tc>
          <w:tcPr>
            <w:tcW w:type="dxa" w:w="15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الشدة</w:t>
            </w:r>
          </w:p>
        </w:tc>
        <w:tc>
          <w:tcPr>
            <w:tcW w:type="dxa" w:w="55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التعريف</w:t>
            </w:r>
          </w:p>
        </w:tc>
        <w:tc>
          <w:tcPr>
            <w:tcW w:type="dxa" w:w="23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زمن المعالجة</w:t>
            </w:r>
          </w:p>
        </w:tc>
      </w:tr>
      <w:tr>
        <w:tc>
          <w:tcPr>
            <w:tcW w:type="dxa" w:w="15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حرج</w:t>
            </w:r>
          </w:p>
        </w:tc>
        <w:tc>
          <w:tcPr>
            <w:tcW w:type="dxa" w:w="55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توقف خدمة، فقد بيانات، ثغرة أمنية، خطأ مالي</w:t>
            </w:r>
          </w:p>
        </w:tc>
        <w:tc>
          <w:tcPr>
            <w:tcW w:type="dxa" w:w="23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فوري — يوقف الإطلاق</w:t>
            </w:r>
          </w:p>
        </w:tc>
      </w:tr>
      <w:tr>
        <w:tc>
          <w:tcPr>
            <w:tcW w:type="dxa" w:w="15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عالٍ</w:t>
            </w:r>
          </w:p>
        </w:tc>
        <w:tc>
          <w:tcPr>
            <w:tcW w:type="dxa" w:w="55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ميزة رئيسية لا تعمل دون حل بديل</w:t>
            </w:r>
          </w:p>
        </w:tc>
        <w:tc>
          <w:tcPr>
            <w:tcW w:type="dxa" w:w="23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قبل الإطلاق</w:t>
            </w:r>
          </w:p>
        </w:tc>
      </w:tr>
      <w:tr>
        <w:tc>
          <w:tcPr>
            <w:tcW w:type="dxa" w:w="15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متوسط</w:t>
            </w:r>
          </w:p>
        </w:tc>
        <w:tc>
          <w:tcPr>
            <w:tcW w:type="dxa" w:w="55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خلل بحل بديل متاح</w:t>
            </w:r>
          </w:p>
        </w:tc>
        <w:tc>
          <w:tcPr>
            <w:tcW w:type="dxa" w:w="23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الإصدار التالي</w:t>
            </w:r>
          </w:p>
        </w:tc>
      </w:tr>
      <w:tr>
        <w:tc>
          <w:tcPr>
            <w:tcW w:type="dxa" w:w="15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منخفض</w:t>
            </w:r>
          </w:p>
        </w:tc>
        <w:tc>
          <w:tcPr>
            <w:tcW w:type="dxa" w:w="55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تجميلي أو تحسيني</w:t>
            </w:r>
          </w:p>
        </w:tc>
        <w:tc>
          <w:tcPr>
            <w:tcW w:type="dxa" w:w="23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حسب الأولوية</w:t>
            </w:r>
          </w:p>
        </w:tc>
      </w:tr>
    </w:tbl>
    <w:p>
      <w:pPr>
        <w:pBdr>
          <w:bottom w:val="single" w:color="0F6E56" w:sz="12" w:space="4"/>
        </w:pBdr>
        <w:bidi/>
        <w:spacing w:after="140" w:before="280" w:line="300"/>
        <w:jc w:val="start"/>
      </w:pPr>
      <w:r>
        <w:rPr>
          <w:rFonts w:ascii="Arial" w:cs="Arial" w:eastAsia="Arial" w:hAnsi="Arial"/>
          <w:b/>
          <w:bCs/>
          <w:color w:val="0F6E56"/>
          <w:sz w:val="28"/>
          <w:szCs w:val="28"/>
          <w:rtl/>
        </w:rPr>
        <w:t xml:space="preserve">7. معايير القبول النهائية للمنصة</w:t>
      </w:r>
    </w:p>
    <w:p>
      <w:pPr>
        <w:bidi/>
        <w:spacing w:after="100" w:before="0" w:line="300"/>
        <w:jc w:val="start"/>
      </w:pPr>
      <w:r>
        <w:rPr>
          <w:rFonts w:ascii="Arial" w:cs="Arial" w:eastAsia="Arial" w:hAnsi="Arial"/>
          <w:b w:val="false"/>
          <w:bCs w:val="false"/>
          <w:color w:val="333333"/>
          <w:sz w:val="21"/>
          <w:szCs w:val="21"/>
          <w:rtl/>
        </w:rPr>
        <w:t xml:space="preserve">مطابقة لمعايير القبول في BRD وSRS: اجتياز كل المسارات الحرجة، تحقق أهداف الأداء باختبار حمل موثق، اجتياز الفحص الأمني الخارجي، ظهور مؤشر مقارنة الأسعار لما لا يقل عن 70% من منتجات الفئات الرئيسية بدرجة ثقة مقبولة، وتصديق ممثلي المستخدمين في تقرير UAT (TST-03).</w:t>
      </w:r>
    </w:p>
    <w:p>
      <w:r>
        <w:br w:type="page"/>
      </w:r>
    </w:p>
    <w:p>
      <w:pPr>
        <w:pBdr>
          <w:bottom w:val="single" w:color="0F6E56" w:sz="12" w:space="4"/>
        </w:pBdr>
        <w:bidi/>
        <w:spacing w:after="140" w:before="280" w:line="300"/>
        <w:jc w:val="start"/>
      </w:pPr>
      <w:r>
        <w:rPr>
          <w:rFonts w:ascii="Arial" w:cs="Arial" w:eastAsia="Arial" w:hAnsi="Arial"/>
          <w:b/>
          <w:bCs/>
          <w:color w:val="0F6E56"/>
          <w:sz w:val="28"/>
          <w:szCs w:val="28"/>
          <w:rtl/>
        </w:rPr>
        <w:t xml:space="preserve">8. الاعتماد</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2600"/>
        <w:gridCol w:w="3200"/>
        <w:gridCol w:w="1900"/>
        <w:gridCol w:w="1600"/>
      </w:tblGrid>
      <w:tr>
        <w:trPr>
          <w:tblHeader/>
        </w:trPr>
        <w:tc>
          <w:tcPr>
            <w:tcW w:type="dxa" w:w="2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الاسم</w:t>
            </w:r>
          </w:p>
        </w:tc>
        <w:tc>
          <w:tcPr>
            <w:tcW w:type="dxa" w:w="32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الصفة</w:t>
            </w:r>
          </w:p>
        </w:tc>
        <w:tc>
          <w:tcPr>
            <w:tcW w:type="dxa" w:w="19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التوقيع</w:t>
            </w:r>
          </w:p>
        </w:tc>
        <w:tc>
          <w:tcPr>
            <w:tcW w:type="dxa" w:w="1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التاريخ</w:t>
            </w:r>
          </w:p>
        </w:tc>
      </w:tr>
      <w:tr>
        <w:tc>
          <w:tcPr>
            <w:tcW w:type="dxa" w:w="2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
            </w:r>
          </w:p>
        </w:tc>
        <w:tc>
          <w:tcPr>
            <w:tcW w:type="dxa" w:w="32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راعي المشروع</w:t>
            </w:r>
          </w:p>
        </w:tc>
        <w:tc>
          <w:tcPr>
            <w:tcW w:type="dxa" w:w="19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
            </w:r>
          </w:p>
        </w:tc>
        <w:tc>
          <w:tcPr>
            <w:tcW w:type="dxa" w:w="1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
            </w:r>
          </w:p>
        </w:tc>
      </w:tr>
      <w:tr>
        <w:tc>
          <w:tcPr>
            <w:tcW w:type="dxa" w:w="2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محمد</w:t>
            </w:r>
          </w:p>
        </w:tc>
        <w:tc>
          <w:tcPr>
            <w:tcW w:type="dxa" w:w="32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المهندس الرئيسي / مدير المشروع</w:t>
            </w:r>
          </w:p>
        </w:tc>
        <w:tc>
          <w:tcPr>
            <w:tcW w:type="dxa" w:w="19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
            </w:r>
          </w:p>
        </w:tc>
        <w:tc>
          <w:tcPr>
            <w:tcW w:type="dxa" w:w="1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2026-07-03T12:28:41.498Z</dcterms:created>
  <dcterms:modified xsi:type="dcterms:W3CDTF">2026-07-03T12:28:41.499Z</dcterms:modified>
</cp:coreProperties>
</file>

<file path=docProps/custom.xml><?xml version="1.0" encoding="utf-8"?>
<Properties xmlns="http://schemas.openxmlformats.org/officeDocument/2006/custom-properties" xmlns:vt="http://schemas.openxmlformats.org/officeDocument/2006/docPropsVTypes"/>
</file>