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bidi/>
        <w:spacing w:after="200" w:before="0" w:line="300"/>
        <w:jc w:val="center"/>
      </w:pPr>
      <w:r>
        <w:rPr>
          <w:rFonts w:ascii="Arial" w:cs="Arial" w:eastAsia="Arial" w:hAnsi="Arial"/>
          <w:b/>
          <w:bCs/>
          <w:color w:val="1F4E79"/>
          <w:sz w:val="52"/>
          <w:szCs w:val="52"/>
          <w:rtl/>
        </w:rPr>
        <w:t xml:space="preserve">مستند متطلبات العمل</w:t>
      </w:r>
    </w:p>
    <w:p>
      <w:pPr>
        <w:bidi/>
        <w:spacing w:after="200" w:before="0" w:line="300"/>
        <w:jc w:val="center"/>
      </w:pPr>
      <w:r>
        <w:rPr>
          <w:rFonts w:ascii="Arial" w:cs="Arial" w:eastAsia="Arial" w:hAnsi="Arial"/>
          <w:b/>
          <w:bCs/>
          <w:sz w:val="36"/>
          <w:szCs w:val="36"/>
          <w:rtl/>
        </w:rPr>
        <w:t xml:space="preserve">منصة التجارة الإلكترونية للجملة B2B / B2C</w:t>
      </w:r>
    </w:p>
    <w:p>
      <w:pPr>
        <w:bidi/>
        <w:spacing w:after="600" w:before="0" w:line="300"/>
        <w:jc w:val="center"/>
      </w:pPr>
      <w:r>
        <w:rPr>
          <w:rFonts w:ascii="Arial" w:cs="Arial" w:eastAsia="Arial" w:hAnsi="Arial"/>
          <w:b w:val="false"/>
          <w:bCs w:val="false"/>
          <w:color w:val="666666"/>
          <w:sz w:val="24"/>
          <w:szCs w:val="24"/>
          <w:rtl/>
        </w:rPr>
        <w:t xml:space="preserve">Business Requirements Document (BRD)</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6800"/>
      </w:tblGrid>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اسم المشروع</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منصة تجارة الجملة الإلكترونية متعددة الدول</w:t>
            </w:r>
          </w:p>
        </w:tc>
      </w:tr>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إصدار المستند</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1.0 – مسودة للتصديق</w:t>
            </w:r>
          </w:p>
        </w:tc>
      </w:tr>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تاريخ الإعداد</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2 يوليو 2026</w:t>
            </w:r>
          </w:p>
        </w:tc>
      </w:tr>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أعده</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محمد – مهندس حلول ERP وقواعد بيانات</w:t>
            </w:r>
          </w:p>
        </w:tc>
      </w:tr>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الحالة</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بانتظار المراجعة والتصديق</w:t>
            </w:r>
          </w:p>
        </w:tc>
      </w:tr>
      <w:tr>
        <w:tc>
          <w:tcPr>
            <w:tcW w:type="dxa" w:w="2500"/>
            <w:shd w:fill="F2F2F2" w:val="clear"/>
            <w:tcMar>
              <w:top w:type="dxa" w:w="80"/>
              <w:left w:type="dxa" w:w="120"/>
              <w:bottom w:type="dxa" w:w="80"/>
              <w:right w:type="dxa" w:w="120"/>
            </w:tcMar>
            <w:vAlign w:val="center"/>
          </w:tcPr>
          <w:p>
            <w:pPr>
              <w:bidi/>
              <w:spacing w:after="0"/>
              <w:jc w:val="start"/>
            </w:pPr>
            <w:r>
              <w:rPr>
                <w:rFonts w:ascii="Arial" w:cs="Arial" w:eastAsia="Arial" w:hAnsi="Arial"/>
                <w:b/>
                <w:bCs/>
                <w:sz w:val="20"/>
                <w:szCs w:val="20"/>
                <w:rtl/>
              </w:rPr>
              <w:t xml:space="preserve">السرية</w:t>
            </w:r>
          </w:p>
        </w:tc>
        <w:tc>
          <w:tcPr>
            <w:tcW w:type="dxa" w:w="6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سري – للاستخدام الداخلي فقط</w:t>
            </w:r>
          </w:p>
        </w:tc>
      </w:tr>
    </w:tbl>
    <w:p>
      <w:r>
        <w:br w:type="page"/>
      </w:r>
    </w:p>
    <w:p>
      <w:pPr>
        <w:pStyle w:val="Heading1"/>
        <w:bidi/>
        <w:spacing w:after="160" w:before="240" w:line="300"/>
        <w:jc w:val="start"/>
      </w:pPr>
      <w:r>
        <w:rPr>
          <w:rFonts w:ascii="Arial" w:cs="Arial" w:eastAsia="Arial" w:hAnsi="Arial"/>
          <w:b/>
          <w:bCs/>
          <w:color w:val="1F4E79"/>
          <w:sz w:val="30"/>
          <w:szCs w:val="30"/>
          <w:rtl/>
        </w:rPr>
        <w:t xml:space="preserve">1. المقدمة والأهداف</w:t>
      </w:r>
    </w:p>
    <w:p>
      <w:pPr>
        <w:bidi/>
        <w:spacing w:after="120" w:before="0" w:line="300"/>
        <w:jc w:val="start"/>
      </w:pPr>
      <w:r>
        <w:rPr>
          <w:rFonts w:ascii="Arial" w:cs="Arial" w:eastAsia="Arial" w:hAnsi="Arial"/>
          <w:b w:val="false"/>
          <w:bCs w:val="false"/>
          <w:sz w:val="22"/>
          <w:szCs w:val="22"/>
          <w:rtl/>
        </w:rPr>
        <w:t xml:space="preserve">يهدف هذا المستند إلى توثيق متطلبات بناء منصة تجارة إلكترونية للجملة (B2B) مع دعم البيع للمستهلك النهائي (B2C)، تعمل كسوق إلكتروني (Marketplace) يربط الموردين والمصنّعين بتجار التجزئة والمستهلكين، مع خدمة توصيل تُدار بواسطة المنصة عبر تطبيق خاص بالسائقين، ودعم كامل لتعدد اللغات والعملات والدول.</w:t>
      </w:r>
    </w:p>
    <w:p>
      <w:pPr>
        <w:pStyle w:val="Heading2"/>
        <w:bidi/>
        <w:spacing w:after="120" w:before="200" w:line="300"/>
        <w:jc w:val="start"/>
      </w:pPr>
      <w:r>
        <w:rPr>
          <w:rFonts w:ascii="Arial" w:cs="Arial" w:eastAsia="Arial" w:hAnsi="Arial"/>
          <w:b/>
          <w:bCs/>
          <w:color w:val="1F4E79"/>
          <w:sz w:val="26"/>
          <w:szCs w:val="26"/>
          <w:rtl/>
        </w:rPr>
        <w:t xml:space="preserve">1.1 أهداف المشروع</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تمكين تجار التجزئة من طلب البضائع مباشرة من الموردين والمصنّعين بأسعار جملة تنافسية.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توفير خدمة توصيل موثوقة تُدار من قبل المنصة مع تتبع مباشر للشحنات.</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تقديم ميزة تنافسية فريدة: مقارنة أسعار المنصة بأسعار السوق مع مؤشر أسعار موثوق.</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بناء بنية تقنية قابلة للتوسع تدعم عدة دول وعملات ولغات من اليوم الأول.</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تحقيق إيرادات من العمولات ورسوم التوصيل والاشتراكات المميزة.</w:t>
      </w:r>
    </w:p>
    <w:p>
      <w:pPr>
        <w:pStyle w:val="Heading2"/>
        <w:bidi/>
        <w:spacing w:after="120" w:before="200" w:line="300"/>
        <w:jc w:val="start"/>
      </w:pPr>
      <w:r>
        <w:rPr>
          <w:rFonts w:ascii="Arial" w:cs="Arial" w:eastAsia="Arial" w:hAnsi="Arial"/>
          <w:b/>
          <w:bCs/>
          <w:color w:val="1F4E79"/>
          <w:sz w:val="26"/>
          <w:szCs w:val="26"/>
          <w:rtl/>
        </w:rPr>
        <w:t xml:space="preserve">1.2 مؤشرات النجاح الرئيسية</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rPr>
          <w:tblHeader/>
        </w:trPr>
        <w:tc>
          <w:tcPr>
            <w:tcW w:type="dxa" w:w="40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المؤشر</w:t>
            </w:r>
          </w:p>
        </w:tc>
        <w:tc>
          <w:tcPr>
            <w:tcW w:type="dxa" w:w="5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المستهدف بعد 12 شهراً</w:t>
            </w:r>
          </w:p>
        </w:tc>
      </w:tr>
      <w:tr>
        <w:tc>
          <w:tcPr>
            <w:tcW w:type="dxa" w:w="4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عدد التجار النشطين شهرياً</w:t>
            </w:r>
          </w:p>
        </w:tc>
        <w:tc>
          <w:tcPr>
            <w:tcW w:type="dxa" w:w="5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1,000 تاجر</w:t>
            </w:r>
          </w:p>
        </w:tc>
      </w:tr>
      <w:tr>
        <w:tc>
          <w:tcPr>
            <w:tcW w:type="dxa" w:w="4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عدد الموردين المعتمدين</w:t>
            </w:r>
          </w:p>
        </w:tc>
        <w:tc>
          <w:tcPr>
            <w:tcW w:type="dxa" w:w="5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150 مورداً</w:t>
            </w:r>
          </w:p>
        </w:tc>
      </w:tr>
      <w:tr>
        <w:tc>
          <w:tcPr>
            <w:tcW w:type="dxa" w:w="4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إجمالي قيمة الطلبات (GMV) شهرياً</w:t>
            </w:r>
          </w:p>
        </w:tc>
        <w:tc>
          <w:tcPr>
            <w:tcW w:type="dxa" w:w="5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يُحدد في دراسة الجدوى المالية</w:t>
            </w:r>
          </w:p>
        </w:tc>
      </w:tr>
      <w:tr>
        <w:tc>
          <w:tcPr>
            <w:tcW w:type="dxa" w:w="4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نسبة الطلبات المسلّمة في الوقت المحدد</w:t>
            </w:r>
          </w:p>
        </w:tc>
        <w:tc>
          <w:tcPr>
            <w:tcW w:type="dxa" w:w="5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95% فأكثر</w:t>
            </w:r>
          </w:p>
        </w:tc>
      </w:tr>
      <w:tr>
        <w:tc>
          <w:tcPr>
            <w:tcW w:type="dxa" w:w="4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معدل تكرار الطلب الشهري للتاجر</w:t>
            </w:r>
          </w:p>
        </w:tc>
        <w:tc>
          <w:tcPr>
            <w:tcW w:type="dxa" w:w="5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4 طلبات فأكثر</w:t>
            </w:r>
          </w:p>
        </w:tc>
      </w:tr>
    </w:tbl>
    <w:p>
      <w:r>
        <w:br w:type="page"/>
      </w:r>
    </w:p>
    <w:p>
      <w:pPr>
        <w:pStyle w:val="Heading1"/>
        <w:bidi/>
        <w:spacing w:after="160" w:before="240" w:line="300"/>
        <w:jc w:val="start"/>
      </w:pPr>
      <w:r>
        <w:rPr>
          <w:rFonts w:ascii="Arial" w:cs="Arial" w:eastAsia="Arial" w:hAnsi="Arial"/>
          <w:b/>
          <w:bCs/>
          <w:color w:val="1F4E79"/>
          <w:sz w:val="30"/>
          <w:szCs w:val="30"/>
          <w:rtl/>
        </w:rPr>
        <w:t xml:space="preserve">2. نطاق العمل</w:t>
      </w:r>
    </w:p>
    <w:p>
      <w:pPr>
        <w:pStyle w:val="Heading2"/>
        <w:bidi/>
        <w:spacing w:after="120" w:before="200" w:line="300"/>
        <w:jc w:val="start"/>
      </w:pPr>
      <w:r>
        <w:rPr>
          <w:rFonts w:ascii="Arial" w:cs="Arial" w:eastAsia="Arial" w:hAnsi="Arial"/>
          <w:b/>
          <w:bCs/>
          <w:color w:val="1F4E79"/>
          <w:sz w:val="26"/>
          <w:szCs w:val="26"/>
          <w:rtl/>
        </w:rPr>
        <w:t xml:space="preserve">2.1 داخل النطاق</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تطبيق المشتري (iOS / Android / ويب) للتجار B2B والمستهلكين B2C.</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بوابة المورد لإدارة المنتجات والمخزون والطلبات وعروض الأسعار.</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تطبيق السائق لإدارة مهام التوصيل والتتبع وإثبات التسليم.</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لوحة إدارة المنصة (العمليات، الاعتمادات، التسويات، التقارير).</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وحدة ذكاء الأسعار ومقارنة أسعار المنصة بأسعار السوق.</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البنية التحتية لتعدد الدول والعملات واللغات (العربية والإنجليزية في المرحلة الأولى).</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بوابات الدفع الإلكتروني والمحفظة الداخلية والدفع عند الاستلام.</w:t>
      </w:r>
    </w:p>
    <w:p>
      <w:pPr>
        <w:pStyle w:val="Heading2"/>
        <w:bidi/>
        <w:spacing w:after="120" w:before="200" w:line="300"/>
        <w:jc w:val="start"/>
      </w:pPr>
      <w:r>
        <w:rPr>
          <w:rFonts w:ascii="Arial" w:cs="Arial" w:eastAsia="Arial" w:hAnsi="Arial"/>
          <w:b/>
          <w:bCs/>
          <w:color w:val="1F4E79"/>
          <w:sz w:val="26"/>
          <w:szCs w:val="26"/>
          <w:rtl/>
        </w:rPr>
        <w:t xml:space="preserve">2.2 خارج النطاق (المرحلة الأولى)</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التمويل الآجل للتجار (BNPL) – مؤجل للمرحلة الثالثة بعد الحصول على التراخيص اللازمة.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الشحن الدولي بين الدول – كل دولة تعمل كسوق مستقل في البداية.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إدارة مستودعات مملوكة للمنصة (نموذج Inventory-led) – النموذج الأولي Marketplace فقط.</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تطبيقات سطح المكتب المستقلة.</w:t>
      </w:r>
    </w:p>
    <w:p>
      <w:pPr>
        <w:pStyle w:val="Heading1"/>
        <w:bidi/>
        <w:spacing w:after="160" w:before="240" w:line="300"/>
        <w:jc w:val="start"/>
      </w:pPr>
      <w:r>
        <w:rPr>
          <w:rFonts w:ascii="Arial" w:cs="Arial" w:eastAsia="Arial" w:hAnsi="Arial"/>
          <w:b/>
          <w:bCs/>
          <w:color w:val="1F4E79"/>
          <w:sz w:val="30"/>
          <w:szCs w:val="30"/>
          <w:rtl/>
        </w:rPr>
        <w:t xml:space="preserve">3. أصحاب المصلحة والأدوار</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00"/>
      </w:tblGrid>
      <w:tr>
        <w:trPr>
          <w:tblHeader/>
        </w:trPr>
        <w:tc>
          <w:tcPr>
            <w:tcW w:type="dxa" w:w="22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الدور</w:t>
            </w:r>
          </w:p>
        </w:tc>
        <w:tc>
          <w:tcPr>
            <w:tcW w:type="dxa" w:w="3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الوصف</w:t>
            </w:r>
          </w:p>
        </w:tc>
        <w:tc>
          <w:tcPr>
            <w:tcW w:type="dxa" w:w="38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الصلاحيات الرئيسية</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المشتري B2B (تاجر)</w:t>
            </w:r>
          </w:p>
        </w:tc>
        <w:tc>
          <w:tcPr>
            <w:tcW w:type="dxa" w:w="3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تاجر تجزئة مسجل بسجل تجاري</w:t>
            </w:r>
          </w:p>
        </w:tc>
        <w:tc>
          <w:tcPr>
            <w:tcW w:type="dxa" w:w="3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تصفح، أسعار الجملة المتدرجة، طلب عروض أسعار، الشراء، التتبع</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المشتري B2C (مستهلك)</w:t>
            </w:r>
          </w:p>
        </w:tc>
        <w:tc>
          <w:tcPr>
            <w:tcW w:type="dxa" w:w="3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مستهلك نهائي</w:t>
            </w:r>
          </w:p>
        </w:tc>
        <w:tc>
          <w:tcPr>
            <w:tcW w:type="dxa" w:w="38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تصفح، الشراء بالسعر القطاعي، التتبع</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المورد / المصنع</w:t>
            </w:r>
          </w:p>
        </w:tc>
        <w:tc>
          <w:tcPr>
            <w:tcW w:type="dxa" w:w="3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جهة بيع معتمدة بعد التحقق</w:t>
            </w:r>
          </w:p>
        </w:tc>
        <w:tc>
          <w:tcPr>
            <w:tcW w:type="dxa" w:w="3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إدارة الكتالوج والمخزون والأسعار، معالجة الطلبات، التقارير</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السائق</w:t>
            </w:r>
          </w:p>
        </w:tc>
        <w:tc>
          <w:tcPr>
            <w:tcW w:type="dxa" w:w="3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مندوب توصيل تابع لأسطول المنصة</w:t>
            </w:r>
          </w:p>
        </w:tc>
        <w:tc>
          <w:tcPr>
            <w:tcW w:type="dxa" w:w="38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استلام المهام، التتبع، إثبات التسليم، التحصيل</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مشغّل المنصة</w:t>
            </w:r>
          </w:p>
        </w:tc>
        <w:tc>
          <w:tcPr>
            <w:tcW w:type="dxa" w:w="3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فريق العمليات والإدارة</w:t>
            </w:r>
          </w:p>
        </w:tc>
        <w:tc>
          <w:tcPr>
            <w:tcW w:type="dxa" w:w="3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اعتماد الموردين، إدارة العمولات والأسطول، التسويات، التقارير</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مدير النظام</w:t>
            </w:r>
          </w:p>
        </w:tc>
        <w:tc>
          <w:tcPr>
            <w:tcW w:type="dxa" w:w="3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الإدارة التقنية</w:t>
            </w:r>
          </w:p>
        </w:tc>
        <w:tc>
          <w:tcPr>
            <w:tcW w:type="dxa" w:w="38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إدارة الصلاحيات والإعدادات العامة والدول والعملات</w:t>
            </w:r>
          </w:p>
        </w:tc>
      </w:tr>
    </w:tbl>
    <w:p>
      <w:r>
        <w:br w:type="page"/>
      </w:r>
    </w:p>
    <w:p>
      <w:pPr>
        <w:pStyle w:val="Heading1"/>
        <w:bidi/>
        <w:spacing w:after="160" w:before="240" w:line="300"/>
        <w:jc w:val="start"/>
      </w:pPr>
      <w:r>
        <w:rPr>
          <w:rFonts w:ascii="Arial" w:cs="Arial" w:eastAsia="Arial" w:hAnsi="Arial"/>
          <w:b/>
          <w:bCs/>
          <w:color w:val="1F4E79"/>
          <w:sz w:val="30"/>
          <w:szCs w:val="30"/>
          <w:rtl/>
        </w:rPr>
        <w:t xml:space="preserve">4. المتطلبات الوظيفية</w:t>
      </w:r>
    </w:p>
    <w:p>
      <w:pPr>
        <w:bidi/>
        <w:spacing w:after="120" w:before="0" w:line="300"/>
        <w:jc w:val="start"/>
      </w:pPr>
      <w:r>
        <w:rPr>
          <w:rFonts w:ascii="Arial" w:cs="Arial" w:eastAsia="Arial" w:hAnsi="Arial"/>
          <w:b w:val="false"/>
          <w:bCs w:val="false"/>
          <w:sz w:val="22"/>
          <w:szCs w:val="22"/>
          <w:rtl/>
        </w:rPr>
        <w:t xml:space="preserve">رموز الأولوية: (يجب) متطلب أساسي لإطلاق المرحلة الأولى، (ينبغي) مهم ويُنفذ في المرحلة الثانية، (يمكن) تحسين مستقبلي.</w:t>
      </w:r>
    </w:p>
    <w:p>
      <w:pPr>
        <w:pStyle w:val="Heading2"/>
        <w:bidi/>
        <w:spacing w:after="120" w:before="200" w:line="300"/>
        <w:jc w:val="start"/>
      </w:pPr>
      <w:r>
        <w:rPr>
          <w:rFonts w:ascii="Arial" w:cs="Arial" w:eastAsia="Arial" w:hAnsi="Arial"/>
          <w:b/>
          <w:bCs/>
          <w:color w:val="1F4E79"/>
          <w:sz w:val="26"/>
          <w:szCs w:val="26"/>
          <w:rtl/>
        </w:rPr>
        <w:t xml:space="preserve">4.1 إدارة الحسابات والتحقق (FR-01)</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FR-01-01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التسجيل برقم الجوال مع التحقق عبر OTP، ودعم التسجيل بالبريد الإلكتروني.</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FR-01-02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التحقق من هوية التاجر B2B: رفع السجل التجاري والرقم الضريبي واعتماده من فريق العمليات (KYC).</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FR-01-03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التحقق من المورد: السجل التجاري، شهادة الضريبة، الحساب البنكي (IBAN)، وتوقيع اتفاقية المنصة إلكترونياً.</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FR-01-04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دعم تعدد الفروع والمستخدمين تحت حساب التاجر الواحد مع صلاحيات (مالك، مشترٍ، محاسب).</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FR-01-05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تسجيل دخول موحد (SSO) عبر حسابات جوجل وأبل للمستهلكين B2C.</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يمكن</w:t>
            </w:r>
          </w:p>
        </w:tc>
      </w:tr>
    </w:tbl>
    <w:p>
      <w:pPr>
        <w:pStyle w:val="Heading2"/>
        <w:bidi/>
        <w:spacing w:after="120" w:before="200" w:line="300"/>
        <w:jc w:val="start"/>
      </w:pPr>
      <w:r>
        <w:rPr>
          <w:rFonts w:ascii="Arial" w:cs="Arial" w:eastAsia="Arial" w:hAnsi="Arial"/>
          <w:b/>
          <w:bCs/>
          <w:color w:val="1F4E79"/>
          <w:sz w:val="26"/>
          <w:szCs w:val="26"/>
          <w:rtl/>
        </w:rPr>
        <w:t xml:space="preserve">4.2 الكتالوج والبحث (FR-02)</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FR-02-01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شجرة فئات متعددة المستويات قابلة للإدارة لكل دولة على حدة.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FR-02-02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بطاقة منتج تشمل: الاسم بلغتين، الصور، الوحدة (كرتون/حبة/طبلية)، الباركود GTIN، بلد المنشأ، تاريخ الصلاحية إن وجد.</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FR-02-03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بحث نصي سريع مع تصحيح إملائي ودعم كامل للغة العربية، وفلاتر حسب الفئة والمورد والسعر والعلامة التجارية.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FR-02-04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ربط المنتج الواحد بعدة موردين مع عرض أفضل سعر متاح تلقائياً.</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FR-02-05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قوائم مفضلة وقوالب طلبات متكررة (إعادة طلب بضغطة واحدة).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bl>
    <w:p>
      <w:pPr>
        <w:pStyle w:val="Heading2"/>
        <w:bidi/>
        <w:spacing w:after="120" w:before="200" w:line="300"/>
        <w:jc w:val="start"/>
      </w:pPr>
      <w:r>
        <w:rPr>
          <w:rFonts w:ascii="Arial" w:cs="Arial" w:eastAsia="Arial" w:hAnsi="Arial"/>
          <w:b/>
          <w:bCs/>
          <w:color w:val="1F4E79"/>
          <w:sz w:val="26"/>
          <w:szCs w:val="26"/>
          <w:rtl/>
        </w:rPr>
        <w:t xml:space="preserve">4.3 التسعير المتدرج وطلبات عروض الأسعار (FR-03)</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FR-03-01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تسعير متدرج حسب الكمية (Tiered Pricing) للتجار B2B، وسعر قطاعي مستقل للمستهلك B2C.</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FR-03-02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حد أدنى لكمية الطلب (MOQ) قابل للتحديد على مستوى المنتج والمورد.</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FR-03-03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نظام طلب عروض أسعار (RFQ) للكميات الكبيرة: التاجر يرسل الطلب، والموردون يقدمون عروضهم خلال مدة محددة.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FR-03-04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عروض وخصومات: خصم نسبة، خصم كمية، كوبونات، وعروض مجدولة بتاريخ بداية ونهاية.</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bl>
    <w:p>
      <w:pPr>
        <w:pStyle w:val="Heading2"/>
        <w:bidi/>
        <w:spacing w:after="120" w:before="200" w:line="300"/>
        <w:jc w:val="start"/>
      </w:pPr>
      <w:r>
        <w:rPr>
          <w:rFonts w:ascii="Arial" w:cs="Arial" w:eastAsia="Arial" w:hAnsi="Arial"/>
          <w:b/>
          <w:bCs/>
          <w:color w:val="1F4E79"/>
          <w:sz w:val="26"/>
          <w:szCs w:val="26"/>
          <w:rtl/>
        </w:rPr>
        <w:t xml:space="preserve">4.4 ذكاء الأسعار ومقارنة أسعار السوق (FR-04)</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جمع أسعار السوق دورياً من: المصادر الرسمية المعلنة، المسح الميداني عبر المندوبين، وأسعار موردي المنصة.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محرك مطابقة المنتجات عبر المصادر المختلفة اعتماداً على الباركود أولاً ثم التشابه الدلالي للأسماء.</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حساب مؤشر سعر السوق المرجح يومياً لكل منتج ودولة وعملة مع استبعاد القيم الشاذة.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عرض شارة التوفير على بطاقة المنتج (مثال: أوفر من السوق بنسبة 8%) عند كون سعر المنصة أقل فقط.</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عرض درجة الثقة وعدد المصادر بجانب مؤشر السوق حفاظاً على المصداقية.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FR-04-06</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شاشة مؤشر الأسعار للمشتركين: رسم بياني لحركة سعر المنتج خلال 30 و90 يوماً (ميزة اشتراك مدفوع).</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FR-04-07</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تنبيهات ذكية عند انخفاض أو ارتفاع أسعار منتجات يتابعها التاجر.</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FR-04-08</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إدخال أسعار السوق من التجار أنفسهم (Crowdsourcing) مقابل نقاط مكافآت، مع آلية تحقق من الجودة.</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يمكن</w:t>
            </w:r>
          </w:p>
        </w:tc>
      </w:tr>
    </w:tbl>
    <w:p>
      <w:pPr>
        <w:pStyle w:val="Heading2"/>
        <w:bidi/>
        <w:spacing w:after="120" w:before="200" w:line="300"/>
        <w:jc w:val="start"/>
      </w:pPr>
      <w:r>
        <w:rPr>
          <w:rFonts w:ascii="Arial" w:cs="Arial" w:eastAsia="Arial" w:hAnsi="Arial"/>
          <w:b/>
          <w:bCs/>
          <w:color w:val="1F4E79"/>
          <w:sz w:val="26"/>
          <w:szCs w:val="26"/>
          <w:rtl/>
        </w:rPr>
        <w:t xml:space="preserve">4.5 السلة والطلبات (FR-05)</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FR-05-01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سلة مشتريات تدعم منتجات من عدة موردين مع تقسيم الطلب تلقائياً حسب المورد.</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FR-05-02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دورة حياة الطلب: جديد، مؤكد من المورد، قيد التجهيز، جاهز للاستلام، قيد التوصيل، تم التسليم، ملغي، مرتجع.</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FR-05-03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إشعارات فورية للتاجر والمورد عند كل تغيير في حالة الطلب (تطبيق + واتساب/SMS).</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FR-05-04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إدارة المرتجعات والاستبدال مع أسباب موثقة وموافقات.</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FR-05-05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تقييم المورد وجودة المنتجات بعد كل طلب مكتمل.</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bl>
    <w:p>
      <w:pPr>
        <w:pStyle w:val="Heading2"/>
        <w:bidi/>
        <w:spacing w:after="120" w:before="200" w:line="300"/>
        <w:jc w:val="start"/>
      </w:pPr>
      <w:r>
        <w:rPr>
          <w:rFonts w:ascii="Arial" w:cs="Arial" w:eastAsia="Arial" w:hAnsi="Arial"/>
          <w:b/>
          <w:bCs/>
          <w:color w:val="1F4E79"/>
          <w:sz w:val="26"/>
          <w:szCs w:val="26"/>
          <w:rtl/>
        </w:rPr>
        <w:t xml:space="preserve">4.6 الدفع والمحفظة (FR-06)</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FR-06-01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بوابات دفع إلكتروني حسب الدولة (مدى وSTC Pay وApple Pay في السعودية) مع بنية تسمح بإضافة بوابات لكل دولة.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FR-06-02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الدفع عند الاستلام (نقداً أو بالشبكة عبر جهاز السائق) مع تسجيل التحصيل في تطبيق السائق.</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FR-06-03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محفظة داخلية لكل مستخدم بعملته المحلية: شحن رصيد، استرداد مبالغ، ودفع من الرصيد.</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FR-06-04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تسويات دورية للموردين: احتساب العمولة تلقائياً وتحويل المستحقات مع كشف حساب مفصل.</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FR-06-05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الفوترة الإلكترونية المتوافقة مع متطلبات كل دولة (فاتورة ZATCA المرحلة الثانية في السعودية).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bl>
    <w:p>
      <w:pPr>
        <w:pStyle w:val="Heading2"/>
        <w:bidi/>
        <w:spacing w:after="120" w:before="200" w:line="300"/>
        <w:jc w:val="start"/>
      </w:pPr>
      <w:r>
        <w:rPr>
          <w:rFonts w:ascii="Arial" w:cs="Arial" w:eastAsia="Arial" w:hAnsi="Arial"/>
          <w:b/>
          <w:bCs/>
          <w:color w:val="1F4E79"/>
          <w:sz w:val="26"/>
          <w:szCs w:val="26"/>
          <w:rtl/>
        </w:rPr>
        <w:t xml:space="preserve">4.7 التوصيل وإدارة الأسطول (FR-07)</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تطبيق سائق يعرض مهام التوصيل المسندة مع تفاصيل الطلب وموقع الاستلام والتسليم على الخريطة.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إسناد الطلبات للسائقين يدوياً من لوحة العمليات في المرحلة الأولى، وتلقائياً حسب المنطقة والحمولة لاحقاً.</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تتبع مباشر (GPS) لموقع السائق يظهر للتاجر في تطبيق المشتري.</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إثبات التسليم (POD): توقيع المستلم أو صورة أو رمز OTP.</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تحديد مناطق تغطية التوصيل ورسومها لكل مدينة، مع حد أدنى للطلب للتوصيل المجاني.</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FR-07-06</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تحسين مسارات التوصيل متعدد النقاط للسائق الواحد (Route Optimization).</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يمكن</w:t>
            </w:r>
          </w:p>
        </w:tc>
      </w:tr>
    </w:tbl>
    <w:p>
      <w:pPr>
        <w:pStyle w:val="Heading2"/>
        <w:bidi/>
        <w:spacing w:after="120" w:before="200" w:line="300"/>
        <w:jc w:val="start"/>
      </w:pPr>
      <w:r>
        <w:rPr>
          <w:rFonts w:ascii="Arial" w:cs="Arial" w:eastAsia="Arial" w:hAnsi="Arial"/>
          <w:b/>
          <w:bCs/>
          <w:color w:val="1F4E79"/>
          <w:sz w:val="26"/>
          <w:szCs w:val="26"/>
          <w:rtl/>
        </w:rPr>
        <w:t xml:space="preserve">4.8 تعدد الدول والعملات واللغات (FR-08)</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FR-08-01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كل دولة تعمل كسوق مستقل: كتالوج، ضرائب، طرق دفع، مناطق توصيل، وإعدادات خاصة بها.</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FR-08-02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دعم اللغتين العربية والإنجليزية في جميع الواجهات مع دعم كامل لاتجاه RTL، وقابلية إضافة لغات جديدة.</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FR-08-03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تخزين الأسعار بعملة الدولة مع جدول أسعار صرف يُحدّث يومياً للتقارير الموحدة.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FR-08-04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احتساب الضرائب حسب قواعد كل دولة (ضريبة القيمة المضافة 15% في السعودية) وإظهارها في الفاتورة.</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FR-08-05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ترجمة محتوى المنتجات والفئات على مستوى قاعدة البيانات (جداول ترجمة) وليس واجهات فقط.</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bl>
    <w:p>
      <w:pPr>
        <w:pStyle w:val="Heading2"/>
        <w:bidi/>
        <w:spacing w:after="120" w:before="200" w:line="300"/>
        <w:jc w:val="start"/>
      </w:pPr>
      <w:r>
        <w:rPr>
          <w:rFonts w:ascii="Arial" w:cs="Arial" w:eastAsia="Arial" w:hAnsi="Arial"/>
          <w:b/>
          <w:bCs/>
          <w:color w:val="1F4E79"/>
          <w:sz w:val="26"/>
          <w:szCs w:val="26"/>
          <w:rtl/>
        </w:rPr>
        <w:t xml:space="preserve">4.9 لوحة إدارة المنصة والتقارير (FR-09)</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FR-09-01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لوحة معلومات تشغيلية: الطلبات اليومية، قيمة المبيعات، الطلبات المتأخرة، أداء الموردين والسائقين.</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FR-09-02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إدارة اعتماد الموردين والتجار (سير عمل موافقات KYC).</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FR-09-03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إدارة العمولات: نسبة عمولة لكل فئة أو مورد، ورسوم التوصيل لكل منطقة.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FR-09-04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تقارير مالية: المبيعات، العمولات، التحصيلات النقدية، مستحقات الموردين، قابلة للتصدير Excel.</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FR-09-05</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سجل تدقيق (Audit Log) لجميع العمليات الحساسة.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bl>
    <w:p>
      <w:pPr>
        <w:pStyle w:val="Heading2"/>
        <w:bidi/>
        <w:spacing w:after="120" w:before="200" w:line="300"/>
        <w:jc w:val="start"/>
      </w:pPr>
      <w:r>
        <w:rPr>
          <w:rFonts w:ascii="Arial" w:cs="Arial" w:eastAsia="Arial" w:hAnsi="Arial"/>
          <w:b/>
          <w:bCs/>
          <w:color w:val="1F4E79"/>
          <w:sz w:val="26"/>
          <w:szCs w:val="26"/>
          <w:rtl/>
        </w:rPr>
        <w:t xml:space="preserve">4.10 الإشعارات والتواصل (FR-10)</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700"/>
      </w:tblGrid>
      <w:tr>
        <w:trPr>
          <w:tblHeader/>
        </w:trPr>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الرقم</w:t>
            </w:r>
          </w:p>
        </w:tc>
        <w:tc>
          <w:tcPr>
            <w:tcW w:type="dxa" w:w="6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وصف المتطلب</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الأولوية</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FR-10-01</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إشعارات فورية داخل التطبيقات (Push) لكل الأحداث الرئيسية.</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FR-10-02</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قنوات إضافية: رسائل SMS وواتساب للأحداث الحرجة (تأكيد الطلب، خروج الشحنة، OTP).</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يجب</w:t>
            </w:r>
          </w:p>
        </w:tc>
      </w:tr>
      <w:tr>
        <w:tc>
          <w:tcPr>
            <w:tcW w:type="dxa" w:w="1300"/>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FR-10-03</w:t>
            </w:r>
          </w:p>
        </w:tc>
        <w:tc>
          <w:tcPr>
            <w:tcW w:type="dxa" w:w="6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مركز رسائل بين التاجر والمورد داخل المنصة مرتبط بالطلب أو عرض السعر.</w:t>
            </w:r>
          </w:p>
        </w:tc>
        <w:tc>
          <w:tcPr>
            <w:tcW w:type="dxa" w:w="1700"/>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ينبغي</w:t>
            </w:r>
          </w:p>
        </w:tc>
      </w:tr>
      <w:tr>
        <w:tc>
          <w:tcPr>
            <w:tcW w:type="dxa" w:w="1300"/>
            <w:shd w:fill="EAF1F8" w:val="clear"/>
            <w:tcMar>
              <w:top w:type="dxa" w:w="80"/>
              <w:left w:type="dxa" w:w="120"/>
              <w:bottom w:type="dxa" w:w="80"/>
              <w:right w:type="dxa" w:w="120"/>
            </w:tcMar>
            <w:vAlign w:val="center"/>
          </w:tcPr>
          <w:p>
            <w:pPr>
              <w:bidi/>
              <w:spacing w:after="0"/>
              <w:jc w:val="center"/>
            </w:pPr>
            <w:r>
              <w:rPr>
                <w:rFonts w:ascii="Arial" w:cs="Arial" w:eastAsia="Arial" w:hAnsi="Arial"/>
                <w:b/>
                <w:bCs/>
                <w:sz w:val="20"/>
                <w:szCs w:val="20"/>
                <w:rtl/>
              </w:rPr>
              <w:t xml:space="preserve">FR-10-04</w:t>
            </w:r>
          </w:p>
        </w:tc>
        <w:tc>
          <w:tcPr>
            <w:tcW w:type="dxa" w:w="6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حملات تسويقية مجدولة وإشعارات مخصصة حسب سلوك المستخدم.</w:t>
            </w:r>
          </w:p>
        </w:tc>
        <w:tc>
          <w:tcPr>
            <w:tcW w:type="dxa" w:w="1700"/>
            <w:shd w:fill="EAF1F8" w:val="clear"/>
            <w:tcMar>
              <w:top w:type="dxa" w:w="80"/>
              <w:left w:type="dxa" w:w="120"/>
              <w:bottom w:type="dxa" w:w="80"/>
              <w:right w:type="dxa" w:w="120"/>
            </w:tcMar>
            <w:vAlign w:val="center"/>
          </w:tcPr>
          <w:p>
            <w:pPr>
              <w:bidi/>
              <w:spacing w:after="0"/>
              <w:jc w:val="center"/>
            </w:pPr>
            <w:r>
              <w:rPr>
                <w:rFonts w:ascii="Arial" w:cs="Arial" w:eastAsia="Arial" w:hAnsi="Arial"/>
                <w:b w:val="false"/>
                <w:bCs w:val="false"/>
                <w:sz w:val="20"/>
                <w:szCs w:val="20"/>
                <w:rtl/>
              </w:rPr>
              <w:t xml:space="preserve">يمكن</w:t>
            </w:r>
          </w:p>
        </w:tc>
      </w:tr>
    </w:tbl>
    <w:p>
      <w:r>
        <w:br w:type="page"/>
      </w:r>
    </w:p>
    <w:p>
      <w:pPr>
        <w:pStyle w:val="Heading1"/>
        <w:bidi/>
        <w:spacing w:after="160" w:before="240" w:line="300"/>
        <w:jc w:val="start"/>
      </w:pPr>
      <w:r>
        <w:rPr>
          <w:rFonts w:ascii="Arial" w:cs="Arial" w:eastAsia="Arial" w:hAnsi="Arial"/>
          <w:b/>
          <w:bCs/>
          <w:color w:val="1F4E79"/>
          <w:sz w:val="30"/>
          <w:szCs w:val="30"/>
          <w:rtl/>
        </w:rPr>
        <w:t xml:space="preserve">5. المتطلبات غير الوظيفية</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المجال</w:t>
            </w:r>
          </w:p>
        </w:tc>
        <w:tc>
          <w:tcPr>
            <w:tcW w:type="dxa" w:w="71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المتطلب</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الأداء</w:t>
            </w:r>
          </w:p>
        </w:tc>
        <w:tc>
          <w:tcPr>
            <w:tcW w:type="dxa" w:w="7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زمن استجابة الشاشات الرئيسية أقل من ثانيتين، ونتائج البحث خلال أقل من 500 ملّي ثانية.</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التوسع</w:t>
            </w:r>
          </w:p>
        </w:tc>
        <w:tc>
          <w:tcPr>
            <w:tcW w:type="dxa" w:w="7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بنية تدعم النمو إلى 100 ألف مستخدم نشط دون إعادة تصميم (Modular Monolith قابل للتقسيم إلى خدمات).</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التوفر</w:t>
            </w:r>
          </w:p>
        </w:tc>
        <w:tc>
          <w:tcPr>
            <w:tcW w:type="dxa" w:w="7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نسبة توفر 99.5% كحد أدنى مع نسخ احتياطي يومي واستعادة خلال 4 ساعات كحد أقصى.</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الأمان</w:t>
            </w:r>
          </w:p>
        </w:tc>
        <w:tc>
          <w:tcPr>
            <w:tcW w:type="dxa" w:w="7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تشفير البيانات أثناء النقل والتخزين، مصادقة ثنائية للحسابات الإدارية، وحماية من هجمات OWASP الشائعة.</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الامتثال</w:t>
            </w:r>
          </w:p>
        </w:tc>
        <w:tc>
          <w:tcPr>
            <w:tcW w:type="dxa" w:w="7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الالتزام بنظام حماية البيانات الشخصية السعودي (PDPL) ومتطلبات الفوترة الإلكترونية ZATCA، وما يعادلها في كل دولة.</w:t>
            </w:r>
          </w:p>
        </w:tc>
      </w:tr>
      <w:tr>
        <w:tc>
          <w:tcPr>
            <w:tcW w:type="dxa" w:w="22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قابلية الاستخدام</w:t>
            </w:r>
          </w:p>
        </w:tc>
        <w:tc>
          <w:tcPr>
            <w:tcW w:type="dxa" w:w="7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واجهات بسيطة تناسب تجاراً غير تقنيين، ودعم كامل للعربية RTL، وعمل التطبيق في ظروف إنترنت ضعيفة.</w:t>
            </w:r>
          </w:p>
        </w:tc>
      </w:tr>
      <w:tr>
        <w:tc>
          <w:tcPr>
            <w:tcW w:type="dxa" w:w="22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المراقبة</w:t>
            </w:r>
          </w:p>
        </w:tc>
        <w:tc>
          <w:tcPr>
            <w:tcW w:type="dxa" w:w="7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مراقبة مركزية للأخطاء والأداء (Logging + Monitoring) مع تنبيهات آلية للفريق التقني.</w:t>
            </w:r>
          </w:p>
        </w:tc>
      </w:tr>
    </w:tbl>
    <w:p>
      <w:pPr>
        <w:pStyle w:val="Heading1"/>
        <w:bidi/>
        <w:spacing w:after="160" w:before="240" w:line="300"/>
        <w:jc w:val="start"/>
      </w:pPr>
      <w:r>
        <w:rPr>
          <w:rFonts w:ascii="Arial" w:cs="Arial" w:eastAsia="Arial" w:hAnsi="Arial"/>
          <w:b/>
          <w:bCs/>
          <w:color w:val="1F4E79"/>
          <w:sz w:val="30"/>
          <w:szCs w:val="30"/>
          <w:rtl/>
        </w:rPr>
        <w:t xml:space="preserve">6. ملخص البنية التقنية المقترحة</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الطبقة</w:t>
            </w:r>
          </w:p>
        </w:tc>
        <w:tc>
          <w:tcPr>
            <w:tcW w:type="dxa" w:w="6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التقنية المقترحة</w:t>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تطبيقات الجوال</w:t>
            </w:r>
          </w:p>
        </w:tc>
        <w:tc>
          <w:tcPr>
            <w:tcW w:type="dxa" w:w="6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Flutter (كود موحد لتطبيقات المشتري والمورد والسائق – iOS وAndroid)</w:t>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الواجهة الخلفية</w:t>
            </w:r>
          </w:p>
        </w:tc>
        <w:tc>
          <w:tcPr>
            <w:tcW w:type="dxa" w:w="6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FastAPI (Python) بمعمارية Modular Monolith مع REST API موثقة</w:t>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قاعدة البيانات</w:t>
            </w:r>
          </w:p>
        </w:tc>
        <w:tc>
          <w:tcPr>
            <w:tcW w:type="dxa" w:w="6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PostgreSQL (مع فصل منطقي لكل دولة)</w:t>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البحث</w:t>
            </w:r>
          </w:p>
        </w:tc>
        <w:tc>
          <w:tcPr>
            <w:tcW w:type="dxa" w:w="6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Elasticsearch لفهرسة الكتالوج والبحث العربي</w:t>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الكاش والجلسات</w:t>
            </w:r>
          </w:p>
        </w:tc>
        <w:tc>
          <w:tcPr>
            <w:tcW w:type="dxa" w:w="6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Redis</w:t>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المهام الخلفية</w:t>
            </w:r>
          </w:p>
        </w:tc>
        <w:tc>
          <w:tcPr>
            <w:tcW w:type="dxa" w:w="6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Celery + RabbitMQ (حساب مؤشر الأسعار، الإشعارات، التسويات)</w:t>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الخرائط والتتبع</w:t>
            </w:r>
          </w:p>
        </w:tc>
        <w:tc>
          <w:tcPr>
            <w:tcW w:type="dxa" w:w="6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Google Maps Platform (التتبع، المسارات، التكويد الجغرافي)</w:t>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الاستضافة</w:t>
            </w:r>
          </w:p>
        </w:tc>
        <w:tc>
          <w:tcPr>
            <w:tcW w:type="dxa" w:w="6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خوادم سحابية مع Docker وإمكانية النقل بين المزودين</w:t>
            </w:r>
          </w:p>
        </w:tc>
      </w:tr>
    </w:tbl>
    <w:p>
      <w:pPr>
        <w:pStyle w:val="Heading1"/>
        <w:bidi/>
        <w:spacing w:after="160" w:before="240" w:line="300"/>
        <w:jc w:val="start"/>
      </w:pPr>
      <w:r>
        <w:rPr>
          <w:rFonts w:ascii="Arial" w:cs="Arial" w:eastAsia="Arial" w:hAnsi="Arial"/>
          <w:b/>
          <w:bCs/>
          <w:color w:val="1F4E79"/>
          <w:sz w:val="30"/>
          <w:szCs w:val="30"/>
          <w:rtl/>
        </w:rPr>
        <w:t xml:space="preserve">7. مراحل التنفيذ</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00"/>
      </w:tblGrid>
      <w:tr>
        <w:trPr>
          <w:tblHeader/>
        </w:trPr>
        <w:tc>
          <w:tcPr>
            <w:tcW w:type="dxa" w:w="24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المرحلة</w:t>
            </w:r>
          </w:p>
        </w:tc>
        <w:tc>
          <w:tcPr>
            <w:tcW w:type="dxa" w:w="21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المدة التقديرية</w:t>
            </w:r>
          </w:p>
        </w:tc>
        <w:tc>
          <w:tcPr>
            <w:tcW w:type="dxa" w:w="48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النطاق</w:t>
            </w:r>
          </w:p>
        </w:tc>
      </w:tr>
      <w:tr>
        <w:tc>
          <w:tcPr>
            <w:tcW w:type="dxa" w:w="24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المرحلة الأولى (MVP)</w:t>
            </w:r>
          </w:p>
        </w:tc>
        <w:tc>
          <w:tcPr>
            <w:tcW w:type="dxa" w:w="2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4 – 5 أشهر</w:t>
            </w:r>
          </w:p>
        </w:tc>
        <w:tc>
          <w:tcPr>
            <w:tcW w:type="dxa" w:w="4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دولة واحدة (السعودية)، تطبيق المشتري وبوابة المورد ولوحة الإدارة وتطبيق السائق بالوظائف الأساسية (يجب)، ومقارنة الأسعار بنسختها الأولى.</w:t>
            </w:r>
          </w:p>
        </w:tc>
      </w:tr>
      <w:tr>
        <w:tc>
          <w:tcPr>
            <w:tcW w:type="dxa" w:w="24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المرحلة الثانية</w:t>
            </w:r>
          </w:p>
        </w:tc>
        <w:tc>
          <w:tcPr>
            <w:tcW w:type="dxa" w:w="2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3 – 4 أشهر</w:t>
            </w:r>
          </w:p>
        </w:tc>
        <w:tc>
          <w:tcPr>
            <w:tcW w:type="dxa" w:w="48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متطلبات (ينبغي): RFQ، المحفظة، المرتجعات، مؤشر الأسعار المدفوع، تعدد الفروع، تحسينات التشغيل.</w:t>
            </w:r>
          </w:p>
        </w:tc>
      </w:tr>
      <w:tr>
        <w:tc>
          <w:tcPr>
            <w:tcW w:type="dxa" w:w="24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المرحلة الثالثة</w:t>
            </w:r>
          </w:p>
        </w:tc>
        <w:tc>
          <w:tcPr>
            <w:tcW w:type="dxa" w:w="2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4 – 6 أشهر</w:t>
            </w:r>
          </w:p>
        </w:tc>
        <w:tc>
          <w:tcPr>
            <w:tcW w:type="dxa" w:w="48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التوسع لدولة ثانية، متطلبات (يمكن)، تحسين المسارات، دراسة التمويل الآجل BNPL.</w:t>
            </w:r>
          </w:p>
        </w:tc>
      </w:tr>
    </w:tbl>
    <w:p>
      <w:pPr>
        <w:pStyle w:val="Heading1"/>
        <w:bidi/>
        <w:spacing w:after="160" w:before="240" w:line="300"/>
        <w:jc w:val="start"/>
      </w:pPr>
      <w:r>
        <w:rPr>
          <w:rFonts w:ascii="Arial" w:cs="Arial" w:eastAsia="Arial" w:hAnsi="Arial"/>
          <w:b/>
          <w:bCs/>
          <w:color w:val="1F4E79"/>
          <w:sz w:val="30"/>
          <w:szCs w:val="30"/>
          <w:rtl/>
        </w:rPr>
        <w:t xml:space="preserve">8. الافتراضات والمخاطر</w:t>
      </w:r>
    </w:p>
    <w:p>
      <w:pPr>
        <w:pStyle w:val="Heading2"/>
        <w:bidi/>
        <w:spacing w:after="120" w:before="200" w:line="300"/>
        <w:jc w:val="start"/>
      </w:pPr>
      <w:r>
        <w:rPr>
          <w:rFonts w:ascii="Arial" w:cs="Arial" w:eastAsia="Arial" w:hAnsi="Arial"/>
          <w:b/>
          <w:bCs/>
          <w:color w:val="1F4E79"/>
          <w:sz w:val="26"/>
          <w:szCs w:val="26"/>
          <w:rtl/>
        </w:rPr>
        <w:t xml:space="preserve">8.1 الافتراضات</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توفر فريق تطوير أساسي (2–3 مطورين + مصمم UX) طوال فترة التنفيذ.</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الحصول على السجلات والتراخيص التجارية اللازمة لنشاط التجارة الإلكترونية والتوصيل في كل دولة.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الانطلاق بمدينة واحدة وفئات منتجات محدودة (مواد غذائية أساسية) قبل التوسع.</w:t>
      </w:r>
    </w:p>
    <w:p>
      <w:pPr>
        <w:pStyle w:val="Heading2"/>
        <w:bidi/>
        <w:spacing w:after="120" w:before="200" w:line="300"/>
        <w:jc w:val="start"/>
      </w:pPr>
      <w:r>
        <w:rPr>
          <w:rFonts w:ascii="Arial" w:cs="Arial" w:eastAsia="Arial" w:hAnsi="Arial"/>
          <w:b/>
          <w:bCs/>
          <w:color w:val="1F4E79"/>
          <w:sz w:val="26"/>
          <w:szCs w:val="26"/>
          <w:rtl/>
        </w:rPr>
        <w:t xml:space="preserve">8.2 المخاطر الرئيسية</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00"/>
      </w:tblGrid>
      <w:tr>
        <w:trPr>
          <w:tblHeader/>
        </w:trPr>
        <w:tc>
          <w:tcPr>
            <w:tcW w:type="dxa" w:w="30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الخطر</w:t>
            </w:r>
          </w:p>
        </w:tc>
        <w:tc>
          <w:tcPr>
            <w:tcW w:type="dxa" w:w="13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الأثر</w:t>
            </w:r>
          </w:p>
        </w:tc>
        <w:tc>
          <w:tcPr>
            <w:tcW w:type="dxa" w:w="50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خطة التخفيف</w:t>
            </w:r>
          </w:p>
        </w:tc>
      </w:tr>
      <w:tr>
        <w:tc>
          <w:tcPr>
            <w:tcW w:type="dxa" w:w="3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ضعف جانب العرض (قلة الموردين)</w:t>
            </w:r>
          </w:p>
        </w:tc>
        <w:tc>
          <w:tcPr>
            <w:tcW w:type="dxa" w:w="1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عالٍ</w:t>
            </w:r>
          </w:p>
        </w:tc>
        <w:tc>
          <w:tcPr>
            <w:tcW w:type="dxa" w:w="5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توقيع اتفاقيات مع 20 مورداً رئيسياً قبل الإطلاق وتقديم عمولة مخفضة للمنضمين الأوائل.</w:t>
            </w:r>
          </w:p>
        </w:tc>
      </w:tr>
      <w:tr>
        <w:tc>
          <w:tcPr>
            <w:tcW w:type="dxa" w:w="3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عدم دقة مؤشر أسعار السوق</w:t>
            </w:r>
          </w:p>
        </w:tc>
        <w:tc>
          <w:tcPr>
            <w:tcW w:type="dxa" w:w="1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عالٍ</w:t>
            </w:r>
          </w:p>
        </w:tc>
        <w:tc>
          <w:tcPr>
            <w:tcW w:type="dxa" w:w="5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عرض درجة الثقة وعدد المصادر، والمراجعة اليدوية للفئات الحساسة قبل النشر.</w:t>
            </w:r>
          </w:p>
        </w:tc>
      </w:tr>
      <w:tr>
        <w:tc>
          <w:tcPr>
            <w:tcW w:type="dxa" w:w="3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القيود القانونية على جمع أسعار المنافسين</w:t>
            </w:r>
          </w:p>
        </w:tc>
        <w:tc>
          <w:tcPr>
            <w:tcW w:type="dxa" w:w="1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متوسط</w:t>
            </w:r>
          </w:p>
        </w:tc>
        <w:tc>
          <w:tcPr>
            <w:tcW w:type="dxa" w:w="5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الاعتماد على المصادر الرسمية والمعلنة والمسح الميداني، ومراجعة قانونية لكل دولة.</w:t>
            </w:r>
          </w:p>
        </w:tc>
      </w:tr>
      <w:tr>
        <w:tc>
          <w:tcPr>
            <w:tcW w:type="dxa" w:w="3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تكاليف التوصيل التشغيلية</w:t>
            </w:r>
          </w:p>
        </w:tc>
        <w:tc>
          <w:tcPr>
            <w:tcW w:type="dxa" w:w="13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عالٍ</w:t>
            </w:r>
          </w:p>
        </w:tc>
        <w:tc>
          <w:tcPr>
            <w:tcW w:type="dxa" w:w="50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البدء بأسطول صغير ومناطق محدودة، وحد أدنى لقيمة الطلب.</w:t>
            </w:r>
          </w:p>
        </w:tc>
      </w:tr>
      <w:tr>
        <w:tc>
          <w:tcPr>
            <w:tcW w:type="dxa" w:w="3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منافسة المنصات القائمة</w:t>
            </w:r>
          </w:p>
        </w:tc>
        <w:tc>
          <w:tcPr>
            <w:tcW w:type="dxa" w:w="13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متوسط</w:t>
            </w:r>
          </w:p>
        </w:tc>
        <w:tc>
          <w:tcPr>
            <w:tcW w:type="dxa" w:w="50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التميز بميزة مقارنة الأسعار وخدمة فئات ومناطق غير مخدومة.</w:t>
            </w:r>
          </w:p>
        </w:tc>
      </w:tr>
    </w:tbl>
    <w:p>
      <w:pPr>
        <w:pStyle w:val="Heading1"/>
        <w:bidi/>
        <w:spacing w:after="160" w:before="240" w:line="300"/>
        <w:jc w:val="start"/>
      </w:pPr>
      <w:r>
        <w:rPr>
          <w:rFonts w:ascii="Arial" w:cs="Arial" w:eastAsia="Arial" w:hAnsi="Arial"/>
          <w:b/>
          <w:bCs/>
          <w:color w:val="1F4E79"/>
          <w:sz w:val="30"/>
          <w:szCs w:val="30"/>
          <w:rtl/>
        </w:rPr>
        <w:t xml:space="preserve">9. معايير القبول العامة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تنفيذ جميع المتطلبات ذات أولوية (يجب) واجتيازها لاختبارات القبول (UAT) الموثقة.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إتمام دورة طلب كاملة حقيقية: تسجيل تاجر، طلب من مورد، توصيل بواسطة سائق، إثبات تسليم، وتسوية مالية.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صحة احتساب الضرائب والفواتير ومطابقتها لمتطلبات ZATCA على عينة لا تقل عن 50 فاتورة.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عمل التطبيقات باللغتين العربية والإنجليزية دون أخطاء في الاتجاه أو الترجمة.</w:t>
      </w:r>
    </w:p>
    <w:p>
      <w:pPr>
        <w:pStyle w:val="ListParagraph"/>
        <w:numPr>
          <w:ilvl w:val="0"/>
          <w:numId w:val="2"/>
        </w:numPr>
        <w:bidi/>
        <w:spacing w:after="120" w:before="0" w:line="300"/>
        <w:jc w:val="start"/>
      </w:pPr>
      <w:r>
        <w:rPr>
          <w:rFonts w:ascii="Arial" w:cs="Arial" w:eastAsia="Arial" w:hAnsi="Arial"/>
          <w:b w:val="false"/>
          <w:bCs w:val="false"/>
          <w:sz w:val="22"/>
          <w:szCs w:val="22"/>
          <w:rtl/>
        </w:rPr>
        <w:t xml:space="preserve">ظهور مؤشر مقارنة الأسعار لما لا يقل عن 70% من منتجات الفئات الرئيسية بدرجة ثقة مقبولة.</w:t>
      </w:r>
    </w:p>
    <w:p>
      <w:r>
        <w:br w:type="page"/>
      </w:r>
    </w:p>
    <w:p>
      <w:pPr>
        <w:pStyle w:val="Heading1"/>
        <w:bidi/>
        <w:spacing w:after="160" w:before="240" w:line="300"/>
        <w:jc w:val="start"/>
      </w:pPr>
      <w:r>
        <w:rPr>
          <w:rFonts w:ascii="Arial" w:cs="Arial" w:eastAsia="Arial" w:hAnsi="Arial"/>
          <w:b/>
          <w:bCs/>
          <w:color w:val="1F4E79"/>
          <w:sz w:val="30"/>
          <w:szCs w:val="30"/>
          <w:rtl/>
        </w:rPr>
        <w:t xml:space="preserve">10. التصديق والاعتماد</w:t>
      </w:r>
    </w:p>
    <w:p>
      <w:pPr>
        <w:bidi/>
        <w:spacing w:after="120" w:before="0" w:line="300"/>
        <w:jc w:val="start"/>
      </w:pPr>
      <w:r>
        <w:rPr>
          <w:rFonts w:ascii="Arial" w:cs="Arial" w:eastAsia="Arial" w:hAnsi="Arial"/>
          <w:b w:val="false"/>
          <w:bCs w:val="false"/>
          <w:sz w:val="22"/>
          <w:szCs w:val="22"/>
          <w:rtl/>
        </w:rPr>
        <w:t xml:space="preserve">بالتوقيع أدناه، يقر الموقعون بمراجعة هذا المستند والموافقة على المتطلبات الواردة فيه كأساس لتنفيذ المشروع. أي تعديل لاحق على النطاق يتم عبر طلب تغيير رسمي (Change Request) موثق.</w:t>
      </w:r>
    </w:p>
    <w:tbl>
      <w:tblPr>
        <w:bidiVisual/>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2100"/>
        <w:gridCol w:w="1700"/>
      </w:tblGrid>
      <w:tr>
        <w:trPr>
          <w:tblHeader/>
        </w:trPr>
        <w:tc>
          <w:tcPr>
            <w:tcW w:type="dxa" w:w="26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الاسم</w:t>
            </w:r>
          </w:p>
        </w:tc>
        <w:tc>
          <w:tcPr>
            <w:tcW w:type="dxa" w:w="29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الصفة</w:t>
            </w:r>
          </w:p>
        </w:tc>
        <w:tc>
          <w:tcPr>
            <w:tcW w:type="dxa" w:w="21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التوقيع</w:t>
            </w:r>
          </w:p>
        </w:tc>
        <w:tc>
          <w:tcPr>
            <w:tcW w:type="dxa" w:w="1700"/>
            <w:shd w:fill="1F4E79" w:val="clear"/>
            <w:tcMar>
              <w:top w:type="dxa" w:w="80"/>
              <w:left w:type="dxa" w:w="120"/>
              <w:bottom w:type="dxa" w:w="80"/>
              <w:right w:type="dxa" w:w="120"/>
            </w:tcMar>
            <w:vAlign w:val="center"/>
          </w:tcPr>
          <w:p>
            <w:pPr>
              <w:bidi/>
              <w:spacing w:after="0"/>
              <w:jc w:val="center"/>
            </w:pPr>
            <w:r>
              <w:rPr>
                <w:rFonts w:ascii="Arial" w:cs="Arial" w:eastAsia="Arial" w:hAnsi="Arial"/>
                <w:b/>
                <w:bCs/>
                <w:color w:val="FFFFFF"/>
                <w:sz w:val="20"/>
                <w:szCs w:val="20"/>
                <w:rtl/>
              </w:rPr>
              <w:t xml:space="preserve">التاريخ</w:t>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29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صاحب المشروع / الراعي</w:t>
            </w:r>
          </w:p>
        </w:tc>
        <w:tc>
          <w:tcPr>
            <w:tcW w:type="dxa" w:w="2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1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29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مدير المشروع</w:t>
            </w:r>
          </w:p>
        </w:tc>
        <w:tc>
          <w:tcPr>
            <w:tcW w:type="dxa" w:w="2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1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r>
      <w:tr>
        <w:tc>
          <w:tcPr>
            <w:tcW w:type="dxa" w:w="26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29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المسؤول التقني</w:t>
            </w:r>
          </w:p>
        </w:tc>
        <w:tc>
          <w:tcPr>
            <w:tcW w:type="dxa" w:w="21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1700"/>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r>
      <w:tr>
        <w:tc>
          <w:tcPr>
            <w:tcW w:type="dxa" w:w="26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29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المسؤول المالي</w:t>
            </w:r>
          </w:p>
        </w:tc>
        <w:tc>
          <w:tcPr>
            <w:tcW w:type="dxa" w:w="21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c>
          <w:tcPr>
            <w:tcW w:type="dxa" w:w="1700"/>
            <w:shd w:fill="EAF1F8" w:val="clear"/>
            <w:tcMar>
              <w:top w:type="dxa" w:w="80"/>
              <w:left w:type="dxa" w:w="120"/>
              <w:bottom w:type="dxa" w:w="80"/>
              <w:right w:type="dxa" w:w="120"/>
            </w:tcMar>
            <w:vAlign w:val="center"/>
          </w:tcPr>
          <w:p>
            <w:pPr>
              <w:bidi/>
              <w:spacing w:after="0"/>
              <w:jc w:val="start"/>
            </w:pPr>
            <w:r>
              <w:rPr>
                <w:rFonts w:ascii="Arial" w:cs="Arial" w:eastAsia="Arial" w:hAnsi="Arial"/>
                <w:b w:val="false"/>
                <w:bCs w:val="false"/>
                <w:sz w:val="20"/>
                <w:szCs w:val="20"/>
                <w:rtl/>
              </w:rPr>
              <w:t xml:space="preserve"/>
            </w:r>
          </w:p>
        </w:tc>
      </w:tr>
    </w:tbl>
    <w:p>
      <w:pPr>
        <w:spacing w:after="120"/>
      </w:pPr>
    </w:p>
    <w:p>
      <w:pPr>
        <w:bidi/>
        <w:spacing w:after="120" w:before="0" w:line="300"/>
        <w:jc w:val="center"/>
      </w:pPr>
      <w:r>
        <w:rPr>
          <w:rFonts w:ascii="Arial" w:cs="Arial" w:eastAsia="Arial" w:hAnsi="Arial"/>
          <w:b w:val="false"/>
          <w:bCs w:val="false"/>
          <w:color w:val="888888"/>
          <w:sz w:val="20"/>
          <w:szCs w:val="20"/>
          <w:rtl/>
        </w:rPr>
        <w:t xml:space="preserve">نهاية المستند – الإصدار 1.0</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F4E79"/>
    </w:rPr>
  </w:style>
  <w:style w:type="paragraph" w:styleId="Heading2">
    <w:name w:val="Heading 2"/>
    <w:basedOn w:val="Normal"/>
    <w:next w:val="Normal"/>
    <w:qFormat/>
    <w:rPr>
      <w:rFonts w:ascii="Arial" w:cs="Arial" w:eastAsia="Arial" w:hAnsi="Arial"/>
      <w:b/>
      <w:bCs/>
      <w:color w:val="1F4E79"/>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2026-07-02T07:41:43.657Z</dcterms:created>
  <dcterms:modified xsi:type="dcterms:W3CDTF">2026-07-02T07:41:43.657Z</dcterms:modified>
</cp:coreProperties>
</file>

<file path=docProps/custom.xml><?xml version="1.0" encoding="utf-8"?>
<Properties xmlns="http://schemas.openxmlformats.org/officeDocument/2006/custom-properties" xmlns:vt="http://schemas.openxmlformats.org/officeDocument/2006/docPropsVTypes"/>
</file>