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spacing w:after="160" w:before="0" w:line="300"/>
        <w:jc w:val="center"/>
      </w:pPr>
      <w:r>
        <w:rPr>
          <w:rFonts w:ascii="Arial" w:cs="Arial" w:eastAsia="Arial" w:hAnsi="Arial"/>
          <w:b/>
          <w:bCs/>
          <w:color w:val="0F6E56"/>
          <w:sz w:val="52"/>
          <w:szCs w:val="52"/>
          <w:rtl/>
        </w:rPr>
        <w:t xml:space="preserve">مواصفات المتطلبات البرمجية</w:t>
      </w:r>
    </w:p>
    <w:p>
      <w:pPr>
        <w:bidi/>
        <w:spacing w:after="60" w:before="0" w:line="300"/>
        <w:jc w:val="center"/>
      </w:pPr>
      <w:r>
        <w:rPr>
          <w:rFonts w:ascii="Arial" w:cs="Arial" w:eastAsia="Arial" w:hAnsi="Arial"/>
          <w:b w:val="false"/>
          <w:bCs w:val="false"/>
          <w:color w:val="6B6B6B"/>
          <w:sz w:val="26"/>
          <w:szCs w:val="26"/>
          <w:rtl/>
        </w:rPr>
        <w:t xml:space="preserve">Software Requirements Specification (SRS)</w:t>
      </w:r>
    </w:p>
    <w:p>
      <w:pPr>
        <w:bidi/>
        <w:spacing w:after="900" w:before="0" w:line="300"/>
        <w:jc w:val="center"/>
      </w:pPr>
      <w:r>
        <w:rPr>
          <w:rFonts w:ascii="Arial" w:cs="Arial" w:eastAsia="Arial" w:hAnsi="Arial"/>
          <w:b/>
          <w:bCs/>
          <w:color w:val="212121"/>
          <w:sz w:val="26"/>
          <w:szCs w:val="26"/>
          <w:rtl/>
        </w:rPr>
        <w:t xml:space="preserve">منصة تجارة الجملة الإلكترونية B2B / B2C</w:t>
      </w:r>
    </w:p>
    <w:p>
      <w:pPr>
        <w:shd w:fill="0F6E56" w:val="clear"/>
        <w:bidi/>
        <w:spacing w:after="200" w:before="0" w:line="300"/>
        <w:jc w:val="center"/>
      </w:pPr>
      <w:r>
        <w:rPr>
          <w:rFonts w:ascii="Arial" w:cs="Arial" w:eastAsia="Arial" w:hAnsi="Arial"/>
          <w:b/>
          <w:bCs/>
          <w:color w:val="FFFFFF"/>
          <w:sz w:val="22"/>
          <w:szCs w:val="22"/>
          <w:rtl/>
        </w:rPr>
        <w:t xml:space="preserve">مستند المرحلة الثانية: تحليل المتطلبات — REQ-02</w:t>
      </w:r>
    </w:p>
    <w:p>
      <w:pPr>
        <w:bidi/>
        <w:spacing w:after="100" w:before="0" w:line="300"/>
        <w:jc w:val="center"/>
      </w:pPr>
      <w:r>
        <w:rPr>
          <w:rFonts w:ascii="Arial" w:cs="Arial" w:eastAsia="Arial" w:hAnsi="Arial"/>
          <w:b w:val="false"/>
          <w:bCs w:val="false"/>
          <w:color w:val="6B6B6B"/>
          <w:sz w:val="20"/>
          <w:szCs w:val="20"/>
          <w:rtl/>
        </w:rPr>
        <w:t xml:space="preserve">الإصدار 1.0  •  يوليو 2026  •  المرجع الأم: وثيقة متطلبات العمل BRD v1.0</w:t>
      </w:r>
    </w:p>
    <w:p>
      <w:r>
        <w:br w:type="page"/>
      </w:r>
    </w:p>
    <w:p>
      <w:pPr>
        <w:pBdr>
          <w:bottom w:val="single" w:color="0F6E56" w:sz="12" w:space="4"/>
        </w:pBdr>
        <w:bidi/>
        <w:spacing w:after="140" w:before="280" w:line="300"/>
        <w:jc w:val="start"/>
      </w:pPr>
      <w:r>
        <w:rPr>
          <w:rFonts w:ascii="Arial" w:cs="Arial" w:eastAsia="Arial" w:hAnsi="Arial"/>
          <w:b/>
          <w:bCs/>
          <w:color w:val="0F6E56"/>
          <w:sz w:val="28"/>
          <w:szCs w:val="28"/>
          <w:rtl/>
        </w:rPr>
        <w:t xml:space="preserve">1. المقدمة</w:t>
      </w:r>
    </w:p>
    <w:p>
      <w:pPr>
        <w:bidi/>
        <w:spacing w:after="100" w:before="0" w:line="300"/>
        <w:jc w:val="start"/>
      </w:pPr>
      <w:r>
        <w:rPr>
          <w:rFonts w:ascii="Arial" w:cs="Arial" w:eastAsia="Arial" w:hAnsi="Arial"/>
          <w:b w:val="false"/>
          <w:bCs w:val="false"/>
          <w:color w:val="333333"/>
          <w:sz w:val="21"/>
          <w:szCs w:val="21"/>
          <w:rtl/>
        </w:rPr>
        <w:t xml:space="preserve">تترجم هذه الوثيقة متطلبات العمل (BRD) إلى مواصفات برمجية دقيقة قابلة للقياس والاختبار، وهي المرجع الملزم لفريق التطوير ولكتابة حالات الاختبار. كل مواصفة تحمل رمزاً (SRS-xxx) يرتبط بمتطلب الأعمال المقابل في مصفوفة التتبع (REQ-03).</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2500"/>
        <w:gridCol w:w="6800"/>
      </w:tblGrid>
      <w:tr>
        <w:trPr>
          <w:tblHeader/>
        </w:trPr>
        <w:tc>
          <w:tcPr>
            <w:tcW w:type="dxa" w:w="25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المراجع</w:t>
            </w:r>
          </w:p>
        </w:tc>
        <w:tc>
          <w:tcPr>
            <w:tcW w:type="dxa" w:w="68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الوصف</w:t>
            </w:r>
          </w:p>
        </w:tc>
      </w:tr>
      <w:tr>
        <w:tc>
          <w:tcPr>
            <w:tcW w:type="dxa" w:w="25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BRD v1.0</w:t>
            </w:r>
          </w:p>
        </w:tc>
        <w:tc>
          <w:tcPr>
            <w:tcW w:type="dxa" w:w="68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وثيقة متطلبات العمل — مصدر المتطلبات المرقمة FR-01 إلى FR-10</w:t>
            </w:r>
          </w:p>
        </w:tc>
      </w:tr>
      <w:tr>
        <w:tc>
          <w:tcPr>
            <w:tcW w:type="dxa" w:w="25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PLN-01 / PLN-02</w:t>
            </w:r>
          </w:p>
        </w:tc>
        <w:tc>
          <w:tcPr>
            <w:tcW w:type="dxa" w:w="68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وثيقة التأسيس والحالة التجارية — النطاق والقيود</w:t>
            </w:r>
          </w:p>
        </w:tc>
      </w:tr>
      <w:tr>
        <w:tc>
          <w:tcPr>
            <w:tcW w:type="dxa" w:w="25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UI-01 / UI-02</w:t>
            </w:r>
          </w:p>
        </w:tc>
        <w:tc>
          <w:tcPr>
            <w:tcW w:type="dxa" w:w="68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توثيق واجهة المستخدم — الحالة الراهنة وخارطة الاكتمال</w:t>
            </w:r>
          </w:p>
        </w:tc>
      </w:tr>
      <w:tr>
        <w:tc>
          <w:tcPr>
            <w:tcW w:type="dxa" w:w="25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REQ-03 (RTM)</w:t>
            </w:r>
          </w:p>
        </w:tc>
        <w:tc>
          <w:tcPr>
            <w:tcW w:type="dxa" w:w="68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مصفوفة تتبع المتطلبات — الربط الكامل من BRD حتى الاختبار</w:t>
            </w:r>
          </w:p>
        </w:tc>
      </w:tr>
    </w:tbl>
    <w:p>
      <w:pPr>
        <w:pBdr>
          <w:bottom w:val="single" w:color="0F6E56" w:sz="12" w:space="4"/>
        </w:pBdr>
        <w:bidi/>
        <w:spacing w:after="140" w:before="280" w:line="300"/>
        <w:jc w:val="start"/>
      </w:pPr>
      <w:r>
        <w:rPr>
          <w:rFonts w:ascii="Arial" w:cs="Arial" w:eastAsia="Arial" w:hAnsi="Arial"/>
          <w:b/>
          <w:bCs/>
          <w:color w:val="0F6E56"/>
          <w:sz w:val="28"/>
          <w:szCs w:val="28"/>
          <w:rtl/>
        </w:rPr>
        <w:t xml:space="preserve">2. الوصف العام للنظام</w:t>
      </w:r>
    </w:p>
    <w:p>
      <w:pPr>
        <w:bidi/>
        <w:spacing w:after="100" w:before="0" w:line="300"/>
        <w:jc w:val="start"/>
      </w:pPr>
      <w:r>
        <w:rPr>
          <w:rFonts w:ascii="Arial" w:cs="Arial" w:eastAsia="Arial" w:hAnsi="Arial"/>
          <w:b w:val="false"/>
          <w:bCs w:val="false"/>
          <w:color w:val="333333"/>
          <w:sz w:val="21"/>
          <w:szCs w:val="21"/>
          <w:rtl/>
        </w:rPr>
        <w:t xml:space="preserve">منظومة من أربعة تطبيقات (المشتري iOS/Android/ويب، بوابة المورد، تطبيق السائق، لوحة الإدارة) تخدمها واجهة خلفية واحدة REST API بمعمارية معيارية، وقاعدة PostgreSQL، وبحث Elasticsearch، وكاش Redis، ومهام خلفية Celery. الفاعلون: زائر، مستهلك B2C، تاجر B2B موثق، مورد، سائق، مشغّل المنصة، مدير النظام.</w:t>
      </w:r>
    </w:p>
    <w:p>
      <w:pPr>
        <w:bidi/>
        <w:spacing w:after="80" w:before="160" w:line="300"/>
        <w:jc w:val="start"/>
      </w:pPr>
      <w:r>
        <w:rPr>
          <w:rFonts w:ascii="Arial" w:cs="Arial" w:eastAsia="Arial" w:hAnsi="Arial"/>
          <w:b/>
          <w:bCs/>
          <w:color w:val="212121"/>
          <w:sz w:val="23"/>
          <w:szCs w:val="23"/>
          <w:rtl/>
        </w:rPr>
        <w:t xml:space="preserve">القيود التصميمية الحاكمة</w:t>
      </w:r>
    </w:p>
    <w:p>
      <w:pPr>
        <w:bidi/>
        <w:spacing w:after="100" w:before="0" w:line="300"/>
        <w:jc w:val="start"/>
      </w:pPr>
      <w:r>
        <w:rPr>
          <w:rFonts w:ascii="Arial" w:cs="Arial" w:eastAsia="Arial" w:hAnsi="Arial"/>
          <w:b w:val="false"/>
          <w:bCs w:val="false"/>
          <w:color w:val="333333"/>
          <w:sz w:val="21"/>
          <w:szCs w:val="21"/>
          <w:rtl/>
        </w:rPr>
        <w:t xml:space="preserve">جميع القيم المالية بنوع Decimal بدقة خانتين (ثلاث للدينار الكويتي) — يُمنع Float منعاً باتاً. الترجمة بجداول ترجمة في قاعدة البيانات لا بأعمدة لغوية. كل الجداول الحساسة بحذف منطقي وسجل تدقيق. التوافق الإلزامي: فوترة ZATCA المرحلة الثانية، ونظام حماية البيانات الشخصية PDPL.</w:t>
      </w:r>
    </w:p>
    <w:p>
      <w:pPr>
        <w:pBdr>
          <w:bottom w:val="single" w:color="0F6E56" w:sz="12" w:space="4"/>
        </w:pBdr>
        <w:bidi/>
        <w:spacing w:after="140" w:before="280" w:line="300"/>
        <w:jc w:val="start"/>
      </w:pPr>
      <w:r>
        <w:rPr>
          <w:rFonts w:ascii="Arial" w:cs="Arial" w:eastAsia="Arial" w:hAnsi="Arial"/>
          <w:b/>
          <w:bCs/>
          <w:color w:val="0F6E56"/>
          <w:sz w:val="28"/>
          <w:szCs w:val="28"/>
          <w:rtl/>
        </w:rPr>
        <w:t xml:space="preserve">3. المواصفات الوظيفية البرمجية</w:t>
      </w:r>
    </w:p>
    <w:p>
      <w:pPr>
        <w:bidi/>
        <w:spacing w:after="100" w:before="0" w:line="300"/>
        <w:jc w:val="start"/>
      </w:pPr>
      <w:r>
        <w:rPr>
          <w:rFonts w:ascii="Arial" w:cs="Arial" w:eastAsia="Arial" w:hAnsi="Arial"/>
          <w:b w:val="false"/>
          <w:bCs w:val="false"/>
          <w:color w:val="333333"/>
          <w:sz w:val="21"/>
          <w:szCs w:val="21"/>
          <w:rtl/>
        </w:rPr>
        <w:t xml:space="preserve">صياغة كل مواصفة ملزمة وقابلة للقياس. المجموعات تطابق وحدات BRD العشر.</w:t>
      </w:r>
    </w:p>
    <w:p>
      <w:pPr>
        <w:bidi/>
        <w:spacing w:after="80" w:before="160" w:line="300"/>
        <w:jc w:val="start"/>
      </w:pPr>
      <w:r>
        <w:rPr>
          <w:rFonts w:ascii="Arial" w:cs="Arial" w:eastAsia="Arial" w:hAnsi="Arial"/>
          <w:b/>
          <w:bCs/>
          <w:color w:val="212121"/>
          <w:sz w:val="23"/>
          <w:szCs w:val="23"/>
          <w:rtl/>
        </w:rPr>
        <w:t xml:space="preserve">SRS-AUT — الهوية والتحقق (يقابل FR-01)</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1700"/>
        <w:gridCol w:w="7600"/>
      </w:tblGrid>
      <w:tr>
        <w:trPr>
          <w:tblHeader/>
        </w:trPr>
        <w:tc>
          <w:tcPr>
            <w:tcW w:type="dxa" w:w="17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الرمز</w:t>
            </w:r>
          </w:p>
        </w:tc>
        <w:tc>
          <w:tcPr>
            <w:tcW w:type="dxa" w:w="76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المواصفة البرمجية</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SRS-AUT-01</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رمز OTP من 6 أرقام، صلاحيته 5 دقائق، بحد أقصى 3 محاولات تحقق ثم قفل 15 دقيقة، وحد إرسال 5 رموز/ساعة للرقم الواحد. لا يُعاد الرمز في أي استجابة API في أي بيئة.</w:t>
            </w:r>
          </w:p>
        </w:tc>
      </w:tr>
      <w:tr>
        <w:tc>
          <w:tcPr>
            <w:tcW w:type="dxa" w:w="1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SRS-AUT-02</w:t>
            </w:r>
          </w:p>
        </w:tc>
        <w:tc>
          <w:tcPr>
            <w:tcW w:type="dxa" w:w="7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جلسات بتوكن وصول JWT صلاحيته 15 دقيقة وتوكن تجديد 30 يوماً في كوكي HttpOnly Secure SameSite، مع إبطال فوري لكل الجلسات عند تغيير كلمة المرور.</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SRS-AUT-03</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سير اعتماد التاجر: رفع سجل تجاري ورقم ضريبي (تحقق صيغة: 15 خانة تبدأ وتنتهي بـ3 للسعودية) ← حالة (قيد المراجعة/معتمد/مرفوض بسبب) ← إشعار خلال دقيقة من القرار.</w:t>
            </w:r>
          </w:p>
        </w:tc>
      </w:tr>
      <w:tr>
        <w:tc>
          <w:tcPr>
            <w:tcW w:type="dxa" w:w="1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SRS-AUT-04</w:t>
            </w:r>
          </w:p>
        </w:tc>
        <w:tc>
          <w:tcPr>
            <w:tcW w:type="dxa" w:w="7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حساب التاجر يدعم حتى 10 مستخدمين فرعيين بثلاث صلاحيات (مالك/مشترٍ/محاسب) بمصفوفة أذونات موثقة على مستوى API.</w:t>
            </w:r>
          </w:p>
        </w:tc>
      </w:tr>
    </w:tbl>
    <w:p>
      <w:pPr>
        <w:bidi/>
        <w:spacing w:after="80" w:before="160" w:line="300"/>
        <w:jc w:val="start"/>
      </w:pPr>
      <w:r>
        <w:rPr>
          <w:rFonts w:ascii="Arial" w:cs="Arial" w:eastAsia="Arial" w:hAnsi="Arial"/>
          <w:b/>
          <w:bCs/>
          <w:color w:val="212121"/>
          <w:sz w:val="23"/>
          <w:szCs w:val="23"/>
          <w:rtl/>
        </w:rPr>
        <w:t xml:space="preserve">SRS-CAT — الكتالوج والبحث (يقابل FR-02)</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1700"/>
        <w:gridCol w:w="7600"/>
      </w:tblGrid>
      <w:tr>
        <w:trPr>
          <w:tblHeader/>
        </w:trPr>
        <w:tc>
          <w:tcPr>
            <w:tcW w:type="dxa" w:w="17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الرمز</w:t>
            </w:r>
          </w:p>
        </w:tc>
        <w:tc>
          <w:tcPr>
            <w:tcW w:type="dxa" w:w="76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المواصفة البرمجية</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SRS-CAT-01</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شجرة تصنيفات حتى 3 مستويات لكل دولة، وربط المنتج بمورد واحد أو أكثر مع مخزون وسعر مستقلين لكل ربط.</w:t>
            </w:r>
          </w:p>
        </w:tc>
      </w:tr>
      <w:tr>
        <w:tc>
          <w:tcPr>
            <w:tcW w:type="dxa" w:w="1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SRS-CAT-02</w:t>
            </w:r>
          </w:p>
        </w:tc>
        <w:tc>
          <w:tcPr>
            <w:tcW w:type="dxa" w:w="7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بحث عربي بتطبيع الهمزات والتاء المربوطة وتصحيح إملائي، نتائج أولى خلال 300 ملّي ثانية (p95)، وفلاتر: تصنيف، مورد، نطاق سعر، علامة، وترتيب بالسعر/التوفير/المبيعات.</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SRS-CAT-03</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بطاقة المنتج تفرض: اسم بلغتين، وحدة بيع (كرتون/حبة/طبلية)، عدد الوحدات بالكرتون، GTIN اختياري بتحقق Checksum، وصور بحد أدنى 800×800.</w:t>
            </w:r>
          </w:p>
        </w:tc>
      </w:tr>
    </w:tbl>
    <w:p>
      <w:pPr>
        <w:bidi/>
        <w:spacing w:after="80" w:before="160" w:line="300"/>
        <w:jc w:val="start"/>
      </w:pPr>
      <w:r>
        <w:rPr>
          <w:rFonts w:ascii="Arial" w:cs="Arial" w:eastAsia="Arial" w:hAnsi="Arial"/>
          <w:b/>
          <w:bCs/>
          <w:color w:val="212121"/>
          <w:sz w:val="23"/>
          <w:szCs w:val="23"/>
          <w:rtl/>
        </w:rPr>
        <w:t xml:space="preserve">SRS-PRC — التسعير وعروض الأسعار (يقابل FR-03)</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1700"/>
        <w:gridCol w:w="7600"/>
      </w:tblGrid>
      <w:tr>
        <w:trPr>
          <w:tblHeader/>
        </w:trPr>
        <w:tc>
          <w:tcPr>
            <w:tcW w:type="dxa" w:w="17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الرمز</w:t>
            </w:r>
          </w:p>
        </w:tc>
        <w:tc>
          <w:tcPr>
            <w:tcW w:type="dxa" w:w="76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المواصفة البرمجية</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SRS-PRC-01</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حتى 5 شرائح كمية لكل منتج/مورد بحدود غير متداخلة يتحقق منها النظام، وMOQ على مستوى المنتج، والسعر المطبق يُحتسب من الشريحة وقت تأكيد الطلب ويُجمّد فيه.</w:t>
            </w:r>
          </w:p>
        </w:tc>
      </w:tr>
      <w:tr>
        <w:tc>
          <w:tcPr>
            <w:tcW w:type="dxa" w:w="1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SRS-PRC-02</w:t>
            </w:r>
          </w:p>
        </w:tc>
        <w:tc>
          <w:tcPr>
            <w:tcW w:type="dxa" w:w="7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سعر التجزئة B2C حقل مستقل (لا هامش محسوب)، ولا تُكشف أسعار الجملة ولا الشرائح في أي استجابة API لغير التاجر الموثق.</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SRS-PRC-03</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دورة RFQ: طلب بكمية ومهلة (24-168 ساعة) ← عروض الموردين ← قبول عرض ينشئ طلباً بسعره ← انتهاء المهلة يغلق الطلب تلقائياً.</w:t>
            </w:r>
          </w:p>
        </w:tc>
      </w:tr>
    </w:tbl>
    <w:p>
      <w:pPr>
        <w:bidi/>
        <w:spacing w:after="80" w:before="160" w:line="300"/>
        <w:jc w:val="start"/>
      </w:pPr>
      <w:r>
        <w:rPr>
          <w:rFonts w:ascii="Arial" w:cs="Arial" w:eastAsia="Arial" w:hAnsi="Arial"/>
          <w:b/>
          <w:bCs/>
          <w:color w:val="212121"/>
          <w:sz w:val="23"/>
          <w:szCs w:val="23"/>
          <w:rtl/>
        </w:rPr>
        <w:t xml:space="preserve">SRS-MKT — محرك مقارنة الأسعار (يقابل FR-04)</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1700"/>
        <w:gridCol w:w="7600"/>
      </w:tblGrid>
      <w:tr>
        <w:trPr>
          <w:tblHeader/>
        </w:trPr>
        <w:tc>
          <w:tcPr>
            <w:tcW w:type="dxa" w:w="17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الرمز</w:t>
            </w:r>
          </w:p>
        </w:tc>
        <w:tc>
          <w:tcPr>
            <w:tcW w:type="dxa" w:w="76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المواصفة البرمجية</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SRS-MKT-01</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مهمة ليلية تحسب متوسطاً مرجحاً لكل (منتج، دولة) بعد استبعاد القيم خارج 1.5×IQR، من ثلاث قنوات مصادر بأوزان قابلة للضبط، وتخزن النتيجة مع درجة ثقة (عالية ≥5 مصادر، متوسطة 3-4، منخفضة ≤2).</w:t>
            </w:r>
          </w:p>
        </w:tc>
      </w:tr>
      <w:tr>
        <w:tc>
          <w:tcPr>
            <w:tcW w:type="dxa" w:w="1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SRS-MKT-02</w:t>
            </w:r>
          </w:p>
        </w:tc>
        <w:tc>
          <w:tcPr>
            <w:tcW w:type="dxa" w:w="7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مطابقة المنتجات: GTIN أولاً، ثم تشابه دلالي بالتضمينات بعتبة ≥ 0.85 مع مراجعة يدوية للنطاق 0.75-0.85.</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SRS-MKT-03</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قاعدة العرض الملزمة: الشارة تظهر فقط إذا سعر المنصة &lt; متوسط السوق وبنسبة ≥ 2%، مع عدد المصادر ودرجة الثقة وتاريخ التحديث. يُمنع عرض أي مقارنة سالبة.</w:t>
            </w:r>
          </w:p>
        </w:tc>
      </w:tr>
      <w:tr>
        <w:tc>
          <w:tcPr>
            <w:tcW w:type="dxa" w:w="1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SRS-MKT-04</w:t>
            </w:r>
          </w:p>
        </w:tc>
        <w:tc>
          <w:tcPr>
            <w:tcW w:type="dxa" w:w="7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بيانات حركة السعر 30/90 يوماً عبر API مقيد بالاشتراك المميز، وتنبيهات تغير السعر عند تجاوز عتبة يحددها التاجر (افتراضي 5%).</w:t>
            </w:r>
          </w:p>
        </w:tc>
      </w:tr>
    </w:tbl>
    <w:p>
      <w:pPr>
        <w:bidi/>
        <w:spacing w:after="80" w:before="160" w:line="300"/>
        <w:jc w:val="start"/>
      </w:pPr>
      <w:r>
        <w:rPr>
          <w:rFonts w:ascii="Arial" w:cs="Arial" w:eastAsia="Arial" w:hAnsi="Arial"/>
          <w:b/>
          <w:bCs/>
          <w:color w:val="212121"/>
          <w:sz w:val="23"/>
          <w:szCs w:val="23"/>
          <w:rtl/>
        </w:rPr>
        <w:t xml:space="preserve">SRS-ORD — الطلبات (يقابل FR-05)</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1700"/>
        <w:gridCol w:w="7600"/>
      </w:tblGrid>
      <w:tr>
        <w:trPr>
          <w:tblHeader/>
        </w:trPr>
        <w:tc>
          <w:tcPr>
            <w:tcW w:type="dxa" w:w="17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الرمز</w:t>
            </w:r>
          </w:p>
        </w:tc>
        <w:tc>
          <w:tcPr>
            <w:tcW w:type="dxa" w:w="76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المواصفة البرمجية</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SRS-ORD-01</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آلة حالات بثماني حالات وانتقالات محددة حصراً، وكل انتقال يسجل (من، إلى، بواسطة، وقت) في سجل التدقيق.</w:t>
            </w:r>
          </w:p>
        </w:tc>
      </w:tr>
      <w:tr>
        <w:tc>
          <w:tcPr>
            <w:tcW w:type="dxa" w:w="1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SRS-ORD-02</w:t>
            </w:r>
          </w:p>
        </w:tc>
        <w:tc>
          <w:tcPr>
            <w:tcW w:type="dxa" w:w="7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خصم المخزون ذري بشرط الكمية المتاحة داخل معاملة واحدة (لا فحص ثم خصم منفصلين)، وفشل الخصم يعيد رسالة نفاد واضحة دون إنشاء الطلب.</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SRS-ORD-03</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طلب متعدد الموردين يُقسم آلياً لطلبات فرعية بتتبع مستقل ورقم مرجعي موحد للمشتري.</w:t>
            </w:r>
          </w:p>
        </w:tc>
      </w:tr>
      <w:tr>
        <w:tc>
          <w:tcPr>
            <w:tcW w:type="dxa" w:w="1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SRS-ORD-04</w:t>
            </w:r>
          </w:p>
        </w:tc>
        <w:tc>
          <w:tcPr>
            <w:tcW w:type="dxa" w:w="7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المرتجعات خلال 48 ساعة من التسليم بأسباب مصنفة وصور إلزامية للتالف، وموافقة المورد أو تصعيد للمنصة بعد 24 ساعة.</w:t>
            </w:r>
          </w:p>
        </w:tc>
      </w:tr>
    </w:tbl>
    <w:p>
      <w:r>
        <w:br w:type="page"/>
      </w:r>
    </w:p>
    <w:p>
      <w:pPr>
        <w:bidi/>
        <w:spacing w:after="80" w:before="160" w:line="300"/>
        <w:jc w:val="start"/>
      </w:pPr>
      <w:r>
        <w:rPr>
          <w:rFonts w:ascii="Arial" w:cs="Arial" w:eastAsia="Arial" w:hAnsi="Arial"/>
          <w:b/>
          <w:bCs/>
          <w:color w:val="212121"/>
          <w:sz w:val="23"/>
          <w:szCs w:val="23"/>
          <w:rtl/>
        </w:rPr>
        <w:t xml:space="preserve">SRS-PAY — الدفع والتسويات (يقابل FR-06)</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1700"/>
        <w:gridCol w:w="7600"/>
      </w:tblGrid>
      <w:tr>
        <w:trPr>
          <w:tblHeader/>
        </w:trPr>
        <w:tc>
          <w:tcPr>
            <w:tcW w:type="dxa" w:w="17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الرمز</w:t>
            </w:r>
          </w:p>
        </w:tc>
        <w:tc>
          <w:tcPr>
            <w:tcW w:type="dxa" w:w="76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المواصفة البرمجية</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SRS-PAY-01</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طبقة Adapter موحدة لبوابات الدفع (بوابة لكل دولة قابلة للإضافة بلا تعديل في المنطق)، وكل Webhook يتحقق توقيعه قبل أي تحديث حالة، مع Idempotency Key لمنع التكرار.</w:t>
            </w:r>
          </w:p>
        </w:tc>
      </w:tr>
      <w:tr>
        <w:tc>
          <w:tcPr>
            <w:tcW w:type="dxa" w:w="1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SRS-PAY-02</w:t>
            </w:r>
          </w:p>
        </w:tc>
        <w:tc>
          <w:tcPr>
            <w:tcW w:type="dxa" w:w="7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المحفظة بدفتر قيود مزدوج (لا حقل رصيد يُعدَّل مباشرة)، والرصيد محصلة القيود، وكل حركة مرتبطة بمرجع (طلب/استرداد/شحن).</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SRS-PAY-03</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تسوية الموردين دورة أسبوعية: إجمالي المبيعات المسلّمة - العمولة - المرتجعات = صافي التحويل، مع كشف PDF مفصل لكل دورة.</w:t>
            </w:r>
          </w:p>
        </w:tc>
      </w:tr>
      <w:tr>
        <w:tc>
          <w:tcPr>
            <w:tcW w:type="dxa" w:w="1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SRS-PAY-04</w:t>
            </w:r>
          </w:p>
        </w:tc>
        <w:tc>
          <w:tcPr>
            <w:tcW w:type="dxa" w:w="7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فاتورة ZATCA المرحلة الثانية: XML موقع، QR بصيغة TLV، إرسال خلال 24 ساعة، وتخزين 6 سنوات.</w:t>
            </w:r>
          </w:p>
        </w:tc>
      </w:tr>
    </w:tbl>
    <w:p>
      <w:pPr>
        <w:bidi/>
        <w:spacing w:after="80" w:before="160" w:line="300"/>
        <w:jc w:val="start"/>
      </w:pPr>
      <w:r>
        <w:rPr>
          <w:rFonts w:ascii="Arial" w:cs="Arial" w:eastAsia="Arial" w:hAnsi="Arial"/>
          <w:b/>
          <w:bCs/>
          <w:color w:val="212121"/>
          <w:sz w:val="23"/>
          <w:szCs w:val="23"/>
          <w:rtl/>
        </w:rPr>
        <w:t xml:space="preserve">SRS-DLV — التوصيل (يقابل FR-07)</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1700"/>
        <w:gridCol w:w="7600"/>
      </w:tblGrid>
      <w:tr>
        <w:trPr>
          <w:tblHeader/>
        </w:trPr>
        <w:tc>
          <w:tcPr>
            <w:tcW w:type="dxa" w:w="17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الرمز</w:t>
            </w:r>
          </w:p>
        </w:tc>
        <w:tc>
          <w:tcPr>
            <w:tcW w:type="dxa" w:w="76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المواصفة البرمجية</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SRS-DLV-01</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بث موقع السائق كل 15 ثانية أثناء المهمة النشطة فقط (خصوصية)، ويصل للمشتري عبر قناة فورية بتأخير أقصاه 5 ثوانٍ.</w:t>
            </w:r>
          </w:p>
        </w:tc>
      </w:tr>
      <w:tr>
        <w:tc>
          <w:tcPr>
            <w:tcW w:type="dxa" w:w="1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SRS-DLV-02</w:t>
            </w:r>
          </w:p>
        </w:tc>
        <w:tc>
          <w:tcPr>
            <w:tcW w:type="dxa" w:w="7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إثبات التسليم إلزامي قبل إغلاق المهمة: توقيع أو صورة أو OTP للمستلم، ويُخزن مرتبطاً بالطلب.</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SRS-DLV-03</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مناطق التوصيل مضلعات جغرافية لكل مدينة برسوم وحد أدنى للطلب، والتحقق من التغطية قبل تأكيد الطلب.</w:t>
            </w:r>
          </w:p>
        </w:tc>
      </w:tr>
      <w:tr>
        <w:tc>
          <w:tcPr>
            <w:tcW w:type="dxa" w:w="1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SRS-DLV-04</w:t>
            </w:r>
          </w:p>
        </w:tc>
        <w:tc>
          <w:tcPr>
            <w:tcW w:type="dxa" w:w="7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تطبيق السائق يعمل دون اتصال للمهام المحملة ويزامن الأحداث عند عودة الشبكة.</w:t>
            </w:r>
          </w:p>
        </w:tc>
      </w:tr>
    </w:tbl>
    <w:p>
      <w:pPr>
        <w:bidi/>
        <w:spacing w:after="80" w:before="160" w:line="300"/>
        <w:jc w:val="start"/>
      </w:pPr>
      <w:r>
        <w:rPr>
          <w:rFonts w:ascii="Arial" w:cs="Arial" w:eastAsia="Arial" w:hAnsi="Arial"/>
          <w:b/>
          <w:bCs/>
          <w:color w:val="212121"/>
          <w:sz w:val="23"/>
          <w:szCs w:val="23"/>
          <w:rtl/>
        </w:rPr>
        <w:t xml:space="preserve">SRS-INT — التدويل (يقابل FR-08)</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1700"/>
        <w:gridCol w:w="7600"/>
      </w:tblGrid>
      <w:tr>
        <w:trPr>
          <w:tblHeader/>
        </w:trPr>
        <w:tc>
          <w:tcPr>
            <w:tcW w:type="dxa" w:w="17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الرمز</w:t>
            </w:r>
          </w:p>
        </w:tc>
        <w:tc>
          <w:tcPr>
            <w:tcW w:type="dxa" w:w="76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المواصفة البرمجية</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SRS-INT-01</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كل الكيانات الأساسية مفتاحها يتضمن country_id، وإضافة دولة عملية إعدادية (عملة، ضريبة، بوابات، مناطق) دون نشر كود.</w:t>
            </w:r>
          </w:p>
        </w:tc>
      </w:tr>
      <w:tr>
        <w:tc>
          <w:tcPr>
            <w:tcW w:type="dxa" w:w="1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SRS-INT-02</w:t>
            </w:r>
          </w:p>
        </w:tc>
        <w:tc>
          <w:tcPr>
            <w:tcW w:type="dxa" w:w="7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الأسعار تُخزن بعملة الدولة، وجدول أسعار صرف يومي للتقارير الموحدة فقط، وقاعدة تقريب موثقة لكل عملة.</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SRS-INT-03</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جداول ترجمة (كيان، لغة، حقل، قيمة) لكل محتوى معروض، وواجهات RTL/LTR بخصائص منطقية حصراً.</w:t>
            </w:r>
          </w:p>
        </w:tc>
      </w:tr>
    </w:tbl>
    <w:p>
      <w:pPr>
        <w:bidi/>
        <w:spacing w:after="80" w:before="160" w:line="300"/>
        <w:jc w:val="start"/>
      </w:pPr>
      <w:r>
        <w:rPr>
          <w:rFonts w:ascii="Arial" w:cs="Arial" w:eastAsia="Arial" w:hAnsi="Arial"/>
          <w:b/>
          <w:bCs/>
          <w:color w:val="212121"/>
          <w:sz w:val="23"/>
          <w:szCs w:val="23"/>
          <w:rtl/>
        </w:rPr>
        <w:t xml:space="preserve">SRS-ADM / SRS-NTF — الإدارة والإشعارات (يقابل FR-09 وFR-10)</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1700"/>
        <w:gridCol w:w="7600"/>
      </w:tblGrid>
      <w:tr>
        <w:trPr>
          <w:tblHeader/>
        </w:trPr>
        <w:tc>
          <w:tcPr>
            <w:tcW w:type="dxa" w:w="17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الرمز</w:t>
            </w:r>
          </w:p>
        </w:tc>
        <w:tc>
          <w:tcPr>
            <w:tcW w:type="dxa" w:w="76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المواصفة البرمجية</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SRS-ADM-01</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لوحة تشغيل بمؤشرات محدثة كل 60 ثانية، وتقارير مالية قابلة للتصدير Excel حتى 100 ألف صف.</w:t>
            </w:r>
          </w:p>
        </w:tc>
      </w:tr>
      <w:tr>
        <w:tc>
          <w:tcPr>
            <w:tcW w:type="dxa" w:w="17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SRS-ADM-02</w:t>
            </w:r>
          </w:p>
        </w:tc>
        <w:tc>
          <w:tcPr>
            <w:tcW w:type="dxa" w:w="7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سجل تدقيق غير قابل للتعديل لكل العمليات الحساسة (من، ماذا، متى، قبل/بعد) باحتفاظ سنتين.</w:t>
            </w:r>
          </w:p>
        </w:tc>
      </w:tr>
      <w:tr>
        <w:tc>
          <w:tcPr>
            <w:tcW w:type="dxa" w:w="17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SRS-NTF-01</w:t>
            </w:r>
          </w:p>
        </w:tc>
        <w:tc>
          <w:tcPr>
            <w:tcW w:type="dxa" w:w="7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محرك إشعارات بقنوات (Push، SMS، واتساب) وقوالب لكل حدث ولغة، مع سياسة إعادة محاولة وتفضيلات كتم لكل مستخدم.</w:t>
            </w:r>
          </w:p>
        </w:tc>
      </w:tr>
    </w:tbl>
    <w:p>
      <w:r>
        <w:br w:type="page"/>
      </w:r>
    </w:p>
    <w:p>
      <w:pPr>
        <w:pBdr>
          <w:bottom w:val="single" w:color="0F6E56" w:sz="12" w:space="4"/>
        </w:pBdr>
        <w:bidi/>
        <w:spacing w:after="140" w:before="280" w:line="300"/>
        <w:jc w:val="start"/>
      </w:pPr>
      <w:r>
        <w:rPr>
          <w:rFonts w:ascii="Arial" w:cs="Arial" w:eastAsia="Arial" w:hAnsi="Arial"/>
          <w:b/>
          <w:bCs/>
          <w:color w:val="0F6E56"/>
          <w:sz w:val="28"/>
          <w:szCs w:val="28"/>
          <w:rtl/>
        </w:rPr>
        <w:t xml:space="preserve">4. الواجهات الخارجية</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2500"/>
        <w:gridCol w:w="6800"/>
      </w:tblGrid>
      <w:tr>
        <w:trPr>
          <w:tblHeader/>
        </w:trPr>
        <w:tc>
          <w:tcPr>
            <w:tcW w:type="dxa" w:w="25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الواجهة</w:t>
            </w:r>
          </w:p>
        </w:tc>
        <w:tc>
          <w:tcPr>
            <w:tcW w:type="dxa" w:w="68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المواصفة</w:t>
            </w:r>
          </w:p>
        </w:tc>
      </w:tr>
      <w:tr>
        <w:tc>
          <w:tcPr>
            <w:tcW w:type="dxa" w:w="25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بوابات الدفع</w:t>
            </w:r>
          </w:p>
        </w:tc>
        <w:tc>
          <w:tcPr>
            <w:tcW w:type="dxa" w:w="68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تكامل عبر Adapter موحد؛ السعودية أولاً (مدى/بطاقات/Apple Pay عبر مزود معتمد)، بيئة Sandbox شرط لبدء التطوير</w:t>
            </w:r>
          </w:p>
        </w:tc>
      </w:tr>
      <w:tr>
        <w:tc>
          <w:tcPr>
            <w:tcW w:type="dxa" w:w="25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ZATCA</w:t>
            </w:r>
          </w:p>
        </w:tc>
        <w:tc>
          <w:tcPr>
            <w:tcW w:type="dxa" w:w="68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منصة فاتورة — اعتماد الجهاز (CSID)، توقيع XML، وAPI الإبلاغ</w:t>
            </w:r>
          </w:p>
        </w:tc>
      </w:tr>
      <w:tr>
        <w:tc>
          <w:tcPr>
            <w:tcW w:type="dxa" w:w="25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الخرائط</w:t>
            </w:r>
          </w:p>
        </w:tc>
        <w:tc>
          <w:tcPr>
            <w:tcW w:type="dxa" w:w="68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Google Maps: تكويد جغرافي، مسافات، عرض المسار — مع تجريد يسمح بالتبديل لمزود آخر</w:t>
            </w:r>
          </w:p>
        </w:tc>
      </w:tr>
      <w:tr>
        <w:tc>
          <w:tcPr>
            <w:tcW w:type="dxa" w:w="25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الرسائل</w:t>
            </w:r>
          </w:p>
        </w:tc>
        <w:tc>
          <w:tcPr>
            <w:tcW w:type="dxa" w:w="68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مزود SMS محلي لكل دولة + WhatsApp Business API للأحداث الحرجة</w:t>
            </w:r>
          </w:p>
        </w:tc>
      </w:tr>
      <w:tr>
        <w:tc>
          <w:tcPr>
            <w:tcW w:type="dxa" w:w="25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مصادر أسعار السوق</w:t>
            </w:r>
          </w:p>
        </w:tc>
        <w:tc>
          <w:tcPr>
            <w:tcW w:type="dxa" w:w="68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موصلات قابلة للإضافة: مصادر رسمية معلنة، إدخال ميداني عبر شاشة مخصصة، وأسعار الموردين الداخلية</w:t>
            </w:r>
          </w:p>
        </w:tc>
      </w:tr>
    </w:tbl>
    <w:p>
      <w:pPr>
        <w:pBdr>
          <w:bottom w:val="single" w:color="0F6E56" w:sz="12" w:space="4"/>
        </w:pBdr>
        <w:bidi/>
        <w:spacing w:after="140" w:before="280" w:line="300"/>
        <w:jc w:val="start"/>
      </w:pPr>
      <w:r>
        <w:rPr>
          <w:rFonts w:ascii="Arial" w:cs="Arial" w:eastAsia="Arial" w:hAnsi="Arial"/>
          <w:b/>
          <w:bCs/>
          <w:color w:val="0F6E56"/>
          <w:sz w:val="28"/>
          <w:szCs w:val="28"/>
          <w:rtl/>
        </w:rPr>
        <w:t xml:space="preserve">5. متطلبات البيانات</w:t>
      </w:r>
    </w:p>
    <w:p>
      <w:pPr>
        <w:bidi/>
        <w:spacing w:after="100" w:before="0" w:line="300"/>
        <w:jc w:val="start"/>
      </w:pPr>
      <w:r>
        <w:rPr>
          <w:rFonts w:ascii="Arial" w:cs="Arial" w:eastAsia="Arial" w:hAnsi="Arial"/>
          <w:b w:val="false"/>
          <w:bCs w:val="false"/>
          <w:color w:val="333333"/>
          <w:sz w:val="21"/>
          <w:szCs w:val="21"/>
          <w:rtl/>
        </w:rPr>
        <w:t xml:space="preserve">الكيانات الرئيسية الاثنا عشر: المستخدم، التاجر، المورد، المنتج، ربط المنتج بالمورد، شريحة السعر، الطلب وسطوره، الشحنة، حركة المحفظة، لقطة سعر السوق، مؤشر السوق، والترجمة. التفصيل الكامل (الحقول والعلاقات والفهارس) يُسلَّم في مخطط ERD ضمن مستندات المرحلة الثالثة، ملتزماً بالقيود الحاكمة في القسم 2.</w:t>
      </w:r>
    </w:p>
    <w:p>
      <w:pPr>
        <w:pBdr>
          <w:bottom w:val="single" w:color="0F6E56" w:sz="12" w:space="4"/>
        </w:pBdr>
        <w:bidi/>
        <w:spacing w:after="140" w:before="280" w:line="300"/>
        <w:jc w:val="start"/>
      </w:pPr>
      <w:r>
        <w:rPr>
          <w:rFonts w:ascii="Arial" w:cs="Arial" w:eastAsia="Arial" w:hAnsi="Arial"/>
          <w:b/>
          <w:bCs/>
          <w:color w:val="0F6E56"/>
          <w:sz w:val="28"/>
          <w:szCs w:val="28"/>
          <w:rtl/>
        </w:rPr>
        <w:t xml:space="preserve">6. المتطلبات غير الوظيفية المقاسة</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2000"/>
        <w:gridCol w:w="7300"/>
      </w:tblGrid>
      <w:tr>
        <w:trPr>
          <w:tblHeader/>
        </w:trPr>
        <w:tc>
          <w:tcPr>
            <w:tcW w:type="dxa" w:w="20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المجال</w:t>
            </w:r>
          </w:p>
        </w:tc>
        <w:tc>
          <w:tcPr>
            <w:tcW w:type="dxa" w:w="73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الهدف القابل للقياس</w:t>
            </w:r>
          </w:p>
        </w:tc>
      </w:tr>
      <w:tr>
        <w:tc>
          <w:tcPr>
            <w:tcW w:type="dxa" w:w="20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الأداء</w:t>
            </w:r>
          </w:p>
        </w:tc>
        <w:tc>
          <w:tcPr>
            <w:tcW w:type="dxa" w:w="73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استجابة API قراءة p95 أقل من 500 ملّي ثانية، وكتابة p95 أقل من سيصل 800، والبحث أقل من 300</w:t>
            </w:r>
          </w:p>
        </w:tc>
      </w:tr>
      <w:tr>
        <w:tc>
          <w:tcPr>
            <w:tcW w:type="dxa" w:w="20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الحمل</w:t>
            </w:r>
          </w:p>
        </w:tc>
        <w:tc>
          <w:tcPr>
            <w:tcW w:type="dxa" w:w="73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1,000 مستخدم متزامن و50 طلباً/دقيقة في الذروة دون تجاوز الأهداف أعلاه</w:t>
            </w:r>
          </w:p>
        </w:tc>
      </w:tr>
      <w:tr>
        <w:tc>
          <w:tcPr>
            <w:tcW w:type="dxa" w:w="20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التوفر</w:t>
            </w:r>
          </w:p>
        </w:tc>
        <w:tc>
          <w:tcPr>
            <w:tcW w:type="dxa" w:w="73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99.5% شهرياً، RTO أقل من 4 ساعات، RPO أقل من 24 ساعة بنسخ يومي مُختبر الاستعادة ربع سنوياً</w:t>
            </w:r>
          </w:p>
        </w:tc>
      </w:tr>
      <w:tr>
        <w:tc>
          <w:tcPr>
            <w:tcW w:type="dxa" w:w="20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الأمان</w:t>
            </w:r>
          </w:p>
        </w:tc>
        <w:tc>
          <w:tcPr>
            <w:tcW w:type="dxa" w:w="73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TLS 1.2+ للنقل وAES-256 للتخزين الحساس، الالتزام بـ OWASP ASVS المستوى 2، ولا تخزين لبيانات البطاقات إطلاقاً</w:t>
            </w:r>
          </w:p>
        </w:tc>
      </w:tr>
      <w:tr>
        <w:tc>
          <w:tcPr>
            <w:tcW w:type="dxa" w:w="20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التطبيقات</w:t>
            </w:r>
          </w:p>
        </w:tc>
        <w:tc>
          <w:tcPr>
            <w:tcW w:type="dxa" w:w="73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إقلاع بارد أقل من 3 ثوانٍ على أجهزة متوسطة، وحجم تنزيل أولي أقل من 40 م.ب</w:t>
            </w:r>
          </w:p>
        </w:tc>
      </w:tr>
    </w:tbl>
    <w:p>
      <w:pPr>
        <w:pBdr>
          <w:bottom w:val="single" w:color="0F6E56" w:sz="12" w:space="4"/>
        </w:pBdr>
        <w:bidi/>
        <w:spacing w:after="140" w:before="280" w:line="300"/>
        <w:jc w:val="start"/>
      </w:pPr>
      <w:r>
        <w:rPr>
          <w:rFonts w:ascii="Arial" w:cs="Arial" w:eastAsia="Arial" w:hAnsi="Arial"/>
          <w:b/>
          <w:bCs/>
          <w:color w:val="0F6E56"/>
          <w:sz w:val="28"/>
          <w:szCs w:val="28"/>
          <w:rtl/>
        </w:rPr>
        <w:t xml:space="preserve">7. معايير القبول</w:t>
      </w:r>
    </w:p>
    <w:p>
      <w:pPr>
        <w:bidi/>
        <w:spacing w:after="100" w:before="0" w:line="300"/>
        <w:jc w:val="start"/>
      </w:pPr>
      <w:r>
        <w:rPr>
          <w:rFonts w:ascii="Arial" w:cs="Arial" w:eastAsia="Arial" w:hAnsi="Arial"/>
          <w:b w:val="false"/>
          <w:bCs w:val="false"/>
          <w:color w:val="333333"/>
          <w:sz w:val="21"/>
          <w:szCs w:val="21"/>
          <w:rtl/>
        </w:rPr>
        <w:t xml:space="preserve">تُقبل المرحلة عند: اجتياز حالات اختبار تغطي 100% من مواصفات هذه الوثيقة (تُكتب من مصفوفة التتبع REQ-03)، وتحقق الأهداف المقاسة في القسم 6 باختبار حمل موثق، واجتياز فحص أمني خارجي لمواصفات SRS-AUT وSRS-PAY، وتصديق ممثلي المستخدمين على سيناريوهات الاستخدام الحرجة.</w:t>
      </w:r>
    </w:p>
    <w:p>
      <w:r>
        <w:br w:type="page"/>
      </w:r>
    </w:p>
    <w:p>
      <w:pPr>
        <w:pBdr>
          <w:bottom w:val="single" w:color="0F6E56" w:sz="12" w:space="4"/>
        </w:pBdr>
        <w:bidi/>
        <w:spacing w:after="140" w:before="280" w:line="300"/>
        <w:jc w:val="start"/>
      </w:pPr>
      <w:r>
        <w:rPr>
          <w:rFonts w:ascii="Arial" w:cs="Arial" w:eastAsia="Arial" w:hAnsi="Arial"/>
          <w:b/>
          <w:bCs/>
          <w:color w:val="0F6E56"/>
          <w:sz w:val="28"/>
          <w:szCs w:val="28"/>
          <w:rtl/>
        </w:rPr>
        <w:t xml:space="preserve">8. التصديق</w:t>
      </w:r>
    </w:p>
    <w:p>
      <w:pPr>
        <w:bidi/>
        <w:spacing w:after="100" w:before="0" w:line="300"/>
        <w:jc w:val="start"/>
      </w:pPr>
      <w:r>
        <w:rPr>
          <w:rFonts w:ascii="Arial" w:cs="Arial" w:eastAsia="Arial" w:hAnsi="Arial"/>
          <w:b w:val="false"/>
          <w:bCs w:val="false"/>
          <w:color w:val="333333"/>
          <w:sz w:val="21"/>
          <w:szCs w:val="21"/>
          <w:rtl/>
        </w:rPr>
        <w:t xml:space="preserve">بالتوقيع أدناه تُعتمد هذه المواصفات مرجعاً ملزماً للتصميم والتطوير والاختبار.</w:t>
      </w:r>
    </w:p>
    <w:tbl>
      <w:tblPr>
        <w:bidiVisual/>
        <w:tblW w:type="dxa" w:w="9300"/>
        <w:tblBorders>
          <w:top w:val="single" w:color="9CC5B7" w:sz="4"/>
          <w:left w:val="single" w:color="9CC5B7" w:sz="4"/>
          <w:bottom w:val="single" w:color="9CC5B7" w:sz="4"/>
          <w:right w:val="single" w:color="9CC5B7" w:sz="4"/>
          <w:insideH w:val="single" w:color="9CC5B7" w:sz="4"/>
          <w:insideV w:val="single" w:color="9CC5B7" w:sz="4"/>
        </w:tblBorders>
      </w:tblPr>
      <w:tblGrid>
        <w:gridCol w:w="2600"/>
        <w:gridCol w:w="3200"/>
        <w:gridCol w:w="1900"/>
        <w:gridCol w:w="1600"/>
      </w:tblGrid>
      <w:tr>
        <w:trPr>
          <w:tblHeader/>
        </w:trPr>
        <w:tc>
          <w:tcPr>
            <w:tcW w:type="dxa" w:w="26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الاسم</w:t>
            </w:r>
          </w:p>
        </w:tc>
        <w:tc>
          <w:tcPr>
            <w:tcW w:type="dxa" w:w="32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الصفة</w:t>
            </w:r>
          </w:p>
        </w:tc>
        <w:tc>
          <w:tcPr>
            <w:tcW w:type="dxa" w:w="19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التوقيع</w:t>
            </w:r>
          </w:p>
        </w:tc>
        <w:tc>
          <w:tcPr>
            <w:tcW w:type="dxa" w:w="1600"/>
            <w:shd w:fill="0F6E56" w:val="clear"/>
            <w:tcMar>
              <w:top w:type="dxa" w:w="90"/>
              <w:left w:type="dxa" w:w="140"/>
              <w:bottom w:type="dxa" w:w="90"/>
              <w:right w:type="dxa" w:w="140"/>
            </w:tcMar>
            <w:vAlign w:val="center"/>
          </w:tcPr>
          <w:p>
            <w:pPr>
              <w:bidi/>
              <w:spacing w:after="0" w:line="280"/>
            </w:pPr>
            <w:r>
              <w:rPr>
                <w:rFonts w:ascii="Arial" w:cs="Arial" w:eastAsia="Arial" w:hAnsi="Arial"/>
                <w:b/>
                <w:bCs/>
                <w:color w:val="FFFFFF"/>
                <w:sz w:val="20"/>
                <w:szCs w:val="20"/>
                <w:rtl/>
              </w:rPr>
              <w:t xml:space="preserve">التاريخ</w:t>
            </w:r>
          </w:p>
        </w:tc>
      </w:tr>
      <w:tr>
        <w:tc>
          <w:tcPr>
            <w:tcW w:type="dxa" w:w="2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
            </w:r>
          </w:p>
        </w:tc>
        <w:tc>
          <w:tcPr>
            <w:tcW w:type="dxa" w:w="32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راعي المشروع</w:t>
            </w:r>
          </w:p>
        </w:tc>
        <w:tc>
          <w:tcPr>
            <w:tcW w:type="dxa" w:w="19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
            </w:r>
          </w:p>
        </w:tc>
        <w:tc>
          <w:tcPr>
            <w:tcW w:type="dxa" w:w="1600"/>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
            </w:r>
          </w:p>
        </w:tc>
      </w:tr>
      <w:tr>
        <w:tc>
          <w:tcPr>
            <w:tcW w:type="dxa" w:w="2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محمد</w:t>
            </w:r>
          </w:p>
        </w:tc>
        <w:tc>
          <w:tcPr>
            <w:tcW w:type="dxa" w:w="32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المهندس الرئيسي / مدير المشروع</w:t>
            </w:r>
          </w:p>
        </w:tc>
        <w:tc>
          <w:tcPr>
            <w:tcW w:type="dxa" w:w="19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
            </w:r>
          </w:p>
        </w:tc>
        <w:tc>
          <w:tcPr>
            <w:tcW w:type="dxa" w:w="1600"/>
            <w:shd w:fill="F5FAF8" w:val="clear"/>
            <w:tcMar>
              <w:top w:type="dxa" w:w="90"/>
              <w:left w:type="dxa" w:w="140"/>
              <w:bottom w:type="dxa" w:w="90"/>
              <w:right w:type="dxa" w:w="140"/>
            </w:tcMar>
            <w:vAlign w:val="center"/>
          </w:tcPr>
          <w:p>
            <w:pPr>
              <w:bidi/>
              <w:spacing w:after="0" w:line="280"/>
            </w:pPr>
            <w:r>
              <w:rPr>
                <w:rFonts w:ascii="Arial" w:cs="Arial" w:eastAsia="Arial" w:hAnsi="Arial"/>
                <w:b w:val="false"/>
                <w:bCs w:val="false"/>
                <w:color w:val="333333"/>
                <w:sz w:val="20"/>
                <w:szCs w:val="20"/>
                <w:rtl/>
              </w:rPr>
              <w:t xml:space="preserve"/>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2026-07-03T08:33:09.980Z</dcterms:created>
  <dcterms:modified xsi:type="dcterms:W3CDTF">2026-07-03T08:33:09.997Z</dcterms:modified>
</cp:coreProperties>
</file>

<file path=docProps/custom.xml><?xml version="1.0" encoding="utf-8"?>
<Properties xmlns="http://schemas.openxmlformats.org/officeDocument/2006/custom-properties" xmlns:vt="http://schemas.openxmlformats.org/officeDocument/2006/docPropsVTypes"/>
</file>