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name w:val="Table1"/>
        <w:tabOrder w:val="0"/>
        <w:jc w:val="left"/>
        <w:tblInd w:w="-108" w:type="dxa"/>
        <w:tblW w:w="8748" w:type="dxa"/>
        <w:pPr>
          <w:ind w:left="-108"/>
          <w:suppressAutoHyphens/>
          <w:hyphenationLines w:val="0"/>
          <w:tabs defTabSz="708"/>
          <w:rPr>
            <w:rFonts w:ascii="Basic Roman" w:hAnsi="Basic Roman" w:eastAsia="Basic Roman" w:cs="Basic Roman"/>
            <w:kern w:val="1"/>
            <w:sz w:val="20"/>
            <w:szCs w:val="20"/>
            <w:lang w:val="en-gb" w:eastAsia="zh-cn" w:bidi="ar-sa"/>
          </w:rPr>
        </w:pPr>
      </w:tblPr>
      <w:tblGrid>
        <w:gridCol w:w="2988"/>
        <w:gridCol w:w="2880"/>
        <w:gridCol w:w="2880"/>
      </w:tblGrid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Link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Title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DOI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1.</w:t>
            </w:r>
            <w:hyperlink r:id="rId8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https://ieeexplore.ieee.org/abstract/document/10625466</w:t>
              </w:r>
            </w:hyperlink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 xml:space="preserve"> 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AutoML Based Tourism Prediction and Maximising Revenue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10.1109/ICSCSS60660.2024.10625466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2.</w:t>
            </w:r>
            <w:hyperlink r:id="rId9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https://ieeexplore.ieee.org/abstract/document/9033810</w:t>
              </w:r>
            </w:hyperlink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 xml:space="preserve"> 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 Review on Automated Machine Learning (AutoML) Systems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10.1109/I2CT45611.2019.9033810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3.</w:t>
            </w:r>
            <w:hyperlink r:id="rId10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https://ieeexplore.ieee.org/document/10424944</w:t>
              </w:r>
            </w:hyperlink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Research on Demand Forecasting Method of Shared Bicycle Based on Ensemble Learning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10.1109/ICICML60161.2023.10424944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4.</w:t>
            </w:r>
            <w:hyperlink r:id="rId11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https://ieeexplore.ieee.org/document/10417572</w:t>
              </w:r>
            </w:hyperlink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 xml:space="preserve"> 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Automated Machine Learning for Prediction of Type 2 Diabetes and Its Major Complications: A Comparative Study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10.1109/ICAC60630.2023.10417572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5.</w:t>
            </w:r>
            <w:hyperlink r:id="rId12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https://ieeexplore.ieee.org/document/9325623</w:t>
              </w:r>
            </w:hyperlink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 xml:space="preserve"> 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Ensemble learning models for short-term electricity demand forecasting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13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10.1109/ICDABI51230.2020.9325623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6.</w:t>
            </w:r>
            <w:hyperlink r:id="rId14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https://ieeexplore.ieee.org/document/9241846</w:t>
              </w:r>
            </w:hyperlink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 xml:space="preserve"> 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Demand Forecasting of Online Car-Hailing With Stacking Ensemble Learning Approach and Large-Scale Datasets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 xml:space="preserve">Already downloaded 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7.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Building a Model for Time Series Forecasting using AutoML Methods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15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10.1109/SCM62608.2024.10554133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8.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Building a Time-Series Forecast Model with Automated Machine Learning for Heart Rate Forecasting Problem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16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10.1109/ICTC55196.2022.9952797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9.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Performance, Efficiency, and Target Setting for Bank Branches: Time Series With Automated Machine Learning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Already downloaded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10.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Leveraging Anomaly Detection and AutoML for Modelling Residential Measurement Power Traces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AppleSystemUIFont" w:hAnsi="AppleSystemUIFont" w:eastAsia="AppleSystemUIFont" w:cs="AppleSystemUIFont"/>
                <w:b/>
                <w:bCs/>
                <w:kern w:val="1"/>
                <w:sz w:val="26"/>
                <w:szCs w:val="26"/>
                <w:lang w:val="en-gb" w:eastAsia="zh-cn" w:bidi="ar-sa"/>
              </w:rPr>
              <w:t> </w:t>
            </w:r>
            <w:hyperlink r:id="rId17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10.1109/AMPS59207.2023.10297201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11.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Electricity Demand Forecasting Using a Novel Time Series Ensemble Technique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Already downloaded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12.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Ensemble Deep and Machine Learning for Improving Short-Term Water Demand Forecast in Cities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18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10.23919/IST-Africa63983.2024.10569729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13.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Demand Forecasting: From Machine Learning to Ensemble Learning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19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10.1109/TOCS56154.2022.10015992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14.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Investigating an Ensemble of ARIMA Models for Accurate Short-Term Electricity Demand Forecasting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AppleSystemUIFont" w:hAnsi="AppleSystemUIFont" w:eastAsia="AppleSystemUIFont" w:cs="AppleSystemUIFont"/>
                <w:b/>
                <w:bCs/>
                <w:kern w:val="1"/>
                <w:sz w:val="26"/>
                <w:szCs w:val="26"/>
                <w:lang w:val="en-gb" w:eastAsia="zh-cn" w:bidi="ar-sa"/>
              </w:rPr>
              <w:t> </w:t>
            </w:r>
            <w:hyperlink r:id="rId20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10.1109/UPEC57427.2023.10294946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15.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Automated Machine Learning Driven Stacked Ensemble Modeling for Forest Aboveground Biomass Prediction Using Multitemporal Sentinel-2 Data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Already downloaded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16.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Analysis of IPL Auction Dataset Using Explainable Machine Learning with Lime and H2O AutoML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21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10.1109/ICIEM59379.2023.10167124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17.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Brain Tumor Diagnosis and Classification based on AutoML and Traditional Analysis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22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10.1109/GlobConPT57482.2022.9938146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18.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Enhancing Heart Disease Prediction and Analysis: An Efficient Voting Ensemble model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23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10.1109/IC3SE62002.2024.10593602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19.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VISTA: A Variable Length Genetic Algorithm and LSTM-Based Surrogate Assisted Ensemble Selection algorithm in Multiple Layers Ensemble System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hyperlink r:id="rId24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u w:color="auto" w:val="single"/>
                  <w:lang w:val="en-gb" w:eastAsia="zh-cn" w:bidi="ar-sa"/>
                </w:rPr>
                <w:t>10.1109/CEC60901.2024.10612029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29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20</w:t>
            </w: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  <w:t>Enhancing Prediction of Employability of Students: Automated Machine Learning Approach</w:t>
            </w:r>
          </w:p>
          <w:p>
            <w:pPr>
              <w:widowControl/>
              <w:tabs defTabSz="560"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pPr>
            <w:r>
              <w:rPr>
                <w:rFonts w:ascii="Basic Roman" w:hAnsi="Basic Roman" w:eastAsia="Basic Roman" w:cs="Basic Roman"/>
                <w:kern w:val="1"/>
                <w:sz w:val="24"/>
                <w:szCs w:val="24"/>
                <w:lang w:val="en-gb" w:eastAsia="zh-cn" w:bidi="ar-sa"/>
              </w:rPr>
            </w:r>
          </w:p>
        </w:tc>
        <w:tc>
          <w:tcPr>
            <w:tcW w:w="288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9A9A9A" tmln="20, 20, 20, 0, 0"/>
              <w:left w:val="single" w:sz="8" w:space="0" w:color="9A9A9A" tmln="20, 20, 20, 0, 0"/>
              <w:bottom w:val="single" w:sz="8" w:space="0" w:color="9A9A9A" tmln="20, 20, 20, 0, 0"/>
              <w:right w:val="single" w:sz="8" w:space="0" w:color="9A9A9A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5266993" protected="0"/>
          </w:tcPr>
          <w:p>
            <w:pPr>
              <w:widowControl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6"/>
                <w:szCs w:val="26"/>
                <w:lang w:val="en-gb" w:eastAsia="zh-cn" w:bidi="ar-sa"/>
              </w:rPr>
            </w:pPr>
            <w:r>
              <w:rPr>
                <w:rFonts w:ascii="AppleSystemUIFont" w:hAnsi="AppleSystemUIFont" w:eastAsia="AppleSystemUIFont" w:cs="AppleSystemUIFont"/>
                <w:b/>
                <w:bCs/>
                <w:kern w:val="1"/>
                <w:sz w:val="26"/>
                <w:szCs w:val="26"/>
                <w:lang w:val="en-gb" w:eastAsia="zh-cn" w:bidi="ar-sa"/>
              </w:rPr>
              <w:t> </w:t>
            </w:r>
            <w:hyperlink r:id="rId25" w:history="1">
              <w:r>
                <w:rPr>
                  <w:rFonts w:ascii="Basic Roman" w:hAnsi="Basic Roman" w:eastAsia="Basic Roman" w:cs="Basic Roman"/>
                  <w:kern w:val="1"/>
                  <w:sz w:val="26"/>
                  <w:szCs w:val="26"/>
                  <w:lang w:val="en-gb" w:eastAsia="zh-cn" w:bidi="ar-sa"/>
                </w:rPr>
                <w:t>10.1109/ICICyTA57421.2022.10038231</w:t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760" w:top="900" w:right="700" w:bottom="633" w:header="0" w:footer="0"/>
      <w:paperSrc w:first="0" w:other="0" a="0" b="0"/>
      <w:pgBorders w:display="allPages" w:offsetFrom="page" w:zOrder="front">
        <w:top w:val="single" w:sz="8" w:space="24" w:color="000000" tmln="20, 20, 20, 0, 480"/>
        <w:bottom w:val="single" w:sz="8" w:space="24" w:color="000000" tmln="20, 20, 20, 0, 480"/>
        <w:left w:val="single" w:sz="8" w:space="24" w:color="000000" tmln="20, 20, 20, 0, 480"/>
        <w:right w:val="single" w:sz="8" w:space="24" w:color="000000" tmln="20, 20, 20, 0, 480"/>
      </w:pgBorders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ppleSystemUIFont">
    <w:charset w:val="00"/>
    <w:family w:val="auto"/>
    <w:pitch w:val="default"/>
  </w:font>
  <w:font w:name="Verdana">
    <w:charset w:val="00"/>
    <w:family w:val="roman"/>
    <w:pitch w:val="default"/>
  </w:font>
  <w:font w:name="Times new roman ">
    <w:charset w:val="00"/>
    <w:family w:val="auto"/>
    <w:pitch w:val="default"/>
  </w:font>
  <w:font w:name="AppleSystemUIFontBold"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>
        <w:kern w:val="1"/>
      </w:r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360" w:hanging="0"/>
      </w:pPr>
      <w:rPr>
        <w:kern w:val="1"/>
      </w:r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9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5266993" w:val="1068" w:fileVer="342" w:fileVer64="64" w:fileVerOS="1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Users/mohamedhussainshahulhameed/Desktop/MohamedHussainShahulHameed_RajalakshmiEngineeringCollege.pdf"/>
  </w:tmAppRevision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</w:style>
  <w:style w:type="paragraph" w:styleId="para4">
    <w:name w:val="heading 1"/>
    <w:qFormat/>
    <w:basedOn w:val="para0"/>
    <w:next w:val="para0"/>
    <w:pPr>
      <w:spacing w:before="240" w:after="60"/>
      <w:keepNext/>
      <w:outlineLvl w:val="0"/>
      <w:keepLines/>
      <w:tabs defTabSz="708"/>
    </w:pPr>
    <w:rPr>
      <w:rFonts w:ascii="Basic Sans" w:hAnsi="Basic Sans" w:eastAsia="Basic Sans" w:cs="Basic Sans"/>
      <w:b/>
      <w:bCs/>
      <w:kern w:val="1"/>
      <w:sz w:val="36"/>
      <w:szCs w:val="36"/>
      <w:lang w:val="en-gb" w:eastAsia="zh-cn"/>
    </w:rPr>
    <w:key w:val="3121"/>
  </w:style>
  <w:style w:type="paragraph" w:styleId="para5">
    <w:name w:val="heading 2"/>
    <w:qFormat/>
    <w:basedOn w:val="para4"/>
    <w:next w:val="para0"/>
    <w:pPr>
      <w:outlineLvl w:val="1"/>
    </w:pPr>
    <w:rPr>
      <w:sz w:val="32"/>
      <w:szCs w:val="32"/>
    </w:rPr>
    <w:key w:val="3122"/>
  </w:style>
  <w:style w:type="paragraph" w:styleId="para6">
    <w:name w:val="heading 3"/>
    <w:qFormat/>
    <w:basedOn w:val="para5"/>
    <w:next w:val="para0"/>
    <w:pPr>
      <w:outlineLvl w:val="2"/>
    </w:pPr>
    <w:rPr>
      <w:sz w:val="28"/>
      <w:szCs w:val="28"/>
    </w:rPr>
    <w:key w:val="3123"/>
  </w:style>
  <w:style w:type="paragraph" w:styleId="para7">
    <w:name w:val="heading 4"/>
    <w:qFormat/>
    <w:basedOn w:val="para6"/>
    <w:next w:val="para0"/>
    <w:pPr>
      <w:outlineLvl w:val="3"/>
    </w:pPr>
    <w:rPr>
      <w:sz w:val="26"/>
      <w:szCs w:val="26"/>
    </w:rPr>
    <w:key w:val="3124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</w:style>
  <w:style w:type="paragraph" w:styleId="para4">
    <w:name w:val="heading 1"/>
    <w:qFormat/>
    <w:basedOn w:val="para0"/>
    <w:next w:val="para0"/>
    <w:pPr>
      <w:spacing w:before="240" w:after="60"/>
      <w:keepNext/>
      <w:outlineLvl w:val="0"/>
      <w:keepLines/>
      <w:tabs defTabSz="708"/>
    </w:pPr>
    <w:rPr>
      <w:rFonts w:ascii="Basic Sans" w:hAnsi="Basic Sans" w:eastAsia="Basic Sans" w:cs="Basic Sans"/>
      <w:b/>
      <w:bCs/>
      <w:kern w:val="1"/>
      <w:sz w:val="36"/>
      <w:szCs w:val="36"/>
      <w:lang w:val="en-gb" w:eastAsia="zh-cn"/>
    </w:rPr>
    <w:key w:val="3121"/>
  </w:style>
  <w:style w:type="paragraph" w:styleId="para5">
    <w:name w:val="heading 2"/>
    <w:qFormat/>
    <w:basedOn w:val="para4"/>
    <w:next w:val="para0"/>
    <w:pPr>
      <w:outlineLvl w:val="1"/>
    </w:pPr>
    <w:rPr>
      <w:sz w:val="32"/>
      <w:szCs w:val="32"/>
    </w:rPr>
    <w:key w:val="3122"/>
  </w:style>
  <w:style w:type="paragraph" w:styleId="para6">
    <w:name w:val="heading 3"/>
    <w:qFormat/>
    <w:basedOn w:val="para5"/>
    <w:next w:val="para0"/>
    <w:pPr>
      <w:outlineLvl w:val="2"/>
    </w:pPr>
    <w:rPr>
      <w:sz w:val="28"/>
      <w:szCs w:val="28"/>
    </w:rPr>
    <w:key w:val="3123"/>
  </w:style>
  <w:style w:type="paragraph" w:styleId="para7">
    <w:name w:val="heading 4"/>
    <w:qFormat/>
    <w:basedOn w:val="para6"/>
    <w:next w:val="para0"/>
    <w:pPr>
      <w:outlineLvl w:val="3"/>
    </w:pPr>
    <w:rPr>
      <w:sz w:val="26"/>
      <w:szCs w:val="26"/>
    </w:rPr>
    <w:key w:val="3124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ieeexplore.ieee.org/abstract/document/10625466" TargetMode="External"/><Relationship Id="rId9" Type="http://schemas.openxmlformats.org/officeDocument/2006/relationships/hyperlink" Target="https://ieeexplore.ieee.org/abstract/document/9033810" TargetMode="External"/><Relationship Id="rId10" Type="http://schemas.openxmlformats.org/officeDocument/2006/relationships/hyperlink" Target="https://ieeexplore.ieee.org/document/10424944" TargetMode="External"/><Relationship Id="rId11" Type="http://schemas.openxmlformats.org/officeDocument/2006/relationships/hyperlink" Target="https://ieeexplore.ieee.org/document/10417572" TargetMode="External"/><Relationship Id="rId12" Type="http://schemas.openxmlformats.org/officeDocument/2006/relationships/hyperlink" Target="https://ieeexplore.ieee.org/document/9325623" TargetMode="External"/><Relationship Id="rId13" Type="http://schemas.openxmlformats.org/officeDocument/2006/relationships/hyperlink" Target="https://doi.org/10.1109/ICDABI51230.2020.9325623" TargetMode="External"/><Relationship Id="rId14" Type="http://schemas.openxmlformats.org/officeDocument/2006/relationships/hyperlink" Target="https://ieeexplore.ieee.org/document/9241846" TargetMode="External"/><Relationship Id="rId15" Type="http://schemas.openxmlformats.org/officeDocument/2006/relationships/hyperlink" Target="https://doi.org/10.1109/SCM62608.2024.10554133" TargetMode="External"/><Relationship Id="rId16" Type="http://schemas.openxmlformats.org/officeDocument/2006/relationships/hyperlink" Target="https://doi.org/10.1109/ICTC55196.2022.9952797" TargetMode="External"/><Relationship Id="rId17" Type="http://schemas.openxmlformats.org/officeDocument/2006/relationships/hyperlink" Target="https://doi.org/10.1109/AMPS59207.2023.10297201" TargetMode="External"/><Relationship Id="rId18" Type="http://schemas.openxmlformats.org/officeDocument/2006/relationships/hyperlink" Target="https://doi.org/10.23919/IST-Africa63983.2024.10569729" TargetMode="External"/><Relationship Id="rId19" Type="http://schemas.openxmlformats.org/officeDocument/2006/relationships/hyperlink" Target="https://doi.org/10.1109/TOCS56154.2022.10015992" TargetMode="External"/><Relationship Id="rId20" Type="http://schemas.openxmlformats.org/officeDocument/2006/relationships/hyperlink" Target="https://doi.org/10.1109/UPEC57427.2023.10294946" TargetMode="External"/><Relationship Id="rId21" Type="http://schemas.openxmlformats.org/officeDocument/2006/relationships/hyperlink" Target="https://doi.org/10.1109/ICIEM59379.2023.10167124" TargetMode="External"/><Relationship Id="rId22" Type="http://schemas.openxmlformats.org/officeDocument/2006/relationships/hyperlink" Target="https://doi.org/10.1109/GlobConPT57482.2022.9938146" TargetMode="External"/><Relationship Id="rId23" Type="http://schemas.openxmlformats.org/officeDocument/2006/relationships/hyperlink" Target="https://doi.org/10.1109/IC3SE62002.2024.10593602" TargetMode="External"/><Relationship Id="rId24" Type="http://schemas.openxmlformats.org/officeDocument/2006/relationships/hyperlink" Target="https://doi.org/10.1109/CEC60901.2024.10612029" TargetMode="External"/><Relationship Id="rId25" Type="http://schemas.openxmlformats.org/officeDocument/2006/relationships/hyperlink" Target="https://doi.org/10.1109/ICICyTA57421.2022.10038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MURUGAN N</dc:creator>
  <cp:keywords/>
  <dc:description/>
  <cp:lastModifiedBy/>
  <cp:revision>5</cp:revision>
  <cp:lastPrinted>2024-08-22T11:01:47Z</cp:lastPrinted>
  <dcterms:created xsi:type="dcterms:W3CDTF">2024-07-31T03:13:17Z</dcterms:created>
  <dcterms:modified xsi:type="dcterms:W3CDTF">2024-09-02T08:49:53Z</dcterms:modified>
</cp:coreProperties>
</file>