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2C3E50"/>
        </w:rPr>
        <w:t>Clinical ctDNA Report — Research Use Only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Patient ID</w:t>
            </w:r>
          </w:p>
        </w:tc>
        <w:tc>
          <w:tcPr>
            <w:tcW w:type="dxa" w:w="2160"/>
          </w:tcPr>
          <w:p>
            <w:r>
              <w:t>Tier</w:t>
            </w:r>
          </w:p>
        </w:tc>
        <w:tc>
          <w:tcPr>
            <w:tcW w:type="dxa" w:w="2160"/>
          </w:tcPr>
          <w:p>
            <w:r>
              <w:t>Total Score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LH200002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Possible Recurrence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50.52/100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2026-07-29</w:t>
            </w:r>
          </w:p>
        </w:tc>
      </w:tr>
    </w:tbl>
    <w:p>
      <w:pPr>
        <w:pStyle w:val="Heading2"/>
      </w:pPr>
      <w:r>
        <w:t>Score Breakdown</w:t>
      </w:r>
    </w:p>
    <w:p>
      <w:r>
        <w:rPr>
          <w:b/>
        </w:rPr>
        <w:t xml:space="preserve">Tumor Burden (0-40): 27.5  </w:t>
      </w:r>
      <w:r>
        <w:rPr>
          <w:b/>
        </w:rPr>
        <w:t xml:space="preserve">Clonal Expansion (0-25): 8.0  </w:t>
      </w:r>
      <w:r>
        <w:rPr>
          <w:b/>
        </w:rPr>
        <w:t xml:space="preserve">Driver Inc. (0-25): 10.0  </w:t>
      </w:r>
      <w:r>
        <w:rPr>
          <w:b/>
        </w:rPr>
        <w:t xml:space="preserve">Mutation Gain (0-10): 5.0  </w:t>
      </w:r>
      <w:r>
        <w:br/>
        <w:t>Total: 50.52/100</w:t>
      </w:r>
    </w:p>
    <w:p>
      <w:pPr>
        <w:pStyle w:val="Heading2"/>
      </w:pPr>
      <w:r>
        <w:t>Component Interpretation</w:t>
      </w:r>
    </w:p>
    <w:p>
      <w:pPr>
        <w:pStyle w:val="ListBullet"/>
      </w:pPr>
      <w:r>
        <w:t>Tumor Burden (0-40): High</w:t>
      </w:r>
    </w:p>
    <w:p>
      <w:pPr>
        <w:pStyle w:val="ListBullet"/>
      </w:pPr>
      <w:r>
        <w:t>Clonal Expansion (0-25): Low</w:t>
      </w:r>
    </w:p>
    <w:p>
      <w:pPr>
        <w:pStyle w:val="ListBullet"/>
      </w:pPr>
      <w:r>
        <w:t>Driver Inc. (0-25): Low</w:t>
      </w:r>
    </w:p>
    <w:p>
      <w:pPr>
        <w:pStyle w:val="ListBullet"/>
      </w:pPr>
      <w:r>
        <w:t>Mutation Gain (0-10): Low</w:t>
      </w:r>
    </w:p>
    <w:p>
      <w:pPr>
        <w:pStyle w:val="Heading2"/>
      </w:pPr>
      <w:r>
        <w:t>Visual Summary</w:t>
      </w:r>
    </w:p>
    <w:p>
      <w:r>
        <w:drawing>
          <wp:inline xmlns:a="http://schemas.openxmlformats.org/drawingml/2006/main" xmlns:pic="http://schemas.openxmlformats.org/drawingml/2006/picture">
            <wp:extent cx="5943600" cy="69483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LH2000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8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Top 5 Variants by VAF (Latest Timepoint)</w:t>
      </w:r>
    </w:p>
    <w:p>
      <w:r>
        <w:t>See visual summary above for variant details.</w:t>
      </w:r>
    </w:p>
    <w:p>
      <w:pPr>
        <w:pStyle w:val="Heading2"/>
      </w:pPr>
      <w:r>
        <w:t>Limitations</w:t>
      </w:r>
    </w:p>
    <w:p>
      <w:r>
        <w:t>1. CHIP (Clonal Hematopoiesis): Mutations in DNMT3A, TET2, ASXL1, TP53 from blood cells can produce false-positive ctDNA signals.</w:t>
        <w:br/>
        <w:t>2. Panel coverage: 46-gene targeted AmpliSeq panel; novel drivers outside these regions are missed.</w:t>
        <w:br/>
        <w:t>3. Sensitivity: Gene-specific LoD filters may discard true subclonal mutations.</w:t>
        <w:br/>
        <w:t>4. Research use only: This score is not clinically validated.</w:t>
        <w:br/>
        <w:t>5. Timepoints: 3 available; trajectory confidence improves with more timepoints.</w:t>
      </w:r>
    </w:p>
    <w:p>
      <w:pPr>
        <w:pStyle w:val="Heading2"/>
      </w:pPr>
      <w:r>
        <w:t>Recommendations</w:t>
      </w:r>
    </w:p>
    <w:p>
      <w:r>
        <w:t>Ambiguous molecular signal. Recommended: (a) Short-interval repeat ctDNA (4-6 weeks); (b) Clinical correlation; (c) Consider ctRNA complementary assay; (d) Review decreasing variant clearance patterns.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