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Standard Operating Procedure</w:t>
      </w:r>
    </w:p>
    <w:p>
      <w:pPr>
        <w:pStyle w:val="Heading3"/>
      </w:pPr>
      <w:r>
        <w:t>SOP ID: CTDNA-IF-001 | Version 1.0 | Effective: 2026-07-29</w:t>
      </w:r>
    </w:p>
    <w:p>
      <w:pPr>
        <w:pStyle w:val="Heading2"/>
      </w:pPr>
      <w:r>
        <w:t>Title: Management of Incidental Findings in ctDNA Analysis Pipeline</w:t>
      </w:r>
    </w:p>
    <w:p>
      <w:pPr>
        <w:pStyle w:val="Heading2"/>
      </w:pPr>
      <w:r>
        <w:t>1. Purpose</w:t>
      </w:r>
    </w:p>
    <w:p>
      <w:r>
        <w:t>This SOP defines the procedure for identifying, reviewing, confirming, and communicating incidental findings discovered during the research ctDNA analysis pipeline. Incidental findings are clinically actionable variants detected in germline genes that are unrelated to the primary oncologic indication.</w:t>
      </w:r>
    </w:p>
    <w:p>
      <w:pPr>
        <w:pStyle w:val="Heading2"/>
      </w:pPr>
      <w:r>
        <w:t>2. Scope</w:t>
      </w:r>
    </w:p>
    <w:p>
      <w:r>
        <w:t>Applies to all ctDNA samples processed through the GSE244989 research pipeline. Covers variants identified in the 46-gene AmpliSeq HL panel that meet incidental-finding criteria. Does NOT cover known AML/MDS-associated clonal hematopoiesis variants (DNMT3A, TET2, ASXL1) which are expected in this population.</w:t>
      </w:r>
    </w:p>
    <w:p>
      <w:pPr>
        <w:pStyle w:val="Heading2"/>
      </w:pPr>
      <w:r>
        <w:t>3. Genes Triggering the Protocol (ACMG v3.0 List)</w:t>
      </w:r>
    </w:p>
    <w:p>
      <w:r>
        <w:t>The following genes in the panel overlap with ACMG-recommended secondary findings genes. Any pathogenic or likely pathogenic variant in these genes triggers the protocol: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Gene</w:t>
            </w:r>
          </w:p>
        </w:tc>
        <w:tc>
          <w:tcPr>
            <w:tcW w:type="dxa" w:w="2880"/>
          </w:tcPr>
          <w:p>
            <w:r>
              <w:rPr>
                <w:b/>
              </w:rPr>
              <w:t>Associated Syndrome</w:t>
            </w:r>
          </w:p>
        </w:tc>
        <w:tc>
          <w:tcPr>
            <w:tcW w:type="dxa" w:w="2880"/>
          </w:tcPr>
          <w:p>
            <w:r>
              <w:rPr>
                <w:b/>
              </w:rPr>
              <w:t>Trigger Criteria</w:t>
            </w:r>
          </w:p>
        </w:tc>
      </w:tr>
      <w:tr>
        <w:tc>
          <w:tcPr>
            <w:tcW w:type="dxa" w:w="2880"/>
          </w:tcPr>
          <w:p>
            <w:r>
              <w:t>TP53</w:t>
            </w:r>
          </w:p>
        </w:tc>
        <w:tc>
          <w:tcPr>
            <w:tcW w:type="dxa" w:w="2880"/>
          </w:tcPr>
          <w:p>
            <w:r>
              <w:t>Li-Fraumeni syndrome</w:t>
            </w:r>
          </w:p>
        </w:tc>
        <w:tc>
          <w:tcPr>
            <w:tcW w:type="dxa" w:w="2880"/>
          </w:tcPr>
          <w:p>
            <w:r>
              <w:t>Tumor suppressor; any exonic pathogenic variant</w:t>
            </w:r>
          </w:p>
        </w:tc>
      </w:tr>
      <w:tr>
        <w:tc>
          <w:tcPr>
            <w:tcW w:type="dxa" w:w="2880"/>
          </w:tcPr>
          <w:p>
            <w:r>
              <w:t>MLH1</w:t>
            </w:r>
          </w:p>
        </w:tc>
        <w:tc>
          <w:tcPr>
            <w:tcW w:type="dxa" w:w="2880"/>
          </w:tcPr>
          <w:p>
            <w:r>
              <w:t>Lynch syndrome</w:t>
            </w:r>
          </w:p>
        </w:tc>
        <w:tc>
          <w:tcPr>
            <w:tcW w:type="dxa" w:w="2880"/>
          </w:tcPr>
          <w:p>
            <w:r>
              <w:t>MMR gene; frameshift/nonsense/splice</w:t>
            </w:r>
          </w:p>
        </w:tc>
      </w:tr>
      <w:tr>
        <w:tc>
          <w:tcPr>
            <w:tcW w:type="dxa" w:w="2880"/>
          </w:tcPr>
          <w:p>
            <w:r>
              <w:t>MSH2</w:t>
            </w:r>
          </w:p>
        </w:tc>
        <w:tc>
          <w:tcPr>
            <w:tcW w:type="dxa" w:w="2880"/>
          </w:tcPr>
          <w:p>
            <w:r>
              <w:t>Lynch syndrome</w:t>
            </w:r>
          </w:p>
        </w:tc>
        <w:tc>
          <w:tcPr>
            <w:tcW w:type="dxa" w:w="2880"/>
          </w:tcPr>
          <w:p>
            <w:r>
              <w:t>MMR gene; frameshift/nonsense/splice</w:t>
            </w:r>
          </w:p>
        </w:tc>
      </w:tr>
      <w:tr>
        <w:tc>
          <w:tcPr>
            <w:tcW w:type="dxa" w:w="2880"/>
          </w:tcPr>
          <w:p>
            <w:r>
              <w:t>MSH6</w:t>
            </w:r>
          </w:p>
        </w:tc>
        <w:tc>
          <w:tcPr>
            <w:tcW w:type="dxa" w:w="2880"/>
          </w:tcPr>
          <w:p>
            <w:r>
              <w:t>Lynch syndrome</w:t>
            </w:r>
          </w:p>
        </w:tc>
        <w:tc>
          <w:tcPr>
            <w:tcW w:type="dxa" w:w="2880"/>
          </w:tcPr>
          <w:p>
            <w:r>
              <w:t>MMR gene; frameshift/nonsense/splice</w:t>
            </w:r>
          </w:p>
        </w:tc>
      </w:tr>
      <w:tr>
        <w:tc>
          <w:tcPr>
            <w:tcW w:type="dxa" w:w="2880"/>
          </w:tcPr>
          <w:p>
            <w:r>
              <w:t>PMS2</w:t>
            </w:r>
          </w:p>
        </w:tc>
        <w:tc>
          <w:tcPr>
            <w:tcW w:type="dxa" w:w="2880"/>
          </w:tcPr>
          <w:p>
            <w:r>
              <w:t>Lynch syndrome</w:t>
            </w:r>
          </w:p>
        </w:tc>
        <w:tc>
          <w:tcPr>
            <w:tcW w:type="dxa" w:w="2880"/>
          </w:tcPr>
          <w:p>
            <w:r>
              <w:t>MMR gene; frameshift/nonsense/splice</w:t>
            </w:r>
          </w:p>
        </w:tc>
      </w:tr>
      <w:tr>
        <w:tc>
          <w:tcPr>
            <w:tcW w:type="dxa" w:w="2880"/>
          </w:tcPr>
          <w:p>
            <w:r>
              <w:t>BRCA1</w:t>
            </w:r>
          </w:p>
        </w:tc>
        <w:tc>
          <w:tcPr>
            <w:tcW w:type="dxa" w:w="2880"/>
          </w:tcPr>
          <w:p>
            <w:r>
              <w:t>HBOC syndrome</w:t>
            </w:r>
          </w:p>
        </w:tc>
        <w:tc>
          <w:tcPr>
            <w:tcW w:type="dxa" w:w="2880"/>
          </w:tcPr>
          <w:p>
            <w:r>
              <w:t>Frameshift/nonsense/splice</w:t>
            </w:r>
          </w:p>
        </w:tc>
      </w:tr>
      <w:tr>
        <w:tc>
          <w:tcPr>
            <w:tcW w:type="dxa" w:w="2880"/>
          </w:tcPr>
          <w:p>
            <w:r>
              <w:t>BRCA2</w:t>
            </w:r>
          </w:p>
        </w:tc>
        <w:tc>
          <w:tcPr>
            <w:tcW w:type="dxa" w:w="2880"/>
          </w:tcPr>
          <w:p>
            <w:r>
              <w:t>HBOC syndrome</w:t>
            </w:r>
          </w:p>
        </w:tc>
        <w:tc>
          <w:tcPr>
            <w:tcW w:type="dxa" w:w="2880"/>
          </w:tcPr>
          <w:p>
            <w:r>
              <w:t>Frameshift/nonsense/splice</w:t>
            </w:r>
          </w:p>
        </w:tc>
      </w:tr>
      <w:tr>
        <w:tc>
          <w:tcPr>
            <w:tcW w:type="dxa" w:w="2880"/>
          </w:tcPr>
          <w:p>
            <w:r>
              <w:t>RET</w:t>
            </w:r>
          </w:p>
        </w:tc>
        <w:tc>
          <w:tcPr>
            <w:tcW w:type="dxa" w:w="2880"/>
          </w:tcPr>
          <w:p>
            <w:r>
              <w:t>MEN2</w:t>
            </w:r>
          </w:p>
        </w:tc>
        <w:tc>
          <w:tcPr>
            <w:tcW w:type="dxa" w:w="2880"/>
          </w:tcPr>
          <w:p>
            <w:r>
              <w:t>Missense (specific hotspots: M918T, C634R)</w:t>
            </w:r>
          </w:p>
        </w:tc>
      </w:tr>
      <w:tr>
        <w:tc>
          <w:tcPr>
            <w:tcW w:type="dxa" w:w="2880"/>
          </w:tcPr>
          <w:p>
            <w:r>
              <w:t>VHL</w:t>
            </w:r>
          </w:p>
        </w:tc>
        <w:tc>
          <w:tcPr>
            <w:tcW w:type="dxa" w:w="2880"/>
          </w:tcPr>
          <w:p>
            <w:r>
              <w:t>von Hippel-Lindau</w:t>
            </w:r>
          </w:p>
        </w:tc>
        <w:tc>
          <w:tcPr>
            <w:tcW w:type="dxa" w:w="2880"/>
          </w:tcPr>
          <w:p>
            <w:r>
              <w:t>Any pathogenic missense/truncating</w:t>
            </w:r>
          </w:p>
        </w:tc>
      </w:tr>
    </w:tbl>
    <w:p>
      <w:pPr>
        <w:pStyle w:val="Heading2"/>
      </w:pPr>
      <w:r>
        <w:t>4. Notification Workflow</w:t>
      </w:r>
    </w:p>
    <w:p>
      <w:r>
        <w:t>Step 1 — Detection: Pipeline flags any variant meeting trigger criteria with VAF &gt; 0.05 and PASS filter. Variants are reviewed by the bioinformatics lead.</w:t>
        <w:br/>
        <w:t>Step 2 — Review: Two independent molecular pathologists review the flagged variant. Discordant calls are adjudicated by a third reviewer.</w:t>
        <w:br/>
        <w:t>Step 3 — Confirmation: Orthogonal testing via Sanger sequencing or orthogonal NGS assay on a fresh peripheral blood sample (not ctDNA). Germline origin is confirmed by testing a buccal swab or skin biopsy.</w:t>
        <w:br/>
        <w:t>Step 4 — Notification: Confirmed pathogenic germline variants are communicated to the patient's primary oncologist within 5 business days. The report includes the gene, variant, associated syndrome, and recommendation for genetic counseling.</w:t>
        <w:br/>
        <w:t>Step 5 — Documentation: All findings are recorded in the incidental-finding registry with IRB acknowledgment. The patient's study consent form must address incidental findings disclosure preferences.</w:t>
      </w:r>
    </w:p>
    <w:p>
      <w:pPr>
        <w:pStyle w:val="Heading2"/>
      </w:pPr>
      <w:r>
        <w:t>5. Confirmatory Testing Requirements</w:t>
      </w:r>
    </w:p>
    <w:p>
      <w:r>
        <w:t>1. Fresh sample collection: 5 mL peripheral blood in EDTA tube.</w:t>
        <w:br/>
        <w:t>2. DNA extraction from buffy coat (not plasma).</w:t>
        <w:br/>
        <w:t>3. Orthogonal sequencing: Sanger sequencing of the variant locus, or targeted NGS using a CLIA-certified germline panel.</w:t>
        <w:br/>
        <w:t>4. Variant classification per ACMG/AMP 2015 guidelines (PVS1-PVS4, PS1-PS4, PM1-PM6, PP1-PP5).</w:t>
        <w:br/>
        <w:t>5. Only variants classified as Pathogenic (Class 5) or Likely Pathogenic (Class 4) after orthogonal confirmation are reported.</w:t>
        <w:br/>
        <w:t>6. Turnaround time: 21 business days from initial detection to final report.</w:t>
      </w:r>
    </w:p>
    <w:p>
      <w:pPr>
        <w:pStyle w:val="Heading2"/>
      </w:pPr>
      <w:r>
        <w:t>6. Communication to Patient</w:t>
      </w:r>
    </w:p>
    <w:p>
      <w:r>
        <w:t>1. Initial notification: The primary oncologist informs the patient in person or via telehealth. A genetic counselor is present or scheduled for follow-up.</w:t>
        <w:br/>
        <w:t>2. Language: The patient-facing summary uses plain language (grade 6 reading level) and avoids variant-level technical details. Focus is on the syndrome, recurrence risks, and available preventive measures.</w:t>
        <w:br/>
        <w:t>3. Opt-out: Patients who previously elected not to receive incidental findings are excluded from notification. Their data is anonymized in the registry.</w:t>
        <w:br/>
        <w:t>4. Family implications: The patient is informed about cascade testing for first-degree relatives. Family member testing is arranged through clinical genetics.</w:t>
      </w:r>
    </w:p>
    <w:p>
      <w:pPr>
        <w:pStyle w:val="Heading2"/>
      </w:pPr>
      <w:r>
        <w:t>7. Quality Control</w:t>
      </w:r>
    </w:p>
    <w:p>
      <w:r>
        <w:t>1. Annual audit of all incidental-finding cases.</w:t>
        <w:br/>
        <w:t>2. Turnaround time metrics tracked quarterly.</w:t>
        <w:br/>
        <w:t>3. False-positive rate monitored — target &lt;5%.</w:t>
        <w:br/>
        <w:t>4. SOP reviewed and updated annually or upon addition of new genes to the panel.</w:t>
      </w:r>
    </w:p>
    <w:p>
      <w:pPr>
        <w:pStyle w:val="Heading2"/>
      </w:pPr>
      <w:r>
        <w:t>8. References</w:t>
      </w:r>
    </w:p>
    <w:p>
      <w:r>
        <w:t>1. ACMG v3.0: Miller et al. (2023) Genet Med.</w:t>
        <w:br/>
        <w:t>2. Richards et al. (2015) ACMG/AMP variant classification guidelines.</w:t>
        <w:br/>
        <w:t>3. GSE244989 study protocol IRB-approved consent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