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rPr>
        <w:t>Clinical Validation Study Synopsis</w:t>
      </w:r>
    </w:p>
    <w:p>
      <w:pPr>
        <w:pStyle w:val="Heading2"/>
      </w:pPr>
      <w:r>
        <w:t>Title</w:t>
      </w:r>
    </w:p>
    <w:p>
      <w:r>
        <w:t>Validation of a 100-Point Recurrence Score for Circulating Tumor DNA Monitoring in Classical Hodgkin Lymphoma: A Multicenter Retrospective Study</w:t>
      </w:r>
    </w:p>
    <w:p>
      <w:pPr>
        <w:pStyle w:val="Heading2"/>
      </w:pPr>
      <w:r>
        <w:t>Study Identifier</w:t>
      </w:r>
    </w:p>
    <w:p>
      <w:r>
        <w:t>CTDNA-HL-VALID-001 | Version 1.0 | 2026-07-29</w:t>
      </w:r>
    </w:p>
    <w:p>
      <w:pPr>
        <w:pStyle w:val="Heading2"/>
      </w:pPr>
      <w:r>
        <w:t>Background and Rationale</w:t>
      </w:r>
    </w:p>
    <w:p>
      <w:r>
        <w:t>The GSE244989 discovery cohort (n=46) established a composable recurrence scoring system (TB/CE/DRV/MG; range 0-100) for ctDNA-based monitoring of classical Hodgkin lymphoma. Before clinical adoption, the score requires independent validation for its ability to predict progression-free survival (PFS) and discriminate between recurrence risk tiers.</w:t>
      </w:r>
    </w:p>
    <w:p>
      <w:pPr>
        <w:pStyle w:val="Heading2"/>
      </w:pPr>
      <w:r>
        <w:t>Study Design</w:t>
      </w:r>
    </w:p>
    <w:p>
      <w:r>
        <w:t>Multicenter, retrospective, blinded validation study. Three independent sites will contribute archived ctDNA samples and linked clinical outcome data. The central lab will compute recurrence scores blinded to clinical outcomes. Statistical analysis will be performed by an independent biostatistics core.</w:t>
      </w:r>
    </w:p>
    <w:p>
      <w:pPr>
        <w:pStyle w:val="Heading2"/>
      </w:pPr>
      <w:r>
        <w:t>Sample Size and Power Calculation</w:t>
      </w:r>
    </w:p>
    <w:p>
      <w:r>
        <w:t>Primary endpoint: 2-year PFS. Expected event rate: 30% (based on historical HL data showing ~70% 2-year PFS in relapsed/refractory populations).</w:t>
        <w:br/>
        <w:br/>
        <w:t>Assumptions:</w:t>
        <w:br/>
        <w:t xml:space="preserve">  - Cox proportional hazards model with recurrence score as continuous predictor</w:t>
        <w:br/>
        <w:t xml:space="preserve">  - Expected hazard ratio per 10-point increase: 1.5 (based on discovery cohort effect size)</w:t>
        <w:br/>
        <w:t xml:space="preserve">  - Type I error: alpha=0.05 (two-sided)</w:t>
        <w:br/>
        <w:t xml:space="preserve">  - Power: 80%</w:t>
        <w:br/>
        <w:t xml:space="preserve">  - Correlation between score and PFS: estimated rho=0.4</w:t>
        <w:br/>
        <w:br/>
        <w:t>Using the Hsieh &amp; Lavori (1998) formula for survival analysis:</w:t>
        <w:br/>
        <w:t xml:space="preserve">  n = (Z_alpha/2 + Z_beta)^2 / (rho^2 * log(HR)^2 * (1 - event_rate))</w:t>
        <w:br/>
        <w:t xml:space="preserve">  n = (1.96 + 0.84)^2 / (0.16 * 0.405^2 * 0.7)</w:t>
        <w:br/>
        <w:t xml:space="preserve">  n ≈ 215 patients</w:t>
        <w:br/>
        <w:br/>
        <w:t>Adding 15% for technical failures (insufficient ctDNA, failed QC):</w:t>
        <w:br/>
        <w:t xml:space="preserve">  Final target: 250 patients</w:t>
      </w:r>
    </w:p>
    <w:p>
      <w:pPr>
        <w:pStyle w:val="Heading2"/>
      </w:pPr>
      <w:r>
        <w:t>Cohort Selection Criteria</w:t>
      </w:r>
    </w:p>
    <w:p>
      <w:r>
        <w:t>Inclusion:</w:t>
        <w:br/>
        <w:t xml:space="preserve">  - Age ≥18 years</w:t>
        <w:br/>
        <w:t xml:space="preserve">  - Histologically confirmed classical Hodgkin lymphoma (all subtypes)</w:t>
        <w:br/>
        <w:t xml:space="preserve">  - At least two plasma samples collected ≥4 weeks apart during routine care</w:t>
        <w:br/>
        <w:t xml:space="preserve">  - Minimum 12 months of clinical follow-up from first ctDNA sample</w:t>
        <w:br/>
        <w:t xml:space="preserve">  - Available clinical outcome data (PFS, OS, treatment received)</w:t>
        <w:br/>
        <w:br/>
        <w:t>Exclusion:</w:t>
        <w:br/>
        <w:t xml:space="preserve">  - Concurrent malignancy (except non-melanoma skin cancer)</w:t>
        <w:br/>
        <w:t xml:space="preserve">  - Known HIV infection (affects ctDNA interpretation)</w:t>
        <w:br/>
        <w:t xml:space="preserve">  - Allogeneic stem cell transplant within 6 months of first ctDNA sample</w:t>
        <w:br/>
        <w:t xml:space="preserve">  - Insufficient plasma (&lt; 2 mL per timepoint)</w:t>
      </w:r>
    </w:p>
    <w:p>
      <w:pPr>
        <w:pStyle w:val="Heading2"/>
      </w:pPr>
      <w:r>
        <w:t>Primary Endpoint</w:t>
      </w:r>
    </w:p>
    <w:p>
      <w:r>
        <w:t>2-year progression-free survival. Progression defined by Lugano 2014 criteria (PET-CT or CT-based). Death from any cause is an event.</w:t>
      </w:r>
    </w:p>
    <w:p>
      <w:pPr>
        <w:pStyle w:val="Heading2"/>
      </w:pPr>
      <w:r>
        <w:t>Secondary Endpoints</w:t>
      </w:r>
    </w:p>
    <w:p>
      <w:r>
        <w:t>1. Overall survival (OS) at 2 and 5 years</w:t>
        <w:br/>
        <w:t>2. Time to next treatment (TTNT)</w:t>
        <w:br/>
        <w:t>3. Sensitivity and specificity of score ≥80 vs &lt;80 for 1-year PFS</w:t>
        <w:br/>
        <w:t>4. Area under the ROC curve (AUC) for recurrence score vs clinical stage</w:t>
        <w:br/>
        <w:t>5. Positive predictive value (PPV) and negative predictive value (NPV) at optimal cutpoint determined by Youden index</w:t>
      </w:r>
    </w:p>
    <w:p>
      <w:pPr>
        <w:pStyle w:val="Heading2"/>
      </w:pPr>
      <w:r>
        <w:t>Statistical Analysis Plan</w:t>
      </w:r>
    </w:p>
    <w:p>
      <w:r>
        <w:t>1. ROC Analysis: Compute AUC for recurrence score as predictor of 2-year PFS. Compare to AUC for clinical stage (Ann Arbor) using DeLong test.</w:t>
        <w:br/>
        <w:br/>
        <w:t>2. Cutpoint Optimization: Determine optimal recurrence score threshold using Youden index (maximizing sensitivity + specificity - 1) on the ROC curve. Validate threshold via 10-fold cross-validation.</w:t>
        <w:br/>
        <w:br/>
        <w:t>3. Kaplan-Meier Analysis: Stratify patients into three risk groups (Low: &lt;40, Intermediate: 40-79, High: ≥80). Compare PFS curves using log-rank test. Report median PFS and 95% CI per group.</w:t>
        <w:br/>
        <w:br/>
        <w:t>4. Cox Proportional Hazards: Univariate and multivariate analysis with recurrence score as continuous variable. Covariates: age, stage, performance status, prior therapy lines. Report hazard ratios and 95% CI.</w:t>
        <w:br/>
        <w:br/>
        <w:t>5. Subgroup Analysis: Consistency of score performance across: (a) nodular sclerosis vs mixed cellularity subtypes; (b) first-line vs relapsed/refractory; (c) PET-negative vs PET-positive at time of ctDNA collection.</w:t>
        <w:br/>
        <w:br/>
        <w:t>6. Longitudinal Assessment: For patients with ≥3 timepoints, compute score trajectory (slope) and test its association with PFS in a time-dependent Cox model.</w:t>
      </w:r>
    </w:p>
    <w:p>
      <w:pPr>
        <w:pStyle w:val="Heading2"/>
      </w:pPr>
      <w:r>
        <w:t>Data-Sharing Plan</w:t>
      </w:r>
    </w:p>
    <w:p>
      <w:r>
        <w:t>1. De-identified individual patient data will be deposited in a public repository (e.g., GEO or dbGaP) within 12 months of study completion.</w:t>
        <w:br/>
        <w:t>2. Data elements: patient demographics, ctDNA recurrence scores per timepoint, clinical outcomes (PFS, OS), variant-level VAF matrices.</w:t>
        <w:br/>
        <w:t>3. Analysis code (Python/R scripts) will be published on GitHub under MIT license.</w:t>
        <w:br/>
        <w:t>4. Summary statistics and ROC curves will be reported per STARD 2015 guidelines.</w:t>
        <w:br/>
        <w:t>5. No protected health information will be shared. All dates shifted by a random offset per patient to preserve temporal relationships.</w:t>
      </w:r>
    </w:p>
    <w:p>
      <w:pPr>
        <w:pStyle w:val="Heading2"/>
      </w:pPr>
      <w:r>
        <w:t>Study Sites and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Target Date</w:t>
            </w:r>
          </w:p>
        </w:tc>
        <w:tc>
          <w:tcPr>
            <w:tcW w:type="dxa" w:w="2880"/>
          </w:tcPr>
          <w:p>
            <w:r>
              <w:t>Deliverable</w:t>
            </w:r>
          </w:p>
        </w:tc>
      </w:tr>
      <w:tr>
        <w:tc>
          <w:tcPr>
            <w:tcW w:type="dxa" w:w="2880"/>
          </w:tcPr>
          <w:p>
            <w:r>
              <w:t>Site recruitment and IRB approval</w:t>
            </w:r>
          </w:p>
        </w:tc>
        <w:tc>
          <w:tcPr>
            <w:tcW w:type="dxa" w:w="2880"/>
          </w:tcPr>
          <w:p>
            <w:r>
              <w:t>Q1 2027</w:t>
            </w:r>
          </w:p>
        </w:tc>
        <w:tc>
          <w:tcPr>
            <w:tcW w:type="dxa" w:w="2880"/>
          </w:tcPr>
          <w:p>
            <w:r>
              <w:t>3 sites approved</w:t>
            </w:r>
          </w:p>
        </w:tc>
      </w:tr>
      <w:tr>
        <w:tc>
          <w:tcPr>
            <w:tcW w:type="dxa" w:w="2880"/>
          </w:tcPr>
          <w:p>
            <w:r>
              <w:t>Sample collection and ctDNA extraction</w:t>
            </w:r>
          </w:p>
        </w:tc>
        <w:tc>
          <w:tcPr>
            <w:tcW w:type="dxa" w:w="2880"/>
          </w:tcPr>
          <w:p>
            <w:r>
              <w:t>Q2 2027</w:t>
            </w:r>
          </w:p>
        </w:tc>
        <w:tc>
          <w:tcPr>
            <w:tcW w:type="dxa" w:w="2880"/>
          </w:tcPr>
          <w:p>
            <w:r>
              <w:t>250 samples</w:t>
            </w:r>
          </w:p>
        </w:tc>
      </w:tr>
      <w:tr>
        <w:tc>
          <w:tcPr>
            <w:tcW w:type="dxa" w:w="2880"/>
          </w:tcPr>
          <w:p>
            <w:r>
              <w:t>Sequencing and score computation</w:t>
            </w:r>
          </w:p>
        </w:tc>
        <w:tc>
          <w:tcPr>
            <w:tcW w:type="dxa" w:w="2880"/>
          </w:tcPr>
          <w:p>
            <w:r>
              <w:t>Q3 2027</w:t>
            </w:r>
          </w:p>
        </w:tc>
        <w:tc>
          <w:tcPr>
            <w:tcW w:type="dxa" w:w="2880"/>
          </w:tcPr>
          <w:p>
            <w:r>
              <w:t>Score dataset</w:t>
            </w:r>
          </w:p>
        </w:tc>
      </w:tr>
      <w:tr>
        <w:tc>
          <w:tcPr>
            <w:tcW w:type="dxa" w:w="2880"/>
          </w:tcPr>
          <w:p>
            <w:r>
              <w:t>Statistical analysis and manuscript</w:t>
            </w:r>
          </w:p>
        </w:tc>
        <w:tc>
          <w:tcPr>
            <w:tcW w:type="dxa" w:w="2880"/>
          </w:tcPr>
          <w:p>
            <w:r>
              <w:t>Q4 2027</w:t>
            </w:r>
          </w:p>
        </w:tc>
        <w:tc>
          <w:tcPr>
            <w:tcW w:type="dxa" w:w="2880"/>
          </w:tcPr>
          <w:p>
            <w:r>
              <w:t>Results + manuscript</w:t>
            </w:r>
          </w:p>
        </w:tc>
      </w:tr>
    </w:tbl>
    <w:p>
      <w:r>
        <w:br/>
        <w:t>End of synopsis. Version 1.0 — For review by scientific advisory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