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rFonts w:ascii="Times New Roman" w:cs="Times New Roman" w:eastAsia="Times New Roman" w:hAnsi="Times New Roman"/>
        </w:rPr>
        <w:t xml:space="preserve"/>
      </w:r>
    </w:p>
    <w:p>
      <w:pPr>
        <w:spacing w:after="80"/>
        <w:jc w:val="center"/>
      </w:pPr>
      <w:r>
        <w:rPr>
          <w:rFonts w:ascii="Times New Roman" w:cs="Times New Roman" w:eastAsia="Times New Roman" w:hAnsi="Times New Roman"/>
          <w:b w:val="false"/>
          <w:bCs w:val="false"/>
          <w:sz w:val="22"/>
          <w:szCs w:val="22"/>
        </w:rPr>
        <w:t xml:space="preserve">A Synopsis</w:t>
      </w:r>
    </w:p>
    <w:p>
      <w:pPr>
        <w:spacing w:after="200"/>
        <w:jc w:val="center"/>
      </w:pPr>
      <w:r>
        <w:rPr>
          <w:rFonts w:ascii="Times New Roman" w:cs="Times New Roman" w:eastAsia="Times New Roman" w:hAnsi="Times New Roman"/>
          <w:b w:val="false"/>
          <w:bCs w:val="false"/>
          <w:sz w:val="22"/>
          <w:szCs w:val="22"/>
        </w:rPr>
        <w:t xml:space="preserve">On</w:t>
      </w:r>
    </w:p>
    <w:p>
      <w:pPr>
        <w:spacing w:after="240"/>
        <w:jc w:val="center"/>
      </w:pPr>
      <w:r>
        <w:rPr>
          <w:rFonts w:ascii="Times New Roman" w:cs="Times New Roman" w:eastAsia="Times New Roman" w:hAnsi="Times New Roman"/>
          <w:b/>
          <w:bCs/>
          <w:sz w:val="28"/>
          <w:szCs w:val="28"/>
        </w:rPr>
        <w:t xml:space="preserve">NEXUS — CRYPTO TRADING TERMINAL</w:t>
      </w:r>
    </w:p>
    <w:p>
      <w:pPr>
        <w:spacing w:after="120"/>
        <w:jc w:val="center"/>
      </w:pPr>
      <w:r>
        <w:rPr>
          <w:rFonts w:ascii="Times New Roman" w:cs="Times New Roman" w:eastAsia="Times New Roman" w:hAnsi="Times New Roman"/>
          <w:b w:val="false"/>
          <w:bCs w:val="false"/>
          <w:sz w:val="22"/>
          <w:szCs w:val="22"/>
        </w:rPr>
        <w:t xml:space="preserve">Submitted to</w:t>
      </w:r>
    </w:p>
    <w:p>
      <w:pPr>
        <w:spacing w:after="200"/>
        <w:jc w:val="center"/>
      </w:pPr>
      <w:r>
        <w:rPr>
          <w:rFonts w:ascii="Times New Roman" w:cs="Times New Roman" w:eastAsia="Times New Roman" w:hAnsi="Times New Roman"/>
          <w:b/>
          <w:bCs/>
          <w:sz w:val="28"/>
          <w:szCs w:val="28"/>
        </w:rPr>
        <w:t xml:space="preserve">IILM UNIVERSITY</w:t>
      </w:r>
    </w:p>
    <w:p>
      <w:pPr>
        <w:spacing w:after="120"/>
        <w:jc w:val="center"/>
      </w:pPr>
      <w:r>
        <w:rPr>
          <w:rFonts w:ascii="Times New Roman" w:cs="Times New Roman" w:eastAsia="Times New Roman" w:hAnsi="Times New Roman"/>
          <w:b w:val="false"/>
          <w:bCs w:val="false"/>
          <w:sz w:val="22"/>
          <w:szCs w:val="22"/>
        </w:rPr>
        <w:t xml:space="preserve">In Partial Fulfilment for the award of the degree of</w:t>
      </w:r>
    </w:p>
    <w:p>
      <w:pPr>
        <w:spacing w:after="60"/>
        <w:jc w:val="center"/>
      </w:pPr>
      <w:r>
        <w:rPr>
          <w:rFonts w:ascii="Times New Roman" w:cs="Times New Roman" w:eastAsia="Times New Roman" w:hAnsi="Times New Roman"/>
          <w:b/>
          <w:bCs/>
          <w:sz w:val="26"/>
          <w:szCs w:val="26"/>
        </w:rPr>
        <w:t xml:space="preserve">B.TECH</w:t>
      </w:r>
    </w:p>
    <w:p>
      <w:pPr>
        <w:spacing w:after="60"/>
        <w:jc w:val="center"/>
      </w:pPr>
      <w:r>
        <w:rPr>
          <w:rFonts w:ascii="Times New Roman" w:cs="Times New Roman" w:eastAsia="Times New Roman" w:hAnsi="Times New Roman"/>
          <w:b w:val="false"/>
          <w:bCs w:val="false"/>
          <w:sz w:val="22"/>
          <w:szCs w:val="22"/>
        </w:rPr>
        <w:t xml:space="preserve">In</w:t>
      </w:r>
    </w:p>
    <w:p>
      <w:pPr>
        <w:spacing w:after="200"/>
        <w:jc w:val="center"/>
      </w:pPr>
      <w:r>
        <w:rPr>
          <w:rFonts w:ascii="Times New Roman" w:cs="Times New Roman" w:eastAsia="Times New Roman" w:hAnsi="Times New Roman"/>
          <w:b/>
          <w:bCs/>
          <w:sz w:val="26"/>
          <w:szCs w:val="26"/>
        </w:rPr>
        <w:t xml:space="preserve">COMPUTER SCIENCE AND ENGINEERING</w:t>
      </w:r>
    </w:p>
    <w:p>
      <w:pPr>
        <w:spacing w:after="120"/>
        <w:jc w:val="center"/>
      </w:pPr>
      <w:r>
        <w:rPr>
          <w:rFonts w:ascii="Times New Roman" w:cs="Times New Roman" w:eastAsia="Times New Roman" w:hAnsi="Times New Roman"/>
          <w:b w:val="false"/>
          <w:bCs w:val="false"/>
          <w:sz w:val="22"/>
          <w:szCs w:val="22"/>
        </w:rPr>
        <w:t xml:space="preserve">By</w:t>
      </w:r>
    </w:p>
    <w:p>
      <w:pPr>
        <w:spacing w:after="60"/>
        <w:jc w:val="center"/>
      </w:pPr>
      <w:r>
        <w:rPr>
          <w:rFonts w:ascii="Times New Roman" w:cs="Times New Roman" w:eastAsia="Times New Roman" w:hAnsi="Times New Roman"/>
          <w:b/>
          <w:bCs/>
          <w:sz w:val="24"/>
          <w:szCs w:val="24"/>
        </w:rPr>
        <w:t xml:space="preserve">Mohit Jaiswal</w:t>
      </w:r>
    </w:p>
    <w:p>
      <w:pPr>
        <w:spacing w:after="200"/>
        <w:jc w:val="center"/>
      </w:pPr>
      <w:r>
        <w:rPr>
          <w:rFonts w:ascii="Times New Roman" w:cs="Times New Roman" w:eastAsia="Times New Roman" w:hAnsi="Times New Roman"/>
          <w:b/>
          <w:bCs/>
          <w:sz w:val="24"/>
          <w:szCs w:val="24"/>
        </w:rPr>
        <w:t xml:space="preserve">CS-2341849</w:t>
      </w:r>
    </w:p>
    <w:p>
      <w:pPr>
        <w:spacing w:after="120"/>
        <w:jc w:val="center"/>
      </w:pPr>
      <w:r>
        <w:rPr>
          <w:rFonts w:ascii="Times New Roman" w:cs="Times New Roman" w:eastAsia="Times New Roman" w:hAnsi="Times New Roman"/>
          <w:b w:val="false"/>
          <w:bCs w:val="false"/>
          <w:sz w:val="22"/>
          <w:szCs w:val="22"/>
        </w:rPr>
        <w:t xml:space="preserve">Under the guidance of</w:t>
      </w:r>
    </w:p>
    <w:p>
      <w:pPr>
        <w:spacing w:after="60"/>
        <w:jc w:val="center"/>
      </w:pPr>
      <w:r>
        <w:rPr>
          <w:rFonts w:ascii="Times New Roman" w:cs="Times New Roman" w:eastAsia="Times New Roman" w:hAnsi="Times New Roman"/>
          <w:b/>
          <w:bCs/>
          <w:sz w:val="24"/>
          <w:szCs w:val="24"/>
        </w:rPr>
        <w:t xml:space="preserve">Ms. Parul Saini</w:t>
      </w:r>
    </w:p>
    <w:p>
      <w:pPr>
        <w:spacing w:after="60"/>
        <w:jc w:val="center"/>
      </w:pPr>
      <w:r>
        <w:rPr>
          <w:rFonts w:ascii="Times New Roman" w:cs="Times New Roman" w:eastAsia="Times New Roman" w:hAnsi="Times New Roman"/>
          <w:b/>
          <w:bCs/>
          <w:sz w:val="22"/>
          <w:szCs w:val="22"/>
        </w:rPr>
        <w:t xml:space="preserve">Assistant Professor, Department of B.Tech</w:t>
      </w:r>
    </w:p>
    <w:p>
      <w:pPr>
        <w:spacing w:after="240"/>
        <w:jc w:val="center"/>
      </w:pPr>
      <w:r>
        <w:rPr>
          <w:rFonts w:ascii="Times New Roman" w:cs="Times New Roman" w:eastAsia="Times New Roman" w:hAnsi="Times New Roman"/>
          <w:b w:val="false"/>
          <w:bCs w:val="false"/>
          <w:sz w:val="22"/>
          <w:szCs w:val="22"/>
        </w:rPr>
        <w:t xml:space="preserve">Subject: Web Technology</w:t>
      </w:r>
    </w:p>
    <w:p>
      <w:pPr>
        <w:spacing w:after="200"/>
        <w:jc w:val="center"/>
      </w:pPr>
      <w:r>
        <w:drawing>
          <wp:inline distT="0" distB="0" distL="0" distR="0">
            <wp:extent cx="4191000"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191000" cy="742950"/>
                    </a:xfrm>
                    <a:prstGeom prst="rect">
                      <a:avLst/>
                    </a:prstGeom>
                  </pic:spPr>
                </pic:pic>
              </a:graphicData>
            </a:graphic>
          </wp:inline>
        </w:drawing>
      </w:r>
    </w:p>
    <w:p>
      <w:pPr>
        <w:spacing w:after="60"/>
        <w:jc w:val="center"/>
      </w:pPr>
      <w:r>
        <w:rPr>
          <w:rFonts w:ascii="Times New Roman" w:cs="Times New Roman" w:eastAsia="Times New Roman" w:hAnsi="Times New Roman"/>
          <w:b/>
          <w:bCs/>
          <w:sz w:val="22"/>
          <w:szCs w:val="22"/>
        </w:rPr>
        <w:t xml:space="preserve">IILM UNIVERSITY,</w:t>
      </w:r>
    </w:p>
    <w:p>
      <w:pPr>
        <w:spacing w:after="60"/>
        <w:jc w:val="center"/>
      </w:pPr>
      <w:r>
        <w:rPr>
          <w:rFonts w:ascii="Times New Roman" w:cs="Times New Roman" w:eastAsia="Times New Roman" w:hAnsi="Times New Roman"/>
          <w:b w:val="false"/>
          <w:bCs w:val="false"/>
          <w:sz w:val="22"/>
          <w:szCs w:val="22"/>
        </w:rPr>
        <w:t xml:space="preserve">16-18, Knowledge Park II,</w:t>
      </w:r>
    </w:p>
    <w:p>
      <w:pPr>
        <w:spacing w:after="200"/>
        <w:jc w:val="center"/>
      </w:pPr>
      <w:r>
        <w:rPr>
          <w:rFonts w:ascii="Times New Roman" w:cs="Times New Roman" w:eastAsia="Times New Roman" w:hAnsi="Times New Roman"/>
          <w:b w:val="false"/>
          <w:bCs w:val="false"/>
          <w:sz w:val="22"/>
          <w:szCs w:val="22"/>
        </w:rPr>
        <w:t xml:space="preserve">Greater Noida, Uttar Pradesh 201306</w:t>
      </w:r>
    </w:p>
    <w:p>
      <w:pPr>
        <w:spacing w:after="120"/>
        <w:jc w:val="center"/>
      </w:pPr>
      <w:r>
        <w:rPr>
          <w:rFonts w:ascii="Times New Roman" w:cs="Times New Roman" w:eastAsia="Times New Roman" w:hAnsi="Times New Roman"/>
          <w:b/>
          <w:bCs/>
          <w:sz w:val="22"/>
          <w:szCs w:val="22"/>
        </w:rPr>
        <w:t xml:space="preserve">February 2026</w:t>
      </w:r>
    </w:p>
    <w:p>
      <w:r>
        <w:br w:type="page"/>
      </w:r>
    </w:p>
    <w:p>
      <w:pPr>
        <w:sectPr>
          <w:pgSz w:w="11906" w:h="16838" w:orient="portrait"/>
          <w:pgMar w:top="1440" w:right="1440" w:bottom="1440" w:left="1440" w:header="708" w:footer="708" w:gutter="0"/>
          <w:pgNumType/>
          <w:docGrid w:linePitch="360"/>
        </w:sectPr>
      </w:pPr>
    </w:p>
    <w:p>
      <w:pPr>
        <w:pStyle w:val="Heading1"/>
        <w:spacing w:before="280" w:after="140"/>
      </w:pPr>
      <w:r>
        <w:rPr>
          <w:rFonts w:ascii="Times New Roman" w:cs="Times New Roman" w:eastAsia="Times New Roman" w:hAnsi="Times New Roman"/>
          <w:b/>
          <w:bCs/>
          <w:color w:val="000000"/>
          <w:sz w:val="28"/>
          <w:szCs w:val="28"/>
        </w:rPr>
        <w:t xml:space="preserve">PROJECT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00000" w:sz="6"/>
              <w:left w:val="single" w:color="000000" w:sz="6"/>
              <w:bottom w:val="single" w:color="000000" w:sz="6"/>
              <w:right w:val="single" w:color="000000" w:sz="6"/>
            </w:tcBorders>
            <w:shd w:fill="DCE6F1" w:val="clear"/>
            <w:tcMar>
              <w:top w:type="dxa" w:w="100"/>
              <w:left w:type="dxa" w:w="140"/>
              <w:bottom w:type="dxa" w:w="100"/>
              <w:right w:type="dxa" w:w="140"/>
            </w:tcMar>
            <w:vAlign w:val="center"/>
          </w:tcPr>
          <w:p>
            <w:pPr>
              <w:spacing w:after="0"/>
              <w:jc w:val="left"/>
            </w:pPr>
            <w:r>
              <w:rPr>
                <w:rFonts w:ascii="Times New Roman" w:cs="Times New Roman" w:eastAsia="Times New Roman" w:hAnsi="Times New Roman"/>
                <w:b/>
                <w:bCs/>
                <w:sz w:val="22"/>
                <w:szCs w:val="22"/>
              </w:rPr>
              <w:t xml:space="preserve">TITLE OF THE RESEARCH PROPOSAL</w:t>
            </w:r>
          </w:p>
        </w:tc>
        <w:tc>
          <w:tcPr>
            <w:tcW w:type="dxa" w:w="636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NEXUS — Crypto Trading Terminal</w:t>
            </w:r>
          </w:p>
        </w:tc>
      </w:tr>
      <w:tr>
        <w:tc>
          <w:tcPr>
            <w:tcW w:type="dxa" w:w="3000"/>
            <w:tcBorders>
              <w:top w:val="single" w:color="000000" w:sz="6"/>
              <w:left w:val="single" w:color="000000" w:sz="6"/>
              <w:bottom w:val="single" w:color="000000" w:sz="6"/>
              <w:right w:val="single" w:color="000000" w:sz="6"/>
            </w:tcBorders>
            <w:shd w:fill="DCE6F1" w:val="clear"/>
            <w:tcMar>
              <w:top w:type="dxa" w:w="100"/>
              <w:left w:type="dxa" w:w="140"/>
              <w:bottom w:type="dxa" w:w="100"/>
              <w:right w:type="dxa" w:w="140"/>
            </w:tcMar>
            <w:vAlign w:val="center"/>
          </w:tcPr>
          <w:p>
            <w:pPr>
              <w:spacing w:after="0"/>
              <w:jc w:val="left"/>
            </w:pPr>
            <w:r>
              <w:rPr>
                <w:rFonts w:ascii="Times New Roman" w:cs="Times New Roman" w:eastAsia="Times New Roman" w:hAnsi="Times New Roman"/>
                <w:b/>
                <w:bCs/>
                <w:sz w:val="22"/>
                <w:szCs w:val="22"/>
              </w:rPr>
              <w:t xml:space="preserve">NAME OF THE STUDENTS / GROUP</w:t>
            </w:r>
          </w:p>
        </w:tc>
        <w:tc>
          <w:tcPr>
            <w:tcW w:type="dxa" w:w="636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Mohit Jaiswal</w:t>
            </w:r>
          </w:p>
        </w:tc>
      </w:tr>
      <w:tr>
        <w:tc>
          <w:tcPr>
            <w:tcW w:type="dxa" w:w="3000"/>
            <w:tcBorders>
              <w:top w:val="single" w:color="000000" w:sz="6"/>
              <w:left w:val="single" w:color="000000" w:sz="6"/>
              <w:bottom w:val="single" w:color="000000" w:sz="6"/>
              <w:right w:val="single" w:color="000000" w:sz="6"/>
            </w:tcBorders>
            <w:shd w:fill="DCE6F1" w:val="clear"/>
            <w:tcMar>
              <w:top w:type="dxa" w:w="100"/>
              <w:left w:type="dxa" w:w="140"/>
              <w:bottom w:type="dxa" w:w="100"/>
              <w:right w:type="dxa" w:w="140"/>
            </w:tcMar>
            <w:vAlign w:val="center"/>
          </w:tcPr>
          <w:p>
            <w:pPr>
              <w:spacing w:after="0"/>
              <w:jc w:val="left"/>
            </w:pPr>
            <w:r>
              <w:rPr>
                <w:rFonts w:ascii="Times New Roman" w:cs="Times New Roman" w:eastAsia="Times New Roman" w:hAnsi="Times New Roman"/>
                <w:b/>
                <w:bCs/>
                <w:sz w:val="22"/>
                <w:szCs w:val="22"/>
              </w:rPr>
              <w:t xml:space="preserve">ROLL NUMBER</w:t>
            </w:r>
          </w:p>
        </w:tc>
        <w:tc>
          <w:tcPr>
            <w:tcW w:type="dxa" w:w="636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CS-2341849</w:t>
            </w:r>
          </w:p>
        </w:tc>
      </w:tr>
      <w:tr>
        <w:tc>
          <w:tcPr>
            <w:tcW w:type="dxa" w:w="3000"/>
            <w:tcBorders>
              <w:top w:val="single" w:color="000000" w:sz="6"/>
              <w:left w:val="single" w:color="000000" w:sz="6"/>
              <w:bottom w:val="single" w:color="000000" w:sz="6"/>
              <w:right w:val="single" w:color="000000" w:sz="6"/>
            </w:tcBorders>
            <w:shd w:fill="DCE6F1" w:val="clear"/>
            <w:tcMar>
              <w:top w:type="dxa" w:w="100"/>
              <w:left w:type="dxa" w:w="140"/>
              <w:bottom w:type="dxa" w:w="100"/>
              <w:right w:type="dxa" w:w="140"/>
            </w:tcMar>
            <w:vAlign w:val="center"/>
          </w:tcPr>
          <w:p>
            <w:pPr>
              <w:spacing w:after="0"/>
              <w:jc w:val="left"/>
            </w:pPr>
            <w:r>
              <w:rPr>
                <w:rFonts w:ascii="Times New Roman" w:cs="Times New Roman" w:eastAsia="Times New Roman" w:hAnsi="Times New Roman"/>
                <w:b/>
                <w:bCs/>
                <w:sz w:val="22"/>
                <w:szCs w:val="22"/>
              </w:rPr>
              <w:t xml:space="preserve">NAME AND DESIGNATION OF THE GUIDE</w:t>
            </w:r>
          </w:p>
        </w:tc>
        <w:tc>
          <w:tcPr>
            <w:tcW w:type="dxa" w:w="636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Ms. Parul Saini, Assistant Professor</w:t>
            </w:r>
          </w:p>
        </w:tc>
      </w:tr>
      <w:tr>
        <w:tc>
          <w:tcPr>
            <w:tcW w:type="dxa" w:w="3000"/>
            <w:tcBorders>
              <w:top w:val="single" w:color="000000" w:sz="6"/>
              <w:left w:val="single" w:color="000000" w:sz="6"/>
              <w:bottom w:val="single" w:color="000000" w:sz="6"/>
              <w:right w:val="single" w:color="000000" w:sz="6"/>
            </w:tcBorders>
            <w:shd w:fill="DCE6F1" w:val="clear"/>
            <w:tcMar>
              <w:top w:type="dxa" w:w="100"/>
              <w:left w:type="dxa" w:w="140"/>
              <w:bottom w:type="dxa" w:w="100"/>
              <w:right w:type="dxa" w:w="140"/>
            </w:tcMar>
            <w:vAlign w:val="center"/>
          </w:tcPr>
          <w:p>
            <w:pPr>
              <w:spacing w:after="0"/>
              <w:jc w:val="left"/>
            </w:pPr>
            <w:r>
              <w:rPr>
                <w:rFonts w:ascii="Times New Roman" w:cs="Times New Roman" w:eastAsia="Times New Roman" w:hAnsi="Times New Roman"/>
                <w:b/>
                <w:bCs/>
                <w:sz w:val="22"/>
                <w:szCs w:val="22"/>
              </w:rPr>
              <w:t xml:space="preserve">SUBJECT</w:t>
            </w:r>
          </w:p>
        </w:tc>
        <w:tc>
          <w:tcPr>
            <w:tcW w:type="dxa" w:w="636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Web Technology</w:t>
            </w:r>
          </w:p>
        </w:tc>
      </w:tr>
      <w:tr>
        <w:tc>
          <w:tcPr>
            <w:tcW w:type="dxa" w:w="3000"/>
            <w:tcBorders>
              <w:top w:val="single" w:color="000000" w:sz="6"/>
              <w:left w:val="single" w:color="000000" w:sz="6"/>
              <w:bottom w:val="single" w:color="000000" w:sz="6"/>
              <w:right w:val="single" w:color="000000" w:sz="6"/>
            </w:tcBorders>
            <w:shd w:fill="DCE6F1" w:val="clear"/>
            <w:tcMar>
              <w:top w:type="dxa" w:w="100"/>
              <w:left w:type="dxa" w:w="140"/>
              <w:bottom w:type="dxa" w:w="100"/>
              <w:right w:type="dxa" w:w="140"/>
            </w:tcMar>
            <w:vAlign w:val="center"/>
          </w:tcPr>
          <w:p>
            <w:pPr>
              <w:spacing w:after="0"/>
              <w:jc w:val="left"/>
            </w:pPr>
            <w:r>
              <w:rPr>
                <w:rFonts w:ascii="Times New Roman" w:cs="Times New Roman" w:eastAsia="Times New Roman" w:hAnsi="Times New Roman"/>
                <w:b/>
                <w:bCs/>
                <w:sz w:val="22"/>
                <w:szCs w:val="22"/>
              </w:rPr>
              <w:t xml:space="preserve">DEPARTMENT</w:t>
            </w:r>
          </w:p>
        </w:tc>
        <w:tc>
          <w:tcPr>
            <w:tcW w:type="dxa" w:w="636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B.Tech — Computer Science and Engineering</w:t>
            </w:r>
          </w:p>
        </w:tc>
      </w:tr>
      <w:tr>
        <w:tc>
          <w:tcPr>
            <w:tcW w:type="dxa" w:w="3000"/>
            <w:tcBorders>
              <w:top w:val="single" w:color="000000" w:sz="6"/>
              <w:left w:val="single" w:color="000000" w:sz="6"/>
              <w:bottom w:val="single" w:color="000000" w:sz="6"/>
              <w:right w:val="single" w:color="000000" w:sz="6"/>
            </w:tcBorders>
            <w:shd w:fill="DCE6F1" w:val="clear"/>
            <w:tcMar>
              <w:top w:type="dxa" w:w="100"/>
              <w:left w:type="dxa" w:w="140"/>
              <w:bottom w:type="dxa" w:w="100"/>
              <w:right w:type="dxa" w:w="140"/>
            </w:tcMar>
            <w:vAlign w:val="center"/>
          </w:tcPr>
          <w:p>
            <w:pPr>
              <w:spacing w:after="0"/>
              <w:jc w:val="left"/>
            </w:pPr>
            <w:r>
              <w:rPr>
                <w:rFonts w:ascii="Times New Roman" w:cs="Times New Roman" w:eastAsia="Times New Roman" w:hAnsi="Times New Roman"/>
                <w:b/>
                <w:bCs/>
                <w:sz w:val="22"/>
                <w:szCs w:val="22"/>
              </w:rPr>
              <w:t xml:space="preserve">PLACE OF WORK</w:t>
            </w:r>
          </w:p>
        </w:tc>
        <w:tc>
          <w:tcPr>
            <w:tcW w:type="dxa" w:w="636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IILM University, Greater Noida, Uttar Pradesh</w:t>
            </w:r>
          </w:p>
        </w:tc>
      </w:tr>
      <w:tr>
        <w:tc>
          <w:tcPr>
            <w:tcW w:type="dxa" w:w="3000"/>
            <w:tcBorders>
              <w:top w:val="single" w:color="000000" w:sz="6"/>
              <w:left w:val="single" w:color="000000" w:sz="6"/>
              <w:bottom w:val="single" w:color="000000" w:sz="6"/>
              <w:right w:val="single" w:color="000000" w:sz="6"/>
            </w:tcBorders>
            <w:shd w:fill="DCE6F1" w:val="clear"/>
            <w:tcMar>
              <w:top w:type="dxa" w:w="100"/>
              <w:left w:type="dxa" w:w="140"/>
              <w:bottom w:type="dxa" w:w="100"/>
              <w:right w:type="dxa" w:w="140"/>
            </w:tcMar>
            <w:vAlign w:val="center"/>
          </w:tcPr>
          <w:p>
            <w:pPr>
              <w:spacing w:after="0"/>
              <w:jc w:val="left"/>
            </w:pPr>
            <w:r>
              <w:rPr>
                <w:rFonts w:ascii="Times New Roman" w:cs="Times New Roman" w:eastAsia="Times New Roman" w:hAnsi="Times New Roman"/>
                <w:b/>
                <w:bCs/>
                <w:sz w:val="22"/>
                <w:szCs w:val="22"/>
              </w:rPr>
              <w:t xml:space="preserve">AREA</w:t>
            </w:r>
          </w:p>
        </w:tc>
        <w:tc>
          <w:tcPr>
            <w:tcW w:type="dxa" w:w="636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Web Development / Frontend Engineering</w:t>
            </w:r>
          </w:p>
        </w:tc>
      </w:tr>
      <w:tr>
        <w:tc>
          <w:tcPr>
            <w:tcW w:type="dxa" w:w="3000"/>
            <w:tcBorders>
              <w:top w:val="single" w:color="000000" w:sz="6"/>
              <w:left w:val="single" w:color="000000" w:sz="6"/>
              <w:bottom w:val="single" w:color="000000" w:sz="6"/>
              <w:right w:val="single" w:color="000000" w:sz="6"/>
            </w:tcBorders>
            <w:shd w:fill="DCE6F1" w:val="clear"/>
            <w:tcMar>
              <w:top w:type="dxa" w:w="100"/>
              <w:left w:type="dxa" w:w="140"/>
              <w:bottom w:type="dxa" w:w="100"/>
              <w:right w:type="dxa" w:w="140"/>
            </w:tcMar>
            <w:vAlign w:val="center"/>
          </w:tcPr>
          <w:p>
            <w:pPr>
              <w:spacing w:after="0"/>
              <w:jc w:val="left"/>
            </w:pPr>
            <w:r>
              <w:rPr>
                <w:rFonts w:ascii="Times New Roman" w:cs="Times New Roman" w:eastAsia="Times New Roman" w:hAnsi="Times New Roman"/>
                <w:b/>
                <w:bCs/>
                <w:sz w:val="22"/>
                <w:szCs w:val="22"/>
              </w:rPr>
              <w:t xml:space="preserve">DOMAIN</w:t>
            </w:r>
          </w:p>
        </w:tc>
        <w:tc>
          <w:tcPr>
            <w:tcW w:type="dxa" w:w="636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Software Development</w:t>
            </w:r>
          </w:p>
        </w:tc>
      </w:tr>
      <w:tr>
        <w:tc>
          <w:tcPr>
            <w:tcW w:type="dxa" w:w="3000"/>
            <w:tcBorders>
              <w:top w:val="single" w:color="000000" w:sz="6"/>
              <w:left w:val="single" w:color="000000" w:sz="6"/>
              <w:bottom w:val="single" w:color="000000" w:sz="6"/>
              <w:right w:val="single" w:color="000000" w:sz="6"/>
            </w:tcBorders>
            <w:shd w:fill="DCE6F1" w:val="clear"/>
            <w:tcMar>
              <w:top w:type="dxa" w:w="100"/>
              <w:left w:type="dxa" w:w="140"/>
              <w:bottom w:type="dxa" w:w="100"/>
              <w:right w:type="dxa" w:w="140"/>
            </w:tcMar>
            <w:vAlign w:val="center"/>
          </w:tcPr>
          <w:p>
            <w:pPr>
              <w:spacing w:after="0"/>
              <w:jc w:val="left"/>
            </w:pPr>
            <w:r>
              <w:rPr>
                <w:rFonts w:ascii="Times New Roman" w:cs="Times New Roman" w:eastAsia="Times New Roman" w:hAnsi="Times New Roman"/>
                <w:b/>
                <w:bCs/>
                <w:sz w:val="22"/>
                <w:szCs w:val="22"/>
              </w:rPr>
              <w:t xml:space="preserve">CO-DOMAIN</w:t>
            </w:r>
          </w:p>
        </w:tc>
        <w:tc>
          <w:tcPr>
            <w:tcW w:type="dxa" w:w="636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Financial Technology (FinTech)</w:t>
            </w:r>
          </w:p>
        </w:tc>
      </w:tr>
      <w:tr>
        <w:tc>
          <w:tcPr>
            <w:tcW w:type="dxa" w:w="3000"/>
            <w:tcBorders>
              <w:top w:val="single" w:color="000000" w:sz="6"/>
              <w:left w:val="single" w:color="000000" w:sz="6"/>
              <w:bottom w:val="single" w:color="000000" w:sz="6"/>
              <w:right w:val="single" w:color="000000" w:sz="6"/>
            </w:tcBorders>
            <w:shd w:fill="DCE6F1" w:val="clear"/>
            <w:tcMar>
              <w:top w:type="dxa" w:w="100"/>
              <w:left w:type="dxa" w:w="140"/>
              <w:bottom w:type="dxa" w:w="100"/>
              <w:right w:type="dxa" w:w="140"/>
            </w:tcMar>
            <w:vAlign w:val="center"/>
          </w:tcPr>
          <w:p>
            <w:pPr>
              <w:spacing w:after="0"/>
              <w:jc w:val="left"/>
            </w:pPr>
            <w:r>
              <w:rPr>
                <w:rFonts w:ascii="Times New Roman" w:cs="Times New Roman" w:eastAsia="Times New Roman" w:hAnsi="Times New Roman"/>
                <w:b/>
                <w:bCs/>
                <w:sz w:val="22"/>
                <w:szCs w:val="22"/>
              </w:rPr>
              <w:t xml:space="preserve">APPLICATION AREA</w:t>
            </w:r>
          </w:p>
        </w:tc>
        <w:tc>
          <w:tcPr>
            <w:tcW w:type="dxa" w:w="636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Cryptocurrency Market Visualisation and Simulated Trading Interface</w:t>
            </w:r>
          </w:p>
        </w:tc>
      </w:tr>
      <w:tr>
        <w:tc>
          <w:tcPr>
            <w:tcW w:type="dxa" w:w="3000"/>
            <w:tcBorders>
              <w:top w:val="single" w:color="000000" w:sz="6"/>
              <w:left w:val="single" w:color="000000" w:sz="6"/>
              <w:bottom w:val="single" w:color="000000" w:sz="6"/>
              <w:right w:val="single" w:color="000000" w:sz="6"/>
            </w:tcBorders>
            <w:shd w:fill="DCE6F1" w:val="clear"/>
            <w:tcMar>
              <w:top w:type="dxa" w:w="100"/>
              <w:left w:type="dxa" w:w="140"/>
              <w:bottom w:type="dxa" w:w="100"/>
              <w:right w:type="dxa" w:w="140"/>
            </w:tcMar>
            <w:vAlign w:val="center"/>
          </w:tcPr>
          <w:p>
            <w:pPr>
              <w:spacing w:after="0"/>
              <w:jc w:val="left"/>
            </w:pPr>
            <w:r>
              <w:rPr>
                <w:rFonts w:ascii="Times New Roman" w:cs="Times New Roman" w:eastAsia="Times New Roman" w:hAnsi="Times New Roman"/>
                <w:b/>
                <w:bCs/>
                <w:sz w:val="22"/>
                <w:szCs w:val="22"/>
              </w:rPr>
              <w:t xml:space="preserve">USEFULNESS</w:t>
            </w:r>
          </w:p>
        </w:tc>
        <w:tc>
          <w:tcPr>
            <w:tcW w:type="dxa" w:w="636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Enables users to monitor simulated live market data, track portfolio performance, and practice trade execution through an interactive browser-based dashboard requiring no installation.</w:t>
            </w:r>
          </w:p>
        </w:tc>
      </w:tr>
      <w:tr>
        <w:tc>
          <w:tcPr>
            <w:tcW w:type="dxa" w:w="3000"/>
            <w:tcBorders>
              <w:top w:val="single" w:color="000000" w:sz="6"/>
              <w:left w:val="single" w:color="000000" w:sz="6"/>
              <w:bottom w:val="single" w:color="000000" w:sz="6"/>
              <w:right w:val="single" w:color="000000" w:sz="6"/>
            </w:tcBorders>
            <w:shd w:fill="DCE6F1" w:val="clear"/>
            <w:tcMar>
              <w:top w:type="dxa" w:w="100"/>
              <w:left w:type="dxa" w:w="140"/>
              <w:bottom w:type="dxa" w:w="100"/>
              <w:right w:type="dxa" w:w="140"/>
            </w:tcMar>
            <w:vAlign w:val="center"/>
          </w:tcPr>
          <w:p>
            <w:pPr>
              <w:spacing w:after="0"/>
              <w:jc w:val="left"/>
            </w:pPr>
            <w:r>
              <w:rPr>
                <w:rFonts w:ascii="Times New Roman" w:cs="Times New Roman" w:eastAsia="Times New Roman" w:hAnsi="Times New Roman"/>
                <w:b/>
                <w:bCs/>
                <w:sz w:val="22"/>
                <w:szCs w:val="22"/>
              </w:rPr>
              <w:t xml:space="preserve">ANY OTHER KEY INFORMATION</w:t>
            </w:r>
          </w:p>
        </w:tc>
        <w:tc>
          <w:tcPr>
            <w:tcW w:type="dxa" w:w="636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100% single-file application (HTML/CSS/JS). No backend, no build step, no external dependencies. Runs directly in any modern browser. Integrates Chart.js v4.4.1 via CDN for data visualisation.</w:t>
            </w:r>
          </w:p>
        </w:tc>
      </w:tr>
    </w:tbl>
    <w:p>
      <w:pPr>
        <w:spacing w:after="200"/>
      </w:pPr>
      <w:r>
        <w:rPr>
          <w:rFonts w:ascii="Times New Roman" w:cs="Times New Roman" w:eastAsia="Times New Roman" w:hAnsi="Times New Roman"/>
        </w:rPr>
        <w:t xml:space="preserve"/>
      </w:r>
    </w:p>
    <w:p>
      <w:pPr>
        <w:pStyle w:val="Heading1"/>
        <w:spacing w:before="280" w:after="140"/>
      </w:pPr>
      <w:r>
        <w:rPr>
          <w:rFonts w:ascii="Times New Roman" w:cs="Times New Roman" w:eastAsia="Times New Roman" w:hAnsi="Times New Roman"/>
          <w:b/>
          <w:bCs/>
          <w:color w:val="000000"/>
          <w:sz w:val="28"/>
          <w:szCs w:val="28"/>
        </w:rPr>
        <w:t xml:space="preserve">Table of Contents</w:t>
      </w:r>
    </w:p>
    <w:p>
      <w:pPr>
        <w:spacing w:after="160" w:line="360"/>
        <w:jc w:val="both"/>
      </w:pPr>
      <w:r>
        <w:rPr>
          <w:rFonts w:ascii="Times New Roman" w:cs="Times New Roman" w:eastAsia="Times New Roman" w:hAnsi="Times New Roman"/>
          <w:b w:val="false"/>
          <w:bCs w:val="false"/>
          <w:sz w:val="22"/>
          <w:szCs w:val="22"/>
        </w:rPr>
        <w:t xml:space="preserve">PROJECT DETAILS.......................................................................................2</w:t>
      </w:r>
    </w:p>
    <w:p>
      <w:pPr>
        <w:spacing w:after="160" w:line="360"/>
        <w:jc w:val="both"/>
      </w:pPr>
      <w:r>
        <w:rPr>
          <w:rFonts w:ascii="Times New Roman" w:cs="Times New Roman" w:eastAsia="Times New Roman" w:hAnsi="Times New Roman"/>
          <w:b w:val="false"/>
          <w:bCs w:val="false"/>
          <w:sz w:val="22"/>
          <w:szCs w:val="22"/>
        </w:rPr>
        <w:t xml:space="preserve">Statement of the Proposal............................................................................3</w:t>
      </w:r>
    </w:p>
    <w:p>
      <w:pPr>
        <w:spacing w:after="160" w:line="360"/>
        <w:jc w:val="both"/>
      </w:pPr>
      <w:r>
        <w:rPr>
          <w:rFonts w:ascii="Times New Roman" w:cs="Times New Roman" w:eastAsia="Times New Roman" w:hAnsi="Times New Roman"/>
          <w:b w:val="false"/>
          <w:bCs w:val="false"/>
          <w:sz w:val="22"/>
          <w:szCs w:val="22"/>
        </w:rPr>
        <w:t xml:space="preserve">    Problem Statement.................................................................................3</w:t>
      </w:r>
    </w:p>
    <w:p>
      <w:pPr>
        <w:spacing w:after="160" w:line="360"/>
        <w:jc w:val="both"/>
      </w:pPr>
      <w:r>
        <w:rPr>
          <w:rFonts w:ascii="Times New Roman" w:cs="Times New Roman" w:eastAsia="Times New Roman" w:hAnsi="Times New Roman"/>
          <w:b w:val="false"/>
          <w:bCs w:val="false"/>
          <w:sz w:val="22"/>
          <w:szCs w:val="22"/>
        </w:rPr>
        <w:t xml:space="preserve">    Background........................................................................................3</w:t>
      </w:r>
    </w:p>
    <w:p>
      <w:pPr>
        <w:spacing w:after="160" w:line="360"/>
        <w:jc w:val="both"/>
      </w:pPr>
      <w:r>
        <w:rPr>
          <w:rFonts w:ascii="Times New Roman" w:cs="Times New Roman" w:eastAsia="Times New Roman" w:hAnsi="Times New Roman"/>
          <w:b w:val="false"/>
          <w:bCs w:val="false"/>
          <w:sz w:val="22"/>
          <w:szCs w:val="22"/>
        </w:rPr>
        <w:t xml:space="preserve">    Motivation / Need for the Research................................................................4</w:t>
      </w:r>
    </w:p>
    <w:p>
      <w:pPr>
        <w:spacing w:after="160" w:line="360"/>
        <w:jc w:val="both"/>
      </w:pPr>
      <w:r>
        <w:rPr>
          <w:rFonts w:ascii="Times New Roman" w:cs="Times New Roman" w:eastAsia="Times New Roman" w:hAnsi="Times New Roman"/>
          <w:b w:val="false"/>
          <w:bCs w:val="false"/>
          <w:sz w:val="22"/>
          <w:szCs w:val="22"/>
        </w:rPr>
        <w:t xml:space="preserve">    Objective.........................................................................................4</w:t>
      </w:r>
    </w:p>
    <w:p>
      <w:pPr>
        <w:spacing w:after="160" w:line="360"/>
        <w:jc w:val="both"/>
      </w:pPr>
      <w:r>
        <w:rPr>
          <w:rFonts w:ascii="Times New Roman" w:cs="Times New Roman" w:eastAsia="Times New Roman" w:hAnsi="Times New Roman"/>
          <w:b w:val="false"/>
          <w:bCs w:val="false"/>
          <w:sz w:val="22"/>
          <w:szCs w:val="22"/>
        </w:rPr>
        <w:t xml:space="preserve">    Sub-Objectives....................................................................................4</w:t>
      </w:r>
    </w:p>
    <w:p>
      <w:pPr>
        <w:spacing w:after="160" w:line="360"/>
        <w:jc w:val="both"/>
      </w:pPr>
      <w:r>
        <w:rPr>
          <w:rFonts w:ascii="Times New Roman" w:cs="Times New Roman" w:eastAsia="Times New Roman" w:hAnsi="Times New Roman"/>
          <w:b w:val="false"/>
          <w:bCs w:val="false"/>
          <w:sz w:val="22"/>
          <w:szCs w:val="22"/>
        </w:rPr>
        <w:t xml:space="preserve">    Mode of Achieving Objective.......................................................................4</w:t>
      </w:r>
    </w:p>
    <w:p>
      <w:pPr>
        <w:spacing w:after="160" w:line="360"/>
        <w:jc w:val="both"/>
      </w:pPr>
      <w:r>
        <w:rPr>
          <w:rFonts w:ascii="Times New Roman" w:cs="Times New Roman" w:eastAsia="Times New Roman" w:hAnsi="Times New Roman"/>
          <w:b w:val="false"/>
          <w:bCs w:val="false"/>
          <w:sz w:val="22"/>
          <w:szCs w:val="22"/>
        </w:rPr>
        <w:t xml:space="preserve">Proposed Methodology.................................................................................5</w:t>
      </w:r>
    </w:p>
    <w:p>
      <w:pPr>
        <w:spacing w:after="160" w:line="360"/>
        <w:jc w:val="both"/>
      </w:pPr>
      <w:r>
        <w:rPr>
          <w:rFonts w:ascii="Times New Roman" w:cs="Times New Roman" w:eastAsia="Times New Roman" w:hAnsi="Times New Roman"/>
          <w:b w:val="false"/>
          <w:bCs w:val="false"/>
          <w:sz w:val="22"/>
          <w:szCs w:val="22"/>
        </w:rPr>
        <w:t xml:space="preserve">    Theoretical Framework.............................................................................5</w:t>
      </w:r>
    </w:p>
    <w:p>
      <w:pPr>
        <w:spacing w:after="160" w:line="360"/>
        <w:jc w:val="both"/>
      </w:pPr>
      <w:r>
        <w:rPr>
          <w:rFonts w:ascii="Times New Roman" w:cs="Times New Roman" w:eastAsia="Times New Roman" w:hAnsi="Times New Roman"/>
          <w:b w:val="false"/>
          <w:bCs w:val="false"/>
          <w:sz w:val="22"/>
          <w:szCs w:val="22"/>
        </w:rPr>
        <w:t xml:space="preserve">    Sources of Data...................................................................................5</w:t>
      </w:r>
    </w:p>
    <w:p>
      <w:pPr>
        <w:spacing w:after="160" w:line="360"/>
        <w:jc w:val="both"/>
      </w:pPr>
      <w:r>
        <w:rPr>
          <w:rFonts w:ascii="Times New Roman" w:cs="Times New Roman" w:eastAsia="Times New Roman" w:hAnsi="Times New Roman"/>
          <w:b w:val="false"/>
          <w:bCs w:val="false"/>
          <w:sz w:val="22"/>
          <w:szCs w:val="22"/>
        </w:rPr>
        <w:t xml:space="preserve">    Schematic Flow Diagram............................................................................6</w:t>
      </w:r>
    </w:p>
    <w:p>
      <w:pPr>
        <w:spacing w:after="160" w:line="360"/>
        <w:jc w:val="both"/>
      </w:pPr>
      <w:r>
        <w:rPr>
          <w:rFonts w:ascii="Times New Roman" w:cs="Times New Roman" w:eastAsia="Times New Roman" w:hAnsi="Times New Roman"/>
          <w:b w:val="false"/>
          <w:bCs w:val="false"/>
          <w:sz w:val="22"/>
          <w:szCs w:val="22"/>
        </w:rPr>
        <w:t xml:space="preserve">Review of Literature.................................................................................7</w:t>
      </w:r>
    </w:p>
    <w:p>
      <w:pPr>
        <w:spacing w:after="160" w:line="360"/>
        <w:jc w:val="both"/>
      </w:pPr>
      <w:r>
        <w:rPr>
          <w:rFonts w:ascii="Times New Roman" w:cs="Times New Roman" w:eastAsia="Times New Roman" w:hAnsi="Times New Roman"/>
          <w:b w:val="false"/>
          <w:bCs w:val="false"/>
          <w:sz w:val="22"/>
          <w:szCs w:val="22"/>
        </w:rPr>
        <w:t xml:space="preserve">Research Gaps........................................................................................7</w:t>
      </w:r>
    </w:p>
    <w:p>
      <w:pPr>
        <w:spacing w:after="160" w:line="360"/>
        <w:jc w:val="both"/>
      </w:pPr>
      <w:r>
        <w:rPr>
          <w:rFonts w:ascii="Times New Roman" w:cs="Times New Roman" w:eastAsia="Times New Roman" w:hAnsi="Times New Roman"/>
          <w:b w:val="false"/>
          <w:bCs w:val="false"/>
          <w:sz w:val="22"/>
          <w:szCs w:val="22"/>
        </w:rPr>
        <w:t xml:space="preserve">Key Bibliography.....................................................................................8</w:t>
      </w:r>
    </w:p>
    <w:p>
      <w:pPr>
        <w:spacing w:after="100"/>
      </w:pPr>
      <w:r>
        <w:rPr>
          <w:rFonts w:ascii="Times New Roman" w:cs="Times New Roman" w:eastAsia="Times New Roman" w:hAnsi="Times New Roman"/>
        </w:rPr>
        <w:t xml:space="preserve"/>
      </w:r>
    </w:p>
    <w:p>
      <w:pPr>
        <w:spacing w:after="160" w:line="360"/>
        <w:jc w:val="both"/>
      </w:pPr>
      <w:r>
        <w:rPr>
          <w:rFonts w:ascii="Times New Roman" w:cs="Times New Roman" w:eastAsia="Times New Roman" w:hAnsi="Times New Roman"/>
          <w:b/>
          <w:bCs/>
          <w:sz w:val="22"/>
          <w:szCs w:val="22"/>
        </w:rPr>
        <w:t xml:space="preserve">List of Figures</w:t>
      </w:r>
    </w:p>
    <w:p>
      <w:pPr>
        <w:spacing w:after="160" w:line="360"/>
        <w:jc w:val="both"/>
      </w:pPr>
      <w:r>
        <w:rPr>
          <w:rFonts w:ascii="Times New Roman" w:cs="Times New Roman" w:eastAsia="Times New Roman" w:hAnsi="Times New Roman"/>
          <w:b w:val="false"/>
          <w:bCs w:val="false"/>
          <w:sz w:val="22"/>
          <w:szCs w:val="22"/>
        </w:rPr>
        <w:t xml:space="preserve">Figure 1. Workflow Diagram............................................................................6</w:t>
      </w:r>
    </w:p>
    <w:p>
      <w:pPr>
        <w:spacing w:after="160" w:line="360"/>
        <w:jc w:val="both"/>
      </w:pPr>
      <w:r>
        <w:rPr>
          <w:rFonts w:ascii="Times New Roman" w:cs="Times New Roman" w:eastAsia="Times New Roman" w:hAnsi="Times New Roman"/>
          <w:b w:val="false"/>
          <w:bCs w:val="false"/>
          <w:sz w:val="22"/>
          <w:szCs w:val="22"/>
        </w:rPr>
        <w:t xml:space="preserve">Figure 2. System Architecture Diagram.................................................................6</w:t>
      </w:r>
    </w:p>
    <w:p>
      <w:pPr>
        <w:spacing w:after="160" w:line="360"/>
        <w:jc w:val="both"/>
      </w:pPr>
      <w:r>
        <w:rPr>
          <w:rFonts w:ascii="Times New Roman" w:cs="Times New Roman" w:eastAsia="Times New Roman" w:hAnsi="Times New Roman"/>
          <w:b w:val="false"/>
          <w:bCs w:val="false"/>
          <w:sz w:val="22"/>
          <w:szCs w:val="22"/>
        </w:rPr>
        <w:t xml:space="preserve">Figure 3. Gantt Chart.................................................................................6</w:t>
      </w:r>
    </w:p>
    <w:p>
      <w:r>
        <w:br w:type="page"/>
      </w:r>
    </w:p>
    <w:p>
      <w:pPr>
        <w:pStyle w:val="Heading1"/>
        <w:spacing w:before="280" w:after="140"/>
      </w:pPr>
      <w:r>
        <w:rPr>
          <w:rFonts w:ascii="Times New Roman" w:cs="Times New Roman" w:eastAsia="Times New Roman" w:hAnsi="Times New Roman"/>
          <w:b/>
          <w:bCs/>
          <w:color w:val="000000"/>
          <w:sz w:val="28"/>
          <w:szCs w:val="28"/>
        </w:rPr>
        <w:t xml:space="preserve">Statement of the Proposal</w:t>
      </w:r>
    </w:p>
    <w:p>
      <w:pPr>
        <w:spacing w:after="60"/>
      </w:pPr>
      <w:r>
        <w:rPr>
          <w:rFonts w:ascii="Times New Roman" w:cs="Times New Roman" w:eastAsia="Times New Roman" w:hAnsi="Times New Roman"/>
        </w:rPr>
        <w:t xml:space="preserve"/>
      </w:r>
    </w:p>
    <w:p>
      <w:pPr>
        <w:pStyle w:val="Heading2"/>
        <w:spacing w:before="200" w:after="100"/>
      </w:pPr>
      <w:r>
        <w:rPr>
          <w:rFonts w:ascii="Times New Roman" w:cs="Times New Roman" w:eastAsia="Times New Roman" w:hAnsi="Times New Roman"/>
          <w:b/>
          <w:bCs/>
          <w:color w:val="000000"/>
          <w:sz w:val="24"/>
          <w:szCs w:val="24"/>
          <w:u w:val="single"/>
        </w:rPr>
        <w:t xml:space="preserve">Problem Statement</w:t>
      </w:r>
    </w:p>
    <w:p>
      <w:pPr>
        <w:spacing w:after="160" w:line="360"/>
        <w:jc w:val="both"/>
      </w:pPr>
      <w:r>
        <w:rPr>
          <w:rFonts w:ascii="Times New Roman" w:cs="Times New Roman" w:eastAsia="Times New Roman" w:hAnsi="Times New Roman"/>
          <w:b w:val="false"/>
          <w:bCs w:val="false"/>
          <w:sz w:val="22"/>
          <w:szCs w:val="22"/>
        </w:rPr>
        <w:t xml:space="preserve">Cryptocurrency markets operate 24 hours a day, 7 days a week, with rapid price fluctuations across hundreds of trading pairs globally. Most traders and students who wish to understand the functioning of a live crypto exchange interface rely on proprietary, subscription-based platforms such as Binance, Kraken, or Coinbase Pro. These platforms are inaccessible for academic study and offline exploration.</w:t>
      </w:r>
    </w:p>
    <w:p>
      <w:pPr>
        <w:spacing w:after="160" w:line="360"/>
        <w:jc w:val="both"/>
      </w:pPr>
      <w:r>
        <w:rPr>
          <w:rFonts w:ascii="Times New Roman" w:cs="Times New Roman" w:eastAsia="Times New Roman" w:hAnsi="Times New Roman"/>
          <w:b w:val="false"/>
          <w:bCs w:val="false"/>
          <w:sz w:val="22"/>
          <w:szCs w:val="22"/>
        </w:rPr>
        <w:t xml:space="preserve">There is a clear need for an open, self-contained, browser-based trading terminal that demonstrates how real-time financial data is structured, rendered, and interacted with — without requiring any server infrastructure, API subscriptions, or software installation. NEXUS addresses this gap by delivering a fully functional, simulated trading dashboard within a single HTML file.</w:t>
      </w:r>
    </w:p>
    <w:p>
      <w:pPr>
        <w:spacing w:after="80"/>
      </w:pPr>
      <w:r>
        <w:rPr>
          <w:rFonts w:ascii="Times New Roman" w:cs="Times New Roman" w:eastAsia="Times New Roman" w:hAnsi="Times New Roman"/>
        </w:rPr>
        <w:t xml:space="preserve"/>
      </w:r>
    </w:p>
    <w:p>
      <w:pPr>
        <w:pStyle w:val="Heading2"/>
        <w:spacing w:before="200" w:after="100"/>
      </w:pPr>
      <w:r>
        <w:rPr>
          <w:rFonts w:ascii="Times New Roman" w:cs="Times New Roman" w:eastAsia="Times New Roman" w:hAnsi="Times New Roman"/>
          <w:b/>
          <w:bCs/>
          <w:color w:val="000000"/>
          <w:sz w:val="24"/>
          <w:szCs w:val="24"/>
          <w:u w:val="single"/>
        </w:rPr>
        <w:t xml:space="preserve">Background</w:t>
      </w:r>
    </w:p>
    <w:p>
      <w:pPr>
        <w:spacing w:after="160" w:line="360"/>
        <w:jc w:val="both"/>
      </w:pPr>
      <w:r>
        <w:rPr>
          <w:rFonts w:ascii="Times New Roman" w:cs="Times New Roman" w:eastAsia="Times New Roman" w:hAnsi="Times New Roman"/>
          <w:b w:val="false"/>
          <w:bCs w:val="false"/>
          <w:sz w:val="22"/>
          <w:szCs w:val="22"/>
        </w:rPr>
        <w:t xml:space="preserve">Professional cryptocurrency trading platforms present traders with a multi-panel interface that simultaneously displays live price charts, order book depth, trade history, portfolio balances, and market news. These dashboards are built using charting libraries (TradingView, Chart.js), WebSocket-driven live data streams, and complex frontend architectures that often involve React, Vue, or Angular frameworks.</w:t>
      </w:r>
    </w:p>
    <w:p>
      <w:pPr>
        <w:spacing w:after="160" w:line="360"/>
        <w:jc w:val="both"/>
      </w:pPr>
      <w:r>
        <w:rPr>
          <w:rFonts w:ascii="Times New Roman" w:cs="Times New Roman" w:eastAsia="Times New Roman" w:hAnsi="Times New Roman"/>
          <w:b w:val="false"/>
          <w:bCs w:val="false"/>
          <w:sz w:val="22"/>
          <w:szCs w:val="22"/>
        </w:rPr>
        <w:t xml:space="preserve">For academic and portfolio purposes, replicating the core UI behaviour and layout of these platforms using only vanilla web technologies (HTML, CSS, JavaScript) demonstrates a strong command of frontend engineering fundamentals — including CSS Grid layout, the DOM API, event-driven programming, and third-party library integration. NEXUS is designed as precisely such an academic prototype, simulating price movements using a random walk algorithm and rendering all data dynamically through JavaScript.</w:t>
      </w:r>
    </w:p>
    <w:p>
      <w:pPr>
        <w:spacing w:after="80"/>
      </w:pPr>
      <w:r>
        <w:rPr>
          <w:rFonts w:ascii="Times New Roman" w:cs="Times New Roman" w:eastAsia="Times New Roman" w:hAnsi="Times New Roman"/>
        </w:rPr>
        <w:t xml:space="preserve"/>
      </w:r>
    </w:p>
    <w:p>
      <w:pPr>
        <w:pStyle w:val="Heading2"/>
        <w:spacing w:before="200" w:after="100"/>
      </w:pPr>
      <w:r>
        <w:rPr>
          <w:rFonts w:ascii="Times New Roman" w:cs="Times New Roman" w:eastAsia="Times New Roman" w:hAnsi="Times New Roman"/>
          <w:b/>
          <w:bCs/>
          <w:color w:val="000000"/>
          <w:sz w:val="24"/>
          <w:szCs w:val="24"/>
          <w:u w:val="single"/>
        </w:rPr>
        <w:t xml:space="preserve">Motivation / Need for the Research</w:t>
      </w:r>
    </w:p>
    <w:p>
      <w:pPr>
        <w:spacing w:after="160" w:line="360"/>
        <w:jc w:val="both"/>
      </w:pPr>
      <w:r>
        <w:rPr>
          <w:rFonts w:ascii="Times New Roman" w:cs="Times New Roman" w:eastAsia="Times New Roman" w:hAnsi="Times New Roman"/>
          <w:b w:val="false"/>
          <w:bCs w:val="false"/>
          <w:sz w:val="22"/>
          <w:szCs w:val="22"/>
        </w:rPr>
        <w:t xml:space="preserve">The motivation behind NEXUS is to bridge the gap between the theoretical study of web development (as covered in the Web Technology subject) and the practical implementation of a realistic, professional-grade application. The project addresses the following specific needs:</w:t>
      </w:r>
    </w:p>
    <w:p>
      <w:pPr>
        <w:pStyle w:val="ListParagraph"/>
        <w:numPr>
          <w:ilvl w:val="0"/>
          <w:numId w:val="2"/>
        </w:numPr>
        <w:spacing w:after="100" w:line="340"/>
      </w:pPr>
      <w:r>
        <w:rPr>
          <w:rFonts w:ascii="Times New Roman" w:cs="Times New Roman" w:eastAsia="Times New Roman" w:hAnsi="Times New Roman"/>
          <w:sz w:val="22"/>
          <w:szCs w:val="22"/>
        </w:rPr>
        <w:t xml:space="preserve">A portable, single-file trading terminal that works offline in any modern browser without installation.</w:t>
      </w:r>
    </w:p>
    <w:p>
      <w:pPr>
        <w:pStyle w:val="ListParagraph"/>
        <w:numPr>
          <w:ilvl w:val="0"/>
          <w:numId w:val="2"/>
        </w:numPr>
        <w:spacing w:after="100" w:line="340"/>
      </w:pPr>
      <w:r>
        <w:rPr>
          <w:rFonts w:ascii="Times New Roman" w:cs="Times New Roman" w:eastAsia="Times New Roman" w:hAnsi="Times New Roman"/>
          <w:sz w:val="22"/>
          <w:szCs w:val="22"/>
        </w:rPr>
        <w:t xml:space="preserve">A practical demonstration of Chart.js data visualisation, CSS Grid layout, and DOM-driven live simulation.</w:t>
      </w:r>
    </w:p>
    <w:p>
      <w:pPr>
        <w:pStyle w:val="ListParagraph"/>
        <w:numPr>
          <w:ilvl w:val="0"/>
          <w:numId w:val="2"/>
        </w:numPr>
        <w:spacing w:after="100" w:line="340"/>
      </w:pPr>
      <w:r>
        <w:rPr>
          <w:rFonts w:ascii="Times New Roman" w:cs="Times New Roman" w:eastAsia="Times New Roman" w:hAnsi="Times New Roman"/>
          <w:sz w:val="22"/>
          <w:szCs w:val="22"/>
        </w:rPr>
        <w:t xml:space="preserve">An interface that mirrors real-world FinTech UI patterns, suitable for academic portfolio submission.</w:t>
      </w:r>
    </w:p>
    <w:p>
      <w:pPr>
        <w:pStyle w:val="ListParagraph"/>
        <w:numPr>
          <w:ilvl w:val="0"/>
          <w:numId w:val="2"/>
        </w:numPr>
        <w:spacing w:after="100" w:line="340"/>
      </w:pPr>
      <w:r>
        <w:rPr>
          <w:rFonts w:ascii="Times New Roman" w:cs="Times New Roman" w:eastAsia="Times New Roman" w:hAnsi="Times New Roman"/>
          <w:sz w:val="22"/>
          <w:szCs w:val="22"/>
        </w:rPr>
        <w:t xml:space="preserve">An accessible, open reference for students studying frontend development or financial software engineering.</w:t>
      </w:r>
    </w:p>
    <w:p>
      <w:pPr>
        <w:pStyle w:val="ListParagraph"/>
        <w:numPr>
          <w:ilvl w:val="0"/>
          <w:numId w:val="2"/>
        </w:numPr>
        <w:spacing w:after="100" w:line="340"/>
      </w:pPr>
      <w:r>
        <w:rPr>
          <w:rFonts w:ascii="Times New Roman" w:cs="Times New Roman" w:eastAsia="Times New Roman" w:hAnsi="Times New Roman"/>
          <w:sz w:val="22"/>
          <w:szCs w:val="22"/>
        </w:rPr>
        <w:t xml:space="preserve">A demonstration of how complex, data-intensive UIs can be built without heavyweight frameworks.</w:t>
      </w:r>
    </w:p>
    <w:p>
      <w:pPr>
        <w:spacing w:after="80"/>
      </w:pPr>
      <w:r>
        <w:rPr>
          <w:rFonts w:ascii="Times New Roman" w:cs="Times New Roman" w:eastAsia="Times New Roman" w:hAnsi="Times New Roman"/>
        </w:rPr>
        <w:t xml:space="preserve"/>
      </w:r>
    </w:p>
    <w:p>
      <w:pPr>
        <w:pStyle w:val="Heading2"/>
        <w:spacing w:before="200" w:after="100"/>
      </w:pPr>
      <w:r>
        <w:rPr>
          <w:rFonts w:ascii="Times New Roman" w:cs="Times New Roman" w:eastAsia="Times New Roman" w:hAnsi="Times New Roman"/>
          <w:b/>
          <w:bCs/>
          <w:color w:val="000000"/>
          <w:sz w:val="24"/>
          <w:szCs w:val="24"/>
          <w:u w:val="single"/>
        </w:rPr>
        <w:t xml:space="preserve">Objective</w:t>
      </w:r>
    </w:p>
    <w:p>
      <w:pPr>
        <w:spacing w:after="160" w:line="360"/>
        <w:jc w:val="both"/>
      </w:pPr>
      <w:r>
        <w:rPr>
          <w:rFonts w:ascii="Times New Roman" w:cs="Times New Roman" w:eastAsia="Times New Roman" w:hAnsi="Times New Roman"/>
          <w:b w:val="false"/>
          <w:bCs w:val="false"/>
          <w:sz w:val="22"/>
          <w:szCs w:val="22"/>
        </w:rPr>
        <w:t xml:space="preserve">The primary objective of this project is to design and implement a fully functional, responsive, dark-themed crypto trading terminal using HTML5, CSS3, and vanilla JavaScript that achieves the following:</w:t>
      </w:r>
    </w:p>
    <w:p>
      <w:pPr>
        <w:pStyle w:val="ListParagraph"/>
        <w:numPr>
          <w:ilvl w:val="0"/>
          <w:numId w:val="2"/>
        </w:numPr>
        <w:spacing w:after="100" w:line="340"/>
      </w:pPr>
      <w:r>
        <w:rPr>
          <w:rFonts w:ascii="Times New Roman" w:cs="Times New Roman" w:eastAsia="Times New Roman" w:hAnsi="Times New Roman"/>
          <w:sz w:val="22"/>
          <w:szCs w:val="22"/>
        </w:rPr>
        <w:t xml:space="preserve">Displays a live-simulated price chart with volume bars, gradient fills, and interactive tooltips using Chart.js v4.4.1.</w:t>
      </w:r>
    </w:p>
    <w:p>
      <w:pPr>
        <w:pStyle w:val="ListParagraph"/>
        <w:numPr>
          <w:ilvl w:val="0"/>
          <w:numId w:val="2"/>
        </w:numPr>
        <w:spacing w:after="100" w:line="340"/>
      </w:pPr>
      <w:r>
        <w:rPr>
          <w:rFonts w:ascii="Times New Roman" w:cs="Times New Roman" w:eastAsia="Times New Roman" w:hAnsi="Times New Roman"/>
          <w:sz w:val="22"/>
          <w:szCs w:val="22"/>
        </w:rPr>
        <w:t xml:space="preserve">Renders a real-time 14-level order book with proportional depth visualisation bars on both bid and ask sides.</w:t>
      </w:r>
    </w:p>
    <w:p>
      <w:pPr>
        <w:pStyle w:val="ListParagraph"/>
        <w:numPr>
          <w:ilvl w:val="0"/>
          <w:numId w:val="2"/>
        </w:numPr>
        <w:spacing w:after="100" w:line="340"/>
      </w:pPr>
      <w:r>
        <w:rPr>
          <w:rFonts w:ascii="Times New Roman" w:cs="Times New Roman" w:eastAsia="Times New Roman" w:hAnsi="Times New Roman"/>
          <w:sz w:val="22"/>
          <w:szCs w:val="22"/>
        </w:rPr>
        <w:t xml:space="preserve">Tracks a multi-asset portfolio (BTC, ETH, SOL, BNB) with live P&amp;L calculations relative to average cost basis.</w:t>
      </w:r>
    </w:p>
    <w:p>
      <w:pPr>
        <w:pStyle w:val="ListParagraph"/>
        <w:numPr>
          <w:ilvl w:val="0"/>
          <w:numId w:val="2"/>
        </w:numPr>
        <w:spacing w:after="100" w:line="340"/>
      </w:pPr>
      <w:r>
        <w:rPr>
          <w:rFonts w:ascii="Times New Roman" w:cs="Times New Roman" w:eastAsia="Times New Roman" w:hAnsi="Times New Roman"/>
          <w:sz w:val="22"/>
          <w:szCs w:val="22"/>
        </w:rPr>
        <w:t xml:space="preserve">Provides an interactive buy/sell trade form with price, amount, and auto-calculated total fields and quick-fill buttons.</w:t>
      </w:r>
    </w:p>
    <w:p>
      <w:pPr>
        <w:pStyle w:val="ListParagraph"/>
        <w:numPr>
          <w:ilvl w:val="0"/>
          <w:numId w:val="2"/>
        </w:numPr>
        <w:spacing w:after="100" w:line="340"/>
      </w:pPr>
      <w:r>
        <w:rPr>
          <w:rFonts w:ascii="Times New Roman" w:cs="Times New Roman" w:eastAsia="Times New Roman" w:hAnsi="Times New Roman"/>
          <w:sz w:val="22"/>
          <w:szCs w:val="22"/>
        </w:rPr>
        <w:t xml:space="preserve">Displays a market news feed with source, relative timestamp, and bull/bear/neutral sentiment classification.</w:t>
      </w:r>
    </w:p>
    <w:p>
      <w:pPr>
        <w:pStyle w:val="ListParagraph"/>
        <w:numPr>
          <w:ilvl w:val="0"/>
          <w:numId w:val="2"/>
        </w:numPr>
        <w:spacing w:after="100" w:line="340"/>
      </w:pPr>
      <w:r>
        <w:rPr>
          <w:rFonts w:ascii="Times New Roman" w:cs="Times New Roman" w:eastAsia="Times New Roman" w:hAnsi="Times New Roman"/>
          <w:sz w:val="22"/>
          <w:szCs w:val="22"/>
        </w:rPr>
        <w:t xml:space="preserve">Simulates live price movements every 1,800 milliseconds across all five tracked coins using a random walk model.</w:t>
      </w:r>
    </w:p>
    <w:p>
      <w:pPr>
        <w:spacing w:after="80"/>
      </w:pPr>
      <w:r>
        <w:rPr>
          <w:rFonts w:ascii="Times New Roman" w:cs="Times New Roman" w:eastAsia="Times New Roman" w:hAnsi="Times New Roman"/>
        </w:rPr>
        <w:t xml:space="preserve"/>
      </w:r>
    </w:p>
    <w:p>
      <w:pPr>
        <w:pStyle w:val="Heading2"/>
        <w:spacing w:before="200" w:after="100"/>
      </w:pPr>
      <w:r>
        <w:rPr>
          <w:rFonts w:ascii="Times New Roman" w:cs="Times New Roman" w:eastAsia="Times New Roman" w:hAnsi="Times New Roman"/>
          <w:b/>
          <w:bCs/>
          <w:color w:val="000000"/>
          <w:sz w:val="24"/>
          <w:szCs w:val="24"/>
          <w:u w:val="single"/>
        </w:rPr>
        <w:t xml:space="preserve">Sub-Objectives</w:t>
      </w:r>
    </w:p>
    <w:p>
      <w:pPr>
        <w:pStyle w:val="ListParagraph"/>
        <w:numPr>
          <w:ilvl w:val="0"/>
          <w:numId w:val="2"/>
        </w:numPr>
        <w:spacing w:after="100" w:line="340"/>
      </w:pPr>
      <w:r>
        <w:rPr>
          <w:rFonts w:ascii="Times New Roman" w:cs="Times New Roman" w:eastAsia="Times New Roman" w:hAnsi="Times New Roman"/>
          <w:sz w:val="22"/>
          <w:szCs w:val="22"/>
        </w:rPr>
        <w:t xml:space="preserve">Implement a CSS Grid layout (1fr + 320px + 280px columns) that replicates the three-panel structure of professional exchange dashboards.</w:t>
      </w:r>
    </w:p>
    <w:p>
      <w:pPr>
        <w:pStyle w:val="ListParagraph"/>
        <w:numPr>
          <w:ilvl w:val="0"/>
          <w:numId w:val="2"/>
        </w:numPr>
        <w:spacing w:after="100" w:line="340"/>
      </w:pPr>
      <w:r>
        <w:rPr>
          <w:rFonts w:ascii="Times New Roman" w:cs="Times New Roman" w:eastAsia="Times New Roman" w:hAnsi="Times New Roman"/>
          <w:sz w:val="22"/>
          <w:szCs w:val="22"/>
        </w:rPr>
        <w:t xml:space="preserve">Build a modular JavaScript architecture where each UI panel has its own dedicated render function (buildChart, buildOrderBook, buildPortfolio, etc.).</w:t>
      </w:r>
    </w:p>
    <w:p>
      <w:pPr>
        <w:pStyle w:val="ListParagraph"/>
        <w:numPr>
          <w:ilvl w:val="0"/>
          <w:numId w:val="2"/>
        </w:numPr>
        <w:spacing w:after="100" w:line="340"/>
      </w:pPr>
      <w:r>
        <w:rPr>
          <w:rFonts w:ascii="Times New Roman" w:cs="Times New Roman" w:eastAsia="Times New Roman" w:hAnsi="Times New Roman"/>
          <w:sz w:val="22"/>
          <w:szCs w:val="22"/>
        </w:rPr>
        <w:t xml:space="preserve">Integrate Chart.js v4.4.1 for a mixed line/bar dataset chart with a custom dark tooltip theme and a gradient area fill.</w:t>
      </w:r>
    </w:p>
    <w:p>
      <w:pPr>
        <w:pStyle w:val="ListParagraph"/>
        <w:numPr>
          <w:ilvl w:val="0"/>
          <w:numId w:val="2"/>
        </w:numPr>
        <w:spacing w:after="100" w:line="340"/>
      </w:pPr>
      <w:r>
        <w:rPr>
          <w:rFonts w:ascii="Times New Roman" w:cs="Times New Roman" w:eastAsia="Times New Roman" w:hAnsi="Times New Roman"/>
          <w:sz w:val="22"/>
          <w:szCs w:val="22"/>
        </w:rPr>
        <w:t xml:space="preserve">Create a reusable CSS custom-property design system (20+ colour tokens) ensuring consistent theming across all components.</w:t>
      </w:r>
    </w:p>
    <w:p>
      <w:pPr>
        <w:pStyle w:val="ListParagraph"/>
        <w:numPr>
          <w:ilvl w:val="0"/>
          <w:numId w:val="2"/>
        </w:numPr>
        <w:spacing w:after="100" w:line="340"/>
      </w:pPr>
      <w:r>
        <w:rPr>
          <w:rFonts w:ascii="Times New Roman" w:cs="Times New Roman" w:eastAsia="Times New Roman" w:hAnsi="Times New Roman"/>
          <w:sz w:val="22"/>
          <w:szCs w:val="22"/>
        </w:rPr>
        <w:t xml:space="preserve">Implement a ticker strip that allows users to switch the active trading pair and triggers simultaneous updates across all panels.</w:t>
      </w:r>
    </w:p>
    <w:p>
      <w:pPr>
        <w:pStyle w:val="ListParagraph"/>
        <w:numPr>
          <w:ilvl w:val="0"/>
          <w:numId w:val="2"/>
        </w:numPr>
        <w:spacing w:after="100" w:line="340"/>
      </w:pPr>
      <w:r>
        <w:rPr>
          <w:rFonts w:ascii="Times New Roman" w:cs="Times New Roman" w:eastAsia="Times New Roman" w:hAnsi="Times New Roman"/>
          <w:sz w:val="22"/>
          <w:szCs w:val="22"/>
        </w:rPr>
        <w:t xml:space="preserve">Design a sticky 44px topbar with live-pulsing status indicators and coin-change percentage badges.</w:t>
      </w:r>
    </w:p>
    <w:p>
      <w:pPr>
        <w:spacing w:after="80"/>
      </w:pPr>
      <w:r>
        <w:rPr>
          <w:rFonts w:ascii="Times New Roman" w:cs="Times New Roman" w:eastAsia="Times New Roman" w:hAnsi="Times New Roman"/>
        </w:rPr>
        <w:t xml:space="preserve"/>
      </w:r>
    </w:p>
    <w:p>
      <w:pPr>
        <w:pStyle w:val="Heading2"/>
        <w:spacing w:before="200" w:after="100"/>
      </w:pPr>
      <w:r>
        <w:rPr>
          <w:rFonts w:ascii="Times New Roman" w:cs="Times New Roman" w:eastAsia="Times New Roman" w:hAnsi="Times New Roman"/>
          <w:b/>
          <w:bCs/>
          <w:color w:val="000000"/>
          <w:sz w:val="24"/>
          <w:szCs w:val="24"/>
          <w:u w:val="single"/>
        </w:rPr>
        <w:t xml:space="preserve">Mode of Achieving Objective</w:t>
      </w:r>
    </w:p>
    <w:p>
      <w:pPr>
        <w:pStyle w:val="ListParagraph"/>
        <w:numPr>
          <w:ilvl w:val="0"/>
          <w:numId w:val="2"/>
        </w:numPr>
        <w:spacing w:after="100" w:line="340"/>
      </w:pPr>
      <w:r>
        <w:rPr>
          <w:rFonts w:ascii="Times New Roman" w:cs="Times New Roman" w:eastAsia="Times New Roman" w:hAnsi="Times New Roman"/>
          <w:sz w:val="22"/>
          <w:szCs w:val="22"/>
        </w:rPr>
        <w:t xml:space="preserve">Develop the complete UI inside a single HTML file using semantic HTML5 markup for all structural elements.</w:t>
      </w:r>
    </w:p>
    <w:p>
      <w:pPr>
        <w:pStyle w:val="ListParagraph"/>
        <w:numPr>
          <w:ilvl w:val="0"/>
          <w:numId w:val="2"/>
        </w:numPr>
        <w:spacing w:after="100" w:line="340"/>
      </w:pPr>
      <w:r>
        <w:rPr>
          <w:rFonts w:ascii="Times New Roman" w:cs="Times New Roman" w:eastAsia="Times New Roman" w:hAnsi="Times New Roman"/>
          <w:sz w:val="22"/>
          <w:szCs w:val="22"/>
        </w:rPr>
        <w:t xml:space="preserve">Apply CSS3 custom properties, Grid, and Flexbox exclusively — no CSS frameworks or preprocessors.</w:t>
      </w:r>
    </w:p>
    <w:p>
      <w:pPr>
        <w:pStyle w:val="ListParagraph"/>
        <w:numPr>
          <w:ilvl w:val="0"/>
          <w:numId w:val="2"/>
        </w:numPr>
        <w:spacing w:after="100" w:line="340"/>
      </w:pPr>
      <w:r>
        <w:rPr>
          <w:rFonts w:ascii="Times New Roman" w:cs="Times New Roman" w:eastAsia="Times New Roman" w:hAnsi="Times New Roman"/>
          <w:sz w:val="22"/>
          <w:szCs w:val="22"/>
        </w:rPr>
        <w:t xml:space="preserve">Write modular ES6+ JavaScript with named render functions, event listeners, and a central state array for coin data.</w:t>
      </w:r>
    </w:p>
    <w:p>
      <w:pPr>
        <w:pStyle w:val="ListParagraph"/>
        <w:numPr>
          <w:ilvl w:val="0"/>
          <w:numId w:val="2"/>
        </w:numPr>
        <w:spacing w:after="100" w:line="340"/>
      </w:pPr>
      <w:r>
        <w:rPr>
          <w:rFonts w:ascii="Times New Roman" w:cs="Times New Roman" w:eastAsia="Times New Roman" w:hAnsi="Times New Roman"/>
          <w:sz w:val="22"/>
          <w:szCs w:val="22"/>
        </w:rPr>
        <w:t xml:space="preserve">Load Chart.js (v4.4.1) and Google Fonts (Space Mono, DM Sans) via CDN links in the document head.</w:t>
      </w:r>
    </w:p>
    <w:p>
      <w:pPr>
        <w:pStyle w:val="ListParagraph"/>
        <w:numPr>
          <w:ilvl w:val="0"/>
          <w:numId w:val="2"/>
        </w:numPr>
        <w:spacing w:after="100" w:line="340"/>
      </w:pPr>
      <w:r>
        <w:rPr>
          <w:rFonts w:ascii="Times New Roman" w:cs="Times New Roman" w:eastAsia="Times New Roman" w:hAnsi="Times New Roman"/>
          <w:sz w:val="22"/>
          <w:szCs w:val="22"/>
        </w:rPr>
        <w:t xml:space="preserve">Simulate price ticks using JavaScript's native setInterval() function with a random-walk delta of ±0.08%.</w:t>
      </w:r>
    </w:p>
    <w:p>
      <w:pPr>
        <w:pStyle w:val="ListParagraph"/>
        <w:numPr>
          <w:ilvl w:val="0"/>
          <w:numId w:val="2"/>
        </w:numPr>
        <w:spacing w:after="100" w:line="340"/>
      </w:pPr>
      <w:r>
        <w:rPr>
          <w:rFonts w:ascii="Times New Roman" w:cs="Times New Roman" w:eastAsia="Times New Roman" w:hAnsi="Times New Roman"/>
          <w:sz w:val="22"/>
          <w:szCs w:val="22"/>
        </w:rPr>
        <w:t xml:space="preserve">Validate the output by testing the file across Chrome, Firefox, Edge, and Safari without any build tools.</w:t>
      </w:r>
    </w:p>
    <w:p>
      <w:r>
        <w:br w:type="page"/>
      </w:r>
    </w:p>
    <w:p>
      <w:pPr>
        <w:pStyle w:val="Heading1"/>
        <w:spacing w:before="280" w:after="140"/>
      </w:pPr>
      <w:r>
        <w:rPr>
          <w:rFonts w:ascii="Times New Roman" w:cs="Times New Roman" w:eastAsia="Times New Roman" w:hAnsi="Times New Roman"/>
          <w:b/>
          <w:bCs/>
          <w:color w:val="000000"/>
          <w:sz w:val="28"/>
          <w:szCs w:val="28"/>
        </w:rPr>
        <w:t xml:space="preserve">Proposed Methodology</w:t>
      </w:r>
    </w:p>
    <w:p>
      <w:pPr>
        <w:spacing w:after="60"/>
      </w:pPr>
      <w:r>
        <w:rPr>
          <w:rFonts w:ascii="Times New Roman" w:cs="Times New Roman" w:eastAsia="Times New Roman" w:hAnsi="Times New Roman"/>
        </w:rPr>
        <w:t xml:space="preserve"/>
      </w:r>
    </w:p>
    <w:p>
      <w:pPr>
        <w:pStyle w:val="Heading2"/>
        <w:spacing w:before="200" w:after="100"/>
      </w:pPr>
      <w:r>
        <w:rPr>
          <w:rFonts w:ascii="Times New Roman" w:cs="Times New Roman" w:eastAsia="Times New Roman" w:hAnsi="Times New Roman"/>
          <w:b/>
          <w:bCs/>
          <w:color w:val="000000"/>
          <w:sz w:val="24"/>
          <w:szCs w:val="24"/>
          <w:u w:val="single"/>
        </w:rPr>
        <w:t xml:space="preserve">Theoretical Framework — Explains the Model or Set of Theories Related to the Phenomenon Being Studied</w:t>
      </w:r>
    </w:p>
    <w:p>
      <w:pPr>
        <w:spacing w:after="160" w:line="360"/>
        <w:jc w:val="both"/>
      </w:pPr>
      <w:r>
        <w:rPr>
          <w:rFonts w:ascii="Times New Roman" w:cs="Times New Roman" w:eastAsia="Times New Roman" w:hAnsi="Times New Roman"/>
          <w:b w:val="false"/>
          <w:bCs w:val="false"/>
          <w:sz w:val="22"/>
          <w:szCs w:val="22"/>
        </w:rPr>
        <w:t xml:space="preserve">The NEXUS project draws on the following established theories and engineering patterns:</w:t>
      </w:r>
    </w:p>
    <w:p>
      <w:pPr>
        <w:spacing w:after="60"/>
      </w:pPr>
      <w:r>
        <w:rPr>
          <w:rFonts w:ascii="Times New Roman" w:cs="Times New Roman" w:eastAsia="Times New Roman" w:hAnsi="Times New Roman"/>
        </w:rPr>
        <w:t xml:space="preserve"/>
      </w:r>
    </w:p>
    <w:p>
      <w:pPr>
        <w:spacing w:after="160" w:line="360"/>
        <w:jc w:val="both"/>
      </w:pPr>
      <w:r>
        <w:rPr>
          <w:rFonts w:ascii="Times New Roman" w:cs="Times New Roman" w:eastAsia="Times New Roman" w:hAnsi="Times New Roman"/>
          <w:b/>
          <w:bCs/>
          <w:sz w:val="22"/>
          <w:szCs w:val="22"/>
        </w:rPr>
        <w:t xml:space="preserve">1.  Component-Based UI Architecture</w:t>
      </w:r>
    </w:p>
    <w:p>
      <w:pPr>
        <w:spacing w:after="160" w:line="360"/>
        <w:jc w:val="both"/>
      </w:pPr>
      <w:r>
        <w:rPr>
          <w:rFonts w:ascii="Times New Roman" w:cs="Times New Roman" w:eastAsia="Times New Roman" w:hAnsi="Times New Roman"/>
          <w:b w:val="false"/>
          <w:bCs w:val="false"/>
          <w:sz w:val="22"/>
          <w:szCs w:val="22"/>
        </w:rPr>
        <w:t xml:space="preserve">Each panel in the terminal (chart, order book, trade history, portfolio, news feed) is treated as an independent UI component with its own data structure, render function, and update lifecycle. This pattern mirrors the component model of React and Vue.js but is implemented entirely in vanilla JavaScript without a virtual DOM — demonstrating that the core architectural principle is language-agnostic.</w:t>
      </w:r>
    </w:p>
    <w:p>
      <w:pPr>
        <w:spacing w:after="60"/>
      </w:pPr>
      <w:r>
        <w:rPr>
          <w:rFonts w:ascii="Times New Roman" w:cs="Times New Roman" w:eastAsia="Times New Roman" w:hAnsi="Times New Roman"/>
        </w:rPr>
        <w:t xml:space="preserve"/>
      </w:r>
    </w:p>
    <w:p>
      <w:pPr>
        <w:spacing w:after="160" w:line="360"/>
        <w:jc w:val="both"/>
      </w:pPr>
      <w:r>
        <w:rPr>
          <w:rFonts w:ascii="Times New Roman" w:cs="Times New Roman" w:eastAsia="Times New Roman" w:hAnsi="Times New Roman"/>
          <w:b/>
          <w:bCs/>
          <w:sz w:val="22"/>
          <w:szCs w:val="22"/>
        </w:rPr>
        <w:t xml:space="preserve">2.  Random Walk Model for Price Simulation</w:t>
      </w:r>
    </w:p>
    <w:p>
      <w:pPr>
        <w:spacing w:after="160" w:line="360"/>
        <w:jc w:val="both"/>
      </w:pPr>
      <w:r>
        <w:rPr>
          <w:rFonts w:ascii="Times New Roman" w:cs="Times New Roman" w:eastAsia="Times New Roman" w:hAnsi="Times New Roman"/>
          <w:b w:val="false"/>
          <w:bCs w:val="false"/>
          <w:sz w:val="22"/>
          <w:szCs w:val="22"/>
        </w:rPr>
        <w:t xml:space="preserve">Each simulated price tick applies a small random delta drawn from a uniform distribution to the previous price, modelling Brownian motion. This is the same foundational statistical model used in the Black-Scholes option pricing formula. In NEXUS, the formula applied is: P(t) = P(t-1) × (1 + r) where r ~ Uniform(-0.0008, +0.0008).</w:t>
      </w:r>
    </w:p>
    <w:p>
      <w:pPr>
        <w:spacing w:after="60"/>
      </w:pPr>
      <w:r>
        <w:rPr>
          <w:rFonts w:ascii="Times New Roman" w:cs="Times New Roman" w:eastAsia="Times New Roman" w:hAnsi="Times New Roman"/>
        </w:rPr>
        <w:t xml:space="preserve"/>
      </w:r>
    </w:p>
    <w:p>
      <w:pPr>
        <w:spacing w:after="160" w:line="360"/>
        <w:jc w:val="both"/>
      </w:pPr>
      <w:r>
        <w:rPr>
          <w:rFonts w:ascii="Times New Roman" w:cs="Times New Roman" w:eastAsia="Times New Roman" w:hAnsi="Times New Roman"/>
          <w:b/>
          <w:bCs/>
          <w:sz w:val="22"/>
          <w:szCs w:val="22"/>
        </w:rPr>
        <w:t xml:space="preserve">3.  CSS Custom Property Design Token System</w:t>
      </w:r>
    </w:p>
    <w:p>
      <w:pPr>
        <w:spacing w:after="160" w:line="360"/>
        <w:jc w:val="both"/>
      </w:pPr>
      <w:r>
        <w:rPr>
          <w:rFonts w:ascii="Times New Roman" w:cs="Times New Roman" w:eastAsia="Times New Roman" w:hAnsi="Times New Roman"/>
          <w:b w:val="false"/>
          <w:bCs w:val="false"/>
          <w:sz w:val="22"/>
          <w:szCs w:val="22"/>
        </w:rPr>
        <w:t xml:space="preserve">All visual constants — colours, font stacks, spacing values — are defined as CSS custom properties (:root-level variables). This implements the “design token” pattern advocated by modern design systems such as Google Material Design and IBM Carbon. The approach decouples visual presentation from structural markup and enables future theming by overriding a single :root block.</w:t>
      </w:r>
    </w:p>
    <w:p>
      <w:pPr>
        <w:spacing w:after="60"/>
      </w:pPr>
      <w:r>
        <w:rPr>
          <w:rFonts w:ascii="Times New Roman" w:cs="Times New Roman" w:eastAsia="Times New Roman" w:hAnsi="Times New Roman"/>
        </w:rPr>
        <w:t xml:space="preserve"/>
      </w:r>
    </w:p>
    <w:p>
      <w:pPr>
        <w:spacing w:after="160" w:line="360"/>
        <w:jc w:val="both"/>
      </w:pPr>
      <w:r>
        <w:rPr>
          <w:rFonts w:ascii="Times New Roman" w:cs="Times New Roman" w:eastAsia="Times New Roman" w:hAnsi="Times New Roman"/>
          <w:b/>
          <w:bCs/>
          <w:sz w:val="22"/>
          <w:szCs w:val="22"/>
        </w:rPr>
        <w:t xml:space="preserve">4.  Event-Driven DOM Architecture</w:t>
      </w:r>
    </w:p>
    <w:p>
      <w:pPr>
        <w:spacing w:after="160" w:line="360"/>
        <w:jc w:val="both"/>
      </w:pPr>
      <w:r>
        <w:rPr>
          <w:rFonts w:ascii="Times New Roman" w:cs="Times New Roman" w:eastAsia="Times New Roman" w:hAnsi="Times New Roman"/>
          <w:b w:val="false"/>
          <w:bCs w:val="false"/>
          <w:sz w:val="22"/>
          <w:szCs w:val="22"/>
        </w:rPr>
        <w:t xml:space="preserve">User interactions (coin selection, timeframe switching, trade form input) are handled through JavaScript event listeners that call targeted render functions. This avoids global re-renders and reflects the unidirectional data flow pattern used in Flux/Redux state management architectures.</w:t>
      </w:r>
    </w:p>
    <w:p>
      <w:pPr>
        <w:spacing w:after="80"/>
      </w:pPr>
      <w:r>
        <w:rPr>
          <w:rFonts w:ascii="Times New Roman" w:cs="Times New Roman" w:eastAsia="Times New Roman" w:hAnsi="Times New Roman"/>
        </w:rPr>
        <w:t xml:space="preserve"/>
      </w:r>
    </w:p>
    <w:p>
      <w:pPr>
        <w:pStyle w:val="Heading2"/>
        <w:spacing w:before="200" w:after="100"/>
      </w:pPr>
      <w:r>
        <w:rPr>
          <w:rFonts w:ascii="Times New Roman" w:cs="Times New Roman" w:eastAsia="Times New Roman" w:hAnsi="Times New Roman"/>
          <w:b/>
          <w:bCs/>
          <w:color w:val="000000"/>
          <w:sz w:val="24"/>
          <w:szCs w:val="24"/>
          <w:u w:val="single"/>
        </w:rPr>
        <w:t xml:space="preserve">Sources of Data — Primary or Secondary Data</w:t>
      </w:r>
    </w:p>
    <w:p>
      <w:pPr>
        <w:spacing w:after="160" w:line="360"/>
        <w:jc w:val="both"/>
      </w:pPr>
      <w:r>
        <w:rPr>
          <w:rFonts w:ascii="Times New Roman" w:cs="Times New Roman" w:eastAsia="Times New Roman" w:hAnsi="Times New Roman"/>
          <w:b w:val="false"/>
          <w:bCs w:val="false"/>
          <w:sz w:val="22"/>
          <w:szCs w:val="22"/>
        </w:rPr>
        <w:t xml:space="preserve">This project uses exclusively simulated (synthetic) data generated at runtime by JavaScript functions. No external API calls, database queries, or data files are used. All five coin prices, order book depth levels, trade history entries, portfolio values, and news items are programmatically generated in-browser.</w:t>
      </w:r>
    </w:p>
    <w:p>
      <w:pPr>
        <w:spacing w:after="160" w:line="360"/>
        <w:jc w:val="both"/>
      </w:pPr>
      <w:r>
        <w:rPr>
          <w:rFonts w:ascii="Times New Roman" w:cs="Times New Roman" w:eastAsia="Times New Roman" w:hAnsi="Times New Roman"/>
          <w:b w:val="false"/>
          <w:bCs w:val="false"/>
          <w:sz w:val="22"/>
          <w:szCs w:val="22"/>
        </w:rPr>
        <w:t xml:space="preserve">Price data originates from hardcoded base values (BTC: $67,432.50; ETH: $3,512.80; SOL: $178.42; BNB: $598.10; XRP: $0.6124) and evolves over time via the random walk simulation. Order book levels are computed as offsets from the live mid-price. Portfolio P&amp;L is calculated against hardcoded average cost values.</w:t>
      </w:r>
    </w:p>
    <w:p>
      <w:pPr>
        <w:spacing w:after="80"/>
      </w:pPr>
      <w:r>
        <w:rPr>
          <w:rFonts w:ascii="Times New Roman" w:cs="Times New Roman" w:eastAsia="Times New Roman" w:hAnsi="Times New Roman"/>
        </w:rPr>
        <w:t xml:space="preserve"/>
      </w:r>
    </w:p>
    <w:p>
      <w:pPr>
        <w:pStyle w:val="Heading2"/>
        <w:spacing w:before="200" w:after="100"/>
      </w:pPr>
      <w:r>
        <w:rPr>
          <w:rFonts w:ascii="Times New Roman" w:cs="Times New Roman" w:eastAsia="Times New Roman" w:hAnsi="Times New Roman"/>
          <w:b/>
          <w:bCs/>
          <w:color w:val="000000"/>
          <w:sz w:val="24"/>
          <w:szCs w:val="24"/>
          <w:u w:val="single"/>
        </w:rPr>
        <w:t xml:space="preserve">Schematic Flow Diagram</w:t>
      </w:r>
    </w:p>
    <w:p>
      <w:pPr>
        <w:spacing w:before="80" w:after="140"/>
        <w:jc w:val="center"/>
      </w:pPr>
      <w:r>
        <w:rPr>
          <w:rFonts w:ascii="Times New Roman" w:cs="Times New Roman" w:eastAsia="Times New Roman" w:hAnsi="Times New Roman"/>
          <w:b/>
          <w:bCs/>
          <w:sz w:val="20"/>
          <w:szCs w:val="20"/>
        </w:rPr>
        <w:t xml:space="preserve">Figure 1. Workflow Diagram — Clarity on Developing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0000" w:sz="6"/>
              <w:left w:val="single" w:color="000000" w:sz="6"/>
              <w:bottom w:val="single" w:color="000000" w:sz="6"/>
              <w:right w:val="single" w:color="000000" w:sz="6"/>
            </w:tcBorders>
            <w:shd w:fill="D9EAD3" w:val="clear"/>
            <w:tcMar>
              <w:top w:type="dxa" w:w="100"/>
              <w:left w:type="dxa" w:w="140"/>
              <w:bottom w:type="dxa" w:w="100"/>
              <w:right w:type="dxa" w:w="140"/>
            </w:tcMar>
            <w:vAlign w:val="center"/>
          </w:tcPr>
          <w:p>
            <w:pPr>
              <w:spacing w:after="0"/>
              <w:jc w:val="center"/>
            </w:pPr>
            <w:r>
              <w:rPr>
                <w:rFonts w:ascii="Times New Roman" w:cs="Times New Roman" w:eastAsia="Times New Roman" w:hAnsi="Times New Roman"/>
                <w:b/>
                <w:bCs/>
                <w:sz w:val="22"/>
                <w:szCs w:val="22"/>
              </w:rPr>
              <w:t xml:space="preserve">Step 1: User Opens HTML File in Browser</w:t>
            </w:r>
          </w:p>
        </w:tc>
        <w:tc>
          <w:tcPr>
            <w:tcW w:type="dxa" w:w="312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
            </w:r>
          </w:p>
        </w:tc>
        <w:tc>
          <w:tcPr>
            <w:tcW w:type="dxa" w:w="312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
            </w:r>
          </w:p>
        </w:tc>
      </w:tr>
      <w:tr>
        <w:tc>
          <w:tcPr>
            <w:tcW w:type="dxa" w:w="312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center"/>
            </w:pPr>
            <w:r>
              <w:rPr>
                <w:rFonts w:ascii="Times New Roman" w:cs="Times New Roman" w:eastAsia="Times New Roman" w:hAnsi="Times New Roman"/>
                <w:b w:val="false"/>
                <w:bCs w:val="false"/>
                <w:sz w:val="22"/>
                <w:szCs w:val="22"/>
              </w:rPr>
              <w:t xml:space="preserve">↓</w:t>
            </w:r>
          </w:p>
        </w:tc>
        <w:tc>
          <w:tcPr>
            <w:tcW w:type="dxa" w:w="312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
            </w:r>
          </w:p>
        </w:tc>
        <w:tc>
          <w:tcPr>
            <w:tcW w:type="dxa" w:w="312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
            </w:r>
          </w:p>
        </w:tc>
      </w:tr>
      <w:tr>
        <w:tc>
          <w:tcPr>
            <w:tcW w:type="dxa" w:w="3120"/>
            <w:tcBorders>
              <w:top w:val="single" w:color="000000" w:sz="6"/>
              <w:left w:val="single" w:color="000000" w:sz="6"/>
              <w:bottom w:val="single" w:color="000000" w:sz="6"/>
              <w:right w:val="single" w:color="000000" w:sz="6"/>
            </w:tcBorders>
            <w:shd w:fill="CFE2F3" w:val="clear"/>
            <w:tcMar>
              <w:top w:type="dxa" w:w="100"/>
              <w:left w:type="dxa" w:w="140"/>
              <w:bottom w:type="dxa" w:w="100"/>
              <w:right w:type="dxa" w:w="140"/>
            </w:tcMar>
            <w:vAlign w:val="center"/>
          </w:tcPr>
          <w:p>
            <w:pPr>
              <w:spacing w:after="0"/>
              <w:jc w:val="center"/>
            </w:pPr>
            <w:r>
              <w:rPr>
                <w:rFonts w:ascii="Times New Roman" w:cs="Times New Roman" w:eastAsia="Times New Roman" w:hAnsi="Times New Roman"/>
                <w:b/>
                <w:bCs/>
                <w:sz w:val="22"/>
                <w:szCs w:val="22"/>
              </w:rPr>
              <w:t xml:space="preserve">Step 2: JS State Initialised
(COINS, HOLDINGS, NEWS arrays defined)</w:t>
            </w:r>
          </w:p>
        </w:tc>
        <w:tc>
          <w:tcPr>
            <w:tcW w:type="dxa" w:w="312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
            </w:r>
          </w:p>
        </w:tc>
        <w:tc>
          <w:tcPr>
            <w:tcW w:type="dxa" w:w="312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
            </w:r>
          </w:p>
        </w:tc>
      </w:tr>
      <w:tr>
        <w:tc>
          <w:tcPr>
            <w:tcW w:type="dxa" w:w="312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center"/>
            </w:pPr>
            <w:r>
              <w:rPr>
                <w:rFonts w:ascii="Times New Roman" w:cs="Times New Roman" w:eastAsia="Times New Roman" w:hAnsi="Times New Roman"/>
                <w:b w:val="false"/>
                <w:bCs w:val="false"/>
                <w:sz w:val="22"/>
                <w:szCs w:val="22"/>
              </w:rPr>
              <w:t xml:space="preserve">↓</w:t>
            </w:r>
          </w:p>
        </w:tc>
        <w:tc>
          <w:tcPr>
            <w:tcW w:type="dxa" w:w="312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center"/>
            </w:pPr>
            <w:r>
              <w:rPr>
                <w:rFonts w:ascii="Times New Roman" w:cs="Times New Roman" w:eastAsia="Times New Roman" w:hAnsi="Times New Roman"/>
                <w:b w:val="false"/>
                <w:bCs w:val="false"/>
                <w:sz w:val="22"/>
                <w:szCs w:val="22"/>
              </w:rPr>
              <w:t xml:space="preserve">↓</w:t>
            </w:r>
          </w:p>
        </w:tc>
        <w:tc>
          <w:tcPr>
            <w:tcW w:type="dxa" w:w="312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center"/>
            </w:pPr>
            <w:r>
              <w:rPr>
                <w:rFonts w:ascii="Times New Roman" w:cs="Times New Roman" w:eastAsia="Times New Roman" w:hAnsi="Times New Roman"/>
                <w:b w:val="false"/>
                <w:bCs w:val="false"/>
                <w:sz w:val="22"/>
                <w:szCs w:val="22"/>
              </w:rPr>
              <w:t xml:space="preserve">↓</w:t>
            </w:r>
          </w:p>
        </w:tc>
      </w:tr>
      <w:tr>
        <w:tc>
          <w:tcPr>
            <w:tcW w:type="dxa" w:w="3120"/>
            <w:tcBorders>
              <w:top w:val="single" w:color="000000" w:sz="6"/>
              <w:left w:val="single" w:color="000000" w:sz="6"/>
              <w:bottom w:val="single" w:color="000000" w:sz="6"/>
              <w:right w:val="single" w:color="000000" w:sz="6"/>
            </w:tcBorders>
            <w:shd w:fill="FFF2CC" w:val="clear"/>
            <w:tcMar>
              <w:top w:type="dxa" w:w="100"/>
              <w:left w:type="dxa" w:w="140"/>
              <w:bottom w:type="dxa" w:w="100"/>
              <w:right w:type="dxa" w:w="140"/>
            </w:tcMar>
            <w:vAlign w:val="center"/>
          </w:tcPr>
          <w:p>
            <w:pPr>
              <w:spacing w:after="0"/>
              <w:jc w:val="center"/>
            </w:pPr>
            <w:r>
              <w:rPr>
                <w:rFonts w:ascii="Times New Roman" w:cs="Times New Roman" w:eastAsia="Times New Roman" w:hAnsi="Times New Roman"/>
                <w:b w:val="false"/>
                <w:bCs w:val="false"/>
                <w:sz w:val="22"/>
                <w:szCs w:val="22"/>
              </w:rPr>
              <w:t xml:space="preserve">Step 3a: buildChart()
Chart.js renders price line + volume bars</w:t>
            </w:r>
          </w:p>
        </w:tc>
        <w:tc>
          <w:tcPr>
            <w:tcW w:type="dxa" w:w="3120"/>
            <w:tcBorders>
              <w:top w:val="single" w:color="000000" w:sz="6"/>
              <w:left w:val="single" w:color="000000" w:sz="6"/>
              <w:bottom w:val="single" w:color="000000" w:sz="6"/>
              <w:right w:val="single" w:color="000000" w:sz="6"/>
            </w:tcBorders>
            <w:shd w:fill="FFF2CC" w:val="clear"/>
            <w:tcMar>
              <w:top w:type="dxa" w:w="100"/>
              <w:left w:type="dxa" w:w="140"/>
              <w:bottom w:type="dxa" w:w="100"/>
              <w:right w:type="dxa" w:w="140"/>
            </w:tcMar>
            <w:vAlign w:val="center"/>
          </w:tcPr>
          <w:p>
            <w:pPr>
              <w:spacing w:after="0"/>
              <w:jc w:val="center"/>
            </w:pPr>
            <w:r>
              <w:rPr>
                <w:rFonts w:ascii="Times New Roman" w:cs="Times New Roman" w:eastAsia="Times New Roman" w:hAnsi="Times New Roman"/>
                <w:b w:val="false"/>
                <w:bCs w:val="false"/>
                <w:sz w:val="22"/>
                <w:szCs w:val="22"/>
              </w:rPr>
              <w:t xml:space="preserve">Step 3b: buildOrderBook()
buildTrades()
buildTicker()</w:t>
            </w:r>
          </w:p>
        </w:tc>
        <w:tc>
          <w:tcPr>
            <w:tcW w:type="dxa" w:w="3120"/>
            <w:tcBorders>
              <w:top w:val="single" w:color="000000" w:sz="6"/>
              <w:left w:val="single" w:color="000000" w:sz="6"/>
              <w:bottom w:val="single" w:color="000000" w:sz="6"/>
              <w:right w:val="single" w:color="000000" w:sz="6"/>
            </w:tcBorders>
            <w:shd w:fill="FFF2CC" w:val="clear"/>
            <w:tcMar>
              <w:top w:type="dxa" w:w="100"/>
              <w:left w:type="dxa" w:w="140"/>
              <w:bottom w:type="dxa" w:w="100"/>
              <w:right w:type="dxa" w:w="140"/>
            </w:tcMar>
            <w:vAlign w:val="center"/>
          </w:tcPr>
          <w:p>
            <w:pPr>
              <w:spacing w:after="0"/>
              <w:jc w:val="center"/>
            </w:pPr>
            <w:r>
              <w:rPr>
                <w:rFonts w:ascii="Times New Roman" w:cs="Times New Roman" w:eastAsia="Times New Roman" w:hAnsi="Times New Roman"/>
                <w:b w:val="false"/>
                <w:bCs w:val="false"/>
                <w:sz w:val="22"/>
                <w:szCs w:val="22"/>
              </w:rPr>
              <w:t xml:space="preserve">Step 3c: buildPortfolio()
buildNews()
updateClock()</w:t>
            </w:r>
          </w:p>
        </w:tc>
      </w:tr>
      <w:tr>
        <w:tc>
          <w:tcPr>
            <w:tcW w:type="dxa" w:w="312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
            </w:r>
          </w:p>
        </w:tc>
        <w:tc>
          <w:tcPr>
            <w:tcW w:type="dxa" w:w="312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center"/>
            </w:pPr>
            <w:r>
              <w:rPr>
                <w:rFonts w:ascii="Times New Roman" w:cs="Times New Roman" w:eastAsia="Times New Roman" w:hAnsi="Times New Roman"/>
                <w:b w:val="false"/>
                <w:bCs w:val="false"/>
                <w:sz w:val="22"/>
                <w:szCs w:val="22"/>
              </w:rPr>
              <w:t xml:space="preserve">↓ setInterval fires every 1,800ms</w:t>
            </w:r>
          </w:p>
        </w:tc>
        <w:tc>
          <w:tcPr>
            <w:tcW w:type="dxa" w:w="312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
            </w:r>
          </w:p>
        </w:tc>
      </w:tr>
      <w:tr>
        <w:tc>
          <w:tcPr>
            <w:tcW w:type="dxa" w:w="3120"/>
            <w:tcBorders>
              <w:top w:val="single" w:color="000000" w:sz="6"/>
              <w:left w:val="single" w:color="000000" w:sz="6"/>
              <w:bottom w:val="single" w:color="000000" w:sz="6"/>
              <w:right w:val="single" w:color="000000" w:sz="6"/>
            </w:tcBorders>
            <w:shd w:fill="EAD1DC" w:val="clear"/>
            <w:tcMar>
              <w:top w:type="dxa" w:w="100"/>
              <w:left w:type="dxa" w:w="140"/>
              <w:bottom w:type="dxa" w:w="100"/>
              <w:right w:type="dxa" w:w="140"/>
            </w:tcMar>
            <w:vAlign w:val="center"/>
          </w:tcPr>
          <w:p>
            <w:pPr>
              <w:spacing w:after="0"/>
              <w:jc w:val="center"/>
            </w:pPr>
            <w:r>
              <w:rPr>
                <w:rFonts w:ascii="Times New Roman" w:cs="Times New Roman" w:eastAsia="Times New Roman" w:hAnsi="Times New Roman"/>
                <w:b w:val="false"/>
                <w:bCs w:val="false"/>
                <w:sz w:val="22"/>
                <w:szCs w:val="22"/>
              </w:rPr>
              <w:t xml:space="preserve">Step 5: User Interaction
(Coin switch, timeframe, trade form)</w:t>
            </w:r>
          </w:p>
        </w:tc>
        <w:tc>
          <w:tcPr>
            <w:tcW w:type="dxa" w:w="3120"/>
            <w:tcBorders>
              <w:top w:val="single" w:color="000000" w:sz="6"/>
              <w:left w:val="single" w:color="000000" w:sz="6"/>
              <w:bottom w:val="single" w:color="000000" w:sz="6"/>
              <w:right w:val="single" w:color="000000" w:sz="6"/>
            </w:tcBorders>
            <w:shd w:fill="F4CCCC" w:val="clear"/>
            <w:tcMar>
              <w:top w:type="dxa" w:w="100"/>
              <w:left w:type="dxa" w:w="140"/>
              <w:bottom w:type="dxa" w:w="100"/>
              <w:right w:type="dxa" w:w="140"/>
            </w:tcMar>
            <w:vAlign w:val="center"/>
          </w:tcPr>
          <w:p>
            <w:pPr>
              <w:spacing w:after="0"/>
              <w:jc w:val="center"/>
            </w:pPr>
            <w:r>
              <w:rPr>
                <w:rFonts w:ascii="Times New Roman" w:cs="Times New Roman" w:eastAsia="Times New Roman" w:hAnsi="Times New Roman"/>
                <w:b/>
                <w:bCs/>
                <w:sz w:val="22"/>
                <w:szCs w:val="22"/>
              </w:rPr>
              <w:t xml:space="preserve">Step 4: simulatePrices()
All panels re-render with updated values</w:t>
            </w:r>
          </w:p>
        </w:tc>
        <w:tc>
          <w:tcPr>
            <w:tcW w:type="dxa" w:w="312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
            </w:r>
          </w:p>
        </w:tc>
      </w:tr>
    </w:tbl>
    <w:p>
      <w:pPr>
        <w:spacing w:after="120"/>
      </w:pPr>
      <w:r>
        <w:rPr>
          <w:rFonts w:ascii="Times New Roman" w:cs="Times New Roman" w:eastAsia="Times New Roman" w:hAnsi="Times New Roman"/>
        </w:rPr>
        <w:t xml:space="preserve"/>
      </w:r>
    </w:p>
    <w:p>
      <w:pPr>
        <w:spacing w:before="80" w:after="140"/>
        <w:jc w:val="center"/>
      </w:pPr>
      <w:r>
        <w:rPr>
          <w:rFonts w:ascii="Times New Roman" w:cs="Times New Roman" w:eastAsia="Times New Roman" w:hAnsi="Times New Roman"/>
          <w:b/>
          <w:bCs/>
          <w:sz w:val="20"/>
          <w:szCs w:val="20"/>
        </w:rPr>
        <w:t xml:space="preserve">Figure 2. System Architecture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6"/>
              <w:left w:val="single" w:color="000000" w:sz="6"/>
              <w:bottom w:val="single" w:color="000000" w:sz="6"/>
              <w:right w:val="single" w:color="000000" w:sz="6"/>
            </w:tcBorders>
            <w:shd w:fill="DCE6F1" w:val="clear"/>
            <w:tcMar>
              <w:top w:type="dxa" w:w="100"/>
              <w:left w:type="dxa" w:w="140"/>
              <w:bottom w:type="dxa" w:w="100"/>
              <w:right w:type="dxa" w:w="140"/>
            </w:tcMar>
            <w:vAlign w:val="center"/>
          </w:tcPr>
          <w:p>
            <w:pPr>
              <w:spacing w:after="0"/>
              <w:jc w:val="left"/>
            </w:pPr>
            <w:r>
              <w:rPr>
                <w:rFonts w:ascii="Times New Roman" w:cs="Times New Roman" w:eastAsia="Times New Roman" w:hAnsi="Times New Roman"/>
                <w:b/>
                <w:bCs/>
                <w:sz w:val="22"/>
                <w:szCs w:val="22"/>
              </w:rPr>
              <w:t xml:space="preserve">LAYER</w:t>
            </w:r>
          </w:p>
        </w:tc>
        <w:tc>
          <w:tcPr>
            <w:tcW w:type="dxa" w:w="4680"/>
            <w:tcBorders>
              <w:top w:val="single" w:color="000000" w:sz="6"/>
              <w:left w:val="single" w:color="000000" w:sz="6"/>
              <w:bottom w:val="single" w:color="000000" w:sz="6"/>
              <w:right w:val="single" w:color="000000" w:sz="6"/>
            </w:tcBorders>
            <w:shd w:fill="DCE6F1" w:val="clear"/>
            <w:tcMar>
              <w:top w:type="dxa" w:w="100"/>
              <w:left w:type="dxa" w:w="140"/>
              <w:bottom w:type="dxa" w:w="100"/>
              <w:right w:type="dxa" w:w="140"/>
            </w:tcMar>
            <w:vAlign w:val="center"/>
          </w:tcPr>
          <w:p>
            <w:pPr>
              <w:spacing w:after="0"/>
              <w:jc w:val="left"/>
            </w:pPr>
            <w:r>
              <w:rPr>
                <w:rFonts w:ascii="Times New Roman" w:cs="Times New Roman" w:eastAsia="Times New Roman" w:hAnsi="Times New Roman"/>
                <w:b/>
                <w:bCs/>
                <w:sz w:val="22"/>
                <w:szCs w:val="22"/>
              </w:rPr>
              <w:t xml:space="preserve">COMPONENTS &amp; TECHNOLOGIES</w:t>
            </w:r>
          </w:p>
        </w:tc>
      </w:tr>
      <w:tr>
        <w:tc>
          <w:tcPr>
            <w:tcW w:type="dxa" w:w="468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bCs/>
                <w:sz w:val="22"/>
                <w:szCs w:val="22"/>
              </w:rPr>
              <w:t xml:space="preserve">Presentation Layer</w:t>
            </w:r>
          </w:p>
        </w:tc>
        <w:tc>
          <w:tcPr>
            <w:tcW w:type="dxa" w:w="468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HTML5 semantic markup — Topbar, Chart Panel, Order Book, Portfolio, News Feed</w:t>
            </w:r>
          </w:p>
        </w:tc>
      </w:tr>
      <w:tr>
        <w:tc>
          <w:tcPr>
            <w:tcW w:type="dxa" w:w="468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bCs/>
                <w:sz w:val="22"/>
                <w:szCs w:val="22"/>
              </w:rPr>
              <w:t xml:space="preserve">Styling Layer</w:t>
            </w:r>
          </w:p>
        </w:tc>
        <w:tc>
          <w:tcPr>
            <w:tcW w:type="dxa" w:w="468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CSS3 custom properties, Grid (1fr 320px 280px), Flexbox, @keyframes animations</w:t>
            </w:r>
          </w:p>
        </w:tc>
      </w:tr>
      <w:tr>
        <w:tc>
          <w:tcPr>
            <w:tcW w:type="dxa" w:w="468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bCs/>
                <w:sz w:val="22"/>
                <w:szCs w:val="22"/>
              </w:rPr>
              <w:t xml:space="preserve">Visualisation Layer</w:t>
            </w:r>
          </w:p>
        </w:tc>
        <w:tc>
          <w:tcPr>
            <w:tcW w:type="dxa" w:w="468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Chart.js 4.4.1 — mixed line/bar chart, gradient fill, dark custom tooltips</w:t>
            </w:r>
          </w:p>
        </w:tc>
      </w:tr>
      <w:tr>
        <w:tc>
          <w:tcPr>
            <w:tcW w:type="dxa" w:w="468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bCs/>
                <w:sz w:val="22"/>
                <w:szCs w:val="22"/>
              </w:rPr>
              <w:t xml:space="preserve">Application Logic</w:t>
            </w:r>
          </w:p>
        </w:tc>
        <w:tc>
          <w:tcPr>
            <w:tcW w:type="dxa" w:w="468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Vanilla JS ES6+ — modular render functions, event listeners, DOM updates</w:t>
            </w:r>
          </w:p>
        </w:tc>
      </w:tr>
      <w:tr>
        <w:tc>
          <w:tcPr>
            <w:tcW w:type="dxa" w:w="468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bCs/>
                <w:sz w:val="22"/>
                <w:szCs w:val="22"/>
              </w:rPr>
              <w:t xml:space="preserve">Simulation Layer</w:t>
            </w:r>
          </w:p>
        </w:tc>
        <w:tc>
          <w:tcPr>
            <w:tcW w:type="dxa" w:w="468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setInterval (1,800ms) — random walk price model, live trade stream injection</w:t>
            </w:r>
          </w:p>
        </w:tc>
      </w:tr>
      <w:tr>
        <w:tc>
          <w:tcPr>
            <w:tcW w:type="dxa" w:w="468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bCs/>
                <w:sz w:val="22"/>
                <w:szCs w:val="22"/>
              </w:rPr>
              <w:t xml:space="preserve">Typography Layer</w:t>
            </w:r>
          </w:p>
        </w:tc>
        <w:tc>
          <w:tcPr>
            <w:tcW w:type="dxa" w:w="468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Google Fonts CDN — Space Mono (terminal data labels), DM Sans (body text)</w:t>
            </w:r>
          </w:p>
        </w:tc>
      </w:tr>
    </w:tbl>
    <w:p>
      <w:pPr>
        <w:spacing w:after="120"/>
      </w:pPr>
      <w:r>
        <w:rPr>
          <w:rFonts w:ascii="Times New Roman" w:cs="Times New Roman" w:eastAsia="Times New Roman" w:hAnsi="Times New Roman"/>
        </w:rPr>
        <w:t xml:space="preserve"/>
      </w:r>
    </w:p>
    <w:p>
      <w:pPr>
        <w:spacing w:before="80" w:after="140"/>
        <w:jc w:val="center"/>
      </w:pPr>
      <w:r>
        <w:rPr>
          <w:rFonts w:ascii="Times New Roman" w:cs="Times New Roman" w:eastAsia="Times New Roman" w:hAnsi="Times New Roman"/>
          <w:b/>
          <w:bCs/>
          <w:sz w:val="20"/>
          <w:szCs w:val="20"/>
        </w:rPr>
        <w:t xml:space="preserve">Figure 3. Gantt Chart — Project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1200"/>
        <w:gridCol w:w="1200"/>
        <w:gridCol w:w="960"/>
      </w:tblGrid>
      <w:tr>
        <w:tc>
          <w:tcPr>
            <w:tcW w:type="dxa" w:w="2400"/>
            <w:tcBorders>
              <w:top w:val="single" w:color="000000" w:sz="6"/>
              <w:left w:val="single" w:color="000000" w:sz="6"/>
              <w:bottom w:val="single" w:color="000000" w:sz="6"/>
              <w:right w:val="single" w:color="000000" w:sz="6"/>
            </w:tcBorders>
            <w:shd w:fill="DCE6F1" w:val="clear"/>
            <w:tcMar>
              <w:top w:type="dxa" w:w="100"/>
              <w:left w:type="dxa" w:w="140"/>
              <w:bottom w:type="dxa" w:w="100"/>
              <w:right w:type="dxa" w:w="140"/>
            </w:tcMar>
            <w:vAlign w:val="center"/>
          </w:tcPr>
          <w:p>
            <w:pPr>
              <w:spacing w:after="0"/>
              <w:jc w:val="left"/>
            </w:pPr>
            <w:r>
              <w:rPr>
                <w:rFonts w:ascii="Times New Roman" w:cs="Times New Roman" w:eastAsia="Times New Roman" w:hAnsi="Times New Roman"/>
                <w:b/>
                <w:bCs/>
                <w:sz w:val="22"/>
                <w:szCs w:val="22"/>
              </w:rPr>
              <w:t xml:space="preserve">Activity / Week</w:t>
            </w:r>
          </w:p>
        </w:tc>
        <w:tc>
          <w:tcPr>
            <w:tcW w:type="dxa" w:w="1200"/>
            <w:tcBorders>
              <w:top w:val="single" w:color="000000" w:sz="6"/>
              <w:left w:val="single" w:color="000000" w:sz="6"/>
              <w:bottom w:val="single" w:color="000000" w:sz="6"/>
              <w:right w:val="single" w:color="000000" w:sz="6"/>
            </w:tcBorders>
            <w:shd w:fill="DCE6F1" w:val="clear"/>
            <w:tcMar>
              <w:top w:type="dxa" w:w="100"/>
              <w:left w:type="dxa" w:w="140"/>
              <w:bottom w:type="dxa" w:w="100"/>
              <w:right w:type="dxa" w:w="140"/>
            </w:tcMar>
            <w:vAlign w:val="center"/>
          </w:tcPr>
          <w:p>
            <w:pPr>
              <w:spacing w:after="0"/>
              <w:jc w:val="center"/>
            </w:pPr>
            <w:r>
              <w:rPr>
                <w:rFonts w:ascii="Times New Roman" w:cs="Times New Roman" w:eastAsia="Times New Roman" w:hAnsi="Times New Roman"/>
                <w:b/>
                <w:bCs/>
                <w:sz w:val="22"/>
                <w:szCs w:val="22"/>
              </w:rPr>
              <w:t xml:space="preserve">Week 1</w:t>
            </w:r>
          </w:p>
        </w:tc>
        <w:tc>
          <w:tcPr>
            <w:tcW w:type="dxa" w:w="1200"/>
            <w:tcBorders>
              <w:top w:val="single" w:color="000000" w:sz="6"/>
              <w:left w:val="single" w:color="000000" w:sz="6"/>
              <w:bottom w:val="single" w:color="000000" w:sz="6"/>
              <w:right w:val="single" w:color="000000" w:sz="6"/>
            </w:tcBorders>
            <w:shd w:fill="DCE6F1" w:val="clear"/>
            <w:tcMar>
              <w:top w:type="dxa" w:w="100"/>
              <w:left w:type="dxa" w:w="140"/>
              <w:bottom w:type="dxa" w:w="100"/>
              <w:right w:type="dxa" w:w="140"/>
            </w:tcMar>
            <w:vAlign w:val="center"/>
          </w:tcPr>
          <w:p>
            <w:pPr>
              <w:spacing w:after="0"/>
              <w:jc w:val="center"/>
            </w:pPr>
            <w:r>
              <w:rPr>
                <w:rFonts w:ascii="Times New Roman" w:cs="Times New Roman" w:eastAsia="Times New Roman" w:hAnsi="Times New Roman"/>
                <w:b/>
                <w:bCs/>
                <w:sz w:val="22"/>
                <w:szCs w:val="22"/>
              </w:rPr>
              <w:t xml:space="preserve">Week 2</w:t>
            </w:r>
          </w:p>
        </w:tc>
        <w:tc>
          <w:tcPr>
            <w:tcW w:type="dxa" w:w="1200"/>
            <w:tcBorders>
              <w:top w:val="single" w:color="000000" w:sz="6"/>
              <w:left w:val="single" w:color="000000" w:sz="6"/>
              <w:bottom w:val="single" w:color="000000" w:sz="6"/>
              <w:right w:val="single" w:color="000000" w:sz="6"/>
            </w:tcBorders>
            <w:shd w:fill="DCE6F1" w:val="clear"/>
            <w:tcMar>
              <w:top w:type="dxa" w:w="100"/>
              <w:left w:type="dxa" w:w="140"/>
              <w:bottom w:type="dxa" w:w="100"/>
              <w:right w:type="dxa" w:w="140"/>
            </w:tcMar>
            <w:vAlign w:val="center"/>
          </w:tcPr>
          <w:p>
            <w:pPr>
              <w:spacing w:after="0"/>
              <w:jc w:val="center"/>
            </w:pPr>
            <w:r>
              <w:rPr>
                <w:rFonts w:ascii="Times New Roman" w:cs="Times New Roman" w:eastAsia="Times New Roman" w:hAnsi="Times New Roman"/>
                <w:b/>
                <w:bCs/>
                <w:sz w:val="22"/>
                <w:szCs w:val="22"/>
              </w:rPr>
              <w:t xml:space="preserve">Week 3</w:t>
            </w:r>
          </w:p>
        </w:tc>
        <w:tc>
          <w:tcPr>
            <w:tcW w:type="dxa" w:w="1200"/>
            <w:tcBorders>
              <w:top w:val="single" w:color="000000" w:sz="6"/>
              <w:left w:val="single" w:color="000000" w:sz="6"/>
              <w:bottom w:val="single" w:color="000000" w:sz="6"/>
              <w:right w:val="single" w:color="000000" w:sz="6"/>
            </w:tcBorders>
            <w:shd w:fill="DCE6F1" w:val="clear"/>
            <w:tcMar>
              <w:top w:type="dxa" w:w="100"/>
              <w:left w:type="dxa" w:w="140"/>
              <w:bottom w:type="dxa" w:w="100"/>
              <w:right w:type="dxa" w:w="140"/>
            </w:tcMar>
            <w:vAlign w:val="center"/>
          </w:tcPr>
          <w:p>
            <w:pPr>
              <w:spacing w:after="0"/>
              <w:jc w:val="center"/>
            </w:pPr>
            <w:r>
              <w:rPr>
                <w:rFonts w:ascii="Times New Roman" w:cs="Times New Roman" w:eastAsia="Times New Roman" w:hAnsi="Times New Roman"/>
                <w:b/>
                <w:bCs/>
                <w:sz w:val="22"/>
                <w:szCs w:val="22"/>
              </w:rPr>
              <w:t xml:space="preserve">Week 4</w:t>
            </w:r>
          </w:p>
        </w:tc>
        <w:tc>
          <w:tcPr>
            <w:tcW w:type="dxa" w:w="1200"/>
            <w:tcBorders>
              <w:top w:val="single" w:color="000000" w:sz="6"/>
              <w:left w:val="single" w:color="000000" w:sz="6"/>
              <w:bottom w:val="single" w:color="000000" w:sz="6"/>
              <w:right w:val="single" w:color="000000" w:sz="6"/>
            </w:tcBorders>
            <w:shd w:fill="DCE6F1" w:val="clear"/>
            <w:tcMar>
              <w:top w:type="dxa" w:w="100"/>
              <w:left w:type="dxa" w:w="140"/>
              <w:bottom w:type="dxa" w:w="100"/>
              <w:right w:type="dxa" w:w="140"/>
            </w:tcMar>
            <w:vAlign w:val="center"/>
          </w:tcPr>
          <w:p>
            <w:pPr>
              <w:spacing w:after="0"/>
              <w:jc w:val="center"/>
            </w:pPr>
            <w:r>
              <w:rPr>
                <w:rFonts w:ascii="Times New Roman" w:cs="Times New Roman" w:eastAsia="Times New Roman" w:hAnsi="Times New Roman"/>
                <w:b/>
                <w:bCs/>
                <w:sz w:val="22"/>
                <w:szCs w:val="22"/>
              </w:rPr>
              <w:t xml:space="preserve">Week 5</w:t>
            </w:r>
          </w:p>
        </w:tc>
        <w:tc>
          <w:tcPr>
            <w:tcW w:type="dxa" w:w="960"/>
            <w:tcBorders>
              <w:top w:val="single" w:color="000000" w:sz="6"/>
              <w:left w:val="single" w:color="000000" w:sz="6"/>
              <w:bottom w:val="single" w:color="000000" w:sz="6"/>
              <w:right w:val="single" w:color="000000" w:sz="6"/>
            </w:tcBorders>
            <w:shd w:fill="DCE6F1" w:val="clear"/>
            <w:tcMar>
              <w:top w:type="dxa" w:w="100"/>
              <w:left w:type="dxa" w:w="140"/>
              <w:bottom w:type="dxa" w:w="100"/>
              <w:right w:type="dxa" w:w="140"/>
            </w:tcMar>
            <w:vAlign w:val="center"/>
          </w:tcPr>
          <w:p>
            <w:pPr>
              <w:spacing w:after="0"/>
              <w:jc w:val="center"/>
            </w:pPr>
            <w:r>
              <w:rPr>
                <w:rFonts w:ascii="Times New Roman" w:cs="Times New Roman" w:eastAsia="Times New Roman" w:hAnsi="Times New Roman"/>
                <w:b/>
                <w:bCs/>
                <w:sz w:val="22"/>
                <w:szCs w:val="22"/>
              </w:rPr>
              <w:t xml:space="preserve">Week 6</w:t>
            </w:r>
          </w:p>
        </w:tc>
      </w:tr>
      <w:tr>
        <w:tc>
          <w:tcPr>
            <w:tcW w:type="dxa" w:w="24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Literature Review &amp; Planning</w:t>
            </w:r>
          </w:p>
        </w:tc>
        <w:tc>
          <w:tcPr>
            <w:tcW w:type="dxa" w:w="1200"/>
            <w:tcBorders>
              <w:top w:val="single" w:color="000000" w:sz="6"/>
              <w:left w:val="single" w:color="000000" w:sz="6"/>
              <w:bottom w:val="single" w:color="000000" w:sz="6"/>
              <w:right w:val="single" w:color="000000" w:sz="6"/>
            </w:tcBorders>
            <w:shd w:fill="4472C4" w:val="clear"/>
            <w:tcMar>
              <w:top w:type="dxa" w:w="100"/>
              <w:left w:type="dxa" w:w="140"/>
              <w:bottom w:type="dxa" w:w="100"/>
              <w:right w:type="dxa" w:w="140"/>
            </w:tcMar>
            <w:vAlign w:val="center"/>
          </w:tcPr>
          <w:p>
            <w:pPr>
              <w:spacing w:after="0"/>
              <w:jc w:val="center"/>
            </w:pPr>
            <w:r>
              <w:rPr>
                <w:rFonts w:ascii="Times New Roman" w:cs="Times New Roman" w:eastAsia="Times New Roman" w:hAnsi="Times New Roman"/>
                <w:b w:val="false"/>
                <w:bCs w:val="false"/>
                <w:sz w:val="22"/>
                <w:szCs w:val="22"/>
              </w:rPr>
              <w:t xml:space="preserve">█</w:t>
            </w:r>
          </w:p>
        </w:tc>
        <w:tc>
          <w:tcPr>
            <w:tcW w:type="dxa" w:w="1200"/>
            <w:tcBorders>
              <w:top w:val="single" w:color="000000" w:sz="6"/>
              <w:left w:val="single" w:color="000000" w:sz="6"/>
              <w:bottom w:val="single" w:color="000000" w:sz="6"/>
              <w:right w:val="single" w:color="000000" w:sz="6"/>
            </w:tcBorders>
            <w:shd w:fill="4472C4" w:val="clear"/>
            <w:tcMar>
              <w:top w:type="dxa" w:w="100"/>
              <w:left w:type="dxa" w:w="140"/>
              <w:bottom w:type="dxa" w:w="100"/>
              <w:right w:type="dxa" w:w="140"/>
            </w:tcMar>
            <w:vAlign w:val="center"/>
          </w:tcPr>
          <w:p>
            <w:pPr>
              <w:spacing w:after="0"/>
              <w:jc w:val="center"/>
            </w:pPr>
            <w:r>
              <w:rPr>
                <w:rFonts w:ascii="Times New Roman" w:cs="Times New Roman" w:eastAsia="Times New Roman" w:hAnsi="Times New Roman"/>
                <w:b w:val="false"/>
                <w:bCs w:val="false"/>
                <w:sz w:val="22"/>
                <w:szCs w:val="22"/>
              </w:rPr>
              <w:t xml:space="preserve">█</w:t>
            </w:r>
          </w:p>
        </w:tc>
        <w:tc>
          <w:tcPr>
            <w:tcW w:type="dxa" w:w="12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
            </w:r>
          </w:p>
        </w:tc>
        <w:tc>
          <w:tcPr>
            <w:tcW w:type="dxa" w:w="12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
            </w:r>
          </w:p>
        </w:tc>
        <w:tc>
          <w:tcPr>
            <w:tcW w:type="dxa" w:w="12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
            </w:r>
          </w:p>
        </w:tc>
        <w:tc>
          <w:tcPr>
            <w:tcW w:type="dxa" w:w="96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
            </w:r>
          </w:p>
        </w:tc>
      </w:tr>
      <w:tr>
        <w:tc>
          <w:tcPr>
            <w:tcW w:type="dxa" w:w="24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HTML Structure &amp; CSS Layout</w:t>
            </w:r>
          </w:p>
        </w:tc>
        <w:tc>
          <w:tcPr>
            <w:tcW w:type="dxa" w:w="12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
            </w:r>
          </w:p>
        </w:tc>
        <w:tc>
          <w:tcPr>
            <w:tcW w:type="dxa" w:w="1200"/>
            <w:tcBorders>
              <w:top w:val="single" w:color="000000" w:sz="6"/>
              <w:left w:val="single" w:color="000000" w:sz="6"/>
              <w:bottom w:val="single" w:color="000000" w:sz="6"/>
              <w:right w:val="single" w:color="000000" w:sz="6"/>
            </w:tcBorders>
            <w:shd w:fill="70AD47" w:val="clear"/>
            <w:tcMar>
              <w:top w:type="dxa" w:w="100"/>
              <w:left w:type="dxa" w:w="140"/>
              <w:bottom w:type="dxa" w:w="100"/>
              <w:right w:type="dxa" w:w="140"/>
            </w:tcMar>
            <w:vAlign w:val="center"/>
          </w:tcPr>
          <w:p>
            <w:pPr>
              <w:spacing w:after="0"/>
              <w:jc w:val="center"/>
            </w:pPr>
            <w:r>
              <w:rPr>
                <w:rFonts w:ascii="Times New Roman" w:cs="Times New Roman" w:eastAsia="Times New Roman" w:hAnsi="Times New Roman"/>
                <w:b w:val="false"/>
                <w:bCs w:val="false"/>
                <w:sz w:val="22"/>
                <w:szCs w:val="22"/>
              </w:rPr>
              <w:t xml:space="preserve">█</w:t>
            </w:r>
          </w:p>
        </w:tc>
        <w:tc>
          <w:tcPr>
            <w:tcW w:type="dxa" w:w="1200"/>
            <w:tcBorders>
              <w:top w:val="single" w:color="000000" w:sz="6"/>
              <w:left w:val="single" w:color="000000" w:sz="6"/>
              <w:bottom w:val="single" w:color="000000" w:sz="6"/>
              <w:right w:val="single" w:color="000000" w:sz="6"/>
            </w:tcBorders>
            <w:shd w:fill="70AD47" w:val="clear"/>
            <w:tcMar>
              <w:top w:type="dxa" w:w="100"/>
              <w:left w:type="dxa" w:w="140"/>
              <w:bottom w:type="dxa" w:w="100"/>
              <w:right w:type="dxa" w:w="140"/>
            </w:tcMar>
            <w:vAlign w:val="center"/>
          </w:tcPr>
          <w:p>
            <w:pPr>
              <w:spacing w:after="0"/>
              <w:jc w:val="center"/>
            </w:pPr>
            <w:r>
              <w:rPr>
                <w:rFonts w:ascii="Times New Roman" w:cs="Times New Roman" w:eastAsia="Times New Roman" w:hAnsi="Times New Roman"/>
                <w:b w:val="false"/>
                <w:bCs w:val="false"/>
                <w:sz w:val="22"/>
                <w:szCs w:val="22"/>
              </w:rPr>
              <w:t xml:space="preserve">█</w:t>
            </w:r>
          </w:p>
        </w:tc>
        <w:tc>
          <w:tcPr>
            <w:tcW w:type="dxa" w:w="12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
            </w:r>
          </w:p>
        </w:tc>
        <w:tc>
          <w:tcPr>
            <w:tcW w:type="dxa" w:w="12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
            </w:r>
          </w:p>
        </w:tc>
        <w:tc>
          <w:tcPr>
            <w:tcW w:type="dxa" w:w="96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
            </w:r>
          </w:p>
        </w:tc>
      </w:tr>
      <w:tr>
        <w:tc>
          <w:tcPr>
            <w:tcW w:type="dxa" w:w="24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JavaScript Logic &amp; Simulation</w:t>
            </w:r>
          </w:p>
        </w:tc>
        <w:tc>
          <w:tcPr>
            <w:tcW w:type="dxa" w:w="12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
            </w:r>
          </w:p>
        </w:tc>
        <w:tc>
          <w:tcPr>
            <w:tcW w:type="dxa" w:w="12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
            </w:r>
          </w:p>
        </w:tc>
        <w:tc>
          <w:tcPr>
            <w:tcW w:type="dxa" w:w="1200"/>
            <w:tcBorders>
              <w:top w:val="single" w:color="000000" w:sz="6"/>
              <w:left w:val="single" w:color="000000" w:sz="6"/>
              <w:bottom w:val="single" w:color="000000" w:sz="6"/>
              <w:right w:val="single" w:color="000000" w:sz="6"/>
            </w:tcBorders>
            <w:shd w:fill="FFC000" w:val="clear"/>
            <w:tcMar>
              <w:top w:type="dxa" w:w="100"/>
              <w:left w:type="dxa" w:w="140"/>
              <w:bottom w:type="dxa" w:w="100"/>
              <w:right w:type="dxa" w:w="140"/>
            </w:tcMar>
            <w:vAlign w:val="center"/>
          </w:tcPr>
          <w:p>
            <w:pPr>
              <w:spacing w:after="0"/>
              <w:jc w:val="center"/>
            </w:pPr>
            <w:r>
              <w:rPr>
                <w:rFonts w:ascii="Times New Roman" w:cs="Times New Roman" w:eastAsia="Times New Roman" w:hAnsi="Times New Roman"/>
                <w:b w:val="false"/>
                <w:bCs w:val="false"/>
                <w:sz w:val="22"/>
                <w:szCs w:val="22"/>
              </w:rPr>
              <w:t xml:space="preserve">█</w:t>
            </w:r>
          </w:p>
        </w:tc>
        <w:tc>
          <w:tcPr>
            <w:tcW w:type="dxa" w:w="1200"/>
            <w:tcBorders>
              <w:top w:val="single" w:color="000000" w:sz="6"/>
              <w:left w:val="single" w:color="000000" w:sz="6"/>
              <w:bottom w:val="single" w:color="000000" w:sz="6"/>
              <w:right w:val="single" w:color="000000" w:sz="6"/>
            </w:tcBorders>
            <w:shd w:fill="FFC000" w:val="clear"/>
            <w:tcMar>
              <w:top w:type="dxa" w:w="100"/>
              <w:left w:type="dxa" w:w="140"/>
              <w:bottom w:type="dxa" w:w="100"/>
              <w:right w:type="dxa" w:w="140"/>
            </w:tcMar>
            <w:vAlign w:val="center"/>
          </w:tcPr>
          <w:p>
            <w:pPr>
              <w:spacing w:after="0"/>
              <w:jc w:val="center"/>
            </w:pPr>
            <w:r>
              <w:rPr>
                <w:rFonts w:ascii="Times New Roman" w:cs="Times New Roman" w:eastAsia="Times New Roman" w:hAnsi="Times New Roman"/>
                <w:b w:val="false"/>
                <w:bCs w:val="false"/>
                <w:sz w:val="22"/>
                <w:szCs w:val="22"/>
              </w:rPr>
              <w:t xml:space="preserve">█</w:t>
            </w:r>
          </w:p>
        </w:tc>
        <w:tc>
          <w:tcPr>
            <w:tcW w:type="dxa" w:w="12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
            </w:r>
          </w:p>
        </w:tc>
        <w:tc>
          <w:tcPr>
            <w:tcW w:type="dxa" w:w="96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
            </w:r>
          </w:p>
        </w:tc>
      </w:tr>
      <w:tr>
        <w:tc>
          <w:tcPr>
            <w:tcW w:type="dxa" w:w="24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Chart.js Integration &amp; Testing</w:t>
            </w:r>
          </w:p>
        </w:tc>
        <w:tc>
          <w:tcPr>
            <w:tcW w:type="dxa" w:w="12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
            </w:r>
          </w:p>
        </w:tc>
        <w:tc>
          <w:tcPr>
            <w:tcW w:type="dxa" w:w="12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
            </w:r>
          </w:p>
        </w:tc>
        <w:tc>
          <w:tcPr>
            <w:tcW w:type="dxa" w:w="12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
            </w:r>
          </w:p>
        </w:tc>
        <w:tc>
          <w:tcPr>
            <w:tcW w:type="dxa" w:w="1200"/>
            <w:tcBorders>
              <w:top w:val="single" w:color="000000" w:sz="6"/>
              <w:left w:val="single" w:color="000000" w:sz="6"/>
              <w:bottom w:val="single" w:color="000000" w:sz="6"/>
              <w:right w:val="single" w:color="000000" w:sz="6"/>
            </w:tcBorders>
            <w:shd w:fill="FF0000" w:val="clear"/>
            <w:tcMar>
              <w:top w:type="dxa" w:w="100"/>
              <w:left w:type="dxa" w:w="140"/>
              <w:bottom w:type="dxa" w:w="100"/>
              <w:right w:type="dxa" w:w="140"/>
            </w:tcMar>
            <w:vAlign w:val="center"/>
          </w:tcPr>
          <w:p>
            <w:pPr>
              <w:spacing w:after="0"/>
              <w:jc w:val="center"/>
            </w:pPr>
            <w:r>
              <w:rPr>
                <w:rFonts w:ascii="Times New Roman" w:cs="Times New Roman" w:eastAsia="Times New Roman" w:hAnsi="Times New Roman"/>
                <w:b w:val="false"/>
                <w:bCs w:val="false"/>
                <w:sz w:val="22"/>
                <w:szCs w:val="22"/>
              </w:rPr>
              <w:t xml:space="preserve">█</w:t>
            </w:r>
          </w:p>
        </w:tc>
        <w:tc>
          <w:tcPr>
            <w:tcW w:type="dxa" w:w="1200"/>
            <w:tcBorders>
              <w:top w:val="single" w:color="000000" w:sz="6"/>
              <w:left w:val="single" w:color="000000" w:sz="6"/>
              <w:bottom w:val="single" w:color="000000" w:sz="6"/>
              <w:right w:val="single" w:color="000000" w:sz="6"/>
            </w:tcBorders>
            <w:shd w:fill="FF0000" w:val="clear"/>
            <w:tcMar>
              <w:top w:type="dxa" w:w="100"/>
              <w:left w:type="dxa" w:w="140"/>
              <w:bottom w:type="dxa" w:w="100"/>
              <w:right w:type="dxa" w:w="140"/>
            </w:tcMar>
            <w:vAlign w:val="center"/>
          </w:tcPr>
          <w:p>
            <w:pPr>
              <w:spacing w:after="0"/>
              <w:jc w:val="center"/>
            </w:pPr>
            <w:r>
              <w:rPr>
                <w:rFonts w:ascii="Times New Roman" w:cs="Times New Roman" w:eastAsia="Times New Roman" w:hAnsi="Times New Roman"/>
                <w:b w:val="false"/>
                <w:bCs w:val="false"/>
                <w:sz w:val="22"/>
                <w:szCs w:val="22"/>
              </w:rPr>
              <w:t xml:space="preserve">█</w:t>
            </w:r>
          </w:p>
        </w:tc>
        <w:tc>
          <w:tcPr>
            <w:tcW w:type="dxa" w:w="96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
            </w:r>
          </w:p>
        </w:tc>
      </w:tr>
      <w:tr>
        <w:tc>
          <w:tcPr>
            <w:tcW w:type="dxa" w:w="24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Documentation &amp; Submission</w:t>
            </w:r>
          </w:p>
        </w:tc>
        <w:tc>
          <w:tcPr>
            <w:tcW w:type="dxa" w:w="12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
            </w:r>
          </w:p>
        </w:tc>
        <w:tc>
          <w:tcPr>
            <w:tcW w:type="dxa" w:w="12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
            </w:r>
          </w:p>
        </w:tc>
        <w:tc>
          <w:tcPr>
            <w:tcW w:type="dxa" w:w="12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
            </w:r>
          </w:p>
        </w:tc>
        <w:tc>
          <w:tcPr>
            <w:tcW w:type="dxa" w:w="12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
            </w:r>
          </w:p>
        </w:tc>
        <w:tc>
          <w:tcPr>
            <w:tcW w:type="dxa" w:w="1200"/>
            <w:tcBorders>
              <w:top w:val="single" w:color="000000" w:sz="6"/>
              <w:left w:val="single" w:color="000000" w:sz="6"/>
              <w:bottom w:val="single" w:color="000000" w:sz="6"/>
              <w:right w:val="single" w:color="000000" w:sz="6"/>
            </w:tcBorders>
            <w:shd w:fill="7030A0" w:val="clear"/>
            <w:tcMar>
              <w:top w:type="dxa" w:w="100"/>
              <w:left w:type="dxa" w:w="140"/>
              <w:bottom w:type="dxa" w:w="100"/>
              <w:right w:type="dxa" w:w="140"/>
            </w:tcMar>
            <w:vAlign w:val="center"/>
          </w:tcPr>
          <w:p>
            <w:pPr>
              <w:spacing w:after="0"/>
              <w:jc w:val="center"/>
            </w:pPr>
            <w:r>
              <w:rPr>
                <w:rFonts w:ascii="Times New Roman" w:cs="Times New Roman" w:eastAsia="Times New Roman" w:hAnsi="Times New Roman"/>
                <w:b w:val="false"/>
                <w:bCs w:val="false"/>
                <w:sz w:val="22"/>
                <w:szCs w:val="22"/>
              </w:rPr>
              <w:t xml:space="preserve">█</w:t>
            </w:r>
          </w:p>
        </w:tc>
        <w:tc>
          <w:tcPr>
            <w:tcW w:type="dxa" w:w="960"/>
            <w:tcBorders>
              <w:top w:val="single" w:color="000000" w:sz="6"/>
              <w:left w:val="single" w:color="000000" w:sz="6"/>
              <w:bottom w:val="single" w:color="000000" w:sz="6"/>
              <w:right w:val="single" w:color="000000" w:sz="6"/>
            </w:tcBorders>
            <w:shd w:fill="7030A0" w:val="clear"/>
            <w:tcMar>
              <w:top w:type="dxa" w:w="100"/>
              <w:left w:type="dxa" w:w="140"/>
              <w:bottom w:type="dxa" w:w="100"/>
              <w:right w:type="dxa" w:w="140"/>
            </w:tcMar>
            <w:vAlign w:val="center"/>
          </w:tcPr>
          <w:p>
            <w:pPr>
              <w:spacing w:after="0"/>
              <w:jc w:val="center"/>
            </w:pPr>
            <w:r>
              <w:rPr>
                <w:rFonts w:ascii="Times New Roman" w:cs="Times New Roman" w:eastAsia="Times New Roman" w:hAnsi="Times New Roman"/>
                <w:b w:val="false"/>
                <w:bCs w:val="false"/>
                <w:sz w:val="22"/>
                <w:szCs w:val="22"/>
              </w:rPr>
              <w:t xml:space="preserve">█</w:t>
            </w:r>
          </w:p>
        </w:tc>
      </w:tr>
    </w:tbl>
    <w:p>
      <w:pPr>
        <w:spacing w:after="120"/>
      </w:pPr>
      <w:r>
        <w:rPr>
          <w:rFonts w:ascii="Times New Roman" w:cs="Times New Roman" w:eastAsia="Times New Roman" w:hAnsi="Times New Roman"/>
        </w:rPr>
        <w:t xml:space="preserve"/>
      </w:r>
    </w:p>
    <w:p>
      <w:r>
        <w:br w:type="page"/>
      </w:r>
    </w:p>
    <w:p>
      <w:pPr>
        <w:pStyle w:val="Heading1"/>
        <w:spacing w:before="280" w:after="140"/>
      </w:pPr>
      <w:r>
        <w:rPr>
          <w:rFonts w:ascii="Times New Roman" w:cs="Times New Roman" w:eastAsia="Times New Roman" w:hAnsi="Times New Roman"/>
          <w:b/>
          <w:bCs/>
          <w:color w:val="000000"/>
          <w:sz w:val="28"/>
          <w:szCs w:val="28"/>
        </w:rPr>
        <w:t xml:space="preserve">Review of Literature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6"/>
              <w:left w:val="single" w:color="000000" w:sz="6"/>
              <w:bottom w:val="single" w:color="000000" w:sz="6"/>
              <w:right w:val="single" w:color="000000" w:sz="6"/>
            </w:tcBorders>
            <w:shd w:fill="DCE6F1" w:val="clear"/>
            <w:tcMar>
              <w:top w:type="dxa" w:w="100"/>
              <w:left w:type="dxa" w:w="140"/>
              <w:bottom w:type="dxa" w:w="100"/>
              <w:right w:type="dxa" w:w="140"/>
            </w:tcMar>
            <w:vAlign w:val="center"/>
          </w:tcPr>
          <w:p>
            <w:pPr>
              <w:spacing w:after="0"/>
              <w:jc w:val="left"/>
            </w:pPr>
            <w:r>
              <w:rPr>
                <w:rFonts w:ascii="Times New Roman" w:cs="Times New Roman" w:eastAsia="Times New Roman" w:hAnsi="Times New Roman"/>
                <w:b/>
                <w:bCs/>
                <w:sz w:val="22"/>
                <w:szCs w:val="22"/>
              </w:rPr>
              <w:t xml:space="preserve">Essential Literatures Reviewed</w:t>
            </w:r>
          </w:p>
        </w:tc>
        <w:tc>
          <w:tcPr>
            <w:tcW w:type="dxa" w:w="4680"/>
            <w:tcBorders>
              <w:top w:val="single" w:color="000000" w:sz="6"/>
              <w:left w:val="single" w:color="000000" w:sz="6"/>
              <w:bottom w:val="single" w:color="000000" w:sz="6"/>
              <w:right w:val="single" w:color="000000" w:sz="6"/>
            </w:tcBorders>
            <w:shd w:fill="DCE6F1" w:val="clear"/>
            <w:tcMar>
              <w:top w:type="dxa" w:w="100"/>
              <w:left w:type="dxa" w:w="140"/>
              <w:bottom w:type="dxa" w:w="100"/>
              <w:right w:type="dxa" w:w="140"/>
            </w:tcMar>
            <w:vAlign w:val="center"/>
          </w:tcPr>
          <w:p>
            <w:pPr>
              <w:spacing w:after="0"/>
              <w:jc w:val="left"/>
            </w:pPr>
            <w:r>
              <w:rPr>
                <w:rFonts w:ascii="Times New Roman" w:cs="Times New Roman" w:eastAsia="Times New Roman" w:hAnsi="Times New Roman"/>
                <w:b/>
                <w:bCs/>
                <w:sz w:val="22"/>
                <w:szCs w:val="22"/>
              </w:rPr>
              <w:t xml:space="preserve">Themes Drawn from the Literatures</w:t>
            </w:r>
          </w:p>
        </w:tc>
      </w:tr>
      <w:tr>
        <w:tc>
          <w:tcPr>
            <w:tcW w:type="dxa" w:w="468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Chart.js Official Documentation v4.4.1
(www.chartjs.org, 2024)</w:t>
            </w:r>
          </w:p>
        </w:tc>
        <w:tc>
          <w:tcPr>
            <w:tcW w:type="dxa" w:w="468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Mixed chart types (line + bar), dataset configuration, custom tooltip callbacks, responsive canvas behaviour, gradient fill using createLinearGradient(), and multi-axis scaling.</w:t>
            </w:r>
          </w:p>
        </w:tc>
      </w:tr>
      <w:tr>
        <w:tc>
          <w:tcPr>
            <w:tcW w:type="dxa" w:w="468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MDN Web Docs — CSS Grid Layout Module Level 1
(developer.mozilla.org, 2024)</w:t>
            </w:r>
          </w:p>
        </w:tc>
        <w:tc>
          <w:tcPr>
            <w:tcW w:type="dxa" w:w="468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Grid template column/row definitions, grid-row and grid-column spanning, auto and fixed track sizing, and gap properties for panel separation.</w:t>
            </w:r>
          </w:p>
        </w:tc>
      </w:tr>
      <w:tr>
        <w:tc>
          <w:tcPr>
            <w:tcW w:type="dxa" w:w="468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MDN Web Docs — Using CSS Custom Properties
(developer.mozilla.org, 2024)</w:t>
            </w:r>
          </w:p>
        </w:tc>
        <w:tc>
          <w:tcPr>
            <w:tcW w:type="dxa" w:w="468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Design token methodology, :root-level variable declaration, var() function usage, fallback values, and runtime theming through CSS inheritance.</w:t>
            </w:r>
          </w:p>
        </w:tc>
      </w:tr>
      <w:tr>
        <w:tc>
          <w:tcPr>
            <w:tcW w:type="dxa" w:w="468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Binance and Kraken Exchange Interface Observation
(Practical UI Study, 2024)</w:t>
            </w:r>
          </w:p>
        </w:tc>
        <w:tc>
          <w:tcPr>
            <w:tcW w:type="dxa" w:w="468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Professional exchange dashboard patterns: three-panel layout, green/red colour conventions for buy/sell, order book depth bar visualisation, ticker strip design, and real-time trade streaming.</w:t>
            </w:r>
          </w:p>
        </w:tc>
      </w:tr>
      <w:tr>
        <w:tc>
          <w:tcPr>
            <w:tcW w:type="dxa" w:w="468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Hull, J.C. — Options, Futures, and Other Derivatives, 10th Edition (Pearson, 2017)</w:t>
            </w:r>
          </w:p>
        </w:tc>
        <w:tc>
          <w:tcPr>
            <w:tcW w:type="dxa" w:w="468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Geometric Brownian motion model for asset price simulation, the Black-Scholes framework, and the mathematical basis of random walk price modelling used in the NEXUS simulation engine.</w:t>
            </w:r>
          </w:p>
        </w:tc>
      </w:tr>
      <w:tr>
        <w:tc>
          <w:tcPr>
            <w:tcW w:type="dxa" w:w="468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Simpson, K. — You Don't Know JS: ES6 &amp; Beyond (O'Reilly Media, 2016)</w:t>
            </w:r>
          </w:p>
        </w:tc>
        <w:tc>
          <w:tcPr>
            <w:tcW w:type="dxa" w:w="468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ES6+ features used in NEXUS including arrow functions, template literals, destructuring, const/let scoping, and modular function design patterns.</w:t>
            </w:r>
          </w:p>
        </w:tc>
      </w:tr>
    </w:tbl>
    <w:p>
      <w:pPr>
        <w:spacing w:after="160"/>
      </w:pPr>
      <w:r>
        <w:rPr>
          <w:rFonts w:ascii="Times New Roman" w:cs="Times New Roman" w:eastAsia="Times New Roman" w:hAnsi="Times New Roman"/>
        </w:rPr>
        <w:t xml:space="preserve"/>
      </w:r>
    </w:p>
    <w:p>
      <w:pPr>
        <w:pStyle w:val="Heading1"/>
        <w:spacing w:before="280" w:after="140"/>
      </w:pPr>
      <w:r>
        <w:rPr>
          <w:rFonts w:ascii="Times New Roman" w:cs="Times New Roman" w:eastAsia="Times New Roman" w:hAnsi="Times New Roman"/>
          <w:b/>
          <w:bCs/>
          <w:color w:val="000000"/>
          <w:sz w:val="28"/>
          <w:szCs w:val="28"/>
        </w:rPr>
        <w:t xml:space="preserve">Research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00"/>
        <w:gridCol w:w="2560"/>
      </w:tblGrid>
      <w:tr>
        <w:tc>
          <w:tcPr>
            <w:tcW w:type="dxa" w:w="2000"/>
            <w:tcBorders>
              <w:top w:val="single" w:color="000000" w:sz="6"/>
              <w:left w:val="single" w:color="000000" w:sz="6"/>
              <w:bottom w:val="single" w:color="000000" w:sz="6"/>
              <w:right w:val="single" w:color="000000" w:sz="6"/>
            </w:tcBorders>
            <w:shd w:fill="DCE6F1" w:val="clear"/>
            <w:tcMar>
              <w:top w:type="dxa" w:w="100"/>
              <w:left w:type="dxa" w:w="140"/>
              <w:bottom w:type="dxa" w:w="100"/>
              <w:right w:type="dxa" w:w="140"/>
            </w:tcMar>
            <w:vAlign w:val="center"/>
          </w:tcPr>
          <w:p>
            <w:pPr>
              <w:spacing w:after="0"/>
              <w:jc w:val="left"/>
            </w:pPr>
            <w:r>
              <w:rPr>
                <w:rFonts w:ascii="Times New Roman" w:cs="Times New Roman" w:eastAsia="Times New Roman" w:hAnsi="Times New Roman"/>
                <w:b/>
                <w:bCs/>
                <w:sz w:val="22"/>
                <w:szCs w:val="22"/>
              </w:rPr>
              <w:t xml:space="preserve">Essential Literatures Reviewed</w:t>
            </w:r>
          </w:p>
        </w:tc>
        <w:tc>
          <w:tcPr>
            <w:tcW w:type="dxa" w:w="2000"/>
            <w:tcBorders>
              <w:top w:val="single" w:color="000000" w:sz="6"/>
              <w:left w:val="single" w:color="000000" w:sz="6"/>
              <w:bottom w:val="single" w:color="000000" w:sz="6"/>
              <w:right w:val="single" w:color="000000" w:sz="6"/>
            </w:tcBorders>
            <w:shd w:fill="DCE6F1" w:val="clear"/>
            <w:tcMar>
              <w:top w:type="dxa" w:w="100"/>
              <w:left w:type="dxa" w:w="140"/>
              <w:bottom w:type="dxa" w:w="100"/>
              <w:right w:type="dxa" w:w="140"/>
            </w:tcMar>
            <w:vAlign w:val="center"/>
          </w:tcPr>
          <w:p>
            <w:pPr>
              <w:spacing w:after="0"/>
              <w:jc w:val="left"/>
            </w:pPr>
            <w:r>
              <w:rPr>
                <w:rFonts w:ascii="Times New Roman" w:cs="Times New Roman" w:eastAsia="Times New Roman" w:hAnsi="Times New Roman"/>
                <w:b/>
                <w:bCs/>
                <w:sz w:val="22"/>
                <w:szCs w:val="22"/>
              </w:rPr>
              <w:t xml:space="preserve">Themes Drawn from the Literatures</w:t>
            </w:r>
          </w:p>
        </w:tc>
        <w:tc>
          <w:tcPr>
            <w:tcW w:type="dxa" w:w="2800"/>
            <w:tcBorders>
              <w:top w:val="single" w:color="000000" w:sz="6"/>
              <w:left w:val="single" w:color="000000" w:sz="6"/>
              <w:bottom w:val="single" w:color="000000" w:sz="6"/>
              <w:right w:val="single" w:color="000000" w:sz="6"/>
            </w:tcBorders>
            <w:shd w:fill="DCE6F1" w:val="clear"/>
            <w:tcMar>
              <w:top w:type="dxa" w:w="100"/>
              <w:left w:type="dxa" w:w="140"/>
              <w:bottom w:type="dxa" w:w="100"/>
              <w:right w:type="dxa" w:w="140"/>
            </w:tcMar>
            <w:vAlign w:val="center"/>
          </w:tcPr>
          <w:p>
            <w:pPr>
              <w:spacing w:after="0"/>
              <w:jc w:val="left"/>
            </w:pPr>
            <w:r>
              <w:rPr>
                <w:rFonts w:ascii="Times New Roman" w:cs="Times New Roman" w:eastAsia="Times New Roman" w:hAnsi="Times New Roman"/>
                <w:b/>
                <w:bCs/>
                <w:sz w:val="22"/>
                <w:szCs w:val="22"/>
              </w:rPr>
              <w:t xml:space="preserve">Research Gaps (if any)</w:t>
            </w:r>
          </w:p>
        </w:tc>
        <w:tc>
          <w:tcPr>
            <w:tcW w:type="dxa" w:w="2560"/>
            <w:tcBorders>
              <w:top w:val="single" w:color="000000" w:sz="6"/>
              <w:left w:val="single" w:color="000000" w:sz="6"/>
              <w:bottom w:val="single" w:color="000000" w:sz="6"/>
              <w:right w:val="single" w:color="000000" w:sz="6"/>
            </w:tcBorders>
            <w:shd w:fill="DCE6F1" w:val="clear"/>
            <w:tcMar>
              <w:top w:type="dxa" w:w="100"/>
              <w:left w:type="dxa" w:w="140"/>
              <w:bottom w:type="dxa" w:w="100"/>
              <w:right w:type="dxa" w:w="140"/>
            </w:tcMar>
            <w:vAlign w:val="center"/>
          </w:tcPr>
          <w:p>
            <w:pPr>
              <w:spacing w:after="0"/>
              <w:jc w:val="left"/>
            </w:pPr>
            <w:r>
              <w:rPr>
                <w:rFonts w:ascii="Times New Roman" w:cs="Times New Roman" w:eastAsia="Times New Roman" w:hAnsi="Times New Roman"/>
                <w:b/>
                <w:bCs/>
                <w:sz w:val="22"/>
                <w:szCs w:val="22"/>
              </w:rPr>
              <w:t xml:space="preserve">Remark</w:t>
            </w:r>
          </w:p>
        </w:tc>
      </w:tr>
      <w:tr>
        <w:tc>
          <w:tcPr>
            <w:tcW w:type="dxa" w:w="2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Chart.js Docs v4.4.1</w:t>
            </w:r>
          </w:p>
        </w:tc>
        <w:tc>
          <w:tcPr>
            <w:tcW w:type="dxa" w:w="2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Charting, datasets, tooltips, responsive canvas</w:t>
            </w:r>
          </w:p>
        </w:tc>
        <w:tc>
          <w:tcPr>
            <w:tcW w:type="dxa" w:w="28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Chart.js v4 does not provide a native candlestick chart type, which is the industry standard for financial price display.</w:t>
            </w:r>
          </w:p>
        </w:tc>
        <w:tc>
          <w:tcPr>
            <w:tcW w:type="dxa" w:w="256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A line chart with gradient fill was used as a substitute, effectively conveying price trend without OHLC data.</w:t>
            </w:r>
          </w:p>
        </w:tc>
      </w:tr>
      <w:tr>
        <w:tc>
          <w:tcPr>
            <w:tcW w:type="dxa" w:w="2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Binance / Kraken UI Observation</w:t>
            </w:r>
          </w:p>
        </w:tc>
        <w:tc>
          <w:tcPr>
            <w:tcW w:type="dxa" w:w="2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Dashboard layout, panel organisation, real-time UX patterns</w:t>
            </w:r>
          </w:p>
        </w:tc>
        <w:tc>
          <w:tcPr>
            <w:tcW w:type="dxa" w:w="28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Real exchange dashboards depend on WebSocket connections for true real-time data, which cannot be replicated in a static HTML file without a backend.</w:t>
            </w:r>
          </w:p>
        </w:tc>
        <w:tc>
          <w:tcPr>
            <w:tcW w:type="dxa" w:w="256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Replaced with a deterministic setInterval-based random walk simulation that produces convincing real-time behaviour.</w:t>
            </w:r>
          </w:p>
        </w:tc>
      </w:tr>
      <w:tr>
        <w:tc>
          <w:tcPr>
            <w:tcW w:type="dxa" w:w="2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MDN CSS Grid Guide</w:t>
            </w:r>
          </w:p>
        </w:tc>
        <w:tc>
          <w:tcPr>
            <w:tcW w:type="dxa" w:w="2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Grid layout, responsive columns, spanning</w:t>
            </w:r>
          </w:p>
        </w:tc>
        <w:tc>
          <w:tcPr>
            <w:tcW w:type="dxa" w:w="28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Complex responsive breakpoints for small screens and mobile devices are not addressed in this prototype. The fixed three-column grid breaks on screens below 1024px.</w:t>
            </w:r>
          </w:p>
        </w:tc>
        <w:tc>
          <w:tcPr>
            <w:tcW w:type="dxa" w:w="256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A fixed 1fr+320px+280px layout was chosen for desktop use. Mobile responsiveness is planned for a future version.</w:t>
            </w:r>
          </w:p>
        </w:tc>
      </w:tr>
      <w:tr>
        <w:tc>
          <w:tcPr>
            <w:tcW w:type="dxa" w:w="2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FinTech UI / WCAG Guidelines</w:t>
            </w:r>
          </w:p>
        </w:tc>
        <w:tc>
          <w:tcPr>
            <w:tcW w:type="dxa" w:w="2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Accessibility, colour contrast, screen reader support</w:t>
            </w:r>
          </w:p>
        </w:tc>
        <w:tc>
          <w:tcPr>
            <w:tcW w:type="dxa" w:w="28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Dark terminal colour themes commonly fail WCAG 2.1 AA contrast ratio requirements, particularly for secondary text on dark backgrounds.</w:t>
            </w:r>
          </w:p>
        </w:tc>
        <w:tc>
          <w:tcPr>
            <w:tcW w:type="dxa" w:w="256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Accessibility improvements — ARIA labels, focus indicators, and higher-contrast text — are identified as future work.</w:t>
            </w:r>
          </w:p>
        </w:tc>
      </w:tr>
      <w:tr>
        <w:tc>
          <w:tcPr>
            <w:tcW w:type="dxa" w:w="2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Hull — Random Walk Model</w:t>
            </w:r>
          </w:p>
        </w:tc>
        <w:tc>
          <w:tcPr>
            <w:tcW w:type="dxa" w:w="20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Brownian motion, price simulation, financial modelling</w:t>
            </w:r>
          </w:p>
        </w:tc>
        <w:tc>
          <w:tcPr>
            <w:tcW w:type="dxa" w:w="280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The simple uniform random walk used does not model real-market phenomena such as volatility clustering, fat tails, or mean reversion present in actual crypto price data.</w:t>
            </w:r>
          </w:p>
        </w:tc>
        <w:tc>
          <w:tcPr>
            <w:tcW w:type="dxa" w:w="2560"/>
            <w:tcBorders>
              <w:top w:val="single" w:color="000000" w:sz="6"/>
              <w:left w:val="single" w:color="000000" w:sz="6"/>
              <w:bottom w:val="single" w:color="000000" w:sz="6"/>
              <w:right w:val="single" w:color="000000" w:sz="6"/>
            </w:tcBorders>
            <w:tcMar>
              <w:top w:type="dxa" w:w="100"/>
              <w:left w:type="dxa" w:w="140"/>
              <w:bottom w:type="dxa" w:w="100"/>
              <w:right w:type="dxa" w:w="140"/>
            </w:tcMar>
            <w:vAlign w:val="center"/>
          </w:tcPr>
          <w:p>
            <w:pPr>
              <w:spacing w:after="0"/>
              <w:jc w:val="left"/>
            </w:pPr>
            <w:r>
              <w:rPr>
                <w:rFonts w:ascii="Times New Roman" w:cs="Times New Roman" w:eastAsia="Times New Roman" w:hAnsi="Times New Roman"/>
                <w:b w:val="false"/>
                <w:bCs w:val="false"/>
                <w:sz w:val="22"/>
                <w:szCs w:val="22"/>
              </w:rPr>
              <w:t xml:space="preserve">Sufficient for academic simulation purposes. Future work could incorporate GARCH or other stochastic models.</w:t>
            </w:r>
          </w:p>
        </w:tc>
      </w:tr>
    </w:tbl>
    <w:p>
      <w:pPr>
        <w:spacing w:after="160"/>
      </w:pPr>
      <w:r>
        <w:rPr>
          <w:rFonts w:ascii="Times New Roman" w:cs="Times New Roman" w:eastAsia="Times New Roman" w:hAnsi="Times New Roman"/>
        </w:rPr>
        <w:t xml:space="preserve"/>
      </w:r>
    </w:p>
    <w:p>
      <w:r>
        <w:br w:type="page"/>
      </w:r>
    </w:p>
    <w:p>
      <w:pPr>
        <w:pStyle w:val="Heading1"/>
        <w:spacing w:before="280" w:after="140"/>
      </w:pPr>
      <w:r>
        <w:rPr>
          <w:rFonts w:ascii="Times New Roman" w:cs="Times New Roman" w:eastAsia="Times New Roman" w:hAnsi="Times New Roman"/>
          <w:b/>
          <w:bCs/>
          <w:color w:val="000000"/>
          <w:sz w:val="28"/>
          <w:szCs w:val="28"/>
        </w:rPr>
        <w:t xml:space="preserve">Key Bibliography</w:t>
      </w:r>
    </w:p>
    <w:p>
      <w:pPr>
        <w:spacing w:after="60"/>
      </w:pPr>
      <w:r>
        <w:rPr>
          <w:rFonts w:ascii="Times New Roman" w:cs="Times New Roman" w:eastAsia="Times New Roman" w:hAnsi="Times New Roman"/>
        </w:rPr>
        <w:t xml:space="preserve"/>
      </w:r>
    </w:p>
    <w:p>
      <w:pPr>
        <w:spacing w:after="160" w:line="360"/>
        <w:jc w:val="both"/>
      </w:pPr>
      <w:r>
        <w:rPr>
          <w:rFonts w:ascii="Times New Roman" w:cs="Times New Roman" w:eastAsia="Times New Roman" w:hAnsi="Times New Roman"/>
          <w:b w:val="false"/>
          <w:bCs w:val="false"/>
          <w:sz w:val="22"/>
          <w:szCs w:val="22"/>
        </w:rPr>
        <w:t xml:space="preserve">1.  Chart.js Contributors. (2024). Chart.js Documentation v4.4.1. Retrieved from https://www.chartjs.org/docs/latest/</w:t>
      </w:r>
    </w:p>
    <w:p>
      <w:pPr>
        <w:spacing w:after="160" w:line="360"/>
        <w:jc w:val="both"/>
      </w:pPr>
      <w:r>
        <w:rPr>
          <w:rFonts w:ascii="Times New Roman" w:cs="Times New Roman" w:eastAsia="Times New Roman" w:hAnsi="Times New Roman"/>
          <w:b w:val="false"/>
          <w:bCs w:val="false"/>
          <w:sz w:val="22"/>
          <w:szCs w:val="22"/>
        </w:rPr>
        <w:t xml:space="preserve">2.  Mozilla Developer Network. (2024). CSS Grid Layout. Retrieved from https://developer.mozilla.org/en-US/docs/Web/CSS/CSS_grid_layout</w:t>
      </w:r>
    </w:p>
    <w:p>
      <w:pPr>
        <w:spacing w:after="160" w:line="360"/>
        <w:jc w:val="both"/>
      </w:pPr>
      <w:r>
        <w:rPr>
          <w:rFonts w:ascii="Times New Roman" w:cs="Times New Roman" w:eastAsia="Times New Roman" w:hAnsi="Times New Roman"/>
          <w:b w:val="false"/>
          <w:bCs w:val="false"/>
          <w:sz w:val="22"/>
          <w:szCs w:val="22"/>
        </w:rPr>
        <w:t xml:space="preserve">3.  Mozilla Developer Network. (2024). Using CSS Custom Properties (Variables). Retrieved from https://developer.mozilla.org/en-US/docs/Web/CSS/Using_CSS_custom_properties</w:t>
      </w:r>
    </w:p>
    <w:p>
      <w:pPr>
        <w:spacing w:after="160" w:line="360"/>
        <w:jc w:val="both"/>
      </w:pPr>
      <w:r>
        <w:rPr>
          <w:rFonts w:ascii="Times New Roman" w:cs="Times New Roman" w:eastAsia="Times New Roman" w:hAnsi="Times New Roman"/>
          <w:b w:val="false"/>
          <w:bCs w:val="false"/>
          <w:sz w:val="22"/>
          <w:szCs w:val="22"/>
        </w:rPr>
        <w:t xml:space="preserve">4.  Mozilla Developer Network. (2024). WindowOrWorkerGlobalScope: setInterval() method. Retrieved from https://developer.mozilla.org/en-US/docs/Web/API/setInterval</w:t>
      </w:r>
    </w:p>
    <w:p>
      <w:pPr>
        <w:spacing w:after="160" w:line="360"/>
        <w:jc w:val="both"/>
      </w:pPr>
      <w:r>
        <w:rPr>
          <w:rFonts w:ascii="Times New Roman" w:cs="Times New Roman" w:eastAsia="Times New Roman" w:hAnsi="Times New Roman"/>
          <w:b w:val="false"/>
          <w:bCs w:val="false"/>
          <w:sz w:val="22"/>
          <w:szCs w:val="22"/>
        </w:rPr>
        <w:t xml:space="preserve">5.  Hull, J. C. (2017). Options, Futures, and Other Derivatives (10th ed.). Pearson Education.</w:t>
      </w:r>
    </w:p>
    <w:p>
      <w:pPr>
        <w:spacing w:after="160" w:line="360"/>
        <w:jc w:val="both"/>
      </w:pPr>
      <w:r>
        <w:rPr>
          <w:rFonts w:ascii="Times New Roman" w:cs="Times New Roman" w:eastAsia="Times New Roman" w:hAnsi="Times New Roman"/>
          <w:b w:val="false"/>
          <w:bCs w:val="false"/>
          <w:sz w:val="22"/>
          <w:szCs w:val="22"/>
        </w:rPr>
        <w:t xml:space="preserve">6.  Simpson, K. (2016). You Don't Know JS: ES6 &amp; Beyond. O'Reilly Media.</w:t>
      </w:r>
    </w:p>
    <w:p>
      <w:pPr>
        <w:spacing w:after="160" w:line="360"/>
        <w:jc w:val="both"/>
      </w:pPr>
      <w:r>
        <w:rPr>
          <w:rFonts w:ascii="Times New Roman" w:cs="Times New Roman" w:eastAsia="Times New Roman" w:hAnsi="Times New Roman"/>
          <w:b w:val="false"/>
          <w:bCs w:val="false"/>
          <w:sz w:val="22"/>
          <w:szCs w:val="22"/>
        </w:rPr>
        <w:t xml:space="preserve">7.  Google Fonts. (2024). Space Mono &amp; DM Sans Typeface Documentation. Retrieved from https://fonts.google.com</w:t>
      </w:r>
    </w:p>
    <w:p>
      <w:pPr>
        <w:spacing w:after="160" w:line="360"/>
        <w:jc w:val="both"/>
      </w:pPr>
      <w:r>
        <w:rPr>
          <w:rFonts w:ascii="Times New Roman" w:cs="Times New Roman" w:eastAsia="Times New Roman" w:hAnsi="Times New Roman"/>
          <w:b w:val="false"/>
          <w:bCs w:val="false"/>
          <w:sz w:val="22"/>
          <w:szCs w:val="22"/>
        </w:rPr>
        <w:t xml:space="preserve">8.  Binance Exchange. (2024). Binance Trading Interface — UI Pattern Reference. Retrieved from https://www.binance.com/en/trade/BTC_USDT</w:t>
      </w:r>
    </w:p>
    <w:p>
      <w:pPr>
        <w:spacing w:after="160" w:line="360"/>
        <w:jc w:val="both"/>
      </w:pPr>
      <w:r>
        <w:rPr>
          <w:rFonts w:ascii="Times New Roman" w:cs="Times New Roman" w:eastAsia="Times New Roman" w:hAnsi="Times New Roman"/>
          <w:b w:val="false"/>
          <w:bCs w:val="false"/>
          <w:sz w:val="22"/>
          <w:szCs w:val="22"/>
        </w:rPr>
        <w:t xml:space="preserve">9.  Kraken Exchange. (2024). Kraken Pro Dashboard. Retrieved from https://pro.kraken.com</w:t>
      </w:r>
    </w:p>
    <w:p>
      <w:pPr>
        <w:spacing w:after="160" w:line="360"/>
        <w:jc w:val="both"/>
      </w:pPr>
      <w:r>
        <w:rPr>
          <w:rFonts w:ascii="Times New Roman" w:cs="Times New Roman" w:eastAsia="Times New Roman" w:hAnsi="Times New Roman"/>
          <w:b w:val="false"/>
          <w:bCs w:val="false"/>
          <w:sz w:val="22"/>
          <w:szCs w:val="22"/>
        </w:rPr>
        <w:t xml:space="preserve">10. Nielsen, J., &amp; Budiu, R. (2012). Mobile Usability. New Riders. (Referenced for UI responsiveness guidelines.)</w:t>
      </w:r>
    </w:p>
    <w:p>
      <w:pPr>
        <w:spacing w:after="120"/>
      </w:pPr>
      <w:r>
        <w:rPr>
          <w:rFonts w:ascii="Times New Roman" w:cs="Times New Roman" w:eastAsia="Times New Roman" w:hAnsi="Times New Roman"/>
        </w:rPr>
        <w:t xml:space="preserve"/>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before="200" w:after="10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c2eb8b9a99ade3b6a9e780c467d084dc0b0897f1.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2026-03-22T17:50:24.421Z</dcterms:created>
  <dcterms:modified xsi:type="dcterms:W3CDTF">2026-03-22T17:50:24.421Z</dcterms:modified>
</cp:coreProperties>
</file>

<file path=docProps/custom.xml><?xml version="1.0" encoding="utf-8"?>
<Properties xmlns="http://schemas.openxmlformats.org/officeDocument/2006/custom-properties" xmlns:vt="http://schemas.openxmlformats.org/officeDocument/2006/docPropsVTypes"/>
</file>