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pPr>
      <w:r>
        <w:rPr>
          <w:b/>
          <w:color w:val="1F7A5A"/>
          <w:sz w:val="60"/>
          <w:szCs w:val="60"/>
          <w:rFonts w:ascii="Calibri Light" w:hAnsi="Calibri Light"/>
        </w:rPr>
        <w:t xml:space="preserve">Cetele — Product Requirements (v1)</w:t>
      </w:r>
    </w:p>
    <w:p>
      <w:pPr>
        <w:spacing w:before="0" w:after="160"/>
      </w:pPr>
      <w:r>
        <w:rPr>
          <w:i/>
          <w:color w:val="5A6B63"/>
          <w:sz w:val="24"/>
          <w:szCs w:val="24"/>
        </w:rPr>
        <w:t xml:space="preserve">A group dhikr tracker that makes daily remembrance addictive — built around the traditional cetele (a shared tally where a group splits and completes a collective dhikr goal together).</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1. The bet</w:t>
      </w:r>
    </w:p>
    <w:p>
      <w:pPr>
        <w:spacing w:before="0" w:after="120"/>
      </w:pPr>
      <w:r>
        <w:rPr/>
        <w:t xml:space="preserve">People don't quit dhikr because they don't want to — they quit because </w:t>
      </w:r>
      <w:r>
        <w:rPr>
          <w:b/>
        </w:rPr>
        <w:t xml:space="preserve">nothing pulls them back daily</w:t>
      </w:r>
      <w:r>
        <w:rPr/>
        <w:t xml:space="preserve">. Cetele combines two forces:</w:t>
      </w:r>
    </w:p>
    <w:tbl>
      <w:tblPr>
        <w:tblW w:w="9360" w:type="dxa"/>
        <w:tblLayout w:type="fixed"/>
        <w:tblBorders>
          <w:top w:val="single" w:sz="4" w:space="0" w:color="C9D6CF"/>
          <w:left w:val="single" w:sz="4" w:space="0" w:color="C9D6CF"/>
          <w:bottom w:val="single" w:sz="4" w:space="0" w:color="C9D6CF"/>
          <w:right w:val="single" w:sz="4" w:space="0" w:color="C9D6CF"/>
          <w:insideH w:val="single" w:sz="4" w:space="0" w:color="C9D6CF"/>
          <w:insideV w:val="single" w:sz="4" w:space="0" w:color="C9D6CF"/>
        </w:tblBorders>
        <w:tblCellMar>
          <w:top w:w="60" w:type="dxa"/>
          <w:left w:w="100" w:type="dxa"/>
          <w:bottom w:w="60" w:type="dxa"/>
          <w:right w:w="100" w:type="dxa"/>
        </w:tblCellMar>
      </w:tblPr>
      <w:tblGrid>
        <w:gridCol w:w="2200"/>
        <w:gridCol w:w="4000"/>
        <w:gridCol w:w="3160"/>
      </w:tblGrid>
      <w:tr>
        <w:trPr>
          <w:tblHeader/>
        </w:trPr>
        <w:tc>
          <w:tcPr>
            <w:tcW w:w="2200" w:type="dxa"/>
            <w:shd w:val="clear" w:color="auto" w:fill="E3F0EB"/>
            <w:vAlign w:val="center"/>
          </w:tcPr>
          <w:p>
            <w:pPr>
              <w:spacing w:before="40" w:after="40"/>
            </w:pPr>
            <w:r>
              <w:rPr>
                <w:b/>
                <w:color w:val="1F7A5A"/>
              </w:rPr>
              <w:t xml:space="preserve">Layer</w:t>
            </w:r>
          </w:p>
        </w:tc>
        <w:tc>
          <w:tcPr>
            <w:tcW w:w="4000" w:type="dxa"/>
            <w:shd w:val="clear" w:color="auto" w:fill="E3F0EB"/>
            <w:vAlign w:val="center"/>
          </w:tcPr>
          <w:p>
            <w:pPr>
              <w:spacing w:before="40" w:after="40"/>
            </w:pPr>
            <w:r>
              <w:rPr>
                <w:b/>
                <w:color w:val="1F7A5A"/>
              </w:rPr>
              <w:t xml:space="preserve">What it does</w:t>
            </w:r>
          </w:p>
        </w:tc>
        <w:tc>
          <w:tcPr>
            <w:tcW w:w="3160" w:type="dxa"/>
            <w:shd w:val="clear" w:color="auto" w:fill="E3F0EB"/>
            <w:vAlign w:val="center"/>
          </w:tcPr>
          <w:p>
            <w:pPr>
              <w:spacing w:before="40" w:after="40"/>
            </w:pPr>
            <w:r>
              <w:rPr>
                <w:b/>
                <w:color w:val="1F7A5A"/>
              </w:rPr>
              <w:t xml:space="preserve">Why it works</w:t>
            </w:r>
          </w:p>
        </w:tc>
      </w:tr>
      <w:tr>
        <w:tc>
          <w:tcPr>
            <w:tcW w:w="2200" w:type="dxa"/>
            <w:vAlign w:val="center"/>
          </w:tcPr>
          <w:p>
            <w:pPr>
              <w:spacing w:before="40" w:after="40"/>
            </w:pPr>
            <w:r>
              <w:rPr>
                <w:b/>
              </w:rPr>
              <w:t xml:space="preserve">Dopamine (the hook)</w:t>
            </w:r>
          </w:p>
        </w:tc>
        <w:tc>
          <w:tcPr>
            <w:tcW w:w="4000" w:type="dxa"/>
            <w:vAlign w:val="center"/>
          </w:tcPr>
          <w:p>
            <w:pPr>
              <w:spacing w:before="40" w:after="40"/>
            </w:pPr>
            <w:r>
              <w:rPr/>
              <w:t xml:space="preserve">Tap counter, progress rings, streaks, live group counter, surprise milestones</w:t>
            </w:r>
          </w:p>
        </w:tc>
        <w:tc>
          <w:tcPr>
            <w:tcW w:w="3160" w:type="dxa"/>
            <w:vAlign w:val="center"/>
          </w:tcPr>
          <w:p>
            <w:pPr>
              <w:spacing w:before="40" w:after="40"/>
            </w:pPr>
            <w:r>
              <w:rPr/>
              <w:t xml:space="preserve">Gets people opening the app every day</w:t>
            </w:r>
          </w:p>
        </w:tc>
      </w:tr>
      <w:tr>
        <w:tc>
          <w:tcPr>
            <w:tcW w:w="2200" w:type="dxa"/>
            <w:vAlign w:val="center"/>
          </w:tcPr>
          <w:p>
            <w:pPr>
              <w:spacing w:before="40" w:after="40"/>
            </w:pPr>
            <w:r>
              <w:rPr>
                <w:b/>
              </w:rPr>
              <w:t xml:space="preserve">Accountability (the glue)</w:t>
            </w:r>
          </w:p>
        </w:tc>
        <w:tc>
          <w:tcPr>
            <w:tcW w:w="4000" w:type="dxa"/>
            <w:vAlign w:val="center"/>
          </w:tcPr>
          <w:p>
            <w:pPr>
              <w:spacing w:before="40" w:after="40"/>
            </w:pPr>
            <w:r>
              <w:rPr/>
              <w:t xml:space="preserve">Real groups, visible peers, leaderboard, forgiveness</w:t>
            </w:r>
          </w:p>
        </w:tc>
        <w:tc>
          <w:tcPr>
            <w:tcW w:w="3160" w:type="dxa"/>
            <w:vAlign w:val="center"/>
          </w:tcPr>
          <w:p>
            <w:pPr>
              <w:spacing w:before="40" w:after="40"/>
            </w:pPr>
            <w:r>
              <w:rPr/>
              <w:t xml:space="preserve">Stops the "streak broke → quit forever" collapse</w:t>
            </w:r>
          </w:p>
        </w:tc>
      </w:tr>
    </w:tbl>
    <w:p>
      <w:pPr>
        <w:spacing w:after="120"/>
      </w:pPr>
    </w:p>
    <w:p>
      <w:pPr>
        <w:shd w:val="clear" w:color="auto" w:fill="E3F0EB"/>
        <w:spacing w:before="0" w:after="80"/>
      </w:pPr>
      <w:r>
        <w:rPr>
          <w:i/>
        </w:rPr>
        <w:t xml:space="preserve">Dhikr is repetitive habit-maintenance, not skill mastery — the exact use case where gamification works. We lean in, but anchor it in real group accountability so it lasts.</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2. Users &amp; roles</w:t>
      </w:r>
    </w:p>
    <w:p>
      <w:pPr>
        <w:spacing w:before="0" w:after="120"/>
      </w:pPr>
      <w:r>
        <w:rPr/>
        <w:t xml:space="preserve">Drive-style group ownership (D26). There is no app-level admin tier. Anyone can create a group and becomes its owner; groups are private by default and visible only to people in them. An owner can share a group with others as a co-admin, and can transfer ownership. Roles are per-group (a person can be owner of one circle, co-admin of another, member of a third):</w:t>
      </w:r>
    </w:p>
    <w:tbl>
      <w:tblPr>
        <w:tblW w:w="9360" w:type="dxa"/>
        <w:tblLayout w:type="fixed"/>
        <w:tblBorders>
          <w:top w:val="single" w:sz="4" w:space="0" w:color="C9D6CF"/>
          <w:left w:val="single" w:sz="4" w:space="0" w:color="C9D6CF"/>
          <w:bottom w:val="single" w:sz="4" w:space="0" w:color="C9D6CF"/>
          <w:right w:val="single" w:sz="4" w:space="0" w:color="C9D6CF"/>
          <w:insideH w:val="single" w:sz="4" w:space="0" w:color="C9D6CF"/>
          <w:insideV w:val="single" w:sz="4" w:space="0" w:color="C9D6CF"/>
        </w:tblBorders>
        <w:tblCellMar>
          <w:top w:w="60" w:type="dxa"/>
          <w:left w:w="100" w:type="dxa"/>
          <w:bottom w:w="60" w:type="dxa"/>
          <w:right w:w="100" w:type="dxa"/>
        </w:tblCellMar>
      </w:tblPr>
      <w:tblGrid>
        <w:gridCol w:w="1900"/>
        <w:gridCol w:w="1500"/>
        <w:gridCol w:w="5960"/>
      </w:tblGrid>
      <w:tr>
        <w:trPr>
          <w:tblHeader/>
        </w:trPr>
        <w:tc>
          <w:tcPr>
            <w:tcW w:w="1900" w:type="dxa"/>
            <w:shd w:val="clear" w:color="auto" w:fill="E3F0EB"/>
            <w:vAlign w:val="center"/>
          </w:tcPr>
          <w:p>
            <w:pPr>
              <w:spacing w:before="40" w:after="40"/>
            </w:pPr>
            <w:r>
              <w:rPr>
                <w:b/>
                <w:color w:val="1F7A5A"/>
              </w:rPr>
              <w:t xml:space="preserve">Role</w:t>
            </w:r>
          </w:p>
        </w:tc>
        <w:tc>
          <w:tcPr>
            <w:tcW w:w="1500" w:type="dxa"/>
            <w:shd w:val="clear" w:color="auto" w:fill="E3F0EB"/>
            <w:vAlign w:val="center"/>
          </w:tcPr>
          <w:p>
            <w:pPr>
              <w:spacing w:before="40" w:after="40"/>
            </w:pPr>
            <w:r>
              <w:rPr>
                <w:b/>
                <w:color w:val="1F7A5A"/>
              </w:rPr>
              <w:t xml:space="preserve">Scope</w:t>
            </w:r>
          </w:p>
        </w:tc>
        <w:tc>
          <w:tcPr>
            <w:tcW w:w="5960" w:type="dxa"/>
            <w:shd w:val="clear" w:color="auto" w:fill="E3F0EB"/>
            <w:vAlign w:val="center"/>
          </w:tcPr>
          <w:p>
            <w:pPr>
              <w:spacing w:before="40" w:after="40"/>
            </w:pPr>
            <w:r>
              <w:rPr>
                <w:b/>
                <w:color w:val="1F7A5A"/>
              </w:rPr>
              <w:t xml:space="preserve">Can do</w:t>
            </w:r>
          </w:p>
        </w:tc>
      </w:tr>
      <w:tr>
        <w:tc>
          <w:tcPr>
            <w:tcW w:w="1900" w:type="dxa"/>
            <w:vAlign w:val="center"/>
          </w:tcPr>
          <w:p>
            <w:pPr>
              <w:spacing w:before="40" w:after="40"/>
            </w:pPr>
            <w:r>
              <w:rPr>
                <w:b/>
              </w:rPr>
              <w:t xml:space="preserve">Member</w:t>
            </w:r>
          </w:p>
        </w:tc>
        <w:tc>
          <w:tcPr>
            <w:tcW w:w="1500" w:type="dxa"/>
            <w:vAlign w:val="center"/>
          </w:tcPr>
          <w:p>
            <w:pPr>
              <w:spacing w:before="40" w:after="40"/>
            </w:pPr>
            <w:r>
              <w:rPr/>
              <w:t xml:space="preserve">one group</w:t>
            </w:r>
          </w:p>
        </w:tc>
        <w:tc>
          <w:tcPr>
            <w:tcW w:w="5960" w:type="dxa"/>
            <w:vAlign w:val="center"/>
          </w:tcPr>
          <w:p>
            <w:pPr>
              <w:spacing w:before="40" w:after="40"/>
            </w:pPr>
            <w:r>
              <w:rPr/>
              <w:t xml:space="preserve">Log tasks, see own streak + the group's activity, leaderboard &amp; garden</w:t>
            </w:r>
          </w:p>
        </w:tc>
      </w:tr>
      <w:tr>
        <w:tc>
          <w:tcPr>
            <w:tcW w:w="1900" w:type="dxa"/>
            <w:vAlign w:val="center"/>
          </w:tcPr>
          <w:p>
            <w:pPr>
              <w:spacing w:before="40" w:after="40"/>
            </w:pPr>
            <w:r>
              <w:rPr>
                <w:b/>
              </w:rPr>
              <w:t xml:space="preserve">Co-admin</w:t>
            </w:r>
          </w:p>
        </w:tc>
        <w:tc>
          <w:tcPr>
            <w:tcW w:w="1500" w:type="dxa"/>
            <w:vAlign w:val="center"/>
          </w:tcPr>
          <w:p>
            <w:pPr>
              <w:spacing w:before="40" w:after="40"/>
            </w:pPr>
            <w:r>
              <w:rPr/>
              <w:t xml:space="preserve">one group</w:t>
            </w:r>
          </w:p>
        </w:tc>
        <w:tc>
          <w:tcPr>
            <w:tcW w:w="5960" w:type="dxa"/>
            <w:vAlign w:val="center"/>
          </w:tcPr>
          <w:p>
            <w:pPr>
              <w:spacing w:before="40" w:after="40"/>
            </w:pPr>
            <w:r>
              <w:rPr/>
              <w:t xml:space="preserve">Everything a member can + edit the group's task list &amp; targets, invite/remove members, promote members, re-share the group, and log counts on a member's behalf (attributed + audited — the in-person halaqah tally; D29)</w:t>
            </w:r>
          </w:p>
        </w:tc>
      </w:tr>
      <w:tr>
        <w:tc>
          <w:tcPr>
            <w:tcW w:w="1900" w:type="dxa"/>
            <w:vAlign w:val="center"/>
          </w:tcPr>
          <w:p>
            <w:pPr>
              <w:spacing w:before="40" w:after="40"/>
            </w:pPr>
            <w:r>
              <w:rPr>
                <w:b/>
              </w:rPr>
              <w:t xml:space="preserve">Owner</w:t>
            </w:r>
          </w:p>
        </w:tc>
        <w:tc>
          <w:tcPr>
            <w:tcW w:w="1500" w:type="dxa"/>
            <w:vAlign w:val="center"/>
          </w:tcPr>
          <w:p>
            <w:pPr>
              <w:spacing w:before="40" w:after="40"/>
            </w:pPr>
            <w:r>
              <w:rPr/>
              <w:t xml:space="preserve">one group</w:t>
            </w:r>
          </w:p>
        </w:tc>
        <w:tc>
          <w:tcPr>
            <w:tcW w:w="5960" w:type="dxa"/>
            <w:vAlign w:val="center"/>
          </w:tcPr>
          <w:p>
            <w:pPr>
              <w:spacing w:before="40" w:after="40"/>
            </w:pPr>
            <w:r>
              <w:rPr/>
              <w:t xml:space="preserve">Everything a co-admin can + delete the group and transfer ownership (one owner per group; the creator, until transferred)</w:t>
            </w:r>
          </w:p>
        </w:tc>
      </w:tr>
    </w:tbl>
    <w:p>
      <w:pPr>
        <w:spacing w:after="120"/>
      </w:pPr>
    </w:p>
    <w:p>
      <w:pPr>
        <w:spacing w:before="0" w:after="120"/>
      </w:pPr>
      <w:r>
        <w:rPr/>
        <w:t xml:space="preserve">There is no global "see every group" view — access is bounded entirely by ownership and sharing.</w:t>
      </w:r>
    </w:p>
    <w:p>
      <w:pPr>
        <w:spacing w:before="0" w:after="120"/>
      </w:pPr>
      <w:r>
        <w:rPr/>
        <w:t xml:space="preserve">Succession (D27). So a single owner leaving never orphans a circle, a co-admin can claim ownership of a group whose owner is dormant (no activity &gt;= 14 days) or gone. Forgiveness-framed, not a power grab.</w:t>
      </w:r>
    </w:p>
    <w:p>
      <w:pPr>
        <w:spacing w:before="0" w:after="120"/>
      </w:pPr>
      <w:r>
        <w:rPr/>
        <w:t xml:space="preserve">Super-admin (D27, backend-only). One out-of-band role exists for maintainability + safety: users.is_super_admin, grantable only directly in Supabase (no in-app UI; cannot be self-escalated). Its powers are limited to recovery (reassign a dead group's owner) and moderation (act on abuse reports) — not a browse-all-content god view, so the privacy promise above holds. Every super-admin action is written to an audit_log. This keeps the project maintainable without the original operator (hand the flag to a successor in Supabase).</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3. The core loop</w:t>
      </w:r>
    </w:p>
    <w:p>
      <w:pPr>
        <w:pStyle w:val="ListBullet"/>
        <w:numPr>
          <w:ilvl w:val="0"/>
          <w:numId w:val="1"/>
        </w:numPr>
        <w:spacing w:after="60"/>
      </w:pPr>
      <w:r>
        <w:rPr/>
        <w:t xml:space="preserve">Open app → see group + own progress (rings unfilled, "Day 12 streak")</w:t>
      </w:r>
    </w:p>
    <w:p>
      <w:pPr>
        <w:pStyle w:val="ListBullet"/>
        <w:numPr>
          <w:ilvl w:val="0"/>
          <w:numId w:val="1"/>
        </w:numPr>
        <w:spacing w:after="60"/>
      </w:pPr>
      <w:r>
        <w:rPr/>
        <w:t xml:space="preserve">Tap-count dhikr → ring fills → group total ticks up live</w:t>
      </w:r>
    </w:p>
    <w:p>
      <w:pPr>
        <w:pStyle w:val="ListBullet"/>
        <w:numPr>
          <w:ilvl w:val="0"/>
          <w:numId w:val="1"/>
        </w:numPr>
        <w:spacing w:after="60"/>
      </w:pPr>
      <w:r>
        <w:rPr/>
        <w:t xml:space="preserve">Hit target → ring closes → confetti / surprise reward</w:t>
      </w:r>
    </w:p>
    <w:p>
      <w:pPr>
        <w:pStyle w:val="ListBullet"/>
        <w:numPr>
          <w:ilvl w:val="0"/>
          <w:numId w:val="1"/>
        </w:numPr>
        <w:spacing w:after="60"/>
      </w:pPr>
      <w:r>
        <w:rPr/>
        <w:t xml:space="preserve">Streak +1 → climb leaderboard</w:t>
      </w:r>
    </w:p>
    <w:p>
      <w:pPr>
        <w:pStyle w:val="ListBullet"/>
        <w:numPr>
          <w:ilvl w:val="0"/>
          <w:numId w:val="1"/>
        </w:numPr>
        <w:spacing w:after="60"/>
      </w:pPr>
      <w:r>
        <w:rPr/>
        <w:t xml:space="preserve">(later) push notification next day → repeat</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4. Features</w:t>
      </w:r>
    </w:p>
    <w:p>
      <w:pPr>
        <w:pStyle w:val="Heading2"/>
        <w:keepNext/>
        <w:spacing w:before="240" w:after="120"/>
      </w:pPr>
      <w:r>
        <w:rPr>
          <w:b/>
          <w:color w:val="1F7A5A"/>
          <w:sz w:val="28"/>
          <w:szCs w:val="28"/>
          <w:rFonts w:ascii="Calibri" w:hAnsi="Calibri"/>
        </w:rPr>
        <w:t xml:space="preserve">v1 — ship first ("Social v1")</w:t>
      </w:r>
    </w:p>
    <w:p>
      <w:pPr>
        <w:pStyle w:val="ListBullet"/>
        <w:numPr>
          <w:ilvl w:val="0"/>
          <w:numId w:val="1"/>
        </w:numPr>
        <w:spacing w:after="60"/>
      </w:pPr>
      <w:r>
        <w:rPr>
          <w:b/>
        </w:rPr>
        <w:t xml:space="preserve">Auth — </w:t>
      </w:r>
      <w:r>
        <w:rPr/>
        <w:t xml:space="preserve">Google OAuth + email magic link (Supabase Auth)</w:t>
      </w:r>
    </w:p>
    <w:p>
      <w:pPr>
        <w:pStyle w:val="ListBullet"/>
        <w:numPr>
          <w:ilvl w:val="0"/>
          <w:numId w:val="1"/>
        </w:numPr>
        <w:spacing w:after="60"/>
      </w:pPr>
      <w:r>
        <w:rPr>
          <w:b/>
        </w:rPr>
        <w:t xml:space="preserve">Groups — </w:t>
      </w:r>
      <w:r>
        <w:rPr/>
        <w:t xml:space="preserve">create, join via invite link/code, admins manage members</w:t>
      </w:r>
    </w:p>
    <w:p>
      <w:pPr>
        <w:pStyle w:val="ListBullet"/>
        <w:numPr>
          <w:ilvl w:val="0"/>
          <w:numId w:val="1"/>
        </w:numPr>
        <w:spacing w:after="60"/>
      </w:pPr>
      <w:r>
        <w:rPr>
          <w:b/>
        </w:rPr>
        <w:t xml:space="preserve">Admin-set dhikr list — </w:t>
      </w:r>
      <w:r>
        <w:rPr/>
        <w:t xml:space="preserve">admin defines items + daily target counts per group (e.g. Allahu Akbar ×100, Astaghfirullah ×1000)</w:t>
      </w:r>
    </w:p>
    <w:p>
      <w:pPr>
        <w:pStyle w:val="ListBullet"/>
        <w:numPr>
          <w:ilvl w:val="0"/>
          <w:numId w:val="1"/>
        </w:numPr>
        <w:spacing w:after="60"/>
      </w:pPr>
      <w:r>
        <w:rPr>
          <w:b/>
        </w:rPr>
        <w:t xml:space="preserve">Per-member shares — </w:t>
      </w:r>
      <w:r>
        <w:rPr/>
        <w:t xml:space="preserve">the circle's goal is SPLIT between its members, and an admin may ask MORE of one of them than the circle's default, per task (D61). A cetele is a shared goal divided among people and the division is not always equal: somebody who can carry 500 takes 500. Unlike a stretch goal this is an obligation — it is what “done” means for that member, what their streak is judged at, and what the circle counts on them for, so the collective goal is the SUM of each carrier's share rather than target × members. Raise-only, and a past day is always judged by the share in force THAT day, so raising somebody today can never un-keep a day they already kept. Lowering a member below the circle's number is deliberately not offered.</w:t>
      </w:r>
    </w:p>
    <w:p>
      <w:pPr>
        <w:pStyle w:val="ListBullet"/>
        <w:numPr>
          <w:ilvl w:val="0"/>
          <w:numId w:val="1"/>
        </w:numPr>
        <w:spacing w:after="60"/>
      </w:pPr>
      <w:r>
        <w:rPr>
          <w:b/>
        </w:rPr>
        <w:t xml:space="preserve">Personal stretch goals — </w:t>
      </w:r>
      <w:r>
        <w:rPr/>
        <w:t xml:space="preserve">a member may raise their OWN daily bar above THEIR share, per task (D51). Raise-only: their share is the floor, so nobody can quietly owe the group less, and an admin raising the target or their share above someone's goal simply wins. It changes only what that member aims at — the ring, the celebration and their reminder. Everything shared or judged (day-completion, streak, consistency, steadfastness, the garden, the circle's collective goal) still counts from their share, so aiming higher can only ever add.</w:t>
      </w:r>
    </w:p>
    <w:p>
      <w:pPr>
        <w:pStyle w:val="ListBullet"/>
        <w:numPr>
          <w:ilvl w:val="0"/>
          <w:numId w:val="1"/>
        </w:numPr>
        <w:spacing w:after="60"/>
      </w:pPr>
      <w:r>
        <w:rPr>
          <w:b/>
        </w:rPr>
        <w:t xml:space="preserve">Tap counter — </w:t>
      </w:r>
      <w:r>
        <w:rPr/>
        <w:t xml:space="preserve">tasbih-style: tap to count, haptics + subtle sound, number animation</w:t>
      </w:r>
    </w:p>
    <w:p>
      <w:pPr>
        <w:pStyle w:val="ListBullet"/>
        <w:numPr>
          <w:ilvl w:val="0"/>
          <w:numId w:val="1"/>
        </w:numPr>
        <w:spacing w:after="60"/>
      </w:pPr>
      <w:r>
        <w:rPr>
          <w:b/>
        </w:rPr>
        <w:t xml:space="preserve">Progress rings — </w:t>
      </w:r>
      <w:r>
        <w:rPr/>
        <w:t xml:space="preserve">Apple-Watch-style ring per item, fills toward target, closes on completion</w:t>
      </w:r>
    </w:p>
    <w:p>
      <w:pPr>
        <w:pStyle w:val="ListBullet"/>
        <w:numPr>
          <w:ilvl w:val="0"/>
          <w:numId w:val="1"/>
        </w:numPr>
        <w:spacing w:after="60"/>
      </w:pPr>
      <w:r>
        <w:rPr>
          <w:b/>
        </w:rPr>
        <w:t xml:space="preserve">Live collective counter — </w:t>
      </w:r>
      <w:r>
        <w:rPr/>
        <w:t xml:space="preserve">real-time group total ("41,300 / 100,000 today") via Supabase Realtime</w:t>
      </w:r>
    </w:p>
    <w:p>
      <w:pPr>
        <w:pStyle w:val="ListBullet"/>
        <w:numPr>
          <w:ilvl w:val="0"/>
          <w:numId w:val="1"/>
        </w:numPr>
        <w:spacing w:after="60"/>
      </w:pPr>
      <w:r>
        <w:rPr>
          <w:b/>
        </w:rPr>
        <w:t xml:space="preserve">Streaks — </w:t>
      </w:r>
      <w:r>
        <w:rPr/>
        <w:t xml:space="preserve">personal daily streak; "never miss twice" forgiveness (1 streak-freeze that re-arms after every kept day — a single missed day is always forgiven if you come back; two in a row reset)</w:t>
      </w:r>
    </w:p>
    <w:p>
      <w:pPr>
        <w:pStyle w:val="ListBullet"/>
        <w:numPr>
          <w:ilvl w:val="0"/>
          <w:numId w:val="1"/>
        </w:numPr>
        <w:spacing w:after="60"/>
      </w:pPr>
      <w:r>
        <w:rPr>
          <w:b/>
        </w:rPr>
        <w:t xml:space="preserve">Group leaderboard — </w:t>
      </w:r>
      <w:r>
        <w:rPr/>
        <w:t xml:space="preserve">rank members by consistency/completion this week</w:t>
      </w:r>
    </w:p>
    <w:p>
      <w:pPr>
        <w:pStyle w:val="ListBullet"/>
        <w:numPr>
          <w:ilvl w:val="0"/>
          <w:numId w:val="1"/>
        </w:numPr>
        <w:spacing w:after="60"/>
      </w:pPr>
      <w:r>
        <w:rPr>
          <w:b/>
        </w:rPr>
        <w:t xml:space="preserve">Consistency tracker — </w:t>
      </w:r>
      <w:r>
        <w:rPr/>
        <w:t xml:space="preserve">how steadfast each member is over time (the North Star, made visible in-app): a 14-day task-by-task grid (each task x day, green intensity = % of that day's target hit) + a headline 30-day consistency band (a calm word + %, abstracted — "Steady · 83%" — not a raw 7/30/90 grade; D28) + longest streak. Three views — personal (self-reflection; members can correct their own past counts in the grid), group-admin oversight (under Group -&gt; Members; every member's recent consistency = the Steadfastness rate (D31), to spot who's slipping — tapping a member opens a per-task fortnight breakdown, each task x the last 14 days with exact count vs target, so an admin can ask about specific days; forgiveness-framed; admins may also log on the member's behalf, every proxy entry attributed and audited — D29 — plus a 'log for the group' quick action for the in-person halaqah), and group collective rollup (the group's 90-day figure, shown to all). Steadfastness recognition (admin-only, optional, backend-era; D31) ranks members by recent consistency — average daily completion % over a sliding 90-day window (a rate, never cumulative volume or tenure; partial credit per day; &gt;=14 days to qualify) — so a group can recognise/reward its most steadfast members; eligibility is a bar (e.g. &gt;=85%), not a single winner, private to admins (no member-facing board, no riya'), any reward happens outside the app; deliberately rejects XP / levels / cumulative points (rich-get-richer + riya'; D28). Distinct from streaks (momentum) and the leaderboard (this-week rank): the pattern over time. Derived from logs vs targets; forgiveness-framed, no FOMO.</w:t>
      </w:r>
    </w:p>
    <w:p>
      <w:pPr>
        <w:pStyle w:val="ListBullet"/>
        <w:numPr>
          <w:ilvl w:val="0"/>
          <w:numId w:val="1"/>
        </w:numPr>
        <w:spacing w:after="60"/>
      </w:pPr>
      <w:r>
        <w:rPr>
          <w:b/>
        </w:rPr>
        <w:t xml:space="preserve">Variable-reward milestones — </w:t>
      </w:r>
      <w:r>
        <w:rPr/>
        <w:t xml:space="preserve">occasional surprise animation / du'a at random milestones</w:t>
      </w:r>
    </w:p>
    <w:p>
      <w:pPr>
        <w:pStyle w:val="Heading2"/>
        <w:keepNext/>
        <w:spacing w:before="240" w:after="120"/>
      </w:pPr>
      <w:r>
        <w:rPr>
          <w:b/>
          <w:color w:val="1F7A5A"/>
          <w:sz w:val="28"/>
          <w:szCs w:val="28"/>
          <w:rFonts w:ascii="Calibri" w:hAnsi="Calibri"/>
        </w:rPr>
        <w:t xml:space="preserve">v1.1 — fast-follow</w:t>
      </w:r>
    </w:p>
    <w:p>
      <w:pPr>
        <w:pStyle w:val="ListBullet"/>
        <w:numPr>
          <w:ilvl w:val="0"/>
          <w:numId w:val="1"/>
        </w:numPr>
        <w:spacing w:after="60"/>
      </w:pPr>
      <w:r>
        <w:rPr>
          <w:b/>
        </w:rPr>
        <w:t xml:space="preserve">Push notifications — </w:t>
      </w:r>
      <w:r>
        <w:rPr/>
        <w:t xml:space="preserve">daily nudges via Web Push + service worker (VAPID keys), sent from a Vercel cron / Supabase Edge Function. Works on Android &amp; desktop; iOS only on 16.4+ as an installed PWA</w:t>
      </w:r>
    </w:p>
    <w:p>
      <w:pPr>
        <w:pStyle w:val="ListBullet"/>
        <w:numPr>
          <w:ilvl w:val="0"/>
          <w:numId w:val="1"/>
        </w:numPr>
        <w:spacing w:after="60"/>
      </w:pPr>
      <w:r>
        <w:rPr>
          <w:b/>
        </w:rPr>
        <w:t xml:space="preserve">Email reminders — </w:t>
      </w:r>
      <w:r>
        <w:rPr/>
        <w:t xml:space="preserve">reliable fallback (Supabase/Resend) for users who don't install or are on older iOS</w:t>
      </w:r>
    </w:p>
    <w:p>
      <w:pPr>
        <w:pStyle w:val="ListBullet"/>
        <w:numPr>
          <w:ilvl w:val="0"/>
          <w:numId w:val="1"/>
        </w:numPr>
        <w:spacing w:after="60"/>
      </w:pPr>
      <w:r>
        <w:rPr>
          <w:b/>
        </w:rPr>
        <w:t xml:space="preserve">Custom daily reminders (D30) — </w:t>
      </w:r>
      <w:r>
        <w:rPr/>
        <w:t xml:space="preserve">each member sets a per-task reminder time (their own clock time, toggle on/off), not a fixed prayer anchor — flexibility over rigid habit-stacking. The in-app timing UI ships now; delivery rides the Web Push / email above. Prayer-time quick-fill presets can layer on later as an optional shortcut.</w:t>
      </w:r>
    </w:p>
    <w:p>
      <w:pPr>
        <w:pStyle w:val="Heading2"/>
        <w:keepNext/>
        <w:spacing w:before="240" w:after="120"/>
      </w:pPr>
      <w:r>
        <w:rPr>
          <w:b/>
          <w:color w:val="1F7A5A"/>
          <w:sz w:val="28"/>
          <w:szCs w:val="28"/>
          <w:rFonts w:ascii="Calibri" w:hAnsi="Calibri"/>
        </w:rPr>
        <w:t xml:space="preserve">v2 — retention deepening (research-backed)</w:t>
      </w:r>
    </w:p>
    <w:p>
      <w:pPr>
        <w:spacing w:before="0" w:after="120"/>
      </w:pPr>
      <w:r>
        <w:rPr/>
        <w:t xml:space="preserve">From research/03-feature-recommendations.md (links the motivation science in research/02 to the competitive gaps in research/01). Top priority is to promote two already-scoped items: variable-reward milestones (v1) and reminders + habit-stacking (v1.1).</w:t>
      </w:r>
    </w:p>
    <w:p>
      <w:pPr>
        <w:pStyle w:val="ListBullet"/>
        <w:numPr>
          <w:ilvl w:val="0"/>
          <w:numId w:val="1"/>
        </w:numPr>
        <w:spacing w:after="60"/>
      </w:pPr>
      <w:r>
        <w:rPr>
          <w:b/>
        </w:rPr>
        <w:t xml:space="preserve">Group garden (collective living artefact) — </w:t>
      </w:r>
      <w:r>
        <w:rPr/>
        <w:t xml:space="preserve">a shared garden per circle that grows as the group completes its rings and goes calmly dormant (never shaming) when activity drops. The emotional/identity layer Cetele lacks — built on the group, not a solo avatar, so it reinforces accountability; jannah/garden imagery suits a worship app. Optional personal “your corner” plant. Levers: ownership + relatedness; precedent: Finch / Forest.</w:t>
      </w:r>
    </w:p>
    <w:p>
      <w:pPr>
        <w:pStyle w:val="ListBullet"/>
        <w:numPr>
          <w:ilvl w:val="0"/>
          <w:numId w:val="1"/>
        </w:numPr>
        <w:spacing w:after="60"/>
      </w:pPr>
      <w:r>
        <w:rPr>
          <w:b/>
        </w:rPr>
        <w:t xml:space="preserve">One-tap peer reactions — </w:t>
      </w:r>
      <w:r>
        <w:rPr/>
        <w:t xml:space="preserve">send a quick dua / “barakAllahu feek” / heart when a peer closes their rings. Near-zero-effort relatedness spark. Precedent: Strava kudos.</w:t>
      </w:r>
    </w:p>
    <w:p>
      <w:pPr>
        <w:pStyle w:val="ListBullet"/>
        <w:numPr>
          <w:ilvl w:val="0"/>
          <w:numId w:val="1"/>
        </w:numPr>
        <w:spacing w:after="60"/>
      </w:pPr>
      <w:r>
        <w:rPr>
          <w:b/>
        </w:rPr>
        <w:t xml:space="preserve">Fresh-start re-engagement — </w:t>
      </w:r>
      <w:r>
        <w:rPr/>
        <w:t xml:space="preserve">re-invite lapsed members on temporal landmarks (Hijri new month, Ramadan, week start) with a clean-slate framing. Lever: fresh-start effect.</w:t>
      </w:r>
    </w:p>
    <w:p>
      <w:pPr>
        <w:pStyle w:val="ListBullet"/>
        <w:numPr>
          <w:ilvl w:val="0"/>
          <w:numId w:val="1"/>
        </w:numPr>
        <w:spacing w:after="60"/>
      </w:pPr>
      <w:r>
        <w:rPr>
          <w:b/>
        </w:rPr>
        <w:t xml:space="preserve">Achievement badges — </w:t>
      </w:r>
      <w:r>
        <w:rPr/>
        <w:t xml:space="preserve">streak landmarks (7 / 30 / 100 days) + monthly awards; earned and escalating, never saturating. Precedent: Apple Fitness awards.</w:t>
      </w:r>
    </w:p>
    <w:p>
      <w:pPr>
        <w:pStyle w:val="ListBullet"/>
        <w:numPr>
          <w:ilvl w:val="0"/>
          <w:numId w:val="1"/>
        </w:numPr>
        <w:spacing w:after="60"/>
      </w:pPr>
      <w:r>
        <w:rPr>
          <w:b/>
        </w:rPr>
        <w:t xml:space="preserve">Endowed-progress onboarding — </w:t>
      </w:r>
      <w:r>
        <w:rPr/>
        <w:t xml:space="preserve">new members/groups start visibly “part-way” so day one feels like momentum, not a cold start. Lever: endowed-progress effect.</w:t>
      </w:r>
    </w:p>
    <w:p>
      <w:pPr>
        <w:pStyle w:val="ListBullet"/>
        <w:numPr>
          <w:ilvl w:val="0"/>
          <w:numId w:val="1"/>
        </w:numPr>
        <w:spacing w:after="60"/>
      </w:pPr>
      <w:r>
        <w:rPr>
          <w:b/>
        </w:rPr>
        <w:t xml:space="preserve">Winnable sub-group / pair goals — </w:t>
      </w:r>
      <w:r>
        <w:rPr/>
        <w:t xml:space="preserve">shared goals for two friends or a sub-group instead of one whole-group ranking, keeping competition winnable and intrinsic.</w:t>
      </w:r>
    </w:p>
    <w:p>
      <w:pPr>
        <w:pStyle w:val="Heading2"/>
        <w:keepNext/>
        <w:spacing w:before="240" w:after="120"/>
      </w:pPr>
      <w:r>
        <w:rPr>
          <w:b/>
          <w:color w:val="1F7A5A"/>
          <w:sz w:val="28"/>
          <w:szCs w:val="28"/>
          <w:rFonts w:ascii="Calibri" w:hAnsi="Calibri"/>
        </w:rPr>
        <w:t xml:space="preserve">Later / maybe</w:t>
      </w:r>
    </w:p>
    <w:p>
      <w:pPr>
        <w:pStyle w:val="ListBullet"/>
        <w:numPr>
          <w:ilvl w:val="0"/>
          <w:numId w:val="1"/>
        </w:numPr>
        <w:spacing w:after="60"/>
      </w:pPr>
      <w:r>
        <w:rPr/>
        <w:t xml:space="preserve">Multiple groups per user · weekly group goals · history/stats charts · Ramadan mode · audio dhikr · levels/XP · avatar &amp; theme customisation</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5. Retention mechanics (where each lever lives)</w:t>
      </w:r>
    </w:p>
    <w:tbl>
      <w:tblPr>
        <w:tblW w:w="9360" w:type="dxa"/>
        <w:tblLayout w:type="fixed"/>
        <w:tblBorders>
          <w:top w:val="single" w:sz="4" w:space="0" w:color="C9D6CF"/>
          <w:left w:val="single" w:sz="4" w:space="0" w:color="C9D6CF"/>
          <w:bottom w:val="single" w:sz="4" w:space="0" w:color="C9D6CF"/>
          <w:right w:val="single" w:sz="4" w:space="0" w:color="C9D6CF"/>
          <w:insideH w:val="single" w:sz="4" w:space="0" w:color="C9D6CF"/>
          <w:insideV w:val="single" w:sz="4" w:space="0" w:color="C9D6CF"/>
        </w:tblBorders>
        <w:tblCellMar>
          <w:top w:w="60" w:type="dxa"/>
          <w:left w:w="100" w:type="dxa"/>
          <w:bottom w:w="60" w:type="dxa"/>
          <w:right w:w="100" w:type="dxa"/>
        </w:tblCellMar>
      </w:tblPr>
      <w:tblGrid>
        <w:gridCol w:w="2600"/>
        <w:gridCol w:w="2200"/>
        <w:gridCol w:w="4560"/>
      </w:tblGrid>
      <w:tr>
        <w:trPr>
          <w:tblHeader/>
        </w:trPr>
        <w:tc>
          <w:tcPr>
            <w:tcW w:w="2600" w:type="dxa"/>
            <w:shd w:val="clear" w:color="auto" w:fill="E3F0EB"/>
            <w:vAlign w:val="center"/>
          </w:tcPr>
          <w:p>
            <w:pPr>
              <w:spacing w:before="40" w:after="40"/>
            </w:pPr>
            <w:r>
              <w:rPr>
                <w:b/>
                <w:color w:val="1F7A5A"/>
              </w:rPr>
              <w:t xml:space="preserve">Lever</w:t>
            </w:r>
          </w:p>
        </w:tc>
        <w:tc>
          <w:tcPr>
            <w:tcW w:w="2200" w:type="dxa"/>
            <w:shd w:val="clear" w:color="auto" w:fill="E3F0EB"/>
            <w:vAlign w:val="center"/>
          </w:tcPr>
          <w:p>
            <w:pPr>
              <w:spacing w:before="40" w:after="40"/>
            </w:pPr>
            <w:r>
              <w:rPr>
                <w:b/>
                <w:color w:val="1F7A5A"/>
              </w:rPr>
              <w:t xml:space="preserve">Source</w:t>
            </w:r>
          </w:p>
        </w:tc>
        <w:tc>
          <w:tcPr>
            <w:tcW w:w="4560" w:type="dxa"/>
            <w:shd w:val="clear" w:color="auto" w:fill="E3F0EB"/>
            <w:vAlign w:val="center"/>
          </w:tcPr>
          <w:p>
            <w:pPr>
              <w:spacing w:before="40" w:after="40"/>
            </w:pPr>
            <w:r>
              <w:rPr>
                <w:b/>
                <w:color w:val="1F7A5A"/>
              </w:rPr>
              <w:t xml:space="preserve">Implementation</w:t>
            </w:r>
          </w:p>
        </w:tc>
      </w:tr>
      <w:tr>
        <w:tc>
          <w:tcPr>
            <w:tcW w:w="2600" w:type="dxa"/>
            <w:vAlign w:val="center"/>
          </w:tcPr>
          <w:p>
            <w:pPr>
              <w:spacing w:before="40" w:after="40"/>
            </w:pPr>
            <w:r>
              <w:rPr/>
              <w:t xml:space="preserve">Completion drive</w:t>
            </w:r>
          </w:p>
        </w:tc>
        <w:tc>
          <w:tcPr>
            <w:tcW w:w="2200" w:type="dxa"/>
            <w:vAlign w:val="center"/>
          </w:tcPr>
          <w:p>
            <w:pPr>
              <w:spacing w:before="40" w:after="40"/>
            </w:pPr>
            <w:r>
              <w:rPr/>
              <w:t xml:space="preserve">dopamine</w:t>
            </w:r>
          </w:p>
        </w:tc>
        <w:tc>
          <w:tcPr>
            <w:tcW w:w="4560" w:type="dxa"/>
            <w:vAlign w:val="center"/>
          </w:tcPr>
          <w:p>
            <w:pPr>
              <w:spacing w:before="40" w:after="40"/>
            </w:pPr>
            <w:r>
              <w:rPr/>
              <w:t xml:space="preserve">Progress rings + confetti</w:t>
            </w:r>
          </w:p>
        </w:tc>
      </w:tr>
      <w:tr>
        <w:tc>
          <w:tcPr>
            <w:tcW w:w="2600" w:type="dxa"/>
            <w:vAlign w:val="center"/>
          </w:tcPr>
          <w:p>
            <w:pPr>
              <w:spacing w:before="40" w:after="40"/>
            </w:pPr>
            <w:r>
              <w:rPr/>
              <w:t xml:space="preserve">Variable reward</w:t>
            </w:r>
          </w:p>
        </w:tc>
        <w:tc>
          <w:tcPr>
            <w:tcW w:w="2200" w:type="dxa"/>
            <w:vAlign w:val="center"/>
          </w:tcPr>
          <w:p>
            <w:pPr>
              <w:spacing w:before="40" w:after="40"/>
            </w:pPr>
            <w:r>
              <w:rPr/>
              <w:t xml:space="preserve">dopamine</w:t>
            </w:r>
          </w:p>
        </w:tc>
        <w:tc>
          <w:tcPr>
            <w:tcW w:w="4560" w:type="dxa"/>
            <w:vAlign w:val="center"/>
          </w:tcPr>
          <w:p>
            <w:pPr>
              <w:spacing w:before="40" w:after="40"/>
            </w:pPr>
            <w:r>
              <w:rPr/>
              <w:t xml:space="preserve">Surprise milestone reveals</w:t>
            </w:r>
          </w:p>
        </w:tc>
      </w:tr>
      <w:tr>
        <w:tc>
          <w:tcPr>
            <w:tcW w:w="2600" w:type="dxa"/>
            <w:vAlign w:val="center"/>
          </w:tcPr>
          <w:p>
            <w:pPr>
              <w:spacing w:before="40" w:after="40"/>
            </w:pPr>
            <w:r>
              <w:rPr/>
              <w:t xml:space="preserve">Social proof</w:t>
            </w:r>
          </w:p>
        </w:tc>
        <w:tc>
          <w:tcPr>
            <w:tcW w:w="2200" w:type="dxa"/>
            <w:vAlign w:val="center"/>
          </w:tcPr>
          <w:p>
            <w:pPr>
              <w:spacing w:before="40" w:after="40"/>
            </w:pPr>
            <w:r>
              <w:rPr/>
              <w:t xml:space="preserve">accountability</w:t>
            </w:r>
          </w:p>
        </w:tc>
        <w:tc>
          <w:tcPr>
            <w:tcW w:w="4560" w:type="dxa"/>
            <w:vAlign w:val="center"/>
          </w:tcPr>
          <w:p>
            <w:pPr>
              <w:spacing w:before="40" w:after="40"/>
            </w:pPr>
            <w:r>
              <w:rPr/>
              <w:t xml:space="preserve">Live group counter + leaderboard</w:t>
            </w:r>
          </w:p>
        </w:tc>
      </w:tr>
      <w:tr>
        <w:tc>
          <w:tcPr>
            <w:tcW w:w="2600" w:type="dxa"/>
            <w:vAlign w:val="center"/>
          </w:tcPr>
          <w:p>
            <w:pPr>
              <w:spacing w:before="40" w:after="40"/>
            </w:pPr>
            <w:r>
              <w:rPr/>
              <w:t xml:space="preserve">Identity</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"You're someone who does dhikr daily" framing</w:t>
            </w:r>
          </w:p>
        </w:tc>
      </w:tr>
      <w:tr>
        <w:tc>
          <w:tcPr>
            <w:tcW w:w="2600" w:type="dxa"/>
            <w:vAlign w:val="center"/>
          </w:tcPr>
          <w:p>
            <w:pPr>
              <w:spacing w:before="40" w:after="40"/>
            </w:pPr>
            <w:r>
              <w:rPr/>
              <w:t xml:space="preserve">Steadfastness</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Consistency tracker — 14-day grid + 30-day band (personal/admin) + 90-day group rollup</w:t>
            </w:r>
          </w:p>
        </w:tc>
      </w:tr>
      <w:tr>
        <w:tc>
          <w:tcPr>
            <w:tcW w:w="2600" w:type="dxa"/>
            <w:vAlign w:val="center"/>
          </w:tcPr>
          <w:p>
            <w:pPr>
              <w:spacing w:before="40" w:after="40"/>
            </w:pPr>
            <w:r>
              <w:rPr/>
              <w:t xml:space="preserve">Forgiveness</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Never-miss-twice + streak freeze</w:t>
            </w:r>
          </w:p>
        </w:tc>
      </w:tr>
      <w:tr>
        <w:tc>
          <w:tcPr>
            <w:tcW w:w="2600" w:type="dxa"/>
            <w:vAlign w:val="center"/>
          </w:tcPr>
          <w:p>
            <w:pPr>
              <w:spacing w:before="40" w:after="40"/>
            </w:pPr>
            <w:r>
              <w:rPr/>
              <w:t xml:space="preserve">Real accountability</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Visible group peers (the cetele itself)</w:t>
            </w:r>
          </w:p>
        </w:tc>
      </w:tr>
      <w:tr>
        <w:tc>
          <w:tcPr>
            <w:tcW w:w="2600" w:type="dxa"/>
            <w:vAlign w:val="center"/>
          </w:tcPr>
          <w:p>
            <w:pPr>
              <w:spacing w:before="40" w:after="40"/>
            </w:pPr>
            <w:r>
              <w:rPr/>
              <w:t xml:space="preserve">Trigger</w:t>
            </w:r>
          </w:p>
        </w:tc>
        <w:tc>
          <w:tcPr>
            <w:tcW w:w="2200" w:type="dxa"/>
            <w:vAlign w:val="center"/>
          </w:tcPr>
          <w:p>
            <w:pPr>
              <w:spacing w:before="40" w:after="40"/>
            </w:pPr>
            <w:r>
              <w:rPr/>
              <w:t xml:space="preserve">dopamine</w:t>
            </w:r>
          </w:p>
        </w:tc>
        <w:tc>
          <w:tcPr>
            <w:tcW w:w="4560" w:type="dxa"/>
            <w:vAlign w:val="center"/>
          </w:tcPr>
          <w:p>
            <w:pPr>
              <w:spacing w:before="40" w:after="40"/>
            </w:pPr>
            <w:r>
              <w:rPr/>
              <w:t xml:space="preserve">(v1.1) Daily reminders — member-set custom per-task times (D30)</w:t>
            </w:r>
          </w:p>
        </w:tc>
      </w:tr>
      <w:tr>
        <w:tc>
          <w:tcPr>
            <w:tcW w:w="2600" w:type="dxa"/>
            <w:vAlign w:val="center"/>
          </w:tcPr>
          <w:p>
            <w:pPr>
              <w:spacing w:before="40" w:after="40"/>
            </w:pPr>
            <w:r>
              <w:rPr/>
              <w:t xml:space="preserve">Ownership</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(v2) Group garden — a collective artefact that grows with the group</w:t>
            </w:r>
          </w:p>
        </w:tc>
      </w:tr>
      <w:tr>
        <w:tc>
          <w:tcPr>
            <w:tcW w:w="2600" w:type="dxa"/>
            <w:vAlign w:val="center"/>
          </w:tcPr>
          <w:p>
            <w:pPr>
              <w:spacing w:before="40" w:after="40"/>
            </w:pPr>
            <w:r>
              <w:rPr/>
              <w:t xml:space="preserve">Peer encouragement</w:t>
            </w:r>
          </w:p>
        </w:tc>
        <w:tc>
          <w:tcPr>
            <w:tcW w:w="2200" w:type="dxa"/>
            <w:vAlign w:val="center"/>
          </w:tcPr>
          <w:p>
            <w:pPr>
              <w:spacing w:before="40" w:after="40"/>
            </w:pPr>
            <w:r>
              <w:rPr/>
              <w:t xml:space="preserve">accountability</w:t>
            </w:r>
          </w:p>
        </w:tc>
        <w:tc>
          <w:tcPr>
            <w:tcW w:w="4560" w:type="dxa"/>
            <w:vAlign w:val="center"/>
          </w:tcPr>
          <w:p>
            <w:pPr>
              <w:spacing w:before="40" w:after="40"/>
            </w:pPr>
            <w:r>
              <w:rPr/>
              <w:t xml:space="preserve">(v2) One-tap dua / kudos reactions on a peer's completion</w:t>
            </w:r>
          </w:p>
        </w:tc>
      </w:tr>
      <w:tr>
        <w:tc>
          <w:tcPr>
            <w:tcW w:w="2600" w:type="dxa"/>
            <w:vAlign w:val="center"/>
          </w:tcPr>
          <w:p>
            <w:pPr>
              <w:spacing w:before="40" w:after="40"/>
            </w:pPr>
            <w:r>
              <w:rPr/>
              <w:t xml:space="preserve">Re-engagement</w:t>
            </w:r>
          </w:p>
        </w:tc>
        <w:tc>
          <w:tcPr>
            <w:tcW w:w="2200" w:type="dxa"/>
            <w:vAlign w:val="center"/>
          </w:tcPr>
          <w:p>
            <w:pPr>
              <w:spacing w:before="40" w:after="40"/>
            </w:pPr>
            <w:r>
              <w:rPr/>
              <w:t xml:space="preserve">durable</w:t>
            </w:r>
          </w:p>
        </w:tc>
        <w:tc>
          <w:tcPr>
            <w:tcW w:w="4560" w:type="dxa"/>
            <w:vAlign w:val="center"/>
          </w:tcPr>
          <w:p>
            <w:pPr>
              <w:spacing w:before="40" w:after="40"/>
            </w:pPr>
            <w:r>
              <w:rPr/>
              <w:t xml:space="preserve">(v2) Fresh-start prompts (Hijri new month, Ramadan, week start)</w:t>
            </w:r>
          </w:p>
        </w:tc>
      </w:tr>
      <w:tr>
        <w:tc>
          <w:tcPr>
            <w:tcW w:w="2600" w:type="dxa"/>
            <w:vAlign w:val="center"/>
          </w:tcPr>
          <w:p>
            <w:pPr>
              <w:spacing w:before="40" w:after="40"/>
            </w:pPr>
            <w:r>
              <w:rPr/>
              <w:t xml:space="preserve">Recognition</w:t>
            </w:r>
          </w:p>
        </w:tc>
        <w:tc>
          <w:tcPr>
            <w:tcW w:w="2200" w:type="dxa"/>
            <w:vAlign w:val="center"/>
          </w:tcPr>
          <w:p>
            <w:pPr>
              <w:spacing w:before="40" w:after="40"/>
            </w:pPr>
            <w:r>
              <w:rPr/>
              <w:t xml:space="preserve">accountability</w:t>
            </w:r>
          </w:p>
        </w:tc>
        <w:tc>
          <w:tcPr>
            <w:tcW w:w="4560" w:type="dxa"/>
            <w:vAlign w:val="center"/>
          </w:tcPr>
          <w:p>
            <w:pPr>
              <w:spacing w:before="40" w:after="40"/>
            </w:pPr>
            <w:r>
              <w:rPr/>
              <w:t xml:space="preserve">(admin-only, backend-era) Steadfastness view — recent-consistency rate (sliding 90-day avg), for an optional out-of-app reward (D31)</w:t>
            </w:r>
          </w:p>
        </w:tc>
      </w:tr>
    </w:tbl>
    <w:p>
      <w:pPr>
        <w:spacing w:after="120"/>
      </w:pP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6. Data model (sketch)</w:t>
      </w:r>
    </w:p>
    <w:p>
      <w:pPr>
        <w:pStyle w:val="ListBullet"/>
        <w:numPr>
          <w:ilvl w:val="0"/>
          <w:numId w:val="1"/>
        </w:numPr>
        <w:spacing w:after="60"/>
      </w:pPr>
      <w:r>
        <w:rPr>
          <w:b/>
        </w:rPr>
        <w:t xml:space="preserve">users — </w:t>
      </w:r>
      <w:r>
        <w:rPr/>
        <w:t xml:space="preserve">id, name, avatar, timezone (each member's day closes at their own midnight — D34) (Supabase Auth). No app-level admin flag; one out-of-band is_super_admin (D27, granted only in Supabase — recovery + moderation).</w:t>
      </w:r>
    </w:p>
    <w:p>
      <w:pPr>
        <w:pStyle w:val="ListBullet"/>
        <w:numPr>
          <w:ilvl w:val="0"/>
          <w:numId w:val="1"/>
        </w:numPr>
        <w:spacing w:after="60"/>
      </w:pPr>
      <w:r>
        <w:rPr>
          <w:b/>
        </w:rPr>
        <w:t xml:space="preserve">groups — </w:t>
      </w:r>
      <w:r>
        <w:rPr/>
        <w:t xml:space="preserve">id, name, created_by = the owner (authoritative; updated on transfer / succession). No group-level invite code — joining goes through invites only (D35)</w:t>
      </w:r>
    </w:p>
    <w:p>
      <w:pPr>
        <w:pStyle w:val="ListBullet"/>
        <w:numPr>
          <w:ilvl w:val="0"/>
          <w:numId w:val="1"/>
        </w:numPr>
        <w:spacing w:after="60"/>
      </w:pPr>
      <w:r>
        <w:rPr>
          <w:b/>
        </w:rPr>
        <w:t xml:space="preserve">memberships — </w:t>
      </w:r>
      <w:r>
        <w:rPr/>
        <w:t xml:space="preserve">user_id, group_id, role (owner | admin | member); exactly one owner row per group</w:t>
      </w:r>
    </w:p>
    <w:p>
      <w:pPr>
        <w:pStyle w:val="ListBullet"/>
        <w:numPr>
          <w:ilvl w:val="0"/>
          <w:numId w:val="1"/>
        </w:numPr>
        <w:spacing w:after="60"/>
      </w:pPr>
      <w:r>
        <w:rPr>
          <w:b/>
        </w:rPr>
        <w:t xml:space="preserve">invites — </w:t>
      </w:r>
      <w:r>
        <w:rPr/>
        <w:t xml:space="preserve">id, group_id, email (optional — locks the invite to a verified sign-in email, enforced without sending anything), role (admin | member), code (DB-generated) — shareable link/code invites (/join/&lt;code&gt;; admin shares the link themselves; accept → a membership). Open invites (no email) are reusable until revoked — one link serves a whole halaqah; email-locked invites are single-use, deleted on accept (D35). Email delivery of invites = later nice-to-have (needs Resend + a domain)</w:t>
      </w:r>
    </w:p>
    <w:p>
      <w:pPr>
        <w:pStyle w:val="ListBullet"/>
        <w:numPr>
          <w:ilvl w:val="0"/>
          <w:numId w:val="1"/>
        </w:numPr>
        <w:spacing w:after="60"/>
      </w:pPr>
      <w:r>
        <w:rPr>
          <w:b/>
        </w:rPr>
        <w:t xml:space="preserve">tasks — </w:t>
      </w:r>
      <w:r>
        <w:rPr/>
        <w:t xml:space="preserve">id, group_id, label, subtitle, target_count, order</w:t>
      </w:r>
    </w:p>
    <w:p>
      <w:pPr>
        <w:pStyle w:val="ListBullet"/>
        <w:numPr>
          <w:ilvl w:val="0"/>
          <w:numId w:val="1"/>
        </w:numPr>
        <w:spacing w:after="60"/>
      </w:pPr>
      <w:r>
        <w:rPr>
          <w:b/>
        </w:rPr>
        <w:t xml:space="preserve">member_task_shares — </w:t>
      </w:r>
      <w:r>
        <w:rPr/>
        <w:t xml:space="preserve">task_id, user_id, target_count, effective_from/to — what the circle asks of ONE MEMBER for one task, over time (D61). One row per interval, never deleted: a change closes one and opens the next, so private.obligations judges a past day by the share in force that day. Readable by the whole circle (the split is not a secret — the collective goal is its sum), written only through set_member_task_share (admin-only). Applied everywhere as greatest(share, tasks.target_count), so a later circle-wide raise still wins.</w:t>
      </w:r>
    </w:p>
    <w:p>
      <w:pPr>
        <w:pStyle w:val="ListBullet"/>
        <w:numPr>
          <w:ilvl w:val="0"/>
          <w:numId w:val="1"/>
        </w:numPr>
        <w:spacing w:after="60"/>
      </w:pPr>
      <w:r>
        <w:rPr>
          <w:b/>
        </w:rPr>
        <w:t xml:space="preserve">member_task_goals — </w:t>
      </w:r>
      <w:r>
        <w:rPr/>
        <w:t xml:space="preserve">user_id, task_id, target_count — a member's optional RAISED bar for one task (D51). Private to its owner (own-row RLS: not peers, not admins), written only through set_task_goal, and applied everywhere as greatest(their share, override) so it can never lower what the circle asked. Read by the member's own rings and by the reminder dispatcher; deliberately NOT by day-completion, the rollup, or any collective figure.</w:t>
      </w:r>
    </w:p>
    <w:p>
      <w:pPr>
        <w:pStyle w:val="ListBullet"/>
        <w:numPr>
          <w:ilvl w:val="0"/>
          <w:numId w:val="1"/>
        </w:numPr>
        <w:spacing w:after="60"/>
      </w:pPr>
      <w:r>
        <w:rPr>
          <w:b/>
        </w:rPr>
        <w:t xml:space="preserve">logs — </w:t>
      </w:r>
      <w:r>
        <w:rPr/>
        <w:t xml:space="preserve">id, user_id, task_id, count, date, logged_by (nullable — the admin who logged it on the member's behalf; null = self; D29)</w:t>
      </w:r>
    </w:p>
    <w:p>
      <w:pPr>
        <w:pStyle w:val="ListBullet"/>
        <w:numPr>
          <w:ilvl w:val="0"/>
          <w:numId w:val="1"/>
        </w:numPr>
        <w:spacing w:after="60"/>
      </w:pPr>
      <w:r>
        <w:rPr>
          <w:b/>
        </w:rPr>
        <w:t xml:space="preserve">reminders — </w:t>
      </w:r>
      <w:r>
        <w:rPr/>
        <w:t xml:space="preserve">user_id, task_id, time (HH:MM), enabled — personal per-task custom reminder times (D30)</w:t>
      </w:r>
    </w:p>
    <w:p>
      <w:pPr>
        <w:pStyle w:val="ListBullet"/>
        <w:numPr>
          <w:ilvl w:val="0"/>
          <w:numId w:val="1"/>
        </w:numPr>
        <w:spacing w:after="60"/>
      </w:pPr>
      <w:r>
        <w:rPr>
          <w:b/>
        </w:rPr>
        <w:t xml:space="preserve">streaks — </w:t>
      </w:r>
      <w:r>
        <w:rPr/>
        <w:t xml:space="preserve">user_id, current, longest, freezes_left, last_active</w:t>
      </w:r>
    </w:p>
    <w:p>
      <w:pPr>
        <w:pStyle w:val="ListBullet"/>
        <w:numPr>
          <w:ilvl w:val="0"/>
          <w:numId w:val="1"/>
        </w:numPr>
        <w:spacing w:after="60"/>
      </w:pPr>
      <w:r>
        <w:rPr>
          <w:b/>
        </w:rPr>
        <w:t xml:space="preserve">daily_completion (rollup) — </w:t>
      </w:r>
      <w:r>
        <w:rPr/>
        <w:t xml:space="preserve">user_id, group_id, date, completion% — one small row per member per day, kept 90 days; powers the 30-day band, the 90-day rollup, and the steadfastness metric (D31). Lets raw logs be pruned at 14 days (amends D28)</w:t>
      </w:r>
    </w:p>
    <w:p>
      <w:pPr>
        <w:pStyle w:val="ListBullet"/>
        <w:numPr>
          <w:ilvl w:val="0"/>
          <w:numId w:val="1"/>
        </w:numPr>
        <w:spacing w:after="60"/>
      </w:pPr>
      <w:r>
        <w:rPr>
          <w:b/>
        </w:rPr>
        <w:t xml:space="preserve">push_subscriptions — </w:t>
      </w:r>
      <w:r>
        <w:rPr/>
        <w:t xml:space="preserve">user_id, endpoint, keys (for Web Push; see §4 v1.1)</w:t>
      </w:r>
    </w:p>
    <w:p>
      <w:pPr>
        <w:pStyle w:val="ListBullet"/>
        <w:numPr>
          <w:ilvl w:val="0"/>
          <w:numId w:val="1"/>
        </w:numPr>
        <w:spacing w:after="60"/>
      </w:pPr>
      <w:r>
        <w:rPr>
          <w:b/>
        </w:rPr>
        <w:t xml:space="preserve">reports — </w:t>
      </w:r>
      <w:r>
        <w:rPr/>
        <w:t xml:space="preserve">id, reporter_id, group_id/target, reason, status (D27 moderation queue)</w:t>
      </w:r>
    </w:p>
    <w:p>
      <w:pPr>
        <w:pStyle w:val="ListBullet"/>
        <w:numPr>
          <w:ilvl w:val="0"/>
          <w:numId w:val="1"/>
        </w:numPr>
        <w:spacing w:after="60"/>
      </w:pPr>
      <w:r>
        <w:rPr>
          <w:b/>
        </w:rPr>
        <w:t xml:space="preserve">audit_log — </w:t>
      </w:r>
      <w:r>
        <w:rPr/>
        <w:t xml:space="preserve">id, actor_id, action, target, at — every super-admin action is recorded (D27)</w:t>
      </w:r>
    </w:p>
    <w:p>
      <w:pPr>
        <w:spacing w:before="60" w:after="120"/>
      </w:pPr>
      <w:r>
        <w:rPr>
          <w:i/>
        </w:rPr>
        <w:t xml:space="preserve">Row-Level Security on every table (D26 ownership): a row is visible only to people in that group (owner / co-admin / member); writes to group config require owner or admin; delete group and transfer ownership require owner. Succession (D27): a co-admin may claim ownership when the owner is dormant (no activity &gt;= 14 days) or gone. Super-admin (D27): the only path that bypasses ownership — limited to recovery (reassign a dead group's owner) + moderation; no read access to group content; every action audited.</w:t>
      </w:r>
    </w:p>
    <w:p>
      <w:pPr>
        <w:spacing w:before="60" w:after="120"/>
      </w:pPr>
      <w:r>
        <w:rPr>
          <w:b/>
        </w:rPr>
        <w:t xml:space="preserve">Consistency tracker</w:t>
      </w:r>
      <w:r>
        <w:rPr/>
        <w:t xml:space="preserve"> is derived from logs (count per user / item / date) vs each item's target_count: a day's completion % = closed rings ÷ total tasks; the 30-day band (personal/admin) = % of the last 30 days fully completed, the 90-day rollup aggregates across members (the North Star). 7-day and personal 90-day windows were dropped (D28). Admin proxy-logging (D29) writes logs.logged_by, each proxy edit backed by an audit_log row. The admin per-task fortnight breakdown (§4) is a bounded logs range scan (one member x group tasks x last 14 days).</w:t>
      </w:r>
    </w:p>
    <w:p>
      <w:pPr>
        <w:spacing w:before="60" w:after="120"/>
      </w:pPr>
      <w:r>
        <w:rPr>
          <w:b/>
        </w:rPr>
        <w:t xml:space="preserve">Retention split (D31, amends D28). </w:t>
      </w:r>
      <w:r>
        <w:rPr/>
        <w:t xml:space="preserve">Two layers, so longitudinal views are cheap without hoarding raw counts. Raw logs -&gt; 14 days: exact per-task counts feeding only short-window reads (today's live counter + rings, the 7-day leaderboard, the 14-day editable grid incl. D29 proxy-edits / self-correct), so raw retention = the editable-grid window and corrections only reach back 14 days. daily_completion rollup -&gt; 90 days: one row per member per day (completion%), written nightly before raw logs are pruned, read by everything longitudinal (30-day band, 90-day group rollup, streaks/badges/garden, steadfastness). steadfastness = AVG(completion%) over a member's last 90 rollup rows — a rate, never a stored cumulative score (D31). The rollup goes back 3x longer than raw logs yet stores fewer rows (1/day vs one per task/day), so it stays cheap and flat.</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7. Tech stack</w:t>
      </w:r>
    </w:p>
    <w:tbl>
      <w:tblPr>
        <w:tblW w:w="9360" w:type="dxa"/>
        <w:tblLayout w:type="fixed"/>
        <w:tblBorders>
          <w:top w:val="single" w:sz="4" w:space="0" w:color="C9D6CF"/>
          <w:left w:val="single" w:sz="4" w:space="0" w:color="C9D6CF"/>
          <w:bottom w:val="single" w:sz="4" w:space="0" w:color="C9D6CF"/>
          <w:right w:val="single" w:sz="4" w:space="0" w:color="C9D6CF"/>
          <w:insideH w:val="single" w:sz="4" w:space="0" w:color="C9D6CF"/>
          <w:insideV w:val="single" w:sz="4" w:space="0" w:color="C9D6CF"/>
        </w:tblBorders>
        <w:tblCellMar>
          <w:top w:w="60" w:type="dxa"/>
          <w:left w:w="100" w:type="dxa"/>
          <w:bottom w:w="60" w:type="dxa"/>
          <w:right w:w="100" w:type="dxa"/>
        </w:tblCellMar>
      </w:tblPr>
      <w:tblGrid>
        <w:gridCol w:w="3400"/>
        <w:gridCol w:w="5960"/>
      </w:tblGrid>
      <w:tr>
        <w:trPr>
          <w:tblHeader/>
        </w:trPr>
        <w:tc>
          <w:tcPr>
            <w:tcW w:w="3400" w:type="dxa"/>
            <w:shd w:val="clear" w:color="auto" w:fill="E3F0EB"/>
            <w:vAlign w:val="center"/>
          </w:tcPr>
          <w:p>
            <w:pPr>
              <w:spacing w:before="40" w:after="40"/>
            </w:pPr>
            <w:r>
              <w:rPr>
                <w:b/>
                <w:color w:val="1F7A5A"/>
              </w:rPr>
              <w:t xml:space="preserve">Concern</w:t>
            </w:r>
          </w:p>
        </w:tc>
        <w:tc>
          <w:tcPr>
            <w:tcW w:w="5960" w:type="dxa"/>
            <w:shd w:val="clear" w:color="auto" w:fill="E3F0EB"/>
            <w:vAlign w:val="center"/>
          </w:tcPr>
          <w:p>
            <w:pPr>
              <w:spacing w:before="40" w:after="40"/>
            </w:pPr>
            <w:r>
              <w:rPr>
                <w:b/>
                <w:color w:val="1F7A5A"/>
              </w:rPr>
              <w:t xml:space="preserve">Choice</w:t>
            </w:r>
          </w:p>
        </w:tc>
      </w:tr>
      <w:tr>
        <w:tc>
          <w:tcPr>
            <w:tcW w:w="3400" w:type="dxa"/>
            <w:vAlign w:val="center"/>
          </w:tcPr>
          <w:p>
            <w:pPr>
              <w:spacing w:before="40" w:after="40"/>
            </w:pPr>
            <w:r>
              <w:rPr/>
              <w:t xml:space="preserve">Framework</w:t>
            </w:r>
          </w:p>
        </w:tc>
        <w:tc>
          <w:tcPr>
            <w:tcW w:w="5960" w:type="dxa"/>
            <w:vAlign w:val="center"/>
          </w:tcPr>
          <w:p>
            <w:pPr>
              <w:spacing w:before="40" w:after="40"/>
            </w:pPr>
            <w:r>
              <w:rPr>
                <w:b/>
              </w:rPr>
              <w:t xml:space="preserve">Next.js (App Router) + React + TypeScript</w:t>
            </w:r>
          </w:p>
        </w:tc>
      </w:tr>
      <w:tr>
        <w:tc>
          <w:tcPr>
            <w:tcW w:w="3400" w:type="dxa"/>
            <w:vAlign w:val="center"/>
          </w:tcPr>
          <w:p>
            <w:pPr>
              <w:spacing w:before="40" w:after="40"/>
            </w:pPr>
            <w:r>
              <w:rPr/>
              <w:t xml:space="preserve">UI</w:t>
            </w:r>
          </w:p>
        </w:tc>
        <w:tc>
          <w:tcPr>
            <w:tcW w:w="5960" w:type="dxa"/>
            <w:vAlign w:val="center"/>
          </w:tcPr>
          <w:p>
            <w:pPr>
              <w:spacing w:before="40" w:after="40"/>
            </w:pPr>
            <w:r>
              <w:rPr/>
              <w:t xml:space="preserve">Tailwind + shadcn/ui</w:t>
            </w:r>
          </w:p>
        </w:tc>
      </w:tr>
      <w:tr>
        <w:tc>
          <w:tcPr>
            <w:tcW w:w="3400" w:type="dxa"/>
            <w:vAlign w:val="center"/>
          </w:tcPr>
          <w:p>
            <w:pPr>
              <w:spacing w:before="40" w:after="40"/>
            </w:pPr>
            <w:r>
              <w:rPr/>
              <w:t xml:space="preserve">Backend / DB / Auth / Realtime</w:t>
            </w:r>
          </w:p>
        </w:tc>
        <w:tc>
          <w:tcPr>
            <w:tcW w:w="5960" w:type="dxa"/>
            <w:vAlign w:val="center"/>
          </w:tcPr>
          <w:p>
            <w:pPr>
              <w:spacing w:before="40" w:after="40"/>
            </w:pPr>
            <w:r>
              <w:rPr>
                <w:b/>
              </w:rPr>
              <w:t xml:space="preserve">Supabase</w:t>
            </w:r>
            <w:r>
              <w:rPr/>
              <w:t xml:space="preserve"> (Postgres, Auth, Realtime)</w:t>
            </w:r>
          </w:p>
        </w:tc>
      </w:tr>
      <w:tr>
        <w:tc>
          <w:tcPr>
            <w:tcW w:w="3400" w:type="dxa"/>
            <w:vAlign w:val="center"/>
          </w:tcPr>
          <w:p>
            <w:pPr>
              <w:spacing w:before="40" w:after="40"/>
            </w:pPr>
            <w:r>
              <w:rPr/>
              <w:t xml:space="preserve">Hosting</w:t>
            </w:r>
          </w:p>
        </w:tc>
        <w:tc>
          <w:tcPr>
            <w:tcW w:w="5960" w:type="dxa"/>
            <w:vAlign w:val="center"/>
          </w:tcPr>
          <w:p>
            <w:pPr>
              <w:spacing w:before="40" w:after="40"/>
            </w:pPr>
            <w:r>
              <w:rPr>
                <w:b/>
              </w:rPr>
              <w:t xml:space="preserve">Vercel</w:t>
            </w:r>
          </w:p>
        </w:tc>
      </w:tr>
      <w:tr>
        <w:tc>
          <w:tcPr>
            <w:tcW w:w="3400" w:type="dxa"/>
            <w:vAlign w:val="center"/>
          </w:tcPr>
          <w:p>
            <w:pPr>
              <w:spacing w:before="40" w:after="40"/>
            </w:pPr>
            <w:r>
              <w:rPr/>
              <w:t xml:space="preserve">Delivery</w:t>
            </w:r>
          </w:p>
        </w:tc>
        <w:tc>
          <w:tcPr>
            <w:tcW w:w="5960" w:type="dxa"/>
            <w:vAlign w:val="center"/>
          </w:tcPr>
          <w:p>
            <w:pPr>
              <w:spacing w:before="40" w:after="40"/>
            </w:pPr>
            <w:r>
              <w:rPr>
                <w:b/>
              </w:rPr>
              <w:t xml:space="preserve">Installable PWA</w:t>
            </w:r>
            <w:r>
              <w:rPr/>
              <w:t xml:space="preserve"> (no app store — works on any phone via browser)</w:t>
            </w:r>
          </w:p>
        </w:tc>
      </w:tr>
      <w:tr>
        <w:tc>
          <w:tcPr>
            <w:tcW w:w="3400" w:type="dxa"/>
            <w:vAlign w:val="center"/>
          </w:tcPr>
          <w:p>
            <w:pPr>
              <w:spacing w:before="40" w:after="40"/>
            </w:pPr>
            <w:r>
              <w:rPr/>
              <w:t xml:space="preserve">Tracking</w:t>
            </w:r>
          </w:p>
        </w:tc>
        <w:tc>
          <w:tcPr>
            <w:tcW w:w="5960" w:type="dxa"/>
            <w:vAlign w:val="center"/>
          </w:tcPr>
          <w:p>
            <w:pPr>
              <w:spacing w:before="40" w:after="40"/>
            </w:pPr>
            <w:r>
              <w:rPr>
                <w:b/>
              </w:rPr>
              <w:t xml:space="preserve">Linear</w:t>
            </w:r>
            <w:r>
              <w:rPr/>
              <w:t xml:space="preserve"> (team CET)</w:t>
            </w:r>
          </w:p>
        </w:tc>
      </w:tr>
    </w:tbl>
    <w:p>
      <w:pPr>
        <w:spacing w:after="120"/>
      </w:pP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8. Explicitly out of scope (v1)</w:t>
      </w:r>
    </w:p>
    <w:p>
      <w:pPr>
        <w:spacing w:before="0" w:after="120"/>
      </w:pPr>
      <w:r>
        <w:rPr/>
        <w:t xml:space="preserve">Native iOS/Android apps · payments · multiple languages · in-app messaging/chat · web-only desktop-first design (we are mobile-first).</w:t>
      </w:r>
    </w:p>
    <w:p>
      <w:pPr>
        <w:pBdr>
          <w:bottom w:val="single" w:sz="6" w:space="6" w:color="C9D6CF"/>
        </w:pBdr>
        <w:spacing w:after="160"/>
      </w:pPr>
    </w:p>
    <w:p>
      <w:pPr>
        <w:pStyle w:val="Heading1"/>
        <w:keepNext/>
        <w:spacing w:before="240" w:after="120"/>
      </w:pPr>
      <w:r>
        <w:rPr>
          <w:b/>
          <w:color w:val="1F7A5A"/>
          <w:sz w:val="36"/>
          <w:szCs w:val="36"/>
          <w:rFonts w:ascii="Calibri" w:hAnsi="Calibri"/>
        </w:rPr>
        <w:t xml:space="preserve">9. Success = retention, not signups</w:t>
      </w:r>
    </w:p>
    <w:tbl>
      <w:tblPr>
        <w:tblW w:w="9360" w:type="dxa"/>
        <w:tblLayout w:type="fixed"/>
        <w:tblBorders>
          <w:top w:val="single" w:sz="4" w:space="0" w:color="C9D6CF"/>
          <w:left w:val="single" w:sz="4" w:space="0" w:color="C9D6CF"/>
          <w:bottom w:val="single" w:sz="4" w:space="0" w:color="C9D6CF"/>
          <w:right w:val="single" w:sz="4" w:space="0" w:color="C9D6CF"/>
          <w:insideH w:val="single" w:sz="4" w:space="0" w:color="C9D6CF"/>
          <w:insideV w:val="single" w:sz="4" w:space="0" w:color="C9D6CF"/>
        </w:tblBorders>
        <w:tblCellMar>
          <w:top w:w="60" w:type="dxa"/>
          <w:left w:w="100" w:type="dxa"/>
          <w:bottom w:w="60" w:type="dxa"/>
          <w:right w:w="100" w:type="dxa"/>
        </w:tblCellMar>
      </w:tblPr>
      <w:tblGrid>
        <w:gridCol w:w="3400"/>
        <w:gridCol w:w="5960"/>
      </w:tblGrid>
      <w:tr>
        <w:trPr>
          <w:tblHeader/>
        </w:trPr>
        <w:tc>
          <w:tcPr>
            <w:tcW w:w="3400" w:type="dxa"/>
            <w:shd w:val="clear" w:color="auto" w:fill="E3F0EB"/>
            <w:vAlign w:val="center"/>
          </w:tcPr>
          <w:p>
            <w:pPr>
              <w:spacing w:before="40" w:after="40"/>
            </w:pPr>
            <w:r>
              <w:rPr>
                <w:b/>
                <w:color w:val="1F7A5A"/>
              </w:rPr>
              <w:t xml:space="preserve">Metric</w:t>
            </w:r>
          </w:p>
        </w:tc>
        <w:tc>
          <w:tcPr>
            <w:tcW w:w="5960" w:type="dxa"/>
            <w:shd w:val="clear" w:color="auto" w:fill="E3F0EB"/>
            <w:vAlign w:val="center"/>
          </w:tcPr>
          <w:p>
            <w:pPr>
              <w:spacing w:before="40" w:after="40"/>
            </w:pPr>
            <w:r>
              <w:rPr>
                <w:b/>
                <w:color w:val="1F7A5A"/>
              </w:rPr>
              <w:t xml:space="preserve">Target</w:t>
            </w:r>
          </w:p>
        </w:tc>
      </w:tr>
      <w:tr>
        <w:tc>
          <w:tcPr>
            <w:tcW w:w="3400" w:type="dxa"/>
            <w:vAlign w:val="center"/>
          </w:tcPr>
          <w:p>
            <w:pPr>
              <w:spacing w:before="40" w:after="40"/>
            </w:pPr>
            <w:r>
              <w:rPr>
                <w:b/>
              </w:rPr>
              <w:t xml:space="preserve">D7 retention</w:t>
            </w:r>
          </w:p>
        </w:tc>
        <w:tc>
          <w:tcPr>
            <w:tcW w:w="5960" w:type="dxa"/>
            <w:vAlign w:val="center"/>
          </w:tcPr>
          <w:p>
            <w:pPr>
              <w:spacing w:before="40" w:after="40"/>
            </w:pPr>
            <w:r>
              <w:rPr/>
              <w:t xml:space="preserve">members active 7 days after joining</w:t>
            </w:r>
          </w:p>
        </w:tc>
      </w:tr>
      <w:tr>
        <w:tc>
          <w:tcPr>
            <w:tcW w:w="3400" w:type="dxa"/>
            <w:vAlign w:val="center"/>
          </w:tcPr>
          <w:p>
            <w:pPr>
              <w:spacing w:before="40" w:after="40"/>
            </w:pPr>
            <w:r>
              <w:rPr>
                <w:b/>
              </w:rPr>
              <w:t xml:space="preserve">Daily completion rate</w:t>
            </w:r>
          </w:p>
        </w:tc>
        <w:tc>
          <w:tcPr>
            <w:tcW w:w="5960" w:type="dxa"/>
            <w:vAlign w:val="center"/>
          </w:tcPr>
          <w:p>
            <w:pPr>
              <w:spacing w:before="40" w:after="40"/>
            </w:pPr>
            <w:r>
              <w:rPr/>
              <w:t xml:space="preserve">% of members closing all rings</w:t>
            </w:r>
          </w:p>
        </w:tc>
      </w:tr>
      <w:tr>
        <w:tc>
          <w:tcPr>
            <w:tcW w:w="3400" w:type="dxa"/>
            <w:vAlign w:val="center"/>
          </w:tcPr>
          <w:p>
            <w:pPr>
              <w:spacing w:before="40" w:after="40"/>
            </w:pPr>
            <w:r>
              <w:rPr>
                <w:b/>
              </w:rPr>
              <w:t xml:space="preserve">Streak survival</w:t>
            </w:r>
          </w:p>
        </w:tc>
        <w:tc>
          <w:tcPr>
            <w:tcW w:w="5960" w:type="dxa"/>
            <w:vAlign w:val="center"/>
          </w:tcPr>
          <w:p>
            <w:pPr>
              <w:spacing w:before="40" w:after="40"/>
            </w:pPr>
            <w:r>
              <w:rPr/>
              <w:t xml:space="preserve">% keeping a 14-day+ streak</w:t>
            </w:r>
          </w:p>
        </w:tc>
      </w:tr>
      <w:tr>
        <w:tc>
          <w:tcPr>
            <w:tcW w:w="3400" w:type="dxa"/>
            <w:vAlign w:val="center"/>
          </w:tcPr>
          <w:p>
            <w:pPr>
              <w:spacing w:before="40" w:after="40"/>
            </w:pPr>
            <w:r>
              <w:rPr>
                <w:b/>
              </w:rPr>
              <w:t xml:space="preserve">Group liveness</w:t>
            </w:r>
          </w:p>
        </w:tc>
        <w:tc>
          <w:tcPr>
            <w:tcW w:w="5960" w:type="dxa"/>
            <w:vAlign w:val="center"/>
          </w:tcPr>
          <w:p>
            <w:pPr>
              <w:spacing w:before="40" w:after="40"/>
            </w:pPr>
            <w:r>
              <w:rPr/>
              <w:t xml:space="preserve">groups with daily collective activity</w:t>
            </w:r>
          </w:p>
        </w:tc>
      </w:tr>
    </w:tbl>
    <w:p>
      <w:pPr>
        <w:spacing w:after="120"/>
      </w:pPr>
    </w:p>
    <w:p>
      <w:pPr>
        <w:shd w:val="clear" w:color="auto" w:fill="E3F0EB"/>
        <w:spacing w:before="40" w:after="120"/>
      </w:pPr>
      <w:r>
        <w:rPr>
          <w:b/>
        </w:rPr>
        <w:t xml:space="preserve">North star: </w:t>
      </w:r>
      <w:r>
        <w:rPr/>
        <w:t xml:space="preserve">70%+ consistency across a group over 90 days — showing up, not perfection.</w:t>
      </w:r>
    </w:p>
    <w:p>
      <w:pPr>
        <w:spacing w:before="40" w:after="120"/>
      </w:pPr>
      <w:r>
        <w:rPr/>
        <w:t xml:space="preserve">The consistency tracker (§4) is the in-app surface for these metrics — what's measured for success is also what members and admins see, so the product and the goal stay aligned.</w:t>
      </w:r>
    </w:p>
    <w:sectPr>
      <w:pgSz w:w="11906" w:h="16838"/>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szCs w:val="21"/>
      </w:rPr>
    </w:rPrDefault>
    <w:pPrDefault>
      <w:pPr>
        <w:spacing w:after="120" w:line="276" w:lineRule="auto"/>
      </w:pPr>
    </w:pPrDefault>
  </w:docDefaults>
  <w:style w:type="paragraph" w:default="1" w:styleId="Normal">
    <w:name w:val="Normal"/>
  </w:style>
  <w:style w:type="paragraph" w:styleId="Heading1">
    <w:name w:val="heading 1"/>
    <w:basedOn w:val="Normal"/>
    <w:next w:val="Normal"/>
    <w:pPr>
      <w:outlineLvl w:val="0"/>
    </w:pPr>
    <w:rPr>
      <w:b/>
      <w:color w:val="1F7A5A"/>
      <w:sz w:val="32"/>
    </w:rPr>
  </w:style>
  <w:style w:type="paragraph" w:styleId="Heading2">
    <w:name w:val="heading 2"/>
    <w:basedOn w:val="Normal"/>
    <w:next w:val="Normal"/>
    <w:pPr>
      <w:outlineLvl w:val="1"/>
    </w:pPr>
    <w:rPr>
      <w:b/>
      <w:color w:val="1F7A5A"/>
      <w:sz w:val="26"/>
    </w:rPr>
  </w:style>
  <w:style w:type="paragraph" w:styleId="ListBullet">
    <w:name w:val="List Bullet"/>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