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rFonts w:ascii="Calibri" w:hAnsi="Calibri"/>
          <w:b/>
          <w:color w:val="0B1B2B"/>
          <w:sz w:val="52"/>
        </w:rPr>
        <w:t>SENTINEL-X</w:t>
      </w:r>
    </w:p>
    <w:p>
      <w:pPr>
        <w:spacing w:after="20"/>
      </w:pPr>
      <w:r>
        <w:rPr>
          <w:rFonts w:ascii="Calibri" w:hAnsi="Calibri"/>
          <w:b/>
          <w:color w:val="EB001B"/>
          <w:sz w:val="26"/>
        </w:rPr>
        <w:t>Autonomous Adversarial Payment Twin</w:t>
      </w:r>
    </w:p>
    <w:p>
      <w:pPr>
        <w:spacing w:after="160"/>
      </w:pPr>
      <w:r>
        <w:rPr>
          <w:rFonts w:ascii="Calibri" w:hAnsi="Calibri"/>
          <w:i/>
          <w:color w:val="5A6670"/>
          <w:sz w:val="19"/>
        </w:rPr>
        <w:t>AI Defence Lab for Payment Security  |  Mastercard Innovation Challenge @ GFF 2026</w:t>
      </w:r>
    </w:p>
    <w:tbl>
      <w:tblPr>
        <w:tblW w:type="auto" w:w="0"/>
        <w:tblLook w:firstColumn="1" w:firstRow="1" w:lastColumn="0" w:lastRow="0" w:noHBand="0" w:noVBand="1" w:val="04A0"/>
      </w:tblPr>
      <w:tblGrid>
        <w:gridCol w:w="10318"/>
      </w:tblGrid>
      <w:tr>
        <w:trPr>
          <w:cantSplit/>
        </w:trPr>
        <w:tc>
          <w:tcPr>
            <w:tcW w:type="dxa" w:w="10318"/>
            <w:shd w:fill="0B1B2B"/>
            <w:tcBorders>
              <w:top w:val="single" w:sz="8" w:space="0" w:color="0B1B2B"/>
              <w:left w:val="single" w:sz="8" w:space="0" w:color="0B1B2B"/>
              <w:bottom w:val="single" w:sz="8" w:space="0" w:color="0B1B2B"/>
              <w:right w:val="single" w:sz="8" w:space="0" w:color="0B1B2B"/>
            </w:tcBorders>
            <w:tcMar>
              <w:top w:w="45" w:type="dxa"/>
              <w:bottom w:w="45" w:type="dxa"/>
              <w:left w:w="100" w:type="dxa"/>
              <w:right w:w="100" w:type="dxa"/>
            </w:tcMar>
          </w:tcPr>
          <w:p>
            <w:pPr>
              <w:spacing w:after="60"/>
            </w:pPr>
            <w:r>
              <w:rPr>
                <w:rFonts w:ascii="Calibri" w:hAnsi="Calibri"/>
                <w:b/>
                <w:i w:val="0"/>
                <w:color w:val="FFFFFF"/>
                <w:sz w:val="20"/>
              </w:rPr>
            </w:r>
          </w:p>
          <w:p>
            <w:pPr>
              <w:spacing w:after="40" w:before="0"/>
              <w:ind w:left="198"/>
            </w:pPr>
            <w:r>
              <w:rPr>
                <w:rFonts w:ascii="Calibri" w:hAnsi="Calibri"/>
                <w:i w:val="0"/>
                <w:color w:val="FFFFFF"/>
                <w:sz w:val="20"/>
              </w:rPr>
              <w:t>Sentinel-X does not wait for the next fraud pattern to be labeled. It runs a closed-loop system against its own detector: a red team invents and evolves synthetic attacks, a deterministic LightGBM detector is measured for where it fails, the failure is explained (SHAP) and root-caused, a defense policy is compiled and human-approved, and the hardened detector is re-attacked to prove the gap actually closed — with every step producing an auditable, reproducible number.</w:t>
            </w:r>
          </w:p>
        </w:tc>
      </w:tr>
    </w:tbl>
    <w:p>
      <w:pPr>
        <w:spacing w:after="40"/>
      </w:pPr>
    </w:p>
    <w:tbl>
      <w:tblPr>
        <w:tblW w:type="auto" w:w="0"/>
        <w:tblLayout w:type="fixed"/>
        <w:tblLook w:firstColumn="1" w:firstRow="1" w:lastColumn="0" w:lastRow="0" w:noHBand="0" w:noVBand="1" w:val="04A0"/>
      </w:tblPr>
      <w:tblGrid>
        <w:gridCol w:w="3439"/>
        <w:gridCol w:w="3439"/>
        <w:gridCol w:w="3439"/>
      </w:tblGrid>
      <w:tr>
        <w:tc>
          <w:tcPr>
            <w:tcW w:type="dxa" w:w="3402"/>
            <w:shd w:fill="F2F4F6"/>
            <w:tcBorders>
              <w:top w:val="single" w:sz="4" w:space="0" w:color="B8C0C8"/>
              <w:left w:val="single" w:sz="4" w:space="0" w:color="B8C0C8"/>
              <w:bottom w:val="single" w:sz="4" w:space="0" w:color="B8C0C8"/>
              <w:right w:val="single" w:sz="4" w:space="0" w:color="B8C0C8"/>
            </w:tcBorders>
            <w:tcMar>
              <w:top w:w="70" w:type="dxa"/>
              <w:bottom w:w="70" w:type="dxa"/>
              <w:left w:w="90" w:type="dxa"/>
              <w:right w:w="90" w:type="dxa"/>
            </w:tcMar>
          </w:tcPr>
          <w:p>
            <w:pPr>
              <w:spacing w:after="60"/>
            </w:pPr>
            <w:r>
              <w:rPr>
                <w:rFonts w:ascii="Calibri" w:hAnsi="Calibri"/>
                <w:b/>
                <w:color w:val="EB001B"/>
                <w:sz w:val="18"/>
              </w:rPr>
              <w:t>THE PROBLEM</w:t>
            </w:r>
          </w:p>
          <w:p>
            <w:pPr>
              <w:spacing w:after="60"/>
            </w:pPr>
            <w:r>
              <w:rPr>
                <w:rFonts w:ascii="Calibri" w:hAnsi="Calibri"/>
                <w:color w:val="1A1A1A"/>
                <w:sz w:val="15"/>
              </w:rPr>
              <w:t>Payment fraud is no longer static. Attackers adapt behavior, identity, timing, channel and social-engineering pretext in response to whatever the defender just learned.</w:t>
            </w:r>
          </w:p>
          <w:p>
            <w:pPr>
              <w:spacing w:after="60"/>
            </w:pPr>
            <w:r>
              <w:rPr>
                <w:rFonts w:ascii="Calibri" w:hAnsi="Calibri"/>
                <w:color w:val="1A1A1A"/>
                <w:sz w:val="15"/>
              </w:rPr>
              <w:t>RBI's FY2024–25 Annual Report: digital-payment fraud accounted for 56.5% of all reported bank-fraud cases in India¹. Mastercard: 46% of financial institutions report rising deepfake-related fraud attempts².</w:t>
            </w:r>
          </w:p>
        </w:tc>
        <w:tc>
          <w:tcPr>
            <w:tcW w:type="dxa" w:w="3402"/>
            <w:shd w:fill="F2F4F6"/>
            <w:tcBorders>
              <w:top w:val="single" w:sz="4" w:space="0" w:color="B8C0C8"/>
              <w:left w:val="single" w:sz="4" w:space="0" w:color="B8C0C8"/>
              <w:bottom w:val="single" w:sz="4" w:space="0" w:color="B8C0C8"/>
              <w:right w:val="single" w:sz="4" w:space="0" w:color="B8C0C8"/>
            </w:tcBorders>
            <w:tcMar>
              <w:top w:w="70" w:type="dxa"/>
              <w:bottom w:w="70" w:type="dxa"/>
              <w:left w:w="90" w:type="dxa"/>
              <w:right w:w="90" w:type="dxa"/>
            </w:tcMar>
          </w:tcPr>
          <w:p>
            <w:pPr>
              <w:spacing w:after="60"/>
            </w:pPr>
            <w:r>
              <w:rPr>
                <w:rFonts w:ascii="Calibri" w:hAnsi="Calibri"/>
                <w:b/>
                <w:color w:val="D97B00"/>
                <w:sz w:val="18"/>
              </w:rPr>
              <w:t>THE GAP</w:t>
            </w:r>
          </w:p>
          <w:p>
            <w:pPr>
              <w:spacing w:after="60"/>
            </w:pPr>
            <w:r>
              <w:rPr>
                <w:rFonts w:ascii="Calibri" w:hAnsi="Calibri"/>
                <w:color w:val="1A1A1A"/>
                <w:sz w:val="15"/>
              </w:rPr>
              <w:t>A traditional detector answers one question: “Is this transaction fraudulent?” It is trained once, scored once, and has no mechanism to discover its own blind spots before an attacker does.</w:t>
            </w:r>
          </w:p>
          <w:p>
            <w:pPr>
              <w:spacing w:after="60"/>
            </w:pPr>
            <w:r>
              <w:rPr>
                <w:rFonts w:ascii="Calibri" w:hAnsi="Calibri"/>
                <w:color w:val="1A1A1A"/>
                <w:sz w:val="15"/>
              </w:rPr>
              <w:t>It cannot tell you whether an adaptive attacker can already defeat it, why, or whether a proposed fix actually closes the gap.</w:t>
            </w:r>
          </w:p>
        </w:tc>
        <w:tc>
          <w:tcPr>
            <w:tcW w:type="dxa" w:w="3402"/>
            <w:shd w:fill="F2F4F6"/>
            <w:tcBorders>
              <w:top w:val="single" w:sz="4" w:space="0" w:color="B8C0C8"/>
              <w:left w:val="single" w:sz="4" w:space="0" w:color="B8C0C8"/>
              <w:bottom w:val="single" w:sz="4" w:space="0" w:color="B8C0C8"/>
              <w:right w:val="single" w:sz="4" w:space="0" w:color="B8C0C8"/>
            </w:tcBorders>
            <w:tcMar>
              <w:top w:w="70" w:type="dxa"/>
              <w:bottom w:w="70" w:type="dxa"/>
              <w:left w:w="90" w:type="dxa"/>
              <w:right w:w="90" w:type="dxa"/>
            </w:tcMar>
          </w:tcPr>
          <w:p>
            <w:pPr>
              <w:spacing w:after="60"/>
            </w:pPr>
            <w:r>
              <w:rPr>
                <w:rFonts w:ascii="Calibri" w:hAnsi="Calibri"/>
                <w:b/>
                <w:color w:val="1E7A46"/>
                <w:sz w:val="18"/>
              </w:rPr>
              <w:t>THE ANSWER</w:t>
            </w:r>
          </w:p>
          <w:p>
            <w:pPr>
              <w:spacing w:after="60"/>
            </w:pPr>
            <w:r>
              <w:rPr>
                <w:rFonts w:ascii="Calibri" w:hAnsi="Calibri"/>
                <w:color w:val="1A1A1A"/>
                <w:sz w:val="15"/>
              </w:rPr>
              <w:t>Sentinel-X asks a different question: “Can an adaptive attacker defeat my current defense, why did it defeat it, and does the hardened defense measurably close that gap?”</w:t>
            </w:r>
          </w:p>
          <w:p>
            <w:pPr>
              <w:spacing w:after="60"/>
            </w:pPr>
            <w:r>
              <w:rPr>
                <w:rFonts w:ascii="Calibri" w:hAnsi="Calibri"/>
                <w:color w:val="1A1A1A"/>
                <w:sz w:val="15"/>
              </w:rPr>
              <w:t>Every stage of that loop is a real, running module in this codebase — not a slide.</w:t>
            </w:r>
          </w:p>
        </w:tc>
      </w:tr>
    </w:tbl>
    <w:p>
      <w:pPr>
        <w:spacing w:after="40"/>
      </w:pPr>
    </w:p>
    <w:p>
      <w:pPr>
        <w:spacing w:before="90" w:after="30"/>
      </w:pPr>
      <w:r>
        <w:rPr>
          <w:rFonts w:ascii="Calibri" w:hAnsi="Calibri"/>
          <w:b/>
          <w:color w:val="EB001B"/>
          <w:sz w:val="19"/>
        </w:rPr>
        <w:t>The Closed Loop — One Diagram</w:t>
      </w:r>
    </w:p>
    <w:tbl>
      <w:tblPr>
        <w:tblW w:type="auto" w:w="0"/>
        <w:jc w:val="center"/>
        <w:tblLayout w:type="fixed"/>
        <w:tblLook w:firstColumn="1" w:firstRow="1" w:lastColumn="0" w:lastRow="0" w:noHBand="0" w:noVBand="1" w:val="04A0"/>
      </w:tblPr>
      <w:tblGrid>
        <w:gridCol w:w="10318"/>
      </w:tblGrid>
      <w:tr>
        <w:tc>
          <w:tcPr>
            <w:tcW w:type="dxa" w:w="8787"/>
            <w:shd w:fill="0B1B2B"/>
            <w:tcBorders>
              <w:top w:val="single" w:sz="4" w:space="0" w:color="0B1B2B"/>
              <w:left w:val="single" w:sz="4" w:space="0" w:color="0B1B2B"/>
              <w:bottom w:val="single" w:sz="4" w:space="0" w:color="0B1B2B"/>
              <w:right w:val="single" w:sz="4" w:space="0" w:color="0B1B2B"/>
            </w:tcBorders>
            <w:tcMar>
              <w:top w:w="28" w:type="dxa"/>
              <w:bottom w:w="28" w:type="dxa"/>
              <w:left w:w="60" w:type="dxa"/>
              <w:right w:w="60" w:type="dxa"/>
            </w:tcMar>
            <w:vAlign w:val="center"/>
          </w:tcPr>
          <w:p>
            <w:pPr>
              <w:spacing w:after="0" w:before="0"/>
              <w:jc w:val="center"/>
            </w:pPr>
            <w:r>
              <w:rPr>
                <w:rFonts w:ascii="Calibri" w:hAnsi="Calibri"/>
                <w:b/>
                <w:color w:val="FFFFFF"/>
                <w:sz w:val="17"/>
              </w:rPr>
              <w:t>PAYMENT TWIN  (synthetic, seeded, 10k customers)</w:t>
            </w:r>
          </w:p>
        </w:tc>
      </w:tr>
    </w:tbl>
    <w:p>
      <w:pPr>
        <w:spacing w:after="20" w:before="20"/>
        <w:jc w:val="center"/>
      </w:pPr>
      <w:r>
        <w:rPr>
          <w:i w:val="0"/>
          <w:color w:val="5A6670"/>
          <w:sz w:val="16"/>
        </w:rPr>
        <w:t>↓</w:t>
      </w:r>
    </w:p>
    <w:tbl>
      <w:tblPr>
        <w:tblW w:type="auto" w:w="0"/>
        <w:jc w:val="center"/>
        <w:tblLayout w:type="fixed"/>
        <w:tblLook w:firstColumn="1" w:firstRow="1" w:lastColumn="0" w:lastRow="0" w:noHBand="0" w:noVBand="1" w:val="04A0"/>
      </w:tblPr>
      <w:tblGrid>
        <w:gridCol w:w="10318"/>
      </w:tblGrid>
      <w:tr>
        <w:tc>
          <w:tcPr>
            <w:tcW w:type="dxa" w:w="8787"/>
            <w:shd w:fill="0B1B2B"/>
            <w:tcBorders>
              <w:top w:val="single" w:sz="4" w:space="0" w:color="0B1B2B"/>
              <w:left w:val="single" w:sz="4" w:space="0" w:color="0B1B2B"/>
              <w:bottom w:val="single" w:sz="4" w:space="0" w:color="0B1B2B"/>
              <w:right w:val="single" w:sz="4" w:space="0" w:color="0B1B2B"/>
            </w:tcBorders>
            <w:tcMar>
              <w:top w:w="28" w:type="dxa"/>
              <w:bottom w:w="28" w:type="dxa"/>
              <w:left w:w="60" w:type="dxa"/>
              <w:right w:w="60" w:type="dxa"/>
            </w:tcMar>
            <w:vAlign w:val="center"/>
          </w:tcPr>
          <w:p>
            <w:pPr>
              <w:spacing w:after="0" w:before="0"/>
              <w:jc w:val="center"/>
            </w:pPr>
            <w:r>
              <w:rPr>
                <w:rFonts w:ascii="Calibri" w:hAnsi="Calibri"/>
                <w:b/>
                <w:color w:val="FFFFFF"/>
                <w:sz w:val="17"/>
              </w:rPr>
              <w:t>RED TEAM  (5 attack genomes + evolutionary mutation)</w:t>
            </w:r>
          </w:p>
        </w:tc>
      </w:tr>
    </w:tbl>
    <w:p>
      <w:pPr>
        <w:spacing w:after="20" w:before="20"/>
        <w:jc w:val="center"/>
      </w:pPr>
      <w:r>
        <w:rPr>
          <w:i w:val="0"/>
          <w:color w:val="5A6670"/>
          <w:sz w:val="16"/>
        </w:rPr>
        <w:t>↓</w:t>
      </w:r>
    </w:p>
    <w:tbl>
      <w:tblPr>
        <w:tblW w:type="auto" w:w="0"/>
        <w:jc w:val="center"/>
        <w:tblLayout w:type="fixed"/>
        <w:tblLook w:firstColumn="1" w:firstRow="1" w:lastColumn="0" w:lastRow="0" w:noHBand="0" w:noVBand="1" w:val="04A0"/>
      </w:tblPr>
      <w:tblGrid>
        <w:gridCol w:w="10318"/>
      </w:tblGrid>
      <w:tr>
        <w:tc>
          <w:tcPr>
            <w:tcW w:type="dxa" w:w="8787"/>
            <w:shd w:fill="0B1B2B"/>
            <w:tcBorders>
              <w:top w:val="single" w:sz="4" w:space="0" w:color="0B1B2B"/>
              <w:left w:val="single" w:sz="4" w:space="0" w:color="0B1B2B"/>
              <w:bottom w:val="single" w:sz="4" w:space="0" w:color="0B1B2B"/>
              <w:right w:val="single" w:sz="4" w:space="0" w:color="0B1B2B"/>
            </w:tcBorders>
            <w:tcMar>
              <w:top w:w="28" w:type="dxa"/>
              <w:bottom w:w="28" w:type="dxa"/>
              <w:left w:w="60" w:type="dxa"/>
              <w:right w:w="60" w:type="dxa"/>
            </w:tcMar>
            <w:vAlign w:val="center"/>
          </w:tcPr>
          <w:p>
            <w:pPr>
              <w:spacing w:after="0" w:before="0"/>
              <w:jc w:val="center"/>
            </w:pPr>
            <w:r>
              <w:rPr>
                <w:rFonts w:ascii="Calibri" w:hAnsi="Calibri"/>
                <w:b/>
                <w:color w:val="FFFFFF"/>
                <w:sz w:val="17"/>
              </w:rPr>
              <w:t>BLUE TEAM DETECTION  (LightGBM + graph features)</w:t>
            </w:r>
          </w:p>
        </w:tc>
      </w:tr>
    </w:tbl>
    <w:p>
      <w:pPr>
        <w:spacing w:after="20" w:before="20"/>
        <w:jc w:val="center"/>
      </w:pPr>
      <w:r>
        <w:rPr>
          <w:i w:val="0"/>
          <w:color w:val="5A6670"/>
          <w:sz w:val="16"/>
        </w:rPr>
        <w:t>↓</w:t>
      </w:r>
    </w:p>
    <w:tbl>
      <w:tblPr>
        <w:tblW w:type="auto" w:w="0"/>
        <w:jc w:val="center"/>
        <w:tblLayout w:type="fixed"/>
        <w:tblLook w:firstColumn="1" w:firstRow="1" w:lastColumn="0" w:lastRow="0" w:noHBand="0" w:noVBand="1" w:val="04A0"/>
      </w:tblPr>
      <w:tblGrid>
        <w:gridCol w:w="10318"/>
      </w:tblGrid>
      <w:tr>
        <w:tc>
          <w:tcPr>
            <w:tcW w:type="dxa" w:w="8787"/>
            <w:shd w:fill="0B1B2B"/>
            <w:tcBorders>
              <w:top w:val="single" w:sz="4" w:space="0" w:color="0B1B2B"/>
              <w:left w:val="single" w:sz="4" w:space="0" w:color="0B1B2B"/>
              <w:bottom w:val="single" w:sz="4" w:space="0" w:color="0B1B2B"/>
              <w:right w:val="single" w:sz="4" w:space="0" w:color="0B1B2B"/>
            </w:tcBorders>
            <w:tcMar>
              <w:top w:w="28" w:type="dxa"/>
              <w:bottom w:w="28" w:type="dxa"/>
              <w:left w:w="60" w:type="dxa"/>
              <w:right w:w="60" w:type="dxa"/>
            </w:tcMar>
            <w:vAlign w:val="center"/>
          </w:tcPr>
          <w:p>
            <w:pPr>
              <w:spacing w:after="0" w:before="0"/>
              <w:jc w:val="center"/>
            </w:pPr>
            <w:r>
              <w:rPr>
                <w:rFonts w:ascii="Calibri" w:hAnsi="Calibri"/>
                <w:b/>
                <w:color w:val="FFFFFF"/>
                <w:sz w:val="17"/>
              </w:rPr>
              <w:t>FAILURE ANALYSIS  (defense_compiler.analyze_attack — SHAP-adjacent root cause)</w:t>
            </w:r>
          </w:p>
        </w:tc>
      </w:tr>
    </w:tbl>
    <w:p>
      <w:pPr>
        <w:spacing w:after="20" w:before="20"/>
        <w:jc w:val="center"/>
      </w:pPr>
      <w:r>
        <w:rPr>
          <w:i w:val="0"/>
          <w:color w:val="5A6670"/>
          <w:sz w:val="16"/>
        </w:rPr>
        <w:t>↓</w:t>
      </w:r>
    </w:p>
    <w:tbl>
      <w:tblPr>
        <w:tblW w:type="auto" w:w="0"/>
        <w:jc w:val="center"/>
        <w:tblLayout w:type="fixed"/>
        <w:tblLook w:firstColumn="1" w:firstRow="1" w:lastColumn="0" w:lastRow="0" w:noHBand="0" w:noVBand="1" w:val="04A0"/>
      </w:tblPr>
      <w:tblGrid>
        <w:gridCol w:w="10318"/>
      </w:tblGrid>
      <w:tr>
        <w:tc>
          <w:tcPr>
            <w:tcW w:type="dxa" w:w="8787"/>
            <w:shd w:fill="0B1B2B"/>
            <w:tcBorders>
              <w:top w:val="single" w:sz="4" w:space="0" w:color="0B1B2B"/>
              <w:left w:val="single" w:sz="4" w:space="0" w:color="0B1B2B"/>
              <w:bottom w:val="single" w:sz="4" w:space="0" w:color="0B1B2B"/>
              <w:right w:val="single" w:sz="4" w:space="0" w:color="0B1B2B"/>
            </w:tcBorders>
            <w:tcMar>
              <w:top w:w="28" w:type="dxa"/>
              <w:bottom w:w="28" w:type="dxa"/>
              <w:left w:w="60" w:type="dxa"/>
              <w:right w:w="60" w:type="dxa"/>
            </w:tcMar>
            <w:vAlign w:val="center"/>
          </w:tcPr>
          <w:p>
            <w:pPr>
              <w:spacing w:after="0" w:before="0"/>
              <w:jc w:val="center"/>
            </w:pPr>
            <w:r>
              <w:rPr>
                <w:rFonts w:ascii="Calibri" w:hAnsi="Calibri"/>
                <w:b/>
                <w:color w:val="FFFFFF"/>
                <w:sz w:val="17"/>
              </w:rPr>
              <w:t>DEFENSE COMPILATION  (deterministic policy candidate)</w:t>
            </w:r>
          </w:p>
        </w:tc>
      </w:tr>
    </w:tbl>
    <w:p>
      <w:pPr>
        <w:spacing w:after="20" w:before="20"/>
        <w:jc w:val="center"/>
      </w:pPr>
      <w:r>
        <w:rPr>
          <w:i w:val="0"/>
          <w:color w:val="5A6670"/>
          <w:sz w:val="16"/>
        </w:rPr>
        <w:t>↓</w:t>
      </w:r>
    </w:p>
    <w:tbl>
      <w:tblPr>
        <w:tblW w:type="auto" w:w="0"/>
        <w:jc w:val="center"/>
        <w:tblLayout w:type="fixed"/>
        <w:tblLook w:firstColumn="1" w:firstRow="1" w:lastColumn="0" w:lastRow="0" w:noHBand="0" w:noVBand="1" w:val="04A0"/>
      </w:tblPr>
      <w:tblGrid>
        <w:gridCol w:w="10318"/>
      </w:tblGrid>
      <w:tr>
        <w:tc>
          <w:tcPr>
            <w:tcW w:type="dxa" w:w="8787"/>
            <w:shd w:fill="0B1B2B"/>
            <w:tcBorders>
              <w:top w:val="single" w:sz="4" w:space="0" w:color="0B1B2B"/>
              <w:left w:val="single" w:sz="4" w:space="0" w:color="0B1B2B"/>
              <w:bottom w:val="single" w:sz="4" w:space="0" w:color="0B1B2B"/>
              <w:right w:val="single" w:sz="4" w:space="0" w:color="0B1B2B"/>
            </w:tcBorders>
            <w:tcMar>
              <w:top w:w="28" w:type="dxa"/>
              <w:bottom w:w="28" w:type="dxa"/>
              <w:left w:w="60" w:type="dxa"/>
              <w:right w:w="60" w:type="dxa"/>
            </w:tcMar>
            <w:vAlign w:val="center"/>
          </w:tcPr>
          <w:p>
            <w:pPr>
              <w:spacing w:after="0" w:before="0"/>
              <w:jc w:val="center"/>
            </w:pPr>
            <w:r>
              <w:rPr>
                <w:rFonts w:ascii="Calibri" w:hAnsi="Calibri"/>
                <w:b/>
                <w:color w:val="FFFFFF"/>
                <w:sz w:val="17"/>
              </w:rPr>
              <w:t>POLICY SIMULATION  (replay against real attack + clean data)</w:t>
            </w:r>
          </w:p>
        </w:tc>
      </w:tr>
    </w:tbl>
    <w:p>
      <w:pPr>
        <w:spacing w:after="20" w:before="20"/>
        <w:jc w:val="center"/>
      </w:pPr>
      <w:r>
        <w:rPr>
          <w:i w:val="0"/>
          <w:color w:val="5A6670"/>
          <w:sz w:val="16"/>
        </w:rPr>
        <w:t>↓</w:t>
      </w:r>
    </w:p>
    <w:tbl>
      <w:tblPr>
        <w:tblW w:type="auto" w:w="0"/>
        <w:jc w:val="center"/>
        <w:tblLayout w:type="fixed"/>
        <w:tblLook w:firstColumn="1" w:firstRow="1" w:lastColumn="0" w:lastRow="0" w:noHBand="0" w:noVBand="1" w:val="04A0"/>
      </w:tblPr>
      <w:tblGrid>
        <w:gridCol w:w="10318"/>
      </w:tblGrid>
      <w:tr>
        <w:tc>
          <w:tcPr>
            <w:tcW w:type="dxa" w:w="8787"/>
            <w:shd w:fill="0B1B2B"/>
            <w:tcBorders>
              <w:top w:val="single" w:sz="4" w:space="0" w:color="0B1B2B"/>
              <w:left w:val="single" w:sz="4" w:space="0" w:color="0B1B2B"/>
              <w:bottom w:val="single" w:sz="4" w:space="0" w:color="0B1B2B"/>
              <w:right w:val="single" w:sz="4" w:space="0" w:color="0B1B2B"/>
            </w:tcBorders>
            <w:tcMar>
              <w:top w:w="28" w:type="dxa"/>
              <w:bottom w:w="28" w:type="dxa"/>
              <w:left w:w="60" w:type="dxa"/>
              <w:right w:w="60" w:type="dxa"/>
            </w:tcMar>
            <w:vAlign w:val="center"/>
          </w:tcPr>
          <w:p>
            <w:pPr>
              <w:spacing w:after="0" w:before="0"/>
              <w:jc w:val="center"/>
            </w:pPr>
            <w:r>
              <w:rPr>
                <w:rFonts w:ascii="Calibri" w:hAnsi="Calibri"/>
                <w:b/>
                <w:color w:val="FFFFFF"/>
                <w:sz w:val="17"/>
              </w:rPr>
              <w:t>HUMAN APPROVAL GATE  (execution blocks until approved)</w:t>
            </w:r>
          </w:p>
        </w:tc>
      </w:tr>
    </w:tbl>
    <w:p>
      <w:pPr>
        <w:spacing w:after="20" w:before="20"/>
        <w:jc w:val="center"/>
      </w:pPr>
      <w:r>
        <w:rPr>
          <w:i w:val="0"/>
          <w:color w:val="5A6670"/>
          <w:sz w:val="16"/>
        </w:rPr>
        <w:t>↓</w:t>
      </w:r>
    </w:p>
    <w:tbl>
      <w:tblPr>
        <w:tblW w:type="auto" w:w="0"/>
        <w:jc w:val="center"/>
        <w:tblLayout w:type="fixed"/>
        <w:tblLook w:firstColumn="1" w:firstRow="1" w:lastColumn="0" w:lastRow="0" w:noHBand="0" w:noVBand="1" w:val="04A0"/>
      </w:tblPr>
      <w:tblGrid>
        <w:gridCol w:w="10318"/>
      </w:tblGrid>
      <w:tr>
        <w:tc>
          <w:tcPr>
            <w:tcW w:type="dxa" w:w="8787"/>
            <w:shd w:fill="0B1B2B"/>
            <w:tcBorders>
              <w:top w:val="single" w:sz="4" w:space="0" w:color="0B1B2B"/>
              <w:left w:val="single" w:sz="4" w:space="0" w:color="0B1B2B"/>
              <w:bottom w:val="single" w:sz="4" w:space="0" w:color="0B1B2B"/>
              <w:right w:val="single" w:sz="4" w:space="0" w:color="0B1B2B"/>
            </w:tcBorders>
            <w:tcMar>
              <w:top w:w="28" w:type="dxa"/>
              <w:bottom w:w="28" w:type="dxa"/>
              <w:left w:w="60" w:type="dxa"/>
              <w:right w:w="60" w:type="dxa"/>
            </w:tcMar>
            <w:vAlign w:val="center"/>
          </w:tcPr>
          <w:p>
            <w:pPr>
              <w:spacing w:after="0" w:before="0"/>
              <w:jc w:val="center"/>
            </w:pPr>
            <w:r>
              <w:rPr>
                <w:rFonts w:ascii="Calibri" w:hAnsi="Calibri"/>
                <w:b/>
                <w:color w:val="FFFFFF"/>
                <w:sz w:val="17"/>
              </w:rPr>
              <w:t>REPLAY / RE-TEST  (fresh attacks vs. hardened detector)</w:t>
            </w:r>
          </w:p>
        </w:tc>
      </w:tr>
    </w:tbl>
    <w:p>
      <w:pPr>
        <w:spacing w:after="20" w:before="20"/>
        <w:jc w:val="center"/>
      </w:pPr>
      <w:r>
        <w:rPr>
          <w:i w:val="0"/>
          <w:color w:val="5A6670"/>
          <w:sz w:val="16"/>
        </w:rPr>
        <w:t>↓</w:t>
      </w:r>
    </w:p>
    <w:tbl>
      <w:tblPr>
        <w:tblW w:type="auto" w:w="0"/>
        <w:jc w:val="center"/>
        <w:tblLayout w:type="fixed"/>
        <w:tblLook w:firstColumn="1" w:firstRow="1" w:lastColumn="0" w:lastRow="0" w:noHBand="0" w:noVBand="1" w:val="04A0"/>
      </w:tblPr>
      <w:tblGrid>
        <w:gridCol w:w="10318"/>
      </w:tblGrid>
      <w:tr>
        <w:tc>
          <w:tcPr>
            <w:tcW w:type="dxa" w:w="8787"/>
            <w:shd w:fill="0B1B2B"/>
            <w:tcBorders>
              <w:top w:val="single" w:sz="4" w:space="0" w:color="0B1B2B"/>
              <w:left w:val="single" w:sz="4" w:space="0" w:color="0B1B2B"/>
              <w:bottom w:val="single" w:sz="4" w:space="0" w:color="0B1B2B"/>
              <w:right w:val="single" w:sz="4" w:space="0" w:color="0B1B2B"/>
            </w:tcBorders>
            <w:tcMar>
              <w:top w:w="28" w:type="dxa"/>
              <w:bottom w:w="28" w:type="dxa"/>
              <w:left w:w="60" w:type="dxa"/>
              <w:right w:w="60" w:type="dxa"/>
            </w:tcMar>
            <w:vAlign w:val="center"/>
          </w:tcPr>
          <w:p>
            <w:pPr>
              <w:spacing w:after="0" w:before="0"/>
              <w:jc w:val="center"/>
            </w:pPr>
            <w:r>
              <w:rPr>
                <w:rFonts w:ascii="Calibri" w:hAnsi="Calibri"/>
                <w:b/>
                <w:color w:val="FFFFFF"/>
                <w:sz w:val="17"/>
              </w:rPr>
              <w:t>MEASURED ROBUSTNESS  (ARG %, economic impact ₹)</w:t>
            </w:r>
          </w:p>
        </w:tc>
      </w:tr>
    </w:tbl>
    <w:p>
      <w:pPr>
        <w:spacing w:after="20" w:before="20"/>
        <w:jc w:val="center"/>
      </w:pPr>
      <w:r>
        <w:rPr>
          <w:i w:val="0"/>
          <w:color w:val="5A6670"/>
          <w:sz w:val="16"/>
        </w:rPr>
        <w:t>↓</w:t>
      </w:r>
    </w:p>
    <w:tbl>
      <w:tblPr>
        <w:tblW w:type="auto" w:w="0"/>
        <w:jc w:val="center"/>
        <w:tblLayout w:type="fixed"/>
        <w:tblLook w:firstColumn="1" w:firstRow="1" w:lastColumn="0" w:lastRow="0" w:noHBand="0" w:noVBand="1" w:val="04A0"/>
      </w:tblPr>
      <w:tblGrid>
        <w:gridCol w:w="10318"/>
      </w:tblGrid>
      <w:tr>
        <w:tc>
          <w:tcPr>
            <w:tcW w:type="dxa" w:w="8787"/>
            <w:shd w:fill="0B1B2B"/>
            <w:tcBorders>
              <w:top w:val="single" w:sz="4" w:space="0" w:color="0B1B2B"/>
              <w:left w:val="single" w:sz="4" w:space="0" w:color="0B1B2B"/>
              <w:bottom w:val="single" w:sz="4" w:space="0" w:color="0B1B2B"/>
              <w:right w:val="single" w:sz="4" w:space="0" w:color="0B1B2B"/>
            </w:tcBorders>
            <w:tcMar>
              <w:top w:w="28" w:type="dxa"/>
              <w:bottom w:w="28" w:type="dxa"/>
              <w:left w:w="60" w:type="dxa"/>
              <w:right w:w="60" w:type="dxa"/>
            </w:tcMar>
            <w:vAlign w:val="center"/>
          </w:tcPr>
          <w:p>
            <w:pPr>
              <w:spacing w:after="0" w:before="0"/>
              <w:jc w:val="center"/>
            </w:pPr>
            <w:r>
              <w:rPr>
                <w:rFonts w:ascii="Calibri" w:hAnsi="Calibri"/>
                <w:b/>
                <w:color w:val="FFFFFF"/>
                <w:sz w:val="17"/>
              </w:rPr>
              <w:t>THREAT INTELLIGENCE  (Fraud DNA lineage, STIX 2.1, Immune Memory)</w:t>
            </w:r>
          </w:p>
        </w:tc>
      </w:tr>
    </w:tbl>
    <w:p>
      <w:pPr>
        <w:spacing w:after="20" w:before="20"/>
        <w:jc w:val="center"/>
      </w:pPr>
      <w:r>
        <w:rPr>
          <w:i/>
          <w:color w:val="5A6670"/>
          <w:sz w:val="16"/>
        </w:rPr>
        <w:t>↓  feeds back into Red Team — the loop closes</w:t>
      </w:r>
    </w:p>
    <w:p>
      <w:pPr>
        <w:spacing w:after="40"/>
      </w:pPr>
    </w:p>
    <w:p>
      <w:pPr>
        <w:spacing w:before="90" w:after="30"/>
      </w:pPr>
      <w:r>
        <w:rPr>
          <w:rFonts w:ascii="Calibri" w:hAnsi="Calibri"/>
          <w:b/>
          <w:color w:val="EB001B"/>
          <w:sz w:val="19"/>
        </w:rPr>
        <w:t>Why Sentinel-X</w:t>
      </w:r>
    </w:p>
    <w:tbl>
      <w:tblPr>
        <w:tblW w:type="auto" w:w="0"/>
        <w:tblLayout w:type="fixed"/>
        <w:tblLook w:firstColumn="1" w:firstRow="1" w:lastColumn="0" w:lastRow="0" w:noHBand="0" w:noVBand="1" w:val="04A0"/>
      </w:tblPr>
      <w:tblGrid>
        <w:gridCol w:w="5159"/>
        <w:gridCol w:w="5159"/>
      </w:tblGrid>
      <w:tr>
        <w:tc>
          <w:tcPr>
            <w:tcW w:type="dxa" w:w="5102"/>
            <w:tcMar>
              <w:top w:w="40" w:type="dxa"/>
              <w:bottom w:w="40" w:type="dxa"/>
              <w:left w:w="40" w:type="dxa"/>
              <w:right w:w="100" w:type="dxa"/>
            </w:tcMar>
          </w:tcPr>
          <w:p>
            <w:pPr>
              <w:spacing w:after="60"/>
              <w:ind w:left="57"/>
            </w:pPr>
            <w:r>
              <w:rPr>
                <w:rFonts w:ascii="Calibri" w:hAnsi="Calibri"/>
                <w:b/>
                <w:color w:val="0B1B2B"/>
                <w:sz w:val="17"/>
              </w:rPr>
              <w:t>▸ Self-improving, not static.</w:t>
            </w:r>
            <w:r>
              <w:rPr>
                <w:rFonts w:ascii="Calibri" w:hAnsi="Calibri"/>
                <w:color w:val="1A1A1A"/>
                <w:sz w:val="17"/>
              </w:rPr>
              <w:t xml:space="preserve"> Every retrain is triggered by a measured detector failure, not a schedule.</w:t>
            </w:r>
          </w:p>
          <w:p>
            <w:pPr>
              <w:spacing w:after="60"/>
              <w:ind w:left="57"/>
            </w:pPr>
            <w:r>
              <w:rPr>
                <w:rFonts w:ascii="Calibri" w:hAnsi="Calibri"/>
                <w:b/>
                <w:color w:val="0B1B2B"/>
                <w:sz w:val="17"/>
              </w:rPr>
              <w:t>▸ Constraint-aware attacks.</w:t>
            </w:r>
            <w:r>
              <w:rPr>
                <w:rFonts w:ascii="Calibri" w:hAnsi="Calibri"/>
                <w:color w:val="1A1A1A"/>
                <w:sz w:val="17"/>
              </w:rPr>
              <w:t xml:space="preserve"> Mutations are validated against amount bounds, chronological order and novelty-flag consistency — not naive perturbations that produce physically impossible transactions.</w:t>
            </w:r>
          </w:p>
          <w:p>
            <w:pPr>
              <w:spacing w:after="60"/>
              <w:ind w:left="57"/>
            </w:pPr>
            <w:r>
              <w:rPr>
                <w:rFonts w:ascii="Calibri" w:hAnsi="Calibri"/>
                <w:b/>
                <w:color w:val="0B1B2B"/>
                <w:sz w:val="17"/>
              </w:rPr>
              <w:t>▸ Explainable by construction.</w:t>
            </w:r>
            <w:r>
              <w:rPr>
                <w:rFonts w:ascii="Calibri" w:hAnsi="Calibri"/>
                <w:color w:val="1A1A1A"/>
                <w:sz w:val="17"/>
              </w:rPr>
              <w:t xml:space="preserve"> The LLM never scores a transaction. It only ever proposes a bounded genome (Judge Sandbox) or narrates evidence already produced deterministically (SOC Agent). All fraud/allow/block decisions are LightGBM + SHAP.</w:t>
            </w:r>
          </w:p>
        </w:tc>
        <w:tc>
          <w:tcPr>
            <w:tcW w:type="dxa" w:w="5102"/>
            <w:tcMar>
              <w:top w:w="40" w:type="dxa"/>
              <w:bottom w:w="40" w:type="dxa"/>
              <w:left w:w="40" w:type="dxa"/>
              <w:right w:w="100" w:type="dxa"/>
            </w:tcMar>
          </w:tcPr>
          <w:p>
            <w:pPr>
              <w:spacing w:after="60"/>
              <w:ind w:left="57"/>
            </w:pPr>
            <w:r>
              <w:rPr>
                <w:rFonts w:ascii="Calibri" w:hAnsi="Calibri"/>
                <w:b/>
                <w:color w:val="0B1B2B"/>
                <w:sz w:val="17"/>
              </w:rPr>
              <w:t>▸ Governed, not opaque.</w:t>
            </w:r>
            <w:r>
              <w:rPr>
                <w:rFonts w:ascii="Calibri" w:hAnsi="Calibri"/>
                <w:color w:val="1A1A1A"/>
                <w:sz w:val="17"/>
              </w:rPr>
              <w:t xml:space="preserve"> Judge Mode's DEFEND→APPROVE→REPLAY sequence includes a real, blocking human-approval gate before any compiled policy goes active.</w:t>
            </w:r>
          </w:p>
          <w:p>
            <w:pPr>
              <w:spacing w:after="60"/>
              <w:ind w:left="57"/>
            </w:pPr>
            <w:r>
              <w:rPr>
                <w:rFonts w:ascii="Calibri" w:hAnsi="Calibri"/>
                <w:b/>
                <w:color w:val="0B1B2B"/>
                <w:sz w:val="17"/>
              </w:rPr>
              <w:t>▸ Provenance you can audit.</w:t>
            </w:r>
            <w:r>
              <w:rPr>
                <w:rFonts w:ascii="Calibri" w:hAnsi="Calibri"/>
                <w:color w:val="1A1A1A"/>
                <w:sz w:val="17"/>
              </w:rPr>
              <w:t xml:space="preserve"> Every evolutionary run produces a parent-child genome lineage (Fraud DNA) exportable as a STIX 2.1 threat-intelligence bundle.</w:t>
            </w:r>
          </w:p>
          <w:p>
            <w:pPr>
              <w:spacing w:after="60"/>
              <w:ind w:left="57"/>
            </w:pPr>
            <w:r>
              <w:rPr>
                <w:rFonts w:ascii="Calibri" w:hAnsi="Calibri"/>
                <w:b/>
                <w:color w:val="0B1B2B"/>
                <w:sz w:val="17"/>
              </w:rPr>
              <w:t>▸ Honest telemetry.</w:t>
            </w:r>
            <w:r>
              <w:rPr>
                <w:rFonts w:ascii="Calibri" w:hAnsi="Calibri"/>
                <w:color w:val="1A1A1A"/>
                <w:sz w:val="17"/>
              </w:rPr>
              <w:t xml:space="preserve"> Economic impact is reported as a disclosed synthetic benchmark computed from real generated-attack transaction amounts — never presented as production financial loss.</w:t>
            </w:r>
          </w:p>
        </w:tc>
      </w:tr>
    </w:tbl>
    <w:p>
      <w:pPr>
        <w:spacing w:before="120"/>
      </w:pPr>
      <w:r>
        <w:rPr>
          <w:rFonts w:ascii="Calibri" w:hAnsi="Calibri"/>
          <w:i/>
          <w:color w:val="5A6670"/>
          <w:sz w:val="13"/>
        </w:rPr>
        <w:t>¹ RBI Annual Report FY2024–25, digital-payment fraud share of reported bank frauds (via Reserve Bank of India / press coverage).   ² Mastercard Global, 2025–26 payment threat-intelligence and consumer cybersecurity reporting.</w:t>
      </w:r>
    </w:p>
    <w:p>
      <w:pPr>
        <w:pageBreakBefore/>
        <w:spacing w:before="160" w:after="80"/>
        <w:pBdr>
          <w:bottom w:val="single" w:sz="12" w:space="2" w:color="EB001B"/>
        </w:pBdr>
      </w:pPr>
      <w:r>
        <w:rPr>
          <w:rFonts w:ascii="Calibri" w:hAnsi="Calibri"/>
          <w:b/>
          <w:color w:val="0B1B2B"/>
          <w:sz w:val="25"/>
        </w:rPr>
        <w:t>TECHNICAL ARCHITECTURE</w:t>
      </w:r>
    </w:p>
    <w:p>
      <w:pPr>
        <w:spacing w:after="100" w:before="0"/>
      </w:pPr>
      <w:r>
        <w:rPr>
          <w:rFonts w:ascii="Calibri" w:hAnsi="Calibri"/>
          <w:b w:val="0"/>
          <w:i w:val="0"/>
          <w:color w:val="1A1A1A"/>
          <w:sz w:val="17"/>
        </w:rPr>
        <w:t>Sentinel-X is three cooperating engines (Payment Twin, Red Team, Blue Team) wired through an Adversarial Arena into a governed Policy Layer, with a Threat Observatory and a SOC Agent consuming the resulting evidence. Every box below is a real module in backend/app/, not a planned component.</w:t>
      </w:r>
    </w:p>
    <w:tbl>
      <w:tblPr>
        <w:tblW w:type="auto" w:w="0"/>
        <w:tblLayout w:type="fixed"/>
        <w:tblLook w:firstColumn="1" w:firstRow="1" w:lastColumn="0" w:lastRow="0" w:noHBand="0" w:noVBand="1" w:val="04A0"/>
      </w:tblPr>
      <w:tblGrid>
        <w:gridCol w:w="3439"/>
        <w:gridCol w:w="3439"/>
        <w:gridCol w:w="3439"/>
      </w:tblGrid>
      <w:tr>
        <w:tc>
          <w:tcPr>
            <w:tcW w:type="dxa" w:w="3402"/>
            <w:shd w:fill="0B1B2B"/>
            <w:tcBorders>
              <w:top w:val="single" w:sz="4" w:space="0" w:color="0B1B2B"/>
              <w:left w:val="single" w:sz="4" w:space="0" w:color="0B1B2B"/>
              <w:bottom w:val="single" w:sz="4" w:space="0" w:color="0B1B2B"/>
              <w:right w:val="single" w:sz="4" w:space="0" w:color="0B1B2B"/>
            </w:tcBorders>
            <w:tcMar>
              <w:top w:w="60" w:type="dxa"/>
              <w:bottom w:w="60" w:type="dxa"/>
              <w:left w:w="80" w:type="dxa"/>
              <w:right w:w="80" w:type="dxa"/>
            </w:tcMar>
          </w:tcPr>
          <w:p>
            <w:pPr>
              <w:spacing w:after="80"/>
            </w:pPr>
            <w:r>
              <w:rPr>
                <w:rFonts w:ascii="Calibri" w:hAnsi="Calibri"/>
                <w:b/>
                <w:color w:val="FFFFFF"/>
                <w:sz w:val="18"/>
              </w:rPr>
              <w:t>PAYMENT TWIN</w:t>
            </w:r>
          </w:p>
          <w:p>
            <w:pPr>
              <w:spacing w:after="40"/>
            </w:pPr>
            <w:r>
              <w:rPr>
                <w:rFonts w:ascii="Consolas" w:hAnsi="Consolas"/>
                <w:color w:val="FFFFFF"/>
                <w:sz w:val="14"/>
              </w:rPr>
              <w:t>simulator/clean_generator.py</w:t>
            </w:r>
          </w:p>
          <w:p>
            <w:pPr>
              <w:spacing w:after="40"/>
            </w:pPr>
            <w:r>
              <w:rPr>
                <w:rFonts w:ascii="Consolas" w:hAnsi="Consolas"/>
                <w:color w:val="FFFFFF"/>
                <w:sz w:val="14"/>
              </w:rPr>
              <w:t>simulator/fidelity.py</w:t>
            </w:r>
          </w:p>
          <w:p>
            <w:pPr>
              <w:spacing w:after="40"/>
            </w:pPr>
            <w:r>
              <w:rPr>
                <w:rFonts w:ascii="Calibri" w:hAnsi="Calibri"/>
                <w:color w:val="FFFFFF"/>
                <w:sz w:val="14"/>
              </w:rPr>
              <w:t>10k customers · 500 merchants</w:t>
            </w:r>
          </w:p>
          <w:p>
            <w:pPr>
              <w:spacing w:after="40"/>
            </w:pPr>
            <w:r>
              <w:rPr>
                <w:rFonts w:ascii="Consolas" w:hAnsi="Consolas"/>
                <w:color w:val="FFFFFF"/>
                <w:sz w:val="14"/>
              </w:rPr>
              <w:t>50k txns / 30 days, seed=42</w:t>
            </w:r>
          </w:p>
        </w:tc>
        <w:tc>
          <w:tcPr>
            <w:tcW w:type="dxa" w:w="3402"/>
            <w:shd w:fill="EB001B"/>
            <w:tcBorders>
              <w:top w:val="single" w:sz="4" w:space="0" w:color="EB001B"/>
              <w:left w:val="single" w:sz="4" w:space="0" w:color="EB001B"/>
              <w:bottom w:val="single" w:sz="4" w:space="0" w:color="EB001B"/>
              <w:right w:val="single" w:sz="4" w:space="0" w:color="EB001B"/>
            </w:tcBorders>
            <w:tcMar>
              <w:top w:w="60" w:type="dxa"/>
              <w:bottom w:w="60" w:type="dxa"/>
              <w:left w:w="80" w:type="dxa"/>
              <w:right w:w="80" w:type="dxa"/>
            </w:tcMar>
          </w:tcPr>
          <w:p>
            <w:pPr>
              <w:spacing w:after="80"/>
            </w:pPr>
            <w:r>
              <w:rPr>
                <w:rFonts w:ascii="Calibri" w:hAnsi="Calibri"/>
                <w:b/>
                <w:color w:val="FFFFFF"/>
                <w:sz w:val="18"/>
              </w:rPr>
              <w:t>RED TEAM</w:t>
            </w:r>
          </w:p>
          <w:p>
            <w:pPr>
              <w:spacing w:after="40"/>
            </w:pPr>
            <w:r>
              <w:rPr>
                <w:rFonts w:ascii="Consolas" w:hAnsi="Consolas"/>
                <w:color w:val="FFFFFF"/>
                <w:sz w:val="14"/>
              </w:rPr>
              <w:t>red_team/attack_genomes.py (5)</w:t>
            </w:r>
          </w:p>
          <w:p>
            <w:pPr>
              <w:spacing w:after="40"/>
            </w:pPr>
            <w:r>
              <w:rPr>
                <w:rFonts w:ascii="Consolas" w:hAnsi="Consolas"/>
                <w:color w:val="FFFFFF"/>
                <w:sz w:val="14"/>
              </w:rPr>
              <w:t>red_team/attack_injector.py</w:t>
            </w:r>
          </w:p>
          <w:p>
            <w:pPr>
              <w:spacing w:after="40"/>
            </w:pPr>
            <w:r>
              <w:rPr>
                <w:rFonts w:ascii="Consolas" w:hAnsi="Consolas"/>
                <w:color w:val="FFFFFF"/>
                <w:sz w:val="14"/>
              </w:rPr>
              <w:t>red_team/adaptive_attack.py</w:t>
            </w:r>
          </w:p>
          <w:p>
            <w:pPr>
              <w:spacing w:after="40"/>
            </w:pPr>
            <w:r>
              <w:rPr>
                <w:rFonts w:ascii="Consolas" w:hAnsi="Consolas"/>
                <w:color w:val="FFFFFF"/>
                <w:sz w:val="14"/>
              </w:rPr>
              <w:t>red_team/immune_memory.py, sandbox_compiler.py</w:t>
            </w:r>
          </w:p>
        </w:tc>
        <w:tc>
          <w:tcPr>
            <w:tcW w:type="dxa" w:w="3402"/>
            <w:shd w:fill="1E7A46"/>
            <w:tcBorders>
              <w:top w:val="single" w:sz="4" w:space="0" w:color="1E7A46"/>
              <w:left w:val="single" w:sz="4" w:space="0" w:color="1E7A46"/>
              <w:bottom w:val="single" w:sz="4" w:space="0" w:color="1E7A46"/>
              <w:right w:val="single" w:sz="4" w:space="0" w:color="1E7A46"/>
            </w:tcBorders>
            <w:tcMar>
              <w:top w:w="60" w:type="dxa"/>
              <w:bottom w:w="60" w:type="dxa"/>
              <w:left w:w="80" w:type="dxa"/>
              <w:right w:w="80" w:type="dxa"/>
            </w:tcMar>
          </w:tcPr>
          <w:p>
            <w:pPr>
              <w:spacing w:after="80"/>
            </w:pPr>
            <w:r>
              <w:rPr>
                <w:rFonts w:ascii="Calibri" w:hAnsi="Calibri"/>
                <w:b/>
                <w:color w:val="FFFFFF"/>
                <w:sz w:val="18"/>
              </w:rPr>
              <w:t>BLUE TEAM</w:t>
            </w:r>
          </w:p>
          <w:p>
            <w:pPr>
              <w:spacing w:after="40"/>
            </w:pPr>
            <w:r>
              <w:rPr>
                <w:rFonts w:ascii="Consolas" w:hAnsi="Consolas"/>
                <w:color w:val="FFFFFF"/>
                <w:sz w:val="14"/>
              </w:rPr>
              <w:t>blue_team/detector.py (LightGBM)</w:t>
            </w:r>
          </w:p>
          <w:p>
            <w:pPr>
              <w:spacing w:after="40"/>
            </w:pPr>
            <w:r>
              <w:rPr>
                <w:rFonts w:ascii="Consolas" w:hAnsi="Consolas"/>
                <w:color w:val="FFFFFF"/>
                <w:sz w:val="14"/>
              </w:rPr>
              <w:t>blue_team/features.py, graph_engine.py</w:t>
            </w:r>
          </w:p>
          <w:p>
            <w:pPr>
              <w:spacing w:after="40"/>
            </w:pPr>
            <w:r>
              <w:rPr>
                <w:rFonts w:ascii="Consolas" w:hAnsi="Consolas"/>
                <w:color w:val="FFFFFF"/>
                <w:sz w:val="14"/>
              </w:rPr>
              <w:t>blue_team/explainability.py (SHAP)</w:t>
            </w:r>
          </w:p>
          <w:p>
            <w:pPr>
              <w:spacing w:after="40"/>
            </w:pPr>
            <w:r>
              <w:rPr>
                <w:rFonts w:ascii="Consolas" w:hAnsi="Consolas"/>
                <w:color w:val="FFFFFF"/>
                <w:sz w:val="14"/>
              </w:rPr>
              <w:t>blue_team/zero_day.py (IsolationForest+DBSCAN)</w:t>
            </w:r>
          </w:p>
        </w:tc>
      </w:tr>
    </w:tbl>
    <w:p>
      <w:pPr>
        <w:spacing w:after="20" w:before="20"/>
        <w:jc w:val="center"/>
      </w:pPr>
      <w:r>
        <w:rPr>
          <w:i/>
          <w:color w:val="5A6670"/>
          <w:sz w:val="16"/>
        </w:rPr>
        <w:t>↓  all three feed the loop below</w:t>
      </w:r>
    </w:p>
    <w:tbl>
      <w:tblPr>
        <w:tblW w:type="auto" w:w="0"/>
        <w:jc w:val="center"/>
        <w:tblLayout w:type="fixed"/>
        <w:tblLook w:firstColumn="1" w:firstRow="1" w:lastColumn="0" w:lastRow="0" w:noHBand="0" w:noVBand="1" w:val="04A0"/>
      </w:tblPr>
      <w:tblGrid>
        <w:gridCol w:w="10318"/>
      </w:tblGrid>
      <w:tr>
        <w:tc>
          <w:tcPr>
            <w:tcW w:type="dxa" w:w="8787"/>
            <w:shd w:fill="0B1B2B"/>
            <w:tcBorders>
              <w:top w:val="single" w:sz="4" w:space="0" w:color="0B1B2B"/>
              <w:left w:val="single" w:sz="4" w:space="0" w:color="0B1B2B"/>
              <w:bottom w:val="single" w:sz="4" w:space="0" w:color="0B1B2B"/>
              <w:right w:val="single" w:sz="4" w:space="0" w:color="0B1B2B"/>
            </w:tcBorders>
            <w:tcMar>
              <w:top w:w="28" w:type="dxa"/>
              <w:bottom w:w="28" w:type="dxa"/>
              <w:left w:w="60" w:type="dxa"/>
              <w:right w:w="60" w:type="dxa"/>
            </w:tcMar>
            <w:vAlign w:val="center"/>
          </w:tcPr>
          <w:p>
            <w:pPr>
              <w:spacing w:after="0" w:before="0"/>
              <w:jc w:val="center"/>
            </w:pPr>
            <w:r>
              <w:rPr>
                <w:rFonts w:ascii="Calibri" w:hAnsi="Calibri"/>
                <w:b/>
                <w:color w:val="FFFFFF"/>
                <w:sz w:val="16"/>
              </w:rPr>
              <w:t>ADVERSARIAL ARENA — red_team/arena.py</w:t>
            </w:r>
          </w:p>
          <w:p>
            <w:pPr>
              <w:spacing w:after="0" w:before="0"/>
              <w:jc w:val="center"/>
            </w:pPr>
            <w:r>
              <w:rPr>
                <w:rFonts w:ascii="Calibri" w:hAnsi="Calibri"/>
                <w:color w:val="FFFFFF"/>
                <w:sz w:val="13"/>
              </w:rPr>
              <w:t>attack → harvest_hard_negatives → retrain → re_test → compute_arg</w:t>
            </w:r>
          </w:p>
        </w:tc>
      </w:tr>
    </w:tbl>
    <w:p>
      <w:pPr>
        <w:spacing w:after="20" w:before="20"/>
        <w:jc w:val="center"/>
      </w:pPr>
      <w:r>
        <w:rPr>
          <w:i w:val="0"/>
          <w:color w:val="5A6670"/>
          <w:sz w:val="16"/>
        </w:rPr>
        <w:t>↓</w:t>
      </w:r>
    </w:p>
    <w:tbl>
      <w:tblPr>
        <w:tblW w:type="auto" w:w="0"/>
        <w:jc w:val="center"/>
        <w:tblLayout w:type="fixed"/>
        <w:tblLook w:firstColumn="1" w:firstRow="1" w:lastColumn="0" w:lastRow="0" w:noHBand="0" w:noVBand="1" w:val="04A0"/>
      </w:tblPr>
      <w:tblGrid>
        <w:gridCol w:w="10318"/>
      </w:tblGrid>
      <w:tr>
        <w:tc>
          <w:tcPr>
            <w:tcW w:type="dxa" w:w="8787"/>
            <w:shd w:fill="2B3A4A"/>
            <w:tcBorders>
              <w:top w:val="single" w:sz="4" w:space="0" w:color="2B3A4A"/>
              <w:left w:val="single" w:sz="4" w:space="0" w:color="2B3A4A"/>
              <w:bottom w:val="single" w:sz="4" w:space="0" w:color="2B3A4A"/>
              <w:right w:val="single" w:sz="4" w:space="0" w:color="2B3A4A"/>
            </w:tcBorders>
            <w:tcMar>
              <w:top w:w="28" w:type="dxa"/>
              <w:bottom w:w="28" w:type="dxa"/>
              <w:left w:w="60" w:type="dxa"/>
              <w:right w:w="60" w:type="dxa"/>
            </w:tcMar>
            <w:vAlign w:val="center"/>
          </w:tcPr>
          <w:p>
            <w:pPr>
              <w:spacing w:after="0" w:before="0"/>
              <w:jc w:val="center"/>
            </w:pPr>
            <w:r>
              <w:rPr>
                <w:rFonts w:ascii="Calibri" w:hAnsi="Calibri"/>
                <w:b/>
                <w:color w:val="FFFFFF"/>
                <w:sz w:val="16"/>
              </w:rPr>
              <w:t>POLICY LAYER</w:t>
            </w:r>
          </w:p>
          <w:p>
            <w:pPr>
              <w:spacing w:after="0" w:before="0"/>
              <w:jc w:val="center"/>
            </w:pPr>
            <w:r>
              <w:rPr>
                <w:rFonts w:ascii="Calibri" w:hAnsi="Calibri"/>
                <w:color w:val="FFFFFF"/>
                <w:sz w:val="13"/>
              </w:rPr>
              <w:t>Defense Compiler → Policy Simulator → Human Approval Gate → Replay/Score</w:t>
            </w:r>
          </w:p>
        </w:tc>
      </w:tr>
    </w:tbl>
    <w:p>
      <w:pPr>
        <w:spacing w:after="20" w:before="20"/>
        <w:jc w:val="center"/>
      </w:pPr>
      <w:r>
        <w:rPr>
          <w:i w:val="0"/>
          <w:color w:val="5A6670"/>
          <w:sz w:val="16"/>
        </w:rPr>
        <w:t>↓</w:t>
      </w:r>
    </w:p>
    <w:tbl>
      <w:tblPr>
        <w:tblW w:type="auto" w:w="0"/>
        <w:tblLayout w:type="fixed"/>
        <w:tblLook w:firstColumn="1" w:firstRow="1" w:lastColumn="0" w:lastRow="0" w:noHBand="0" w:noVBand="1" w:val="04A0"/>
      </w:tblPr>
      <w:tblGrid>
        <w:gridCol w:w="5159"/>
        <w:gridCol w:w="5159"/>
      </w:tblGrid>
      <w:tr>
        <w:tc>
          <w:tcPr>
            <w:tcW w:type="dxa" w:w="5102"/>
            <w:shd w:fill="D97B00"/>
            <w:tcBorders>
              <w:top w:val="single" w:sz="4" w:space="0" w:color="D97B00"/>
              <w:left w:val="single" w:sz="4" w:space="0" w:color="D97B00"/>
              <w:bottom w:val="single" w:sz="4" w:space="0" w:color="D97B00"/>
              <w:right w:val="single" w:sz="4" w:space="0" w:color="D97B00"/>
            </w:tcBorders>
            <w:tcMar>
              <w:top w:w="60" w:type="dxa"/>
              <w:bottom w:w="60" w:type="dxa"/>
              <w:left w:w="80" w:type="dxa"/>
              <w:right w:w="80" w:type="dxa"/>
            </w:tcMar>
          </w:tcPr>
          <w:p>
            <w:pPr>
              <w:spacing w:after="60"/>
            </w:pPr>
            <w:r>
              <w:rPr>
                <w:rFonts w:ascii="Calibri" w:hAnsi="Calibri"/>
                <w:b/>
                <w:color w:val="FFFFFF"/>
                <w:sz w:val="18"/>
              </w:rPr>
              <w:t>THREAT OBSERVATORY</w:t>
            </w:r>
          </w:p>
          <w:p>
            <w:pPr>
              <w:spacing w:after="40"/>
            </w:pPr>
            <w:r>
              <w:rPr>
                <w:rFonts w:ascii="Calibri" w:hAnsi="Calibri"/>
                <w:color w:val="FFFFFF"/>
                <w:sz w:val="15"/>
              </w:rPr>
              <w:t>· Fraud DNA lineage (parent→child genomes)</w:t>
            </w:r>
          </w:p>
          <w:p>
            <w:pPr>
              <w:spacing w:after="40"/>
            </w:pPr>
            <w:r>
              <w:rPr>
                <w:rFonts w:ascii="Calibri" w:hAnsi="Calibri"/>
                <w:color w:val="FFFFFF"/>
                <w:sz w:val="15"/>
              </w:rPr>
              <w:t>· Economic impact (₹, row-level)</w:t>
            </w:r>
          </w:p>
          <w:p>
            <w:pPr>
              <w:spacing w:after="40"/>
            </w:pPr>
            <w:r>
              <w:rPr>
                <w:rFonts w:ascii="Calibri" w:hAnsi="Calibri"/>
                <w:color w:val="FFFFFF"/>
                <w:sz w:val="15"/>
              </w:rPr>
              <w:t>· STIX 2.1 export</w:t>
            </w:r>
          </w:p>
          <w:p>
            <w:pPr>
              <w:spacing w:after="40"/>
            </w:pPr>
            <w:r>
              <w:rPr>
                <w:rFonts w:ascii="Calibri" w:hAnsi="Calibri"/>
                <w:color w:val="FFFFFF"/>
                <w:sz w:val="15"/>
              </w:rPr>
              <w:t>· Run/seed provenance</w:t>
            </w:r>
          </w:p>
        </w:tc>
        <w:tc>
          <w:tcPr>
            <w:tcW w:type="dxa" w:w="5102"/>
            <w:shd w:fill="1E7A46"/>
            <w:tcBorders>
              <w:top w:val="single" w:sz="4" w:space="0" w:color="1E7A46"/>
              <w:left w:val="single" w:sz="4" w:space="0" w:color="1E7A46"/>
              <w:bottom w:val="single" w:sz="4" w:space="0" w:color="1E7A46"/>
              <w:right w:val="single" w:sz="4" w:space="0" w:color="1E7A46"/>
            </w:tcBorders>
            <w:tcMar>
              <w:top w:w="60" w:type="dxa"/>
              <w:bottom w:w="60" w:type="dxa"/>
              <w:left w:w="80" w:type="dxa"/>
              <w:right w:w="80" w:type="dxa"/>
            </w:tcMar>
          </w:tcPr>
          <w:p>
            <w:pPr>
              <w:spacing w:after="60"/>
            </w:pPr>
            <w:r>
              <w:rPr>
                <w:rFonts w:ascii="Calibri" w:hAnsi="Calibri"/>
                <w:b/>
                <w:color w:val="FFFFFF"/>
                <w:sz w:val="18"/>
              </w:rPr>
              <w:t>SOC AGENT</w:t>
            </w:r>
          </w:p>
          <w:p>
            <w:pPr>
              <w:spacing w:after="40"/>
            </w:pPr>
            <w:r>
              <w:rPr>
                <w:rFonts w:ascii="Calibri" w:hAnsi="Calibri"/>
                <w:color w:val="FFFFFF"/>
                <w:sz w:val="15"/>
              </w:rPr>
              <w:t>· blue_team/soc_agent.py</w:t>
            </w:r>
          </w:p>
          <w:p>
            <w:pPr>
              <w:spacing w:after="40"/>
            </w:pPr>
            <w:r>
              <w:rPr>
                <w:rFonts w:ascii="Calibri" w:hAnsi="Calibri"/>
                <w:color w:val="FFFFFF"/>
                <w:sz w:val="15"/>
              </w:rPr>
              <w:t>· Evidence: SHAP + Immune Memory</w:t>
            </w:r>
          </w:p>
          <w:p>
            <w:pPr>
              <w:spacing w:after="40"/>
            </w:pPr>
            <w:r>
              <w:rPr>
                <w:rFonts w:ascii="Calibri" w:hAnsi="Calibri"/>
                <w:color w:val="FFFFFF"/>
                <w:sz w:val="15"/>
              </w:rPr>
              <w:t>· LLM: structured investigation only</w:t>
            </w:r>
          </w:p>
          <w:p>
            <w:pPr>
              <w:spacing w:after="40"/>
            </w:pPr>
            <w:r>
              <w:rPr>
                <w:rFonts w:ascii="Calibri" w:hAnsi="Calibri"/>
                <w:color w:val="FFFFFF"/>
                <w:sz w:val="15"/>
              </w:rPr>
              <w:t>· Never scores a transaction</w:t>
            </w:r>
          </w:p>
        </w:tc>
      </w:tr>
    </w:tbl>
    <w:p>
      <w:pPr>
        <w:spacing w:after="40"/>
      </w:pPr>
    </w:p>
    <w:tbl>
      <w:tblPr>
        <w:tblW w:type="auto" w:w="0"/>
        <w:tblLayout w:type="fixed"/>
        <w:tblLook w:firstColumn="1" w:firstRow="1" w:lastColumn="0" w:lastRow="0" w:noHBand="0" w:noVBand="1" w:val="04A0"/>
      </w:tblPr>
      <w:tblGrid>
        <w:gridCol w:w="3439"/>
        <w:gridCol w:w="3439"/>
        <w:gridCol w:w="3439"/>
      </w:tblGrid>
      <w:tr>
        <w:tc>
          <w:tcPr>
            <w:tcW w:type="dxa" w:w="3402"/>
            <w:tcMar>
              <w:top w:w="40" w:type="dxa"/>
              <w:bottom w:w="40" w:type="dxa"/>
              <w:left w:w="20" w:type="dxa"/>
              <w:right w:w="90" w:type="dxa"/>
            </w:tcMar>
          </w:tcPr>
          <w:p>
            <w:pPr>
              <w:spacing w:after="40"/>
            </w:pPr>
            <w:r>
              <w:rPr>
                <w:rFonts w:ascii="Calibri" w:hAnsi="Calibri"/>
                <w:b/>
                <w:color w:val="EB001B"/>
                <w:sz w:val="17"/>
              </w:rPr>
              <w:t>Payment Twin</w:t>
            </w:r>
          </w:p>
          <w:p>
            <w:pPr>
              <w:pStyle w:val="ListBullet"/>
              <w:spacing w:after="40"/>
              <w:ind w:left="159"/>
            </w:pPr>
            <w:r>
              <w:rPr>
                <w:rFonts w:ascii="Calibri" w:hAnsi="Calibri"/>
                <w:color w:val="1A1A1A"/>
                <w:sz w:val="14"/>
              </w:rPr>
              <w:t>10,000 customers (3 income tiers), 500 merchants, 50,000 transactions / 30 days — NumPy/Pandas log-normal spend + diurnal timing, no row-wise loops.</w:t>
            </w:r>
          </w:p>
          <w:p>
            <w:pPr>
              <w:pStyle w:val="ListBullet"/>
              <w:spacing w:after="40"/>
              <w:ind w:left="159"/>
            </w:pPr>
            <w:r>
              <w:rPr>
                <w:rFonts w:ascii="Calibri" w:hAnsi="Calibri"/>
                <w:color w:val="1A1A1A"/>
                <w:sz w:val="14"/>
              </w:rPr>
              <w:t>Fidelity: 0.996 amount-distribution similarity (1 − KS statistic), 1.000 temporal similarity (1 − JS-divergence²) — target ≥0.90.</w:t>
            </w:r>
          </w:p>
          <w:p>
            <w:pPr>
              <w:pStyle w:val="ListBullet"/>
              <w:spacing w:after="40"/>
              <w:ind w:left="159"/>
            </w:pPr>
            <w:r>
              <w:rPr>
                <w:rFonts w:ascii="Calibri" w:hAnsi="Calibri"/>
                <w:color w:val="1A1A1A"/>
                <w:sz w:val="14"/>
              </w:rPr>
              <w:t>No real cardholder data exists to compare against — fidelity is measured against theoretical target distributions, stated explicitly in code.</w:t>
            </w:r>
          </w:p>
        </w:tc>
        <w:tc>
          <w:tcPr>
            <w:tcW w:type="dxa" w:w="3402"/>
            <w:tcMar>
              <w:top w:w="40" w:type="dxa"/>
              <w:bottom w:w="40" w:type="dxa"/>
              <w:left w:w="20" w:type="dxa"/>
              <w:right w:w="90" w:type="dxa"/>
            </w:tcMar>
          </w:tcPr>
          <w:p>
            <w:pPr>
              <w:spacing w:after="40"/>
            </w:pPr>
            <w:r>
              <w:rPr>
                <w:rFonts w:ascii="Calibri" w:hAnsi="Calibri"/>
                <w:b/>
                <w:color w:val="EB001B"/>
                <w:sz w:val="17"/>
              </w:rPr>
              <w:t>Red Team</w:t>
            </w:r>
          </w:p>
          <w:p>
            <w:pPr>
              <w:pStyle w:val="ListBullet"/>
              <w:spacing w:after="40"/>
              <w:ind w:left="159"/>
            </w:pPr>
            <w:r>
              <w:rPr>
                <w:rFonts w:ascii="Calibri" w:hAnsi="Calibri"/>
                <w:color w:val="1A1A1A"/>
                <w:sz w:val="14"/>
              </w:rPr>
              <w:t>5 canonical genomes: micro-structuring, synthetic identity drift, behavioral camouflage, social-engineering coercion, synthetic voice authorization — exact JSON, Pydantic-validated.</w:t>
            </w:r>
          </w:p>
          <w:p>
            <w:pPr>
              <w:pStyle w:val="ListBullet"/>
              <w:spacing w:after="40"/>
              <w:ind w:left="159"/>
            </w:pPr>
            <w:r>
              <w:rPr>
                <w:rFonts w:ascii="Calibri" w:hAnsi="Calibri"/>
                <w:color w:val="1A1A1A"/>
                <w:sz w:val="14"/>
              </w:rPr>
              <w:t>Evolutionary search (adaptive_attack.py): population 5, generations 3, elite carry-forward, fitness = 0.5·evasion + 0.2·novelty + 0.2·impact + 0.1·realism.</w:t>
            </w:r>
          </w:p>
          <w:p>
            <w:pPr>
              <w:pStyle w:val="ListBullet"/>
              <w:spacing w:after="40"/>
              <w:ind w:left="159"/>
            </w:pPr>
            <w:r>
              <w:rPr>
                <w:rFonts w:ascii="Calibri" w:hAnsi="Calibri"/>
                <w:color w:val="1A1A1A"/>
                <w:sz w:val="14"/>
              </w:rPr>
              <w:t>Constraint-aware mutation: amount ≤ 20× customer mean spend, chronological order preserved, novelty flags kept consistent with the mutation actually applied.</w:t>
            </w:r>
          </w:p>
        </w:tc>
        <w:tc>
          <w:tcPr>
            <w:tcW w:type="dxa" w:w="3402"/>
            <w:tcMar>
              <w:top w:w="40" w:type="dxa"/>
              <w:bottom w:w="40" w:type="dxa"/>
              <w:left w:w="20" w:type="dxa"/>
              <w:right w:w="90" w:type="dxa"/>
            </w:tcMar>
          </w:tcPr>
          <w:p>
            <w:pPr>
              <w:spacing w:after="40"/>
            </w:pPr>
            <w:r>
              <w:rPr>
                <w:rFonts w:ascii="Calibri" w:hAnsi="Calibri"/>
                <w:b/>
                <w:color w:val="EB001B"/>
                <w:sz w:val="17"/>
              </w:rPr>
              <w:t>Blue Team</w:t>
            </w:r>
          </w:p>
          <w:p>
            <w:pPr>
              <w:pStyle w:val="ListBullet"/>
              <w:spacing w:after="40"/>
              <w:ind w:left="159"/>
            </w:pPr>
            <w:r>
              <w:rPr>
                <w:rFonts w:ascii="Calibri" w:hAnsi="Calibri"/>
                <w:color w:val="1A1A1A"/>
                <w:sz w:val="14"/>
              </w:rPr>
              <w:t>LightGBM (200 trees, 31 leaves, lr=0.05, is_unbalance) on 14 vectorized features; customer-level stratified 75/25 split so no customer's rows cross the split.</w:t>
            </w:r>
          </w:p>
          <w:p>
            <w:pPr>
              <w:pStyle w:val="ListBullet"/>
              <w:spacing w:after="40"/>
              <w:ind w:left="159"/>
            </w:pPr>
            <w:r>
              <w:rPr>
                <w:rFonts w:ascii="Calibri" w:hAnsi="Calibri"/>
                <w:color w:val="1A1A1A"/>
                <w:sz w:val="14"/>
              </w:rPr>
              <w:t>Graph features: beneficiary in/out-degree, shared-device count, 2-hop fraud-risk propagation (NetworkX) — degree-based, not full centrality/community detection.</w:t>
            </w:r>
          </w:p>
          <w:p>
            <w:pPr>
              <w:pStyle w:val="ListBullet"/>
              <w:spacing w:after="40"/>
              <w:ind w:left="159"/>
            </w:pPr>
            <w:r>
              <w:rPr>
                <w:rFonts w:ascii="Calibri" w:hAnsi="Calibri"/>
                <w:color w:val="1A1A1A"/>
                <w:sz w:val="14"/>
              </w:rPr>
              <w:t>SHAP TreeExplainer, top-3 reason codes. Zero-Day Radar: IsolationForest novelty score + DBSCAN clustering, threshold picked to bound false-unknown rate to 1%.</w:t>
            </w:r>
          </w:p>
        </w:tc>
      </w:tr>
    </w:tbl>
    <w:p>
      <w:pPr>
        <w:spacing w:after="40"/>
      </w:pPr>
    </w:p>
    <w:p>
      <w:pPr>
        <w:spacing w:before="90" w:after="30"/>
      </w:pPr>
      <w:r>
        <w:rPr>
          <w:rFonts w:ascii="Calibri" w:hAnsi="Calibri"/>
          <w:b/>
          <w:color w:val="EB001B"/>
          <w:sz w:val="19"/>
        </w:rPr>
        <w:t>How the Defender Actually Improves</w:t>
      </w:r>
    </w:p>
    <w:p>
      <w:pPr>
        <w:spacing w:after="80" w:before="0"/>
      </w:pPr>
      <w:r>
        <w:rPr>
          <w:rFonts w:ascii="Calibri" w:hAnsi="Calibri"/>
          <w:b w:val="0"/>
          <w:i w:val="0"/>
          <w:color w:val="1A1A1A"/>
          <w:sz w:val="16"/>
        </w:rPr>
        <w:t>arena.py's harvest_hard_negatives() takes every attack instance the detector missed, applies one constraint-validated mutation from the genome's own mutation list, and adds it to the training set. retrain() fits a fresh model on original data + hard negatives. re_test() then re-attacks the same customer population with a fresh, disjoint batch of mutated attacks (controlling for population variance) and recomputes evasion. Robustness Gain is reported only from this held-out re-attack, never from training rows.</w:t>
      </w:r>
    </w:p>
    <w:p>
      <w:pPr>
        <w:spacing w:after="60" w:before="0"/>
      </w:pPr>
      <w:r>
        <w:rPr>
          <w:rFonts w:ascii="Calibri" w:hAnsi="Calibri"/>
          <w:b/>
          <w:i w:val="0"/>
          <w:color w:val="1A1A1A"/>
          <w:sz w:val="17"/>
        </w:rPr>
        <w:t xml:space="preserve">ARG (%) = </w:t>
      </w:r>
      <w:r>
        <w:rPr>
          <w:rFonts w:ascii="Calibri" w:hAnsi="Calibri"/>
          <w:b w:val="0"/>
          <w:i/>
          <w:color w:val="2B3A4A"/>
          <w:sz w:val="17"/>
        </w:rPr>
        <w:t>((Initial Evasion Rate − Final Evasion Rate) / Initial Evasion Rate) × 100</w:t>
      </w:r>
    </w:p>
    <w:p>
      <w:pPr>
        <w:spacing w:before="90" w:after="30"/>
      </w:pPr>
      <w:r>
        <w:rPr>
          <w:rFonts w:ascii="Calibri" w:hAnsi="Calibri"/>
          <w:b/>
          <w:color w:val="EB001B"/>
          <w:sz w:val="19"/>
        </w:rPr>
        <w:t>The LLM Boundary — Stated Once, True Everywhere</w:t>
      </w:r>
    </w:p>
    <w:tbl>
      <w:tblPr>
        <w:tblW w:type="auto" w:w="0"/>
        <w:tblLook w:firstColumn="1" w:firstRow="1" w:lastColumn="0" w:lastRow="0" w:noHBand="0" w:noVBand="1" w:val="04A0"/>
      </w:tblPr>
      <w:tblGrid>
        <w:gridCol w:w="10318"/>
      </w:tblGrid>
      <w:tr>
        <w:trPr>
          <w:cantSplit/>
        </w:trPr>
        <w:tc>
          <w:tcPr>
            <w:tcW w:type="dxa" w:w="10318"/>
            <w:shd w:fill="F2F4F6"/>
            <w:tcBorders>
              <w:top w:val="single" w:sz="8" w:space="0" w:color="0B1B2B"/>
              <w:left w:val="single" w:sz="8" w:space="0" w:color="0B1B2B"/>
              <w:bottom w:val="single" w:sz="8" w:space="0" w:color="0B1B2B"/>
              <w:right w:val="single" w:sz="8" w:space="0" w:color="0B1B2B"/>
            </w:tcBorders>
            <w:tcMar>
              <w:top w:w="45" w:type="dxa"/>
              <w:bottom w:w="45" w:type="dxa"/>
              <w:left w:w="100" w:type="dxa"/>
              <w:right w:w="100" w:type="dxa"/>
            </w:tcMar>
          </w:tcPr>
          <w:p>
            <w:pPr>
              <w:spacing w:after="60"/>
            </w:pPr>
            <w:r>
              <w:rPr>
                <w:rFonts w:ascii="Calibri" w:hAnsi="Calibri"/>
                <w:b/>
                <w:color w:val="0B1B2B"/>
                <w:sz w:val="19"/>
              </w:rPr>
              <w:t>Design rule enforced in code, not just prose</w:t>
            </w:r>
          </w:p>
          <w:p>
            <w:pPr>
              <w:pStyle w:val="ListBullet"/>
              <w:spacing w:after="40" w:before="0"/>
              <w:ind w:left="198"/>
            </w:pPr>
            <w:r>
              <w:rPr>
                <w:rFonts w:ascii="Calibri" w:hAnsi="Calibri"/>
                <w:b/>
                <w:color w:val="1A1A1A"/>
                <w:sz w:val="17"/>
              </w:rPr>
              <w:t xml:space="preserve">Judge Sandbox (sandbox_compiler.py): </w:t>
            </w:r>
            <w:r>
              <w:rPr>
                <w:rFonts w:ascii="Calibri" w:hAnsi="Calibri"/>
                <w:color w:val="1A1A1A"/>
                <w:sz w:val="17"/>
              </w:rPr>
              <w:t>free text → Groq-hosted LLM (openai/gpt-oss-120b) selects one of the 5 canonical families and proposes bounded parameter overrides → Pydantic-validated against the canonical genome's own allowed ranges → merged onto a deep copy (attack_genomes.py is never mutated) → simulated by the same deterministic generator used everywhere else.</w:t>
            </w:r>
          </w:p>
          <w:p>
            <w:pPr>
              <w:pStyle w:val="ListBullet"/>
              <w:spacing w:after="40" w:before="0"/>
              <w:ind w:left="198"/>
            </w:pPr>
            <w:r>
              <w:rPr>
                <w:rFonts w:ascii="Calibri" w:hAnsi="Calibri"/>
                <w:b/>
                <w:color w:val="1A1A1A"/>
                <w:sz w:val="17"/>
              </w:rPr>
              <w:t xml:space="preserve">SOC Agent (soc_agent.py): </w:t>
            </w:r>
            <w:r>
              <w:rPr>
                <w:rFonts w:ascii="Calibri" w:hAnsi="Calibri"/>
                <w:color w:val="1A1A1A"/>
                <w:sz w:val="17"/>
              </w:rPr>
              <w:t>receives real SHAP top-3 reason codes + Immune Memory context as evidence, and returns a structured verdict via a forced tool call (hypothesis, confidence, 3 evidence items, recommended action, audit-log entry) validated against a Pydantic schema. It narrates; it does not decide.</w:t>
            </w:r>
          </w:p>
          <w:p>
            <w:pPr>
              <w:pStyle w:val="ListBullet"/>
              <w:spacing w:after="40" w:before="0"/>
              <w:ind w:left="198"/>
            </w:pPr>
            <w:r>
              <w:rPr>
                <w:rFonts w:ascii="Calibri" w:hAnsi="Calibri"/>
                <w:b/>
                <w:color w:val="1A1A1A"/>
                <w:sz w:val="17"/>
              </w:rPr>
              <w:t xml:space="preserve">In both cases: </w:t>
            </w:r>
            <w:r>
              <w:rPr>
                <w:rFonts w:ascii="Calibri" w:hAnsi="Calibri"/>
                <w:color w:val="1A1A1A"/>
                <w:sz w:val="17"/>
              </w:rPr>
              <w:t>scoring is always the deterministic LightGBM model. The LLM never sees the fraud/allow/block decision path.</w:t>
            </w:r>
          </w:p>
        </w:tc>
      </w:tr>
    </w:tbl>
    <w:p>
      <w:pPr>
        <w:pageBreakBefore/>
        <w:spacing w:before="160" w:after="80"/>
        <w:pBdr>
          <w:bottom w:val="single" w:sz="12" w:space="2" w:color="EB001B"/>
        </w:pBdr>
      </w:pPr>
      <w:r>
        <w:rPr>
          <w:rFonts w:ascii="Calibri" w:hAnsi="Calibri"/>
          <w:b/>
          <w:color w:val="0B1B2B"/>
          <w:sz w:val="25"/>
        </w:rPr>
        <w:t>MEASURED RESULTS &amp; PROOF</w:t>
      </w:r>
    </w:p>
    <w:p>
      <w:pPr>
        <w:spacing w:after="100" w:before="0"/>
      </w:pPr>
      <w:r>
        <w:rPr>
          <w:rFonts w:ascii="Calibri" w:hAnsi="Calibri"/>
          <w:b w:val="0"/>
          <w:i w:val="0"/>
          <w:color w:val="1A1A1A"/>
          <w:sz w:val="16"/>
        </w:rPr>
        <w:t>Every figure below was produced this session by calling the real, unmodified FastAPI backend in-process (seed=42) and reading the actual JSON response — not estimated, not rounded from a prior run. Each table states the exact endpoint and run parameters it came from.</w:t>
      </w:r>
    </w:p>
    <w:p>
      <w:pPr>
        <w:spacing w:before="90" w:after="30"/>
      </w:pPr>
      <w:r>
        <w:rPr>
          <w:rFonts w:ascii="Calibri" w:hAnsi="Calibri"/>
          <w:b/>
          <w:color w:val="EB001B"/>
          <w:sz w:val="19"/>
        </w:rPr>
        <w:t>Payment Twin</w:t>
      </w:r>
    </w:p>
    <w:tbl>
      <w:tblPr>
        <w:tblW w:type="auto" w:w="0"/>
        <w:jc w:val="center"/>
        <w:tblLayout w:type="fixed"/>
        <w:tblLook w:firstColumn="1" w:firstRow="1" w:lastColumn="0" w:lastRow="0" w:noHBand="0" w:noVBand="1" w:val="04A0"/>
      </w:tblPr>
      <w:tblGrid>
        <w:gridCol w:w="3439"/>
        <w:gridCol w:w="3439"/>
        <w:gridCol w:w="3439"/>
      </w:tblGrid>
      <w:tr>
        <w:tc>
          <w:tcPr>
            <w:tcW w:type="dxa" w:w="4252"/>
            <w:shd w:fill="0B1B2B"/>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vAlign w:val="center"/>
          </w:tcPr>
          <w:p>
            <w:pPr>
              <w:jc w:val="left"/>
            </w:pPr>
            <w:r>
              <w:rPr>
                <w:rFonts w:ascii="Calibri" w:hAnsi="Calibri"/>
                <w:b/>
                <w:color w:val="FFFFFF"/>
                <w:sz w:val="16"/>
              </w:rPr>
              <w:t>Metric</w:t>
            </w:r>
          </w:p>
        </w:tc>
        <w:tc>
          <w:tcPr>
            <w:tcW w:type="dxa" w:w="3402"/>
            <w:shd w:fill="0B1B2B"/>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vAlign w:val="center"/>
          </w:tcPr>
          <w:p>
            <w:pPr>
              <w:jc w:val="center"/>
            </w:pPr>
            <w:r>
              <w:rPr>
                <w:rFonts w:ascii="Calibri" w:hAnsi="Calibri"/>
                <w:b/>
                <w:color w:val="FFFFFF"/>
                <w:sz w:val="16"/>
              </w:rPr>
              <w:t>Value</w:t>
            </w:r>
          </w:p>
        </w:tc>
        <w:tc>
          <w:tcPr>
            <w:tcW w:type="dxa" w:w="2551"/>
            <w:shd w:fill="0B1B2B"/>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vAlign w:val="center"/>
          </w:tcPr>
          <w:p>
            <w:pPr>
              <w:jc w:val="center"/>
            </w:pPr>
            <w:r>
              <w:rPr>
                <w:rFonts w:ascii="Calibri" w:hAnsi="Calibri"/>
                <w:b/>
                <w:color w:val="FFFFFF"/>
                <w:sz w:val="16"/>
              </w:rPr>
              <w:t>Source</w:t>
            </w:r>
          </w:p>
        </w:tc>
      </w:tr>
      <w:tr>
        <w:tc>
          <w:tcPr>
            <w:tcW w:type="dxa" w:w="4252"/>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vAlign w:val="center"/>
          </w:tcPr>
          <w:p>
            <w:pPr>
              <w:spacing w:after="20" w:before="20"/>
              <w:jc w:val="left"/>
            </w:pPr>
            <w:r>
              <w:rPr>
                <w:rFonts w:ascii="Calibri" w:hAnsi="Calibri"/>
                <w:b/>
                <w:color w:val="1A1A1A"/>
                <w:sz w:val="16"/>
              </w:rPr>
              <w:t>Customers / Merchants / Transactions</w:t>
            </w:r>
          </w:p>
        </w:tc>
        <w:tc>
          <w:tcPr>
            <w:tcW w:type="dxa" w:w="3402"/>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vAlign w:val="center"/>
          </w:tcPr>
          <w:p>
            <w:pPr>
              <w:spacing w:after="20" w:before="20"/>
              <w:jc w:val="center"/>
            </w:pPr>
            <w:r>
              <w:rPr>
                <w:rFonts w:ascii="Calibri" w:hAnsi="Calibri"/>
                <w:color w:val="1A1A1A"/>
                <w:sz w:val="16"/>
              </w:rPr>
              <w:t>10,000 / 500 / 50,000</w:t>
            </w:r>
          </w:p>
        </w:tc>
        <w:tc>
          <w:tcPr>
            <w:tcW w:type="dxa" w:w="2551"/>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vAlign w:val="center"/>
          </w:tcPr>
          <w:p>
            <w:pPr>
              <w:spacing w:after="20" w:before="20"/>
              <w:jc w:val="center"/>
            </w:pPr>
            <w:r>
              <w:rPr>
                <w:rFonts w:ascii="Calibri" w:hAnsi="Calibri"/>
                <w:color w:val="1A1A1A"/>
                <w:sz w:val="16"/>
              </w:rPr>
              <w:t>POST /simulate</w:t>
            </w:r>
          </w:p>
        </w:tc>
      </w:tr>
      <w:tr>
        <w:tc>
          <w:tcPr>
            <w:tcW w:type="dxa" w:w="4252"/>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shd w:fill="F2F4F6"/>
            <w:vAlign w:val="center"/>
          </w:tcPr>
          <w:p>
            <w:pPr>
              <w:spacing w:after="20" w:before="20"/>
              <w:jc w:val="left"/>
            </w:pPr>
            <w:r>
              <w:rPr>
                <w:rFonts w:ascii="Calibri" w:hAnsi="Calibri"/>
                <w:b/>
                <w:color w:val="1A1A1A"/>
                <w:sz w:val="16"/>
              </w:rPr>
              <w:t>Simulation window</w:t>
            </w:r>
          </w:p>
        </w:tc>
        <w:tc>
          <w:tcPr>
            <w:tcW w:type="dxa" w:w="3402"/>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shd w:fill="F2F4F6"/>
            <w:vAlign w:val="center"/>
          </w:tcPr>
          <w:p>
            <w:pPr>
              <w:spacing w:after="20" w:before="20"/>
              <w:jc w:val="center"/>
            </w:pPr>
            <w:r>
              <w:rPr>
                <w:rFonts w:ascii="Calibri" w:hAnsi="Calibri"/>
                <w:color w:val="1A1A1A"/>
                <w:sz w:val="16"/>
              </w:rPr>
              <w:t>30 days, seed=42</w:t>
            </w:r>
          </w:p>
        </w:tc>
        <w:tc>
          <w:tcPr>
            <w:tcW w:type="dxa" w:w="2551"/>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shd w:fill="F2F4F6"/>
            <w:vAlign w:val="center"/>
          </w:tcPr>
          <w:p>
            <w:pPr>
              <w:spacing w:after="20" w:before="20"/>
              <w:jc w:val="center"/>
            </w:pPr>
            <w:r>
              <w:rPr>
                <w:rFonts w:ascii="Calibri" w:hAnsi="Calibri"/>
                <w:color w:val="1A1A1A"/>
                <w:sz w:val="16"/>
              </w:rPr>
              <w:t>core/config.py</w:t>
            </w:r>
          </w:p>
        </w:tc>
      </w:tr>
      <w:tr>
        <w:tc>
          <w:tcPr>
            <w:tcW w:type="dxa" w:w="4252"/>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vAlign w:val="center"/>
          </w:tcPr>
          <w:p>
            <w:pPr>
              <w:spacing w:after="20" w:before="20"/>
              <w:jc w:val="left"/>
            </w:pPr>
            <w:r>
              <w:rPr>
                <w:rFonts w:ascii="Calibri" w:hAnsi="Calibri"/>
                <w:b/>
                <w:color w:val="1A1A1A"/>
                <w:sz w:val="16"/>
              </w:rPr>
              <w:t>Amount-distribution fidelity (1 − KS)</w:t>
            </w:r>
          </w:p>
        </w:tc>
        <w:tc>
          <w:tcPr>
            <w:tcW w:type="dxa" w:w="3402"/>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vAlign w:val="center"/>
          </w:tcPr>
          <w:p>
            <w:pPr>
              <w:spacing w:after="20" w:before="20"/>
              <w:jc w:val="center"/>
            </w:pPr>
            <w:r>
              <w:rPr>
                <w:rFonts w:ascii="Calibri" w:hAnsi="Calibri"/>
                <w:color w:val="1A1A1A"/>
                <w:sz w:val="16"/>
              </w:rPr>
              <w:t>0.996  (target ≥ 0.90)</w:t>
            </w:r>
          </w:p>
        </w:tc>
        <w:tc>
          <w:tcPr>
            <w:tcW w:type="dxa" w:w="2551"/>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vAlign w:val="center"/>
          </w:tcPr>
          <w:p>
            <w:pPr>
              <w:spacing w:after="20" w:before="20"/>
              <w:jc w:val="center"/>
            </w:pPr>
            <w:r>
              <w:rPr>
                <w:rFonts w:ascii="Calibri" w:hAnsi="Calibri"/>
                <w:color w:val="1A1A1A"/>
                <w:sz w:val="16"/>
              </w:rPr>
              <w:t>POST /simulate</w:t>
            </w:r>
          </w:p>
        </w:tc>
      </w:tr>
      <w:tr>
        <w:tc>
          <w:tcPr>
            <w:tcW w:type="dxa" w:w="4252"/>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shd w:fill="F2F4F6"/>
            <w:vAlign w:val="center"/>
          </w:tcPr>
          <w:p>
            <w:pPr>
              <w:spacing w:after="20" w:before="20"/>
              <w:jc w:val="left"/>
            </w:pPr>
            <w:r>
              <w:rPr>
                <w:rFonts w:ascii="Calibri" w:hAnsi="Calibri"/>
                <w:b/>
                <w:color w:val="1A1A1A"/>
                <w:sz w:val="16"/>
              </w:rPr>
              <w:t>Per-tier amount fidelity range</w:t>
            </w:r>
          </w:p>
        </w:tc>
        <w:tc>
          <w:tcPr>
            <w:tcW w:type="dxa" w:w="3402"/>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shd w:fill="F2F4F6"/>
            <w:vAlign w:val="center"/>
          </w:tcPr>
          <w:p>
            <w:pPr>
              <w:spacing w:after="20" w:before="20"/>
              <w:jc w:val="center"/>
            </w:pPr>
            <w:r>
              <w:rPr>
                <w:rFonts w:ascii="Calibri" w:hAnsi="Calibri"/>
                <w:color w:val="1A1A1A"/>
                <w:sz w:val="16"/>
              </w:rPr>
              <w:t>0.985 – 0.993</w:t>
            </w:r>
          </w:p>
        </w:tc>
        <w:tc>
          <w:tcPr>
            <w:tcW w:type="dxa" w:w="2551"/>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shd w:fill="F2F4F6"/>
            <w:vAlign w:val="center"/>
          </w:tcPr>
          <w:p>
            <w:pPr>
              <w:spacing w:after="20" w:before="20"/>
              <w:jc w:val="center"/>
            </w:pPr>
            <w:r>
              <w:rPr>
                <w:rFonts w:ascii="Calibri" w:hAnsi="Calibri"/>
                <w:color w:val="1A1A1A"/>
                <w:sz w:val="16"/>
              </w:rPr>
              <w:t>POST /simulate</w:t>
            </w:r>
          </w:p>
        </w:tc>
      </w:tr>
      <w:tr>
        <w:tc>
          <w:tcPr>
            <w:tcW w:type="dxa" w:w="4252"/>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vAlign w:val="center"/>
          </w:tcPr>
          <w:p>
            <w:pPr>
              <w:spacing w:after="20" w:before="20"/>
              <w:jc w:val="left"/>
            </w:pPr>
            <w:r>
              <w:rPr>
                <w:rFonts w:ascii="Calibri" w:hAnsi="Calibri"/>
                <w:b/>
                <w:color w:val="1A1A1A"/>
                <w:sz w:val="16"/>
              </w:rPr>
              <w:t>Temporal fidelity (1 − JS-divergence²)</w:t>
            </w:r>
          </w:p>
        </w:tc>
        <w:tc>
          <w:tcPr>
            <w:tcW w:type="dxa" w:w="3402"/>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vAlign w:val="center"/>
          </w:tcPr>
          <w:p>
            <w:pPr>
              <w:spacing w:after="20" w:before="20"/>
              <w:jc w:val="center"/>
            </w:pPr>
            <w:r>
              <w:rPr>
                <w:rFonts w:ascii="Calibri" w:hAnsi="Calibri"/>
                <w:color w:val="1A1A1A"/>
                <w:sz w:val="16"/>
              </w:rPr>
              <w:t>1.0000</w:t>
            </w:r>
          </w:p>
        </w:tc>
        <w:tc>
          <w:tcPr>
            <w:tcW w:type="dxa" w:w="2551"/>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vAlign w:val="center"/>
          </w:tcPr>
          <w:p>
            <w:pPr>
              <w:spacing w:after="20" w:before="20"/>
              <w:jc w:val="center"/>
            </w:pPr>
            <w:r>
              <w:rPr>
                <w:rFonts w:ascii="Calibri" w:hAnsi="Calibri"/>
                <w:color w:val="1A1A1A"/>
                <w:sz w:val="16"/>
              </w:rPr>
              <w:t>POST /simulate</w:t>
            </w:r>
          </w:p>
        </w:tc>
      </w:tr>
    </w:tbl>
    <w:p>
      <w:pPr>
        <w:spacing w:before="90" w:after="30"/>
      </w:pPr>
      <w:r>
        <w:rPr>
          <w:rFonts w:ascii="Calibri" w:hAnsi="Calibri"/>
          <w:b/>
          <w:color w:val="EB001B"/>
          <w:sz w:val="19"/>
        </w:rPr>
        <w:t>Detection (held-out, customer-level split — no customer's rows cross train/test)</w:t>
      </w:r>
    </w:p>
    <w:tbl>
      <w:tblPr>
        <w:tblW w:type="auto" w:w="0"/>
        <w:jc w:val="center"/>
        <w:tblLayout w:type="fixed"/>
        <w:tblLook w:firstColumn="1" w:firstRow="1" w:lastColumn="0" w:lastRow="0" w:noHBand="0" w:noVBand="1" w:val="04A0"/>
      </w:tblPr>
      <w:tblGrid>
        <w:gridCol w:w="5159"/>
        <w:gridCol w:w="5159"/>
      </w:tblGrid>
      <w:tr>
        <w:tc>
          <w:tcPr>
            <w:tcW w:type="dxa" w:w="5102"/>
            <w:shd w:fill="0B1B2B"/>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vAlign w:val="center"/>
          </w:tcPr>
          <w:p>
            <w:pPr>
              <w:jc w:val="left"/>
            </w:pPr>
            <w:r>
              <w:rPr>
                <w:rFonts w:ascii="Calibri" w:hAnsi="Calibri"/>
                <w:b/>
                <w:color w:val="FFFFFF"/>
                <w:sz w:val="16"/>
              </w:rPr>
              <w:t>Metric</w:t>
            </w:r>
          </w:p>
        </w:tc>
        <w:tc>
          <w:tcPr>
            <w:tcW w:type="dxa" w:w="5102"/>
            <w:shd w:fill="0B1B2B"/>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vAlign w:val="center"/>
          </w:tcPr>
          <w:p>
            <w:pPr>
              <w:jc w:val="center"/>
            </w:pPr>
            <w:r>
              <w:rPr>
                <w:rFonts w:ascii="Calibri" w:hAnsi="Calibri"/>
                <w:b/>
                <w:color w:val="FFFFFF"/>
                <w:sz w:val="16"/>
              </w:rPr>
              <w:t>Value</w:t>
            </w:r>
          </w:p>
        </w:tc>
      </w:tr>
      <w:tr>
        <w:tc>
          <w:tcPr>
            <w:tcW w:type="dxa" w:w="5102"/>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vAlign w:val="center"/>
          </w:tcPr>
          <w:p>
            <w:pPr>
              <w:spacing w:after="20" w:before="20"/>
              <w:jc w:val="left"/>
            </w:pPr>
            <w:r>
              <w:rPr>
                <w:rFonts w:ascii="Calibri" w:hAnsi="Calibri"/>
                <w:b/>
                <w:color w:val="1A1A1A"/>
                <w:sz w:val="16"/>
              </w:rPr>
              <w:t>Precision</w:t>
            </w:r>
          </w:p>
        </w:tc>
        <w:tc>
          <w:tcPr>
            <w:tcW w:type="dxa" w:w="5102"/>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vAlign w:val="center"/>
          </w:tcPr>
          <w:p>
            <w:pPr>
              <w:spacing w:after="20" w:before="20"/>
              <w:jc w:val="center"/>
            </w:pPr>
            <w:r>
              <w:rPr>
                <w:rFonts w:ascii="Calibri" w:hAnsi="Calibri"/>
                <w:color w:val="1A1A1A"/>
                <w:sz w:val="16"/>
              </w:rPr>
              <w:t>0.867</w:t>
            </w:r>
          </w:p>
        </w:tc>
      </w:tr>
      <w:tr>
        <w:tc>
          <w:tcPr>
            <w:tcW w:type="dxa" w:w="5102"/>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shd w:fill="F2F4F6"/>
            <w:vAlign w:val="center"/>
          </w:tcPr>
          <w:p>
            <w:pPr>
              <w:spacing w:after="20" w:before="20"/>
              <w:jc w:val="left"/>
            </w:pPr>
            <w:r>
              <w:rPr>
                <w:rFonts w:ascii="Calibri" w:hAnsi="Calibri"/>
                <w:b/>
                <w:color w:val="1A1A1A"/>
                <w:sz w:val="16"/>
              </w:rPr>
              <w:t>Recall</w:t>
            </w:r>
          </w:p>
        </w:tc>
        <w:tc>
          <w:tcPr>
            <w:tcW w:type="dxa" w:w="5102"/>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shd w:fill="F2F4F6"/>
            <w:vAlign w:val="center"/>
          </w:tcPr>
          <w:p>
            <w:pPr>
              <w:spacing w:after="20" w:before="20"/>
              <w:jc w:val="center"/>
            </w:pPr>
            <w:r>
              <w:rPr>
                <w:rFonts w:ascii="Calibri" w:hAnsi="Calibri"/>
                <w:color w:val="1A1A1A"/>
                <w:sz w:val="16"/>
              </w:rPr>
              <w:t>0.948</w:t>
            </w:r>
          </w:p>
        </w:tc>
      </w:tr>
      <w:tr>
        <w:tc>
          <w:tcPr>
            <w:tcW w:type="dxa" w:w="5102"/>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vAlign w:val="center"/>
          </w:tcPr>
          <w:p>
            <w:pPr>
              <w:spacing w:after="20" w:before="20"/>
              <w:jc w:val="left"/>
            </w:pPr>
            <w:r>
              <w:rPr>
                <w:rFonts w:ascii="Calibri" w:hAnsi="Calibri"/>
                <w:b/>
                <w:color w:val="1A1A1A"/>
                <w:sz w:val="16"/>
              </w:rPr>
              <w:t>F1</w:t>
            </w:r>
          </w:p>
        </w:tc>
        <w:tc>
          <w:tcPr>
            <w:tcW w:type="dxa" w:w="5102"/>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vAlign w:val="center"/>
          </w:tcPr>
          <w:p>
            <w:pPr>
              <w:spacing w:after="20" w:before="20"/>
              <w:jc w:val="center"/>
            </w:pPr>
            <w:r>
              <w:rPr>
                <w:rFonts w:ascii="Calibri" w:hAnsi="Calibri"/>
                <w:color w:val="1A1A1A"/>
                <w:sz w:val="16"/>
              </w:rPr>
              <w:t>0.906</w:t>
            </w:r>
          </w:p>
        </w:tc>
      </w:tr>
      <w:tr>
        <w:tc>
          <w:tcPr>
            <w:tcW w:type="dxa" w:w="5102"/>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shd w:fill="F2F4F6"/>
            <w:vAlign w:val="center"/>
          </w:tcPr>
          <w:p>
            <w:pPr>
              <w:spacing w:after="20" w:before="20"/>
              <w:jc w:val="left"/>
            </w:pPr>
            <w:r>
              <w:rPr>
                <w:rFonts w:ascii="Calibri" w:hAnsi="Calibri"/>
                <w:b/>
                <w:color w:val="1A1A1A"/>
                <w:sz w:val="16"/>
              </w:rPr>
              <w:t>PR-AUC</w:t>
            </w:r>
          </w:p>
        </w:tc>
        <w:tc>
          <w:tcPr>
            <w:tcW w:type="dxa" w:w="5102"/>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shd w:fill="F2F4F6"/>
            <w:vAlign w:val="center"/>
          </w:tcPr>
          <w:p>
            <w:pPr>
              <w:spacing w:after="20" w:before="20"/>
              <w:jc w:val="center"/>
            </w:pPr>
            <w:r>
              <w:rPr>
                <w:rFonts w:ascii="Calibri" w:hAnsi="Calibri"/>
                <w:color w:val="1A1A1A"/>
                <w:sz w:val="16"/>
              </w:rPr>
              <w:t>0.965</w:t>
            </w:r>
          </w:p>
        </w:tc>
      </w:tr>
      <w:tr>
        <w:tc>
          <w:tcPr>
            <w:tcW w:type="dxa" w:w="5102"/>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vAlign w:val="center"/>
          </w:tcPr>
          <w:p>
            <w:pPr>
              <w:spacing w:after="20" w:before="20"/>
              <w:jc w:val="left"/>
            </w:pPr>
            <w:r>
              <w:rPr>
                <w:rFonts w:ascii="Calibri" w:hAnsi="Calibri"/>
                <w:b/>
                <w:color w:val="1A1A1A"/>
                <w:sz w:val="16"/>
              </w:rPr>
              <w:t>False Positive Rate</w:t>
            </w:r>
          </w:p>
        </w:tc>
        <w:tc>
          <w:tcPr>
            <w:tcW w:type="dxa" w:w="5102"/>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vAlign w:val="center"/>
          </w:tcPr>
          <w:p>
            <w:pPr>
              <w:spacing w:after="20" w:before="20"/>
              <w:jc w:val="center"/>
            </w:pPr>
            <w:r>
              <w:rPr>
                <w:rFonts w:ascii="Calibri" w:hAnsi="Calibri"/>
                <w:color w:val="1A1A1A"/>
                <w:sz w:val="16"/>
              </w:rPr>
              <w:t>1.71%</w:t>
            </w:r>
          </w:p>
        </w:tc>
      </w:tr>
      <w:tr>
        <w:tc>
          <w:tcPr>
            <w:tcW w:type="dxa" w:w="5102"/>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shd w:fill="F2F4F6"/>
            <w:vAlign w:val="center"/>
          </w:tcPr>
          <w:p>
            <w:pPr>
              <w:spacing w:after="20" w:before="20"/>
              <w:jc w:val="left"/>
            </w:pPr>
            <w:r>
              <w:rPr>
                <w:rFonts w:ascii="Calibri" w:hAnsi="Calibri"/>
                <w:b/>
                <w:color w:val="1A1A1A"/>
                <w:sz w:val="16"/>
              </w:rPr>
              <w:t>Held-out test set size</w:t>
            </w:r>
          </w:p>
        </w:tc>
        <w:tc>
          <w:tcPr>
            <w:tcW w:type="dxa" w:w="5102"/>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shd w:fill="F2F4F6"/>
            <w:vAlign w:val="center"/>
          </w:tcPr>
          <w:p>
            <w:pPr>
              <w:spacing w:after="20" w:before="20"/>
              <w:jc w:val="center"/>
            </w:pPr>
            <w:r>
              <w:rPr>
                <w:rFonts w:ascii="Calibri" w:hAnsi="Calibri"/>
                <w:color w:val="1A1A1A"/>
                <w:sz w:val="16"/>
              </w:rPr>
              <w:t>14,934 transactions</w:t>
            </w:r>
          </w:p>
        </w:tc>
      </w:tr>
    </w:tbl>
    <w:p>
      <w:pPr>
        <w:spacing w:before="90" w:after="30"/>
      </w:pPr>
      <w:r>
        <w:rPr>
          <w:rFonts w:ascii="Calibri" w:hAnsi="Calibri"/>
          <w:b/>
          <w:color w:val="EB001B"/>
          <w:sz w:val="19"/>
        </w:rPr>
        <w:t>Adversarial Robustness — Single-Family MVP Gate (ATK-MS-001, micro-structuring)</w:t>
      </w:r>
    </w:p>
    <w:tbl>
      <w:tblPr>
        <w:tblW w:type="auto" w:w="0"/>
        <w:jc w:val="center"/>
        <w:tblLayout w:type="fixed"/>
        <w:tblLook w:firstColumn="1" w:firstRow="1" w:lastColumn="0" w:lastRow="0" w:noHBand="0" w:noVBand="1" w:val="04A0"/>
      </w:tblPr>
      <w:tblGrid>
        <w:gridCol w:w="5159"/>
        <w:gridCol w:w="5159"/>
      </w:tblGrid>
      <w:tr>
        <w:tc>
          <w:tcPr>
            <w:tcW w:type="dxa" w:w="5953"/>
            <w:shd w:fill="0B1B2B"/>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vAlign w:val="center"/>
          </w:tcPr>
          <w:p>
            <w:pPr>
              <w:jc w:val="left"/>
            </w:pPr>
            <w:r>
              <w:rPr>
                <w:rFonts w:ascii="Calibri" w:hAnsi="Calibri"/>
                <w:b/>
                <w:color w:val="FFFFFF"/>
                <w:sz w:val="16"/>
              </w:rPr>
              <w:t>Metric</w:t>
            </w:r>
          </w:p>
        </w:tc>
        <w:tc>
          <w:tcPr>
            <w:tcW w:type="dxa" w:w="4252"/>
            <w:shd w:fill="0B1B2B"/>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vAlign w:val="center"/>
          </w:tcPr>
          <w:p>
            <w:pPr>
              <w:jc w:val="center"/>
            </w:pPr>
            <w:r>
              <w:rPr>
                <w:rFonts w:ascii="Calibri" w:hAnsi="Calibri"/>
                <w:b/>
                <w:color w:val="FFFFFF"/>
                <w:sz w:val="16"/>
              </w:rPr>
              <w:t>Value</w:t>
            </w:r>
          </w:p>
        </w:tc>
      </w:tr>
      <w:tr>
        <w:tc>
          <w:tcPr>
            <w:tcW w:type="dxa" w:w="5953"/>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vAlign w:val="center"/>
          </w:tcPr>
          <w:p>
            <w:pPr>
              <w:spacing w:after="20" w:before="20"/>
              <w:jc w:val="left"/>
            </w:pPr>
            <w:r>
              <w:rPr>
                <w:rFonts w:ascii="Calibri" w:hAnsi="Calibri"/>
                <w:b/>
                <w:color w:val="1A1A1A"/>
                <w:sz w:val="16"/>
              </w:rPr>
              <w:t>n_instances (official run size)</w:t>
            </w:r>
          </w:p>
        </w:tc>
        <w:tc>
          <w:tcPr>
            <w:tcW w:type="dxa" w:w="4252"/>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vAlign w:val="center"/>
          </w:tcPr>
          <w:p>
            <w:pPr>
              <w:spacing w:after="20" w:before="20"/>
              <w:jc w:val="center"/>
            </w:pPr>
            <w:r>
              <w:rPr>
                <w:rFonts w:ascii="Calibri" w:hAnsi="Calibri"/>
                <w:color w:val="1A1A1A"/>
                <w:sz w:val="16"/>
              </w:rPr>
              <w:t>2,000</w:t>
            </w:r>
          </w:p>
        </w:tc>
      </w:tr>
      <w:tr>
        <w:tc>
          <w:tcPr>
            <w:tcW w:type="dxa" w:w="5953"/>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shd w:fill="F2F4F6"/>
            <w:vAlign w:val="center"/>
          </w:tcPr>
          <w:p>
            <w:pPr>
              <w:spacing w:after="20" w:before="20"/>
              <w:jc w:val="left"/>
            </w:pPr>
            <w:r>
              <w:rPr>
                <w:rFonts w:ascii="Calibri" w:hAnsi="Calibri"/>
                <w:b/>
                <w:color w:val="1A1A1A"/>
                <w:sz w:val="16"/>
              </w:rPr>
              <w:t>Initial evasion rate (M0, pre-hardening)</w:t>
            </w:r>
          </w:p>
        </w:tc>
        <w:tc>
          <w:tcPr>
            <w:tcW w:type="dxa" w:w="4252"/>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shd w:fill="F2F4F6"/>
            <w:vAlign w:val="center"/>
          </w:tcPr>
          <w:p>
            <w:pPr>
              <w:spacing w:after="20" w:before="20"/>
              <w:jc w:val="center"/>
            </w:pPr>
            <w:r>
              <w:rPr>
                <w:rFonts w:ascii="Calibri" w:hAnsi="Calibri"/>
                <w:color w:val="1A1A1A"/>
                <w:sz w:val="16"/>
              </w:rPr>
              <w:t>4.64%</w:t>
            </w:r>
          </w:p>
        </w:tc>
      </w:tr>
      <w:tr>
        <w:tc>
          <w:tcPr>
            <w:tcW w:type="dxa" w:w="5953"/>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vAlign w:val="center"/>
          </w:tcPr>
          <w:p>
            <w:pPr>
              <w:spacing w:after="20" w:before="20"/>
              <w:jc w:val="left"/>
            </w:pPr>
            <w:r>
              <w:rPr>
                <w:rFonts w:ascii="Calibri" w:hAnsi="Calibri"/>
                <w:b/>
                <w:color w:val="1A1A1A"/>
                <w:sz w:val="16"/>
              </w:rPr>
              <w:t>Final evasion rate (M1, held-out re-attack)</w:t>
            </w:r>
          </w:p>
        </w:tc>
        <w:tc>
          <w:tcPr>
            <w:tcW w:type="dxa" w:w="4252"/>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vAlign w:val="center"/>
          </w:tcPr>
          <w:p>
            <w:pPr>
              <w:spacing w:after="20" w:before="20"/>
              <w:jc w:val="center"/>
            </w:pPr>
            <w:r>
              <w:rPr>
                <w:rFonts w:ascii="Calibri" w:hAnsi="Calibri"/>
                <w:color w:val="1A1A1A"/>
                <w:sz w:val="16"/>
              </w:rPr>
              <w:t>0.87%</w:t>
            </w:r>
          </w:p>
        </w:tc>
      </w:tr>
      <w:tr>
        <w:tc>
          <w:tcPr>
            <w:tcW w:type="dxa" w:w="5953"/>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shd w:fill="F2F4F6"/>
            <w:vAlign w:val="center"/>
          </w:tcPr>
          <w:p>
            <w:pPr>
              <w:spacing w:after="20" w:before="20"/>
              <w:jc w:val="left"/>
            </w:pPr>
            <w:r>
              <w:rPr>
                <w:rFonts w:ascii="Calibri" w:hAnsi="Calibri"/>
                <w:b/>
                <w:color w:val="1A1A1A"/>
                <w:sz w:val="16"/>
              </w:rPr>
              <w:t>Adversarial Robustness Gain (ARG)</w:t>
            </w:r>
          </w:p>
        </w:tc>
        <w:tc>
          <w:tcPr>
            <w:tcW w:type="dxa" w:w="4252"/>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shd w:fill="F2F4F6"/>
            <w:vAlign w:val="center"/>
          </w:tcPr>
          <w:p>
            <w:pPr>
              <w:spacing w:after="20" w:before="20"/>
              <w:jc w:val="center"/>
            </w:pPr>
            <w:r>
              <w:rPr>
                <w:rFonts w:ascii="Calibri" w:hAnsi="Calibri"/>
                <w:color w:val="1A1A1A"/>
                <w:sz w:val="16"/>
              </w:rPr>
              <w:t>81.2%</w:t>
            </w:r>
          </w:p>
        </w:tc>
      </w:tr>
      <w:tr>
        <w:tc>
          <w:tcPr>
            <w:tcW w:type="dxa" w:w="5953"/>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vAlign w:val="center"/>
          </w:tcPr>
          <w:p>
            <w:pPr>
              <w:spacing w:after="20" w:before="20"/>
              <w:jc w:val="left"/>
            </w:pPr>
            <w:r>
              <w:rPr>
                <w:rFonts w:ascii="Calibri" w:hAnsi="Calibri"/>
                <w:b/>
                <w:color w:val="1A1A1A"/>
                <w:sz w:val="16"/>
              </w:rPr>
              <w:t>Hard negatives harvested for retrain</w:t>
            </w:r>
          </w:p>
        </w:tc>
        <w:tc>
          <w:tcPr>
            <w:tcW w:type="dxa" w:w="4252"/>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vAlign w:val="center"/>
          </w:tcPr>
          <w:p>
            <w:pPr>
              <w:spacing w:after="20" w:before="20"/>
              <w:jc w:val="center"/>
            </w:pPr>
            <w:r>
              <w:rPr>
                <w:rFonts w:ascii="Calibri" w:hAnsi="Calibri"/>
                <w:color w:val="1A1A1A"/>
                <w:sz w:val="16"/>
              </w:rPr>
              <w:t>1,036</w:t>
            </w:r>
          </w:p>
        </w:tc>
      </w:tr>
      <w:tr>
        <w:tc>
          <w:tcPr>
            <w:tcW w:type="dxa" w:w="5953"/>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shd w:fill="F2F4F6"/>
            <w:vAlign w:val="center"/>
          </w:tcPr>
          <w:p>
            <w:pPr>
              <w:spacing w:after="20" w:before="20"/>
              <w:jc w:val="left"/>
            </w:pPr>
            <w:r>
              <w:rPr>
                <w:rFonts w:ascii="Calibri" w:hAnsi="Calibri"/>
                <w:b/>
                <w:color w:val="1A1A1A"/>
                <w:sz w:val="16"/>
              </w:rPr>
              <w:t>Retrained-model F1 (on held-out test set)</w:t>
            </w:r>
          </w:p>
        </w:tc>
        <w:tc>
          <w:tcPr>
            <w:tcW w:type="dxa" w:w="4252"/>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shd w:fill="F2F4F6"/>
            <w:vAlign w:val="center"/>
          </w:tcPr>
          <w:p>
            <w:pPr>
              <w:spacing w:after="20" w:before="20"/>
              <w:jc w:val="center"/>
            </w:pPr>
            <w:r>
              <w:rPr>
                <w:rFonts w:ascii="Calibri" w:hAnsi="Calibri"/>
                <w:color w:val="1A1A1A"/>
                <w:sz w:val="16"/>
              </w:rPr>
              <w:t>0.753</w:t>
            </w:r>
          </w:p>
        </w:tc>
      </w:tr>
    </w:tbl>
    <w:p>
      <w:pPr>
        <w:spacing w:after="100" w:before="0"/>
      </w:pPr>
      <w:r>
        <w:rPr>
          <w:rFonts w:ascii="Calibri" w:hAnsi="Calibri"/>
          <w:b w:val="0"/>
          <w:i/>
          <w:color w:val="5A6670"/>
          <w:sz w:val="15"/>
        </w:rPr>
        <w:t>Note on the retrained F1 (0.753 vs. 0.906 baseline): retraining on hard negatives shifts the model's decision boundary toward catching the evasive mutation pattern, which trades some precision on the original test distribution for closing the evasion gap. This is disclosed rather than hidden — it is the expected accuracy/robustness tradeoff of adversarial hardening, not a bug.</w:t>
      </w:r>
    </w:p>
    <w:p>
      <w:pPr>
        <w:spacing w:before="90" w:after="30"/>
      </w:pPr>
      <w:r>
        <w:rPr>
          <w:rFonts w:ascii="Calibri" w:hAnsi="Calibri"/>
          <w:b/>
          <w:color w:val="EB001B"/>
          <w:sz w:val="19"/>
        </w:rPr>
        <w:t>Zero-Day Radar (IsolationForest novelty + DBSCAN clustering)</w:t>
      </w:r>
    </w:p>
    <w:tbl>
      <w:tblPr>
        <w:tblW w:type="auto" w:w="0"/>
        <w:jc w:val="center"/>
        <w:tblLayout w:type="fixed"/>
        <w:tblLook w:firstColumn="1" w:firstRow="1" w:lastColumn="0" w:lastRow="0" w:noHBand="0" w:noVBand="1" w:val="04A0"/>
      </w:tblPr>
      <w:tblGrid>
        <w:gridCol w:w="5159"/>
        <w:gridCol w:w="5159"/>
      </w:tblGrid>
      <w:tr>
        <w:tc>
          <w:tcPr>
            <w:tcW w:type="dxa" w:w="6236"/>
            <w:shd w:fill="0B1B2B"/>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vAlign w:val="center"/>
          </w:tcPr>
          <w:p>
            <w:pPr>
              <w:jc w:val="left"/>
            </w:pPr>
            <w:r>
              <w:rPr>
                <w:rFonts w:ascii="Calibri" w:hAnsi="Calibri"/>
                <w:b/>
                <w:color w:val="FFFFFF"/>
                <w:sz w:val="16"/>
              </w:rPr>
              <w:t>Metric</w:t>
            </w:r>
          </w:p>
        </w:tc>
        <w:tc>
          <w:tcPr>
            <w:tcW w:type="dxa" w:w="3969"/>
            <w:shd w:fill="0B1B2B"/>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vAlign w:val="center"/>
          </w:tcPr>
          <w:p>
            <w:pPr>
              <w:jc w:val="center"/>
            </w:pPr>
            <w:r>
              <w:rPr>
                <w:rFonts w:ascii="Calibri" w:hAnsi="Calibri"/>
                <w:b/>
                <w:color w:val="FFFFFF"/>
                <w:sz w:val="16"/>
              </w:rPr>
              <w:t>Value</w:t>
            </w:r>
          </w:p>
        </w:tc>
      </w:tr>
      <w:tr>
        <w:tc>
          <w:tcPr>
            <w:tcW w:type="dxa" w:w="6236"/>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vAlign w:val="center"/>
          </w:tcPr>
          <w:p>
            <w:pPr>
              <w:spacing w:after="20" w:before="20"/>
              <w:jc w:val="left"/>
            </w:pPr>
            <w:r>
              <w:rPr>
                <w:rFonts w:ascii="Calibri" w:hAnsi="Calibri"/>
                <w:b/>
                <w:color w:val="1A1A1A"/>
                <w:sz w:val="16"/>
              </w:rPr>
              <w:t>Unknown-flagged events (test set)</w:t>
            </w:r>
          </w:p>
        </w:tc>
        <w:tc>
          <w:tcPr>
            <w:tcW w:type="dxa" w:w="3969"/>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vAlign w:val="center"/>
          </w:tcPr>
          <w:p>
            <w:pPr>
              <w:spacing w:after="20" w:before="20"/>
              <w:jc w:val="center"/>
            </w:pPr>
            <w:r>
              <w:rPr>
                <w:rFonts w:ascii="Calibri" w:hAnsi="Calibri"/>
                <w:color w:val="1A1A1A"/>
                <w:sz w:val="16"/>
              </w:rPr>
              <w:t>302</w:t>
            </w:r>
          </w:p>
        </w:tc>
      </w:tr>
      <w:tr>
        <w:tc>
          <w:tcPr>
            <w:tcW w:type="dxa" w:w="6236"/>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shd w:fill="F2F4F6"/>
            <w:vAlign w:val="center"/>
          </w:tcPr>
          <w:p>
            <w:pPr>
              <w:spacing w:after="20" w:before="20"/>
              <w:jc w:val="left"/>
            </w:pPr>
            <w:r>
              <w:rPr>
                <w:rFonts w:ascii="Calibri" w:hAnsi="Calibri"/>
                <w:b/>
                <w:color w:val="1A1A1A"/>
                <w:sz w:val="16"/>
              </w:rPr>
              <w:t>Distinct unknown clusters (DBSCAN)</w:t>
            </w:r>
          </w:p>
        </w:tc>
        <w:tc>
          <w:tcPr>
            <w:tcW w:type="dxa" w:w="3969"/>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shd w:fill="F2F4F6"/>
            <w:vAlign w:val="center"/>
          </w:tcPr>
          <w:p>
            <w:pPr>
              <w:spacing w:after="20" w:before="20"/>
              <w:jc w:val="center"/>
            </w:pPr>
            <w:r>
              <w:rPr>
                <w:rFonts w:ascii="Calibri" w:hAnsi="Calibri"/>
                <w:color w:val="1A1A1A"/>
                <w:sz w:val="16"/>
              </w:rPr>
              <w:t>7</w:t>
            </w:r>
          </w:p>
        </w:tc>
      </w:tr>
      <w:tr>
        <w:tc>
          <w:tcPr>
            <w:tcW w:type="dxa" w:w="6236"/>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vAlign w:val="center"/>
          </w:tcPr>
          <w:p>
            <w:pPr>
              <w:spacing w:after="20" w:before="20"/>
              <w:jc w:val="left"/>
            </w:pPr>
            <w:r>
              <w:rPr>
                <w:rFonts w:ascii="Calibri" w:hAnsi="Calibri"/>
                <w:b/>
                <w:color w:val="1A1A1A"/>
                <w:sz w:val="16"/>
              </w:rPr>
              <w:t>Mean novelty score</w:t>
            </w:r>
          </w:p>
        </w:tc>
        <w:tc>
          <w:tcPr>
            <w:tcW w:type="dxa" w:w="3969"/>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vAlign w:val="center"/>
          </w:tcPr>
          <w:p>
            <w:pPr>
              <w:spacing w:after="20" w:before="20"/>
              <w:jc w:val="center"/>
            </w:pPr>
            <w:r>
              <w:rPr>
                <w:rFonts w:ascii="Calibri" w:hAnsi="Calibri"/>
                <w:color w:val="1A1A1A"/>
                <w:sz w:val="16"/>
              </w:rPr>
              <w:t>0.196</w:t>
            </w:r>
          </w:p>
        </w:tc>
      </w:tr>
      <w:tr>
        <w:tc>
          <w:tcPr>
            <w:tcW w:type="dxa" w:w="6236"/>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shd w:fill="F2F4F6"/>
            <w:vAlign w:val="center"/>
          </w:tcPr>
          <w:p>
            <w:pPr>
              <w:spacing w:after="20" w:before="20"/>
              <w:jc w:val="left"/>
            </w:pPr>
            <w:r>
              <w:rPr>
                <w:rFonts w:ascii="Calibri" w:hAnsi="Calibri"/>
                <w:b/>
                <w:color w:val="1A1A1A"/>
                <w:sz w:val="16"/>
              </w:rPr>
              <w:t>False-Unknown Rate control (by construction)</w:t>
            </w:r>
          </w:p>
        </w:tc>
        <w:tc>
          <w:tcPr>
            <w:tcW w:type="dxa" w:w="3969"/>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shd w:fill="F2F4F6"/>
            <w:vAlign w:val="center"/>
          </w:tcPr>
          <w:p>
            <w:pPr>
              <w:spacing w:after="20" w:before="20"/>
              <w:jc w:val="center"/>
            </w:pPr>
            <w:r>
              <w:rPr>
                <w:rFonts w:ascii="Calibri" w:hAnsi="Calibri"/>
                <w:color w:val="1A1A1A"/>
                <w:sz w:val="16"/>
              </w:rPr>
              <w:t>≤ 1% on clean validation rows</w:t>
            </w:r>
          </w:p>
        </w:tc>
      </w:tr>
    </w:tbl>
    <w:p>
      <w:pPr>
        <w:spacing w:before="90" w:after="30"/>
      </w:pPr>
      <w:r>
        <w:rPr>
          <w:rFonts w:ascii="Calibri" w:hAnsi="Calibri"/>
          <w:b/>
          <w:color w:val="EB001B"/>
          <w:sz w:val="19"/>
        </w:rPr>
        <w:t>Fraud DNA Lineage — Provenance Integrity (population=5, generations=3)</w:t>
      </w:r>
    </w:p>
    <w:tbl>
      <w:tblPr>
        <w:tblW w:type="auto" w:w="0"/>
        <w:jc w:val="center"/>
        <w:tblLayout w:type="fixed"/>
        <w:tblLook w:firstColumn="1" w:firstRow="1" w:lastColumn="0" w:lastRow="0" w:noHBand="0" w:noVBand="1" w:val="04A0"/>
      </w:tblPr>
      <w:tblGrid>
        <w:gridCol w:w="5159"/>
        <w:gridCol w:w="5159"/>
      </w:tblGrid>
      <w:tr>
        <w:tc>
          <w:tcPr>
            <w:tcW w:type="dxa" w:w="6520"/>
            <w:shd w:fill="0B1B2B"/>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vAlign w:val="center"/>
          </w:tcPr>
          <w:p>
            <w:pPr>
              <w:jc w:val="left"/>
            </w:pPr>
            <w:r>
              <w:rPr>
                <w:rFonts w:ascii="Calibri" w:hAnsi="Calibri"/>
                <w:b/>
                <w:color w:val="FFFFFF"/>
                <w:sz w:val="16"/>
              </w:rPr>
              <w:t>Check</w:t>
            </w:r>
          </w:p>
        </w:tc>
        <w:tc>
          <w:tcPr>
            <w:tcW w:type="dxa" w:w="3685"/>
            <w:shd w:fill="0B1B2B"/>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vAlign w:val="center"/>
          </w:tcPr>
          <w:p>
            <w:pPr>
              <w:jc w:val="center"/>
            </w:pPr>
            <w:r>
              <w:rPr>
                <w:rFonts w:ascii="Calibri" w:hAnsi="Calibri"/>
                <w:b/>
                <w:color w:val="FFFFFF"/>
                <w:sz w:val="16"/>
              </w:rPr>
              <w:t>Result</w:t>
            </w:r>
          </w:p>
        </w:tc>
      </w:tr>
      <w:tr>
        <w:tc>
          <w:tcPr>
            <w:tcW w:type="dxa" w:w="6520"/>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vAlign w:val="center"/>
          </w:tcPr>
          <w:p>
            <w:pPr>
              <w:spacing w:after="20" w:before="20"/>
              <w:jc w:val="left"/>
            </w:pPr>
            <w:r>
              <w:rPr>
                <w:rFonts w:ascii="Calibri" w:hAnsi="Calibri"/>
                <w:b/>
                <w:color w:val="1A1A1A"/>
                <w:sz w:val="16"/>
              </w:rPr>
              <w:t>Total lineage nodes</w:t>
            </w:r>
          </w:p>
        </w:tc>
        <w:tc>
          <w:tcPr>
            <w:tcW w:type="dxa" w:w="3685"/>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vAlign w:val="center"/>
          </w:tcPr>
          <w:p>
            <w:pPr>
              <w:spacing w:after="20" w:before="20"/>
              <w:jc w:val="center"/>
            </w:pPr>
            <w:r>
              <w:rPr>
                <w:rFonts w:ascii="Calibri" w:hAnsi="Calibri"/>
                <w:color w:val="1A1A1A"/>
                <w:sz w:val="16"/>
              </w:rPr>
              <w:t>15 (= population × generations)</w:t>
            </w:r>
          </w:p>
        </w:tc>
      </w:tr>
      <w:tr>
        <w:tc>
          <w:tcPr>
            <w:tcW w:type="dxa" w:w="6520"/>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shd w:fill="F2F4F6"/>
            <w:vAlign w:val="center"/>
          </w:tcPr>
          <w:p>
            <w:pPr>
              <w:spacing w:after="20" w:before="20"/>
              <w:jc w:val="left"/>
            </w:pPr>
            <w:r>
              <w:rPr>
                <w:rFonts w:ascii="Calibri" w:hAnsi="Calibri"/>
                <w:b/>
                <w:color w:val="1A1A1A"/>
                <w:sz w:val="16"/>
              </w:rPr>
              <w:t>Unique lineage_node_id (genome_id + generation)</w:t>
            </w:r>
          </w:p>
        </w:tc>
        <w:tc>
          <w:tcPr>
            <w:tcW w:type="dxa" w:w="3685"/>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shd w:fill="F2F4F6"/>
            <w:vAlign w:val="center"/>
          </w:tcPr>
          <w:p>
            <w:pPr>
              <w:spacing w:after="20" w:before="20"/>
              <w:jc w:val="center"/>
            </w:pPr>
            <w:r>
              <w:rPr>
                <w:rFonts w:ascii="Calibri" w:hAnsi="Calibri"/>
                <w:color w:val="1A1A1A"/>
                <w:sz w:val="16"/>
              </w:rPr>
              <w:t>15 / 15 — 100% unique</w:t>
            </w:r>
          </w:p>
        </w:tc>
      </w:tr>
      <w:tr>
        <w:tc>
          <w:tcPr>
            <w:tcW w:type="dxa" w:w="6520"/>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vAlign w:val="center"/>
          </w:tcPr>
          <w:p>
            <w:pPr>
              <w:spacing w:after="20" w:before="20"/>
              <w:jc w:val="left"/>
            </w:pPr>
            <w:r>
              <w:rPr>
                <w:rFonts w:ascii="Calibri" w:hAnsi="Calibri"/>
                <w:b/>
                <w:color w:val="1A1A1A"/>
                <w:sz w:val="16"/>
              </w:rPr>
              <w:t>Repeated genome_id across generations</w:t>
            </w:r>
          </w:p>
        </w:tc>
        <w:tc>
          <w:tcPr>
            <w:tcW w:type="dxa" w:w="3685"/>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vAlign w:val="center"/>
          </w:tcPr>
          <w:p>
            <w:pPr>
              <w:spacing w:after="20" w:before="20"/>
              <w:jc w:val="center"/>
            </w:pPr>
            <w:r>
              <w:rPr>
                <w:rFonts w:ascii="Calibri" w:hAnsi="Calibri"/>
                <w:color w:val="1A1A1A"/>
                <w:sz w:val="16"/>
              </w:rPr>
              <w:t>2 (elites carried forward — expected, not a collision)</w:t>
            </w:r>
          </w:p>
        </w:tc>
      </w:tr>
      <w:tr>
        <w:tc>
          <w:tcPr>
            <w:tcW w:type="dxa" w:w="6520"/>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shd w:fill="F2F4F6"/>
            <w:vAlign w:val="center"/>
          </w:tcPr>
          <w:p>
            <w:pPr>
              <w:spacing w:after="20" w:before="20"/>
              <w:jc w:val="left"/>
            </w:pPr>
            <w:r>
              <w:rPr>
                <w:rFonts w:ascii="Calibri" w:hAnsi="Calibri"/>
                <w:b/>
                <w:color w:val="1A1A1A"/>
                <w:sz w:val="16"/>
              </w:rPr>
              <w:t>Missing parent references</w:t>
            </w:r>
          </w:p>
        </w:tc>
        <w:tc>
          <w:tcPr>
            <w:tcW w:type="dxa" w:w="3685"/>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shd w:fill="F2F4F6"/>
            <w:vAlign w:val="center"/>
          </w:tcPr>
          <w:p>
            <w:pPr>
              <w:spacing w:after="20" w:before="20"/>
              <w:jc w:val="center"/>
            </w:pPr>
            <w:r>
              <w:rPr>
                <w:rFonts w:ascii="Calibri" w:hAnsi="Calibri"/>
                <w:color w:val="1A1A1A"/>
                <w:sz w:val="16"/>
              </w:rPr>
              <w:t>0</w:t>
            </w:r>
          </w:p>
        </w:tc>
      </w:tr>
      <w:tr>
        <w:tc>
          <w:tcPr>
            <w:tcW w:type="dxa" w:w="6520"/>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vAlign w:val="center"/>
          </w:tcPr>
          <w:p>
            <w:pPr>
              <w:spacing w:after="20" w:before="20"/>
              <w:jc w:val="left"/>
            </w:pPr>
            <w:r>
              <w:rPr>
                <w:rFonts w:ascii="Calibri" w:hAnsi="Calibri"/>
                <w:b/>
                <w:color w:val="1A1A1A"/>
                <w:sz w:val="16"/>
              </w:rPr>
              <w:t>Non-root self-loops</w:t>
            </w:r>
          </w:p>
        </w:tc>
        <w:tc>
          <w:tcPr>
            <w:tcW w:type="dxa" w:w="3685"/>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vAlign w:val="center"/>
          </w:tcPr>
          <w:p>
            <w:pPr>
              <w:spacing w:after="20" w:before="20"/>
              <w:jc w:val="center"/>
            </w:pPr>
            <w:r>
              <w:rPr>
                <w:rFonts w:ascii="Calibri" w:hAnsi="Calibri"/>
                <w:color w:val="1A1A1A"/>
                <w:sz w:val="16"/>
              </w:rPr>
              <w:t>0</w:t>
            </w:r>
          </w:p>
        </w:tc>
      </w:tr>
      <w:tr>
        <w:tc>
          <w:tcPr>
            <w:tcW w:type="dxa" w:w="6520"/>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shd w:fill="F2F4F6"/>
            <w:vAlign w:val="center"/>
          </w:tcPr>
          <w:p>
            <w:pPr>
              <w:spacing w:after="20" w:before="20"/>
              <w:jc w:val="left"/>
            </w:pPr>
            <w:r>
              <w:rPr>
                <w:rFonts w:ascii="Calibri" w:hAnsi="Calibri"/>
                <w:b/>
                <w:color w:val="1A1A1A"/>
                <w:sz w:val="16"/>
              </w:rPr>
              <w:t>Node-count cross-check (lineage vs. trajectory)</w:t>
            </w:r>
          </w:p>
        </w:tc>
        <w:tc>
          <w:tcPr>
            <w:tcW w:type="dxa" w:w="3685"/>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shd w:fill="F2F4F6"/>
            <w:vAlign w:val="center"/>
          </w:tcPr>
          <w:p>
            <w:pPr>
              <w:spacing w:after="20" w:before="20"/>
              <w:jc w:val="center"/>
            </w:pPr>
            <w:r>
              <w:rPr>
                <w:rFonts w:ascii="Calibri" w:hAnsi="Calibri"/>
                <w:color w:val="1A1A1A"/>
                <w:sz w:val="16"/>
              </w:rPr>
              <w:t>Match</w:t>
            </w:r>
          </w:p>
        </w:tc>
      </w:tr>
    </w:tbl>
    <w:p>
      <w:pPr>
        <w:spacing w:before="90" w:after="30"/>
      </w:pPr>
      <w:r>
        <w:rPr>
          <w:rFonts w:ascii="Calibri" w:hAnsi="Calibri"/>
          <w:b/>
          <w:color w:val="EB001B"/>
          <w:sz w:val="19"/>
        </w:rPr>
        <w:t>Economic Impact — Formula Verification (audit-regression run, n_instances=100)</w:t>
      </w:r>
    </w:p>
    <w:p>
      <w:pPr>
        <w:spacing w:after="60" w:before="0"/>
      </w:pPr>
      <w:r>
        <w:rPr>
          <w:rFonts w:ascii="Calibri" w:hAnsi="Calibri"/>
          <w:b/>
          <w:i w:val="0"/>
          <w:color w:val="1A1A1A"/>
          <w:sz w:val="16"/>
        </w:rPr>
        <w:t xml:space="preserve">Incremental Value Prevented (₹) = </w:t>
      </w:r>
      <w:r>
        <w:rPr>
          <w:rFonts w:ascii="Calibri" w:hAnsi="Calibri"/>
          <w:b w:val="0"/>
          <w:i/>
          <w:color w:val="2B3A4A"/>
          <w:sz w:val="16"/>
        </w:rPr>
        <w:t>Value Caught After Hardening − Value Caught by M0</w:t>
      </w:r>
    </w:p>
    <w:tbl>
      <w:tblPr>
        <w:tblW w:type="auto" w:w="0"/>
        <w:jc w:val="center"/>
        <w:tblLayout w:type="fixed"/>
        <w:tblLook w:firstColumn="1" w:firstRow="1" w:lastColumn="0" w:lastRow="0" w:noHBand="0" w:noVBand="1" w:val="04A0"/>
      </w:tblPr>
      <w:tblGrid>
        <w:gridCol w:w="5159"/>
        <w:gridCol w:w="5159"/>
      </w:tblGrid>
      <w:tr>
        <w:tc>
          <w:tcPr>
            <w:tcW w:type="dxa" w:w="6520"/>
            <w:shd w:fill="0B1B2B"/>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vAlign w:val="center"/>
          </w:tcPr>
          <w:p>
            <w:pPr>
              <w:jc w:val="left"/>
            </w:pPr>
            <w:r>
              <w:rPr>
                <w:rFonts w:ascii="Calibri" w:hAnsi="Calibri"/>
                <w:b/>
                <w:color w:val="FFFFFF"/>
                <w:sz w:val="16"/>
              </w:rPr>
              <w:t>Field</w:t>
            </w:r>
          </w:p>
        </w:tc>
        <w:tc>
          <w:tcPr>
            <w:tcW w:type="dxa" w:w="3685"/>
            <w:shd w:fill="0B1B2B"/>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vAlign w:val="center"/>
          </w:tcPr>
          <w:p>
            <w:pPr>
              <w:jc w:val="center"/>
            </w:pPr>
            <w:r>
              <w:rPr>
                <w:rFonts w:ascii="Calibri" w:hAnsi="Calibri"/>
                <w:b/>
                <w:color w:val="FFFFFF"/>
                <w:sz w:val="16"/>
              </w:rPr>
              <w:t>Value (₹ INR)</w:t>
            </w:r>
          </w:p>
        </w:tc>
      </w:tr>
      <w:tr>
        <w:tc>
          <w:tcPr>
            <w:tcW w:type="dxa" w:w="6520"/>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vAlign w:val="center"/>
          </w:tcPr>
          <w:p>
            <w:pPr>
              <w:spacing w:after="20" w:before="20"/>
              <w:jc w:val="left"/>
            </w:pPr>
            <w:r>
              <w:rPr>
                <w:rFonts w:ascii="Calibri" w:hAnsi="Calibri"/>
                <w:b/>
                <w:color w:val="1A1A1A"/>
                <w:sz w:val="16"/>
              </w:rPr>
              <w:t>Total generated attack value</w:t>
            </w:r>
          </w:p>
        </w:tc>
        <w:tc>
          <w:tcPr>
            <w:tcW w:type="dxa" w:w="3685"/>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vAlign w:val="center"/>
          </w:tcPr>
          <w:p>
            <w:pPr>
              <w:spacing w:after="20" w:before="20"/>
              <w:jc w:val="center"/>
            </w:pPr>
            <w:r>
              <w:rPr>
                <w:rFonts w:ascii="Calibri" w:hAnsi="Calibri"/>
                <w:color w:val="1A1A1A"/>
                <w:sz w:val="16"/>
              </w:rPr>
              <w:t>4,942,547.53</w:t>
            </w:r>
          </w:p>
        </w:tc>
      </w:tr>
      <w:tr>
        <w:tc>
          <w:tcPr>
            <w:tcW w:type="dxa" w:w="6520"/>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shd w:fill="F2F4F6"/>
            <w:vAlign w:val="center"/>
          </w:tcPr>
          <w:p>
            <w:pPr>
              <w:spacing w:after="20" w:before="20"/>
              <w:jc w:val="left"/>
            </w:pPr>
            <w:r>
              <w:rPr>
                <w:rFonts w:ascii="Calibri" w:hAnsi="Calibri"/>
                <w:b/>
                <w:color w:val="1A1A1A"/>
                <w:sz w:val="16"/>
              </w:rPr>
              <w:t>Value caught by M0 (pre-hardening)</w:t>
            </w:r>
          </w:p>
        </w:tc>
        <w:tc>
          <w:tcPr>
            <w:tcW w:type="dxa" w:w="3685"/>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shd w:fill="F2F4F6"/>
            <w:vAlign w:val="center"/>
          </w:tcPr>
          <w:p>
            <w:pPr>
              <w:spacing w:after="20" w:before="20"/>
              <w:jc w:val="center"/>
            </w:pPr>
            <w:r>
              <w:rPr>
                <w:rFonts w:ascii="Calibri" w:hAnsi="Calibri"/>
                <w:color w:val="1A1A1A"/>
                <w:sz w:val="16"/>
              </w:rPr>
              <w:t>4,752,282.29</w:t>
            </w:r>
          </w:p>
        </w:tc>
      </w:tr>
      <w:tr>
        <w:tc>
          <w:tcPr>
            <w:tcW w:type="dxa" w:w="6520"/>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vAlign w:val="center"/>
          </w:tcPr>
          <w:p>
            <w:pPr>
              <w:spacing w:after="20" w:before="20"/>
              <w:jc w:val="left"/>
            </w:pPr>
            <w:r>
              <w:rPr>
                <w:rFonts w:ascii="Calibri" w:hAnsi="Calibri"/>
                <w:b/>
                <w:color w:val="1A1A1A"/>
                <w:sz w:val="16"/>
              </w:rPr>
              <w:t>Value caught after hardening (M1)</w:t>
            </w:r>
          </w:p>
        </w:tc>
        <w:tc>
          <w:tcPr>
            <w:tcW w:type="dxa" w:w="3685"/>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vAlign w:val="center"/>
          </w:tcPr>
          <w:p>
            <w:pPr>
              <w:spacing w:after="20" w:before="20"/>
              <w:jc w:val="center"/>
            </w:pPr>
            <w:r>
              <w:rPr>
                <w:rFonts w:ascii="Calibri" w:hAnsi="Calibri"/>
                <w:color w:val="1A1A1A"/>
                <w:sz w:val="16"/>
              </w:rPr>
              <w:t>4,776,707.54</w:t>
            </w:r>
          </w:p>
        </w:tc>
      </w:tr>
      <w:tr>
        <w:tc>
          <w:tcPr>
            <w:tcW w:type="dxa" w:w="6520"/>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shd w:fill="F2F4F6"/>
            <w:vAlign w:val="center"/>
          </w:tcPr>
          <w:p>
            <w:pPr>
              <w:spacing w:after="20" w:before="20"/>
              <w:jc w:val="left"/>
            </w:pPr>
            <w:r>
              <w:rPr>
                <w:rFonts w:ascii="Calibri" w:hAnsi="Calibri"/>
                <w:b/>
                <w:color w:val="1A1A1A"/>
                <w:sz w:val="16"/>
              </w:rPr>
              <w:t>Incremental value prevented</w:t>
            </w:r>
          </w:p>
        </w:tc>
        <w:tc>
          <w:tcPr>
            <w:tcW w:type="dxa" w:w="3685"/>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shd w:fill="F2F4F6"/>
            <w:vAlign w:val="center"/>
          </w:tcPr>
          <w:p>
            <w:pPr>
              <w:spacing w:after="20" w:before="20"/>
              <w:jc w:val="center"/>
            </w:pPr>
            <w:r>
              <w:rPr>
                <w:rFonts w:ascii="Calibri" w:hAnsi="Calibri"/>
                <w:color w:val="1A1A1A"/>
                <w:sz w:val="16"/>
              </w:rPr>
              <w:t>24,425.25</w:t>
            </w:r>
          </w:p>
        </w:tc>
      </w:tr>
      <w:tr>
        <w:tc>
          <w:tcPr>
            <w:tcW w:type="dxa" w:w="6520"/>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vAlign w:val="center"/>
          </w:tcPr>
          <w:p>
            <w:pPr>
              <w:spacing w:after="20" w:before="20"/>
              <w:jc w:val="left"/>
            </w:pPr>
            <w:r>
              <w:rPr>
                <w:rFonts w:ascii="Calibri" w:hAnsi="Calibri"/>
                <w:b/>
                <w:color w:val="1A1A1A"/>
                <w:sz w:val="16"/>
              </w:rPr>
              <w:t>Arithmetic check (val_m1 − val_m0 == inc_val)</w:t>
            </w:r>
          </w:p>
        </w:tc>
        <w:tc>
          <w:tcPr>
            <w:tcW w:type="dxa" w:w="3685"/>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vAlign w:val="center"/>
          </w:tcPr>
          <w:p>
            <w:pPr>
              <w:spacing w:after="20" w:before="20"/>
              <w:jc w:val="center"/>
            </w:pPr>
            <w:r>
              <w:rPr>
                <w:rFonts w:ascii="Calibri" w:hAnsi="Calibri"/>
                <w:color w:val="1A1A1A"/>
                <w:sz w:val="16"/>
              </w:rPr>
              <w:t>Confirmed exact</w:t>
            </w:r>
          </w:p>
        </w:tc>
      </w:tr>
    </w:tbl>
    <w:tbl>
      <w:tblPr>
        <w:tblW w:type="auto" w:w="0"/>
        <w:tblLook w:firstColumn="1" w:firstRow="1" w:lastColumn="0" w:lastRow="0" w:noHBand="0" w:noVBand="1" w:val="04A0"/>
      </w:tblPr>
      <w:tblGrid>
        <w:gridCol w:w="10318"/>
      </w:tblGrid>
      <w:tr>
        <w:trPr>
          <w:cantSplit/>
        </w:trPr>
        <w:tc>
          <w:tcPr>
            <w:tcW w:type="dxa" w:w="10318"/>
            <w:shd w:fill="F2F4F6"/>
            <w:tcBorders>
              <w:top w:val="single" w:sz="8" w:space="0" w:color="1E7A46"/>
              <w:left w:val="single" w:sz="8" w:space="0" w:color="1E7A46"/>
              <w:bottom w:val="single" w:sz="8" w:space="0" w:color="1E7A46"/>
              <w:right w:val="single" w:sz="8" w:space="0" w:color="1E7A46"/>
            </w:tcBorders>
            <w:tcMar>
              <w:top w:w="45" w:type="dxa"/>
              <w:bottom w:w="45" w:type="dxa"/>
              <w:left w:w="100" w:type="dxa"/>
              <w:right w:w="100" w:type="dxa"/>
            </w:tcMar>
          </w:tcPr>
          <w:p>
            <w:pPr>
              <w:spacing w:after="60"/>
            </w:pPr>
            <w:r>
              <w:rPr>
                <w:rFonts w:ascii="Calibri" w:hAnsi="Calibri"/>
                <w:b/>
                <w:color w:val="1E7A46"/>
                <w:sz w:val="19"/>
              </w:rPr>
              <w:t>Scientifically honest, on purpose</w:t>
            </w:r>
          </w:p>
          <w:p>
            <w:pPr>
              <w:pStyle w:val="ListBullet"/>
              <w:spacing w:after="40" w:before="0"/>
              <w:ind w:left="198"/>
            </w:pPr>
            <w:r>
              <w:rPr>
                <w:rFonts w:ascii="Calibri" w:hAnsi="Calibri"/>
                <w:b/>
                <w:color w:val="1A1A1A"/>
                <w:sz w:val="17"/>
              </w:rPr>
              <w:t xml:space="preserve">Not real money. </w:t>
            </w:r>
            <w:r>
              <w:rPr>
                <w:rFonts w:ascii="Calibri" w:hAnsi="Calibri"/>
                <w:color w:val="1A1A1A"/>
                <w:sz w:val="17"/>
              </w:rPr>
              <w:t>This is a synthetic benchmark computed from actual generated attack transaction amounts and real M0-vs-M1 detector outcomes on one run. It is never a production financial-loss estimate.</w:t>
            </w:r>
          </w:p>
          <w:p>
            <w:pPr>
              <w:pStyle w:val="ListBullet"/>
              <w:spacing w:after="40" w:before="0"/>
              <w:ind w:left="198"/>
            </w:pPr>
            <w:r>
              <w:rPr>
                <w:rFonts w:ascii="Calibri" w:hAnsi="Calibri"/>
                <w:b/>
                <w:color w:val="1A1A1A"/>
                <w:sz w:val="17"/>
              </w:rPr>
              <w:t xml:space="preserve">Row-level, not averaged. </w:t>
            </w:r>
            <w:r>
              <w:rPr>
                <w:rFonts w:ascii="Calibri" w:hAnsi="Calibri"/>
                <w:color w:val="1A1A1A"/>
                <w:sz w:val="17"/>
              </w:rPr>
              <w:t>Both value_caught fields sum real per-transaction amount fields filtered by each model's actual prediction mask — never a clean-history average used as a stand-in.</w:t>
            </w:r>
          </w:p>
          <w:p>
            <w:pPr>
              <w:pStyle w:val="ListBullet"/>
              <w:spacing w:after="40" w:before="0"/>
              <w:ind w:left="198"/>
            </w:pPr>
            <w:r>
              <w:rPr>
                <w:rFonts w:ascii="Calibri" w:hAnsi="Calibri"/>
                <w:b/>
                <w:color w:val="1A1A1A"/>
                <w:sz w:val="17"/>
              </w:rPr>
              <w:t xml:space="preserve">Run-specific. </w:t>
            </w:r>
            <w:r>
              <w:rPr>
                <w:rFonts w:ascii="Calibri" w:hAnsi="Calibri"/>
                <w:color w:val="1A1A1A"/>
                <w:sz w:val="17"/>
              </w:rPr>
              <w:t>The number changes with n_instances and seed by design — it is a measurement of one labeled run, not a fixed marketing figure.</w:t>
            </w:r>
          </w:p>
        </w:tc>
      </w:tr>
    </w:tbl>
    <w:p>
      <w:pPr>
        <w:spacing w:before="90" w:after="30"/>
      </w:pPr>
      <w:r>
        <w:rPr>
          <w:rFonts w:ascii="Calibri" w:hAnsi="Calibri"/>
          <w:b/>
          <w:color w:val="EB001B"/>
          <w:sz w:val="19"/>
        </w:rPr>
        <w:t>Cross-Family Generalization — A Detector Hardened on One Family Is Not Hardened on All</w:t>
      </w:r>
    </w:p>
    <w:p>
      <w:pPr>
        <w:spacing w:after="80" w:before="0"/>
      </w:pPr>
      <w:r>
        <w:rPr>
          <w:rFonts w:ascii="Calibri" w:hAnsi="Calibri"/>
          <w:b w:val="0"/>
          <w:i w:val="0"/>
          <w:color w:val="1A1A1A"/>
          <w:sz w:val="16"/>
        </w:rPr>
        <w:t>arena.py documents a finding from this codebase's own testing: a detector (M0) trained and hardened exclusively against micro-structuring shows only ~2–4% initial evasion on that family, but 89–98% evasion against the other four families — diagnosed as feature co-occurrence dependence (the model learned is_new_device only in combination with dense-burst velocity patterns, not as an independent signal). run_multi_family_hardening() exists specifically to test and correct this: it harvests hard negatives from all 5 genomes into one combined retrain (M-multi), then re-tests each family independently against that single model.</w:t>
      </w:r>
    </w:p>
    <w:tbl>
      <w:tblPr>
        <w:tblW w:type="auto" w:w="0"/>
        <w:jc w:val="center"/>
        <w:tblLayout w:type="fixed"/>
        <w:tblLook w:firstColumn="1" w:firstRow="1" w:lastColumn="0" w:lastRow="0" w:noHBand="0" w:noVBand="1" w:val="04A0"/>
      </w:tblPr>
      <w:tblGrid>
        <w:gridCol w:w="2064"/>
        <w:gridCol w:w="2064"/>
        <w:gridCol w:w="2064"/>
        <w:gridCol w:w="2064"/>
        <w:gridCol w:w="2064"/>
      </w:tblGrid>
      <w:tr>
        <w:tc>
          <w:tcPr>
            <w:tcW w:type="dxa" w:w="3572"/>
            <w:shd w:fill="0B1B2B"/>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vAlign w:val="center"/>
          </w:tcPr>
          <w:p>
            <w:pPr>
              <w:jc w:val="left"/>
            </w:pPr>
            <w:r>
              <w:rPr>
                <w:rFonts w:ascii="Calibri" w:hAnsi="Calibri"/>
                <w:b/>
                <w:color w:val="FFFFFF"/>
                <w:sz w:val="14"/>
              </w:rPr>
              <w:t>Family</w:t>
            </w:r>
          </w:p>
        </w:tc>
        <w:tc>
          <w:tcPr>
            <w:tcW w:type="dxa" w:w="1701"/>
            <w:shd w:fill="0B1B2B"/>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vAlign w:val="center"/>
          </w:tcPr>
          <w:p>
            <w:pPr>
              <w:jc w:val="center"/>
            </w:pPr>
            <w:r>
              <w:rPr>
                <w:rFonts w:ascii="Calibri" w:hAnsi="Calibri"/>
                <w:b/>
                <w:color w:val="FFFFFF"/>
                <w:sz w:val="14"/>
              </w:rPr>
              <w:t>Initial evasion (M0)</w:t>
            </w:r>
          </w:p>
        </w:tc>
        <w:tc>
          <w:tcPr>
            <w:tcW w:type="dxa" w:w="1814"/>
            <w:shd w:fill="0B1B2B"/>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vAlign w:val="center"/>
          </w:tcPr>
          <w:p>
            <w:pPr>
              <w:jc w:val="center"/>
            </w:pPr>
            <w:r>
              <w:rPr>
                <w:rFonts w:ascii="Calibri" w:hAnsi="Calibri"/>
                <w:b/>
                <w:color w:val="FFFFFF"/>
                <w:sz w:val="14"/>
              </w:rPr>
              <w:t>Final evasion (M-multi)</w:t>
            </w:r>
          </w:p>
        </w:tc>
        <w:tc>
          <w:tcPr>
            <w:tcW w:type="dxa" w:w="1417"/>
            <w:shd w:fill="0B1B2B"/>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vAlign w:val="center"/>
          </w:tcPr>
          <w:p>
            <w:pPr>
              <w:jc w:val="center"/>
            </w:pPr>
            <w:r>
              <w:rPr>
                <w:rFonts w:ascii="Calibri" w:hAnsi="Calibri"/>
                <w:b/>
                <w:color w:val="FFFFFF"/>
                <w:sz w:val="14"/>
              </w:rPr>
              <w:t>Robustness gain</w:t>
            </w:r>
          </w:p>
        </w:tc>
        <w:tc>
          <w:tcPr>
            <w:tcW w:type="dxa" w:w="1701"/>
            <w:shd w:fill="0B1B2B"/>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vAlign w:val="center"/>
          </w:tcPr>
          <w:p>
            <w:pPr>
              <w:jc w:val="center"/>
            </w:pPr>
            <w:r>
              <w:rPr>
                <w:rFonts w:ascii="Calibri" w:hAnsi="Calibri"/>
                <w:b/>
                <w:color w:val="FFFFFF"/>
                <w:sz w:val="14"/>
              </w:rPr>
              <w:t>Hard negatives</w:t>
            </w:r>
          </w:p>
        </w:tc>
      </w:tr>
      <w:tr>
        <w:tc>
          <w:tcPr>
            <w:tcW w:type="dxa" w:w="3572"/>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vAlign w:val="center"/>
          </w:tcPr>
          <w:p>
            <w:pPr>
              <w:spacing w:after="20" w:before="20"/>
              <w:jc w:val="left"/>
            </w:pPr>
            <w:r>
              <w:rPr>
                <w:rFonts w:ascii="Calibri" w:hAnsi="Calibri"/>
                <w:b/>
                <w:color w:val="1A1A1A"/>
                <w:sz w:val="14"/>
              </w:rPr>
              <w:t>micro_structuring (seen at startup)</w:t>
            </w:r>
          </w:p>
        </w:tc>
        <w:tc>
          <w:tcPr>
            <w:tcW w:type="dxa" w:w="1701"/>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vAlign w:val="center"/>
          </w:tcPr>
          <w:p>
            <w:pPr>
              <w:spacing w:after="20" w:before="20"/>
              <w:jc w:val="center"/>
            </w:pPr>
            <w:r>
              <w:rPr>
                <w:rFonts w:ascii="Calibri" w:hAnsi="Calibri"/>
                <w:color w:val="1A1A1A"/>
                <w:sz w:val="14"/>
              </w:rPr>
              <w:t>4.48%</w:t>
            </w:r>
          </w:p>
        </w:tc>
        <w:tc>
          <w:tcPr>
            <w:tcW w:type="dxa" w:w="1814"/>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vAlign w:val="center"/>
          </w:tcPr>
          <w:p>
            <w:pPr>
              <w:spacing w:after="20" w:before="20"/>
              <w:jc w:val="center"/>
            </w:pPr>
            <w:r>
              <w:rPr>
                <w:rFonts w:ascii="Calibri" w:hAnsi="Calibri"/>
                <w:color w:val="1A1A1A"/>
                <w:sz w:val="14"/>
              </w:rPr>
              <w:t>4.37%</w:t>
            </w:r>
          </w:p>
        </w:tc>
        <w:tc>
          <w:tcPr>
            <w:tcW w:type="dxa" w:w="1417"/>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vAlign w:val="center"/>
          </w:tcPr>
          <w:p>
            <w:pPr>
              <w:spacing w:after="20" w:before="20"/>
              <w:jc w:val="center"/>
            </w:pPr>
            <w:r>
              <w:rPr>
                <w:rFonts w:ascii="Calibri" w:hAnsi="Calibri"/>
                <w:color w:val="1A1A1A"/>
                <w:sz w:val="14"/>
              </w:rPr>
              <w:t>2.6%</w:t>
            </w:r>
          </w:p>
        </w:tc>
        <w:tc>
          <w:tcPr>
            <w:tcW w:type="dxa" w:w="1701"/>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vAlign w:val="center"/>
          </w:tcPr>
          <w:p>
            <w:pPr>
              <w:spacing w:after="20" w:before="20"/>
              <w:jc w:val="center"/>
            </w:pPr>
            <w:r>
              <w:rPr>
                <w:rFonts w:ascii="Calibri" w:hAnsi="Calibri"/>
                <w:color w:val="1A1A1A"/>
                <w:sz w:val="14"/>
              </w:rPr>
              <w:t>253</w:t>
            </w:r>
          </w:p>
        </w:tc>
      </w:tr>
      <w:tr>
        <w:tc>
          <w:tcPr>
            <w:tcW w:type="dxa" w:w="3572"/>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shd w:fill="F2F4F6"/>
            <w:vAlign w:val="center"/>
          </w:tcPr>
          <w:p>
            <w:pPr>
              <w:spacing w:after="20" w:before="20"/>
              <w:jc w:val="left"/>
            </w:pPr>
            <w:r>
              <w:rPr>
                <w:rFonts w:ascii="Calibri" w:hAnsi="Calibri"/>
                <w:b/>
                <w:color w:val="1A1A1A"/>
                <w:sz w:val="14"/>
              </w:rPr>
              <w:t>synthetic_identity_drift</w:t>
            </w:r>
          </w:p>
        </w:tc>
        <w:tc>
          <w:tcPr>
            <w:tcW w:type="dxa" w:w="1701"/>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shd w:fill="F2F4F6"/>
            <w:vAlign w:val="center"/>
          </w:tcPr>
          <w:p>
            <w:pPr>
              <w:spacing w:after="20" w:before="20"/>
              <w:jc w:val="center"/>
            </w:pPr>
            <w:r>
              <w:rPr>
                <w:rFonts w:ascii="Calibri" w:hAnsi="Calibri"/>
                <w:color w:val="1A1A1A"/>
                <w:sz w:val="14"/>
              </w:rPr>
              <w:t>90.52%</w:t>
            </w:r>
          </w:p>
        </w:tc>
        <w:tc>
          <w:tcPr>
            <w:tcW w:type="dxa" w:w="1814"/>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shd w:fill="F2F4F6"/>
            <w:vAlign w:val="center"/>
          </w:tcPr>
          <w:p>
            <w:pPr>
              <w:spacing w:after="20" w:before="20"/>
              <w:jc w:val="center"/>
            </w:pPr>
            <w:r>
              <w:rPr>
                <w:rFonts w:ascii="Calibri" w:hAnsi="Calibri"/>
                <w:color w:val="1A1A1A"/>
                <w:sz w:val="14"/>
              </w:rPr>
              <w:t>8.10%</w:t>
            </w:r>
          </w:p>
        </w:tc>
        <w:tc>
          <w:tcPr>
            <w:tcW w:type="dxa" w:w="1417"/>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shd w:fill="F2F4F6"/>
            <w:vAlign w:val="center"/>
          </w:tcPr>
          <w:p>
            <w:pPr>
              <w:spacing w:after="20" w:before="20"/>
              <w:jc w:val="center"/>
            </w:pPr>
            <w:r>
              <w:rPr>
                <w:rFonts w:ascii="Calibri" w:hAnsi="Calibri"/>
                <w:color w:val="1A1A1A"/>
                <w:sz w:val="14"/>
              </w:rPr>
              <w:t>91.1%</w:t>
            </w:r>
          </w:p>
        </w:tc>
        <w:tc>
          <w:tcPr>
            <w:tcW w:type="dxa" w:w="1701"/>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shd w:fill="F2F4F6"/>
            <w:vAlign w:val="center"/>
          </w:tcPr>
          <w:p>
            <w:pPr>
              <w:spacing w:after="20" w:before="20"/>
              <w:jc w:val="center"/>
            </w:pPr>
            <w:r>
              <w:rPr>
                <w:rFonts w:ascii="Calibri" w:hAnsi="Calibri"/>
                <w:color w:val="1A1A1A"/>
                <w:sz w:val="14"/>
              </w:rPr>
              <w:t>2,028</w:t>
            </w:r>
          </w:p>
        </w:tc>
      </w:tr>
      <w:tr>
        <w:tc>
          <w:tcPr>
            <w:tcW w:type="dxa" w:w="3572"/>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vAlign w:val="center"/>
          </w:tcPr>
          <w:p>
            <w:pPr>
              <w:spacing w:after="20" w:before="20"/>
              <w:jc w:val="left"/>
            </w:pPr>
            <w:r>
              <w:rPr>
                <w:rFonts w:ascii="Calibri" w:hAnsi="Calibri"/>
                <w:b/>
                <w:color w:val="1A1A1A"/>
                <w:sz w:val="14"/>
              </w:rPr>
              <w:t>behavioral_camouflage</w:t>
            </w:r>
          </w:p>
        </w:tc>
        <w:tc>
          <w:tcPr>
            <w:tcW w:type="dxa" w:w="1701"/>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vAlign w:val="center"/>
          </w:tcPr>
          <w:p>
            <w:pPr>
              <w:spacing w:after="20" w:before="20"/>
              <w:jc w:val="center"/>
            </w:pPr>
            <w:r>
              <w:rPr>
                <w:rFonts w:ascii="Calibri" w:hAnsi="Calibri"/>
                <w:color w:val="1A1A1A"/>
                <w:sz w:val="14"/>
              </w:rPr>
              <w:t>88.20%</w:t>
            </w:r>
          </w:p>
        </w:tc>
        <w:tc>
          <w:tcPr>
            <w:tcW w:type="dxa" w:w="1814"/>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vAlign w:val="center"/>
          </w:tcPr>
          <w:p>
            <w:pPr>
              <w:spacing w:after="20" w:before="20"/>
              <w:jc w:val="center"/>
            </w:pPr>
            <w:r>
              <w:rPr>
                <w:rFonts w:ascii="Calibri" w:hAnsi="Calibri"/>
                <w:color w:val="1A1A1A"/>
                <w:sz w:val="14"/>
              </w:rPr>
              <w:t>13.10%</w:t>
            </w:r>
          </w:p>
        </w:tc>
        <w:tc>
          <w:tcPr>
            <w:tcW w:type="dxa" w:w="1417"/>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vAlign w:val="center"/>
          </w:tcPr>
          <w:p>
            <w:pPr>
              <w:spacing w:after="20" w:before="20"/>
              <w:jc w:val="center"/>
            </w:pPr>
            <w:r>
              <w:rPr>
                <w:rFonts w:ascii="Calibri" w:hAnsi="Calibri"/>
                <w:color w:val="1A1A1A"/>
                <w:sz w:val="14"/>
              </w:rPr>
              <w:t>85.1%</w:t>
            </w:r>
          </w:p>
        </w:tc>
        <w:tc>
          <w:tcPr>
            <w:tcW w:type="dxa" w:w="1701"/>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vAlign w:val="center"/>
          </w:tcPr>
          <w:p>
            <w:pPr>
              <w:spacing w:after="20" w:before="20"/>
              <w:jc w:val="center"/>
            </w:pPr>
            <w:r>
              <w:rPr>
                <w:rFonts w:ascii="Calibri" w:hAnsi="Calibri"/>
                <w:color w:val="1A1A1A"/>
                <w:sz w:val="14"/>
              </w:rPr>
              <w:t>1,518</w:t>
            </w:r>
          </w:p>
        </w:tc>
      </w:tr>
      <w:tr>
        <w:tc>
          <w:tcPr>
            <w:tcW w:type="dxa" w:w="3572"/>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shd w:fill="F2F4F6"/>
            <w:vAlign w:val="center"/>
          </w:tcPr>
          <w:p>
            <w:pPr>
              <w:spacing w:after="20" w:before="20"/>
              <w:jc w:val="left"/>
            </w:pPr>
            <w:r>
              <w:rPr>
                <w:rFonts w:ascii="Calibri" w:hAnsi="Calibri"/>
                <w:b/>
                <w:color w:val="1A1A1A"/>
                <w:sz w:val="14"/>
              </w:rPr>
              <w:t>social_engineering_coercion</w:t>
            </w:r>
          </w:p>
        </w:tc>
        <w:tc>
          <w:tcPr>
            <w:tcW w:type="dxa" w:w="1701"/>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shd w:fill="F2F4F6"/>
            <w:vAlign w:val="center"/>
          </w:tcPr>
          <w:p>
            <w:pPr>
              <w:spacing w:after="20" w:before="20"/>
              <w:jc w:val="center"/>
            </w:pPr>
            <w:r>
              <w:rPr>
                <w:rFonts w:ascii="Calibri" w:hAnsi="Calibri"/>
                <w:color w:val="1A1A1A"/>
                <w:sz w:val="14"/>
              </w:rPr>
              <w:t>99.20%</w:t>
            </w:r>
          </w:p>
        </w:tc>
        <w:tc>
          <w:tcPr>
            <w:tcW w:type="dxa" w:w="1814"/>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shd w:fill="F2F4F6"/>
            <w:vAlign w:val="center"/>
          </w:tcPr>
          <w:p>
            <w:pPr>
              <w:spacing w:after="20" w:before="20"/>
              <w:jc w:val="center"/>
            </w:pPr>
            <w:r>
              <w:rPr>
                <w:rFonts w:ascii="Calibri" w:hAnsi="Calibri"/>
                <w:color w:val="1A1A1A"/>
                <w:sz w:val="14"/>
              </w:rPr>
              <w:t>67.40%</w:t>
            </w:r>
          </w:p>
        </w:tc>
        <w:tc>
          <w:tcPr>
            <w:tcW w:type="dxa" w:w="1417"/>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shd w:fill="F2F4F6"/>
            <w:vAlign w:val="center"/>
          </w:tcPr>
          <w:p>
            <w:pPr>
              <w:spacing w:after="20" w:before="20"/>
              <w:jc w:val="center"/>
            </w:pPr>
            <w:r>
              <w:rPr>
                <w:rFonts w:ascii="Calibri" w:hAnsi="Calibri"/>
                <w:color w:val="1A1A1A"/>
                <w:sz w:val="14"/>
              </w:rPr>
              <w:t>32.1%</w:t>
            </w:r>
          </w:p>
        </w:tc>
        <w:tc>
          <w:tcPr>
            <w:tcW w:type="dxa" w:w="1701"/>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shd w:fill="F2F4F6"/>
            <w:vAlign w:val="center"/>
          </w:tcPr>
          <w:p>
            <w:pPr>
              <w:spacing w:after="20" w:before="20"/>
              <w:jc w:val="center"/>
            </w:pPr>
            <w:r>
              <w:rPr>
                <w:rFonts w:ascii="Calibri" w:hAnsi="Calibri"/>
                <w:color w:val="1A1A1A"/>
                <w:sz w:val="14"/>
              </w:rPr>
              <w:t>491</w:t>
            </w:r>
          </w:p>
        </w:tc>
      </w:tr>
      <w:tr>
        <w:tc>
          <w:tcPr>
            <w:tcW w:type="dxa" w:w="3572"/>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vAlign w:val="center"/>
          </w:tcPr>
          <w:p>
            <w:pPr>
              <w:spacing w:after="20" w:before="20"/>
              <w:jc w:val="left"/>
            </w:pPr>
            <w:r>
              <w:rPr>
                <w:rFonts w:ascii="Calibri" w:hAnsi="Calibri"/>
                <w:b/>
                <w:color w:val="1A1A1A"/>
                <w:sz w:val="14"/>
              </w:rPr>
              <w:t>synthetic_voice_authorization</w:t>
            </w:r>
          </w:p>
        </w:tc>
        <w:tc>
          <w:tcPr>
            <w:tcW w:type="dxa" w:w="1701"/>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vAlign w:val="center"/>
          </w:tcPr>
          <w:p>
            <w:pPr>
              <w:spacing w:after="20" w:before="20"/>
              <w:jc w:val="center"/>
            </w:pPr>
            <w:r>
              <w:rPr>
                <w:rFonts w:ascii="Calibri" w:hAnsi="Calibri"/>
                <w:color w:val="1A1A1A"/>
                <w:sz w:val="14"/>
              </w:rPr>
              <w:t>98.00%</w:t>
            </w:r>
          </w:p>
        </w:tc>
        <w:tc>
          <w:tcPr>
            <w:tcW w:type="dxa" w:w="1814"/>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vAlign w:val="center"/>
          </w:tcPr>
          <w:p>
            <w:pPr>
              <w:spacing w:after="20" w:before="20"/>
              <w:jc w:val="center"/>
            </w:pPr>
            <w:r>
              <w:rPr>
                <w:rFonts w:ascii="Calibri" w:hAnsi="Calibri"/>
                <w:color w:val="1A1A1A"/>
                <w:sz w:val="14"/>
              </w:rPr>
              <w:t>21.40%</w:t>
            </w:r>
          </w:p>
        </w:tc>
        <w:tc>
          <w:tcPr>
            <w:tcW w:type="dxa" w:w="1417"/>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vAlign w:val="center"/>
          </w:tcPr>
          <w:p>
            <w:pPr>
              <w:spacing w:after="20" w:before="20"/>
              <w:jc w:val="center"/>
            </w:pPr>
            <w:r>
              <w:rPr>
                <w:rFonts w:ascii="Calibri" w:hAnsi="Calibri"/>
                <w:color w:val="1A1A1A"/>
                <w:sz w:val="14"/>
              </w:rPr>
              <w:t>78.2%</w:t>
            </w:r>
          </w:p>
        </w:tc>
        <w:tc>
          <w:tcPr>
            <w:tcW w:type="dxa" w:w="1701"/>
            <w:tcBorders>
              <w:top w:val="single" w:sz="4" w:space="0" w:color="B8C0C8"/>
              <w:left w:val="single" w:sz="4" w:space="0" w:color="B8C0C8"/>
              <w:bottom w:val="single" w:sz="4" w:space="0" w:color="B8C0C8"/>
              <w:right w:val="single" w:sz="4" w:space="0" w:color="B8C0C8"/>
            </w:tcBorders>
            <w:tcMar>
              <w:top w:w="40" w:type="dxa"/>
              <w:bottom w:w="40" w:type="dxa"/>
              <w:left w:w="80" w:type="dxa"/>
              <w:right w:w="80" w:type="dxa"/>
            </w:tcMar>
            <w:vAlign w:val="center"/>
          </w:tcPr>
          <w:p>
            <w:pPr>
              <w:spacing w:after="20" w:before="20"/>
              <w:jc w:val="center"/>
            </w:pPr>
            <w:r>
              <w:rPr>
                <w:rFonts w:ascii="Calibri" w:hAnsi="Calibri"/>
                <w:color w:val="1A1A1A"/>
                <w:sz w:val="14"/>
              </w:rPr>
              <w:t>486</w:t>
            </w:r>
          </w:p>
        </w:tc>
      </w:tr>
    </w:tbl>
    <w:p>
      <w:pPr>
        <w:spacing w:after="60" w:before="0"/>
      </w:pPr>
      <w:r>
        <w:rPr>
          <w:rFonts w:ascii="Calibri" w:hAnsi="Calibri"/>
          <w:b w:val="0"/>
          <w:i w:val="0"/>
          <w:color w:val="1A1A1A"/>
          <w:sz w:val="15"/>
        </w:rPr>
        <w:t>Combined retrain on 4,776 hard negatives across all 5 families: precision 0.687, recall 0.958, F1 0.800, FPR 5.16%. Read plainly: a model that only ever saw micro-structuring during training is near-blind (88–99% evasion) to the other four families — and one combined hardening pass closes most of that gap, but not all of it. social_engineering_coercion stays the hardest family to close (67.4% evasion even after hardening) — disclosed here rather than smoothed over, because a semantically normal transaction with adversarial memo text is a genuinely different signal than a velocity/graph anomaly, and this run shows the detector still has real headroom there.</w:t>
      </w:r>
    </w:p>
    <w:p>
      <w:pPr>
        <w:spacing w:before="90" w:after="30"/>
      </w:pPr>
      <w:r>
        <w:rPr>
          <w:rFonts w:ascii="Calibri" w:hAnsi="Calibri"/>
          <w:b/>
          <w:color w:val="EB001B"/>
          <w:sz w:val="18"/>
        </w:rPr>
        <w:t>STIX 2.1 Threat-Intelligence Export</w:t>
      </w:r>
    </w:p>
    <w:p>
      <w:pPr>
        <w:spacing w:after="60" w:before="0"/>
      </w:pPr>
      <w:r>
        <w:rPr>
          <w:rFonts w:ascii="Calibri" w:hAnsi="Calibri"/>
          <w:b w:val="0"/>
          <w:i w:val="0"/>
          <w:color w:val="1A1A1A"/>
          <w:sz w:val="15"/>
        </w:rPr>
        <w:t>POST /observatory/export converts one lineage entry from the most recent adaptive-search run into a STIX 2.1 bundle containing one attack-pattern object: deterministic SHA-256-derived id, real evasion/fitness/novelty/impact/realism scores and the genome's own parameters/mutations as x_sentinel_* custom properties, plus a custom kill-chain-phase entry. Verified this session: two calls with the same run_id/genome_id return byte-identical bundles (deterministic), and an invalid run_id correctly returns HTTP 404 rather than a fabricated object.</w:t>
      </w:r>
    </w:p>
    <w:p>
      <w:pPr>
        <w:spacing w:before="90" w:after="30"/>
      </w:pPr>
      <w:r>
        <w:rPr>
          <w:rFonts w:ascii="Calibri" w:hAnsi="Calibri"/>
          <w:b/>
          <w:color w:val="EB001B"/>
          <w:sz w:val="18"/>
        </w:rPr>
        <w:t>Judge Mode Scorecard — What Is Live vs. What Is a Fixed Placeholder</w:t>
      </w:r>
    </w:p>
    <w:p>
      <w:pPr>
        <w:spacing w:after="40" w:before="0"/>
      </w:pPr>
      <w:r>
        <w:rPr>
          <w:rFonts w:ascii="Calibri" w:hAnsi="Calibri"/>
          <w:b w:val="0"/>
          <w:i w:val="0"/>
          <w:color w:val="1A1A1A"/>
          <w:sz w:val="15"/>
        </w:rPr>
        <w:t>The 11-stage lifecycle (next page) produces a Scorecard. In the interest of the same honesty this document asks of every other number: some Scorecard fields are computed from real measurement this run, and some are fixed proxy values not yet wired to live computation. Both are disclosed below rather than left ambiguous.</w:t>
      </w:r>
    </w:p>
    <w:tbl>
      <w:tblPr>
        <w:tblW w:type="auto" w:w="0"/>
        <w:tblLayout w:type="fixed"/>
        <w:tblLook w:firstColumn="1" w:firstRow="1" w:lastColumn="0" w:lastRow="0" w:noHBand="0" w:noVBand="1" w:val="04A0"/>
      </w:tblPr>
      <w:tblGrid>
        <w:gridCol w:w="5159"/>
        <w:gridCol w:w="5159"/>
      </w:tblGrid>
      <w:tr>
        <w:trPr>
          <w:cantSplit/>
        </w:trPr>
        <w:tc>
          <w:tcPr>
            <w:tcW w:type="dxa" w:w="5102"/>
            <w:shd w:fill="E9F5EE"/>
            <w:tcBorders>
              <w:top w:val="single" w:sz="4" w:space="0" w:color="1E7A46"/>
              <w:left w:val="single" w:sz="4" w:space="0" w:color="1E7A46"/>
              <w:bottom w:val="single" w:sz="4" w:space="0" w:color="1E7A46"/>
              <w:right w:val="single" w:sz="4" w:space="0" w:color="1E7A46"/>
            </w:tcBorders>
            <w:tcMar>
              <w:top w:w="42" w:type="dxa"/>
              <w:bottom w:w="42" w:type="dxa"/>
              <w:left w:w="90" w:type="dxa"/>
              <w:right w:w="90" w:type="dxa"/>
            </w:tcMar>
          </w:tcPr>
          <w:p>
            <w:pPr>
              <w:spacing w:after="60"/>
            </w:pPr>
            <w:r>
              <w:rPr>
                <w:rFonts w:ascii="Calibri" w:hAnsi="Calibri"/>
                <w:b/>
                <w:color w:val="1E7A46"/>
                <w:sz w:val="17"/>
              </w:rPr>
              <w:t>LIVE — computed this run</w:t>
            </w:r>
          </w:p>
          <w:p>
            <w:pPr>
              <w:pStyle w:val="ListBullet"/>
              <w:spacing w:after="40"/>
              <w:ind w:left="170"/>
            </w:pPr>
            <w:r>
              <w:rPr>
                <w:rFonts w:ascii="Calibri" w:hAnsi="Calibri"/>
                <w:color w:val="1A1A1A"/>
                <w:sz w:val="15"/>
              </w:rPr>
              <w:t>initial_evasion / best_evolved_evasion (real detector predictions)</w:t>
            </w:r>
          </w:p>
          <w:p>
            <w:pPr>
              <w:pStyle w:val="ListBullet"/>
              <w:spacing w:after="40"/>
              <w:ind w:left="170"/>
            </w:pPr>
            <w:r>
              <w:rPr>
                <w:rFonts w:ascii="Calibri" w:hAnsi="Calibri"/>
                <w:color w:val="1A1A1A"/>
                <w:sz w:val="15"/>
              </w:rPr>
              <w:t>recall = 1 − evolved_evasion</w:t>
            </w:r>
          </w:p>
          <w:p>
            <w:pPr>
              <w:pStyle w:val="ListBullet"/>
              <w:spacing w:after="40"/>
              <w:ind w:left="170"/>
            </w:pPr>
            <w:r>
              <w:rPr>
                <w:rFonts w:ascii="Calibri" w:hAnsi="Calibri"/>
                <w:color w:val="1A1A1A"/>
                <w:sz w:val="15"/>
              </w:rPr>
              <w:t>unknown_detection_rate, cluster_count (Zero-Day Radar)</w:t>
            </w:r>
          </w:p>
          <w:p>
            <w:pPr>
              <w:pStyle w:val="ListBullet"/>
              <w:spacing w:after="40"/>
              <w:ind w:left="170"/>
            </w:pPr>
            <w:r>
              <w:rPr>
                <w:rFonts w:ascii="Calibri" w:hAnsi="Calibri"/>
                <w:color w:val="1A1A1A"/>
                <w:sz w:val="15"/>
              </w:rPr>
              <w:t>evasion_before / evasion_after / evasion_reduction (real policy simulation, when a policy exists)</w:t>
            </w:r>
          </w:p>
          <w:p>
            <w:pPr>
              <w:pStyle w:val="ListBullet"/>
              <w:spacing w:after="40"/>
              <w:ind w:left="170"/>
            </w:pPr>
            <w:r>
              <w:rPr>
                <w:rFonts w:ascii="Calibri" w:hAnsi="Calibri"/>
                <w:color w:val="1A1A1A"/>
                <w:sz w:val="15"/>
              </w:rPr>
              <w:t>defense_readiness_score (formula over the above)</w:t>
            </w:r>
          </w:p>
        </w:tc>
        <w:tc>
          <w:tcPr>
            <w:tcW w:type="dxa" w:w="5102"/>
            <w:shd w:fill="FBEDEA"/>
            <w:tcBorders>
              <w:top w:val="single" w:sz="4" w:space="0" w:color="EB001B"/>
              <w:left w:val="single" w:sz="4" w:space="0" w:color="EB001B"/>
              <w:bottom w:val="single" w:sz="4" w:space="0" w:color="EB001B"/>
              <w:right w:val="single" w:sz="4" w:space="0" w:color="EB001B"/>
            </w:tcBorders>
            <w:tcMar>
              <w:top w:w="42" w:type="dxa"/>
              <w:bottom w:w="42" w:type="dxa"/>
              <w:left w:w="90" w:type="dxa"/>
              <w:right w:w="90" w:type="dxa"/>
            </w:tcMar>
          </w:tcPr>
          <w:p>
            <w:pPr>
              <w:spacing w:after="60"/>
            </w:pPr>
            <w:r>
              <w:rPr>
                <w:rFonts w:ascii="Calibri" w:hAnsi="Calibri"/>
                <w:b/>
                <w:color w:val="EB001B"/>
                <w:sz w:val="17"/>
              </w:rPr>
              <w:t>FIXED PLACEHOLDER — not yet live</w:t>
            </w:r>
          </w:p>
          <w:p>
            <w:pPr>
              <w:pStyle w:val="ListBullet"/>
              <w:spacing w:after="40"/>
              <w:ind w:left="170"/>
            </w:pPr>
            <w:r>
              <w:rPr>
                <w:rFonts w:ascii="Calibri" w:hAnsi="Calibri"/>
                <w:color w:val="1A1A1A"/>
                <w:sz w:val="15"/>
              </w:rPr>
              <w:t>attack_diversity = 0.8 (constant)</w:t>
            </w:r>
          </w:p>
          <w:p>
            <w:pPr>
              <w:pStyle w:val="ListBullet"/>
              <w:spacing w:after="40"/>
              <w:ind w:left="170"/>
            </w:pPr>
            <w:r>
              <w:rPr>
                <w:rFonts w:ascii="Calibri" w:hAnsi="Calibri"/>
                <w:color w:val="1A1A1A"/>
                <w:sz w:val="15"/>
              </w:rPr>
              <w:t>precision = 0.9, f1 = 0.85, fpr = 0.01 (constants)</w:t>
            </w:r>
          </w:p>
          <w:p>
            <w:pPr>
              <w:pStyle w:val="ListBullet"/>
              <w:spacing w:after="40"/>
              <w:ind w:left="170"/>
            </w:pPr>
            <w:r>
              <w:rPr>
                <w:rFonts w:ascii="Calibri" w:hAnsi="Calibri"/>
                <w:color w:val="1A1A1A"/>
                <w:sz w:val="15"/>
              </w:rPr>
              <w:t>legitimate_block_rate = 0.01, clean_fpr_delta = 0.0 (constants)</w:t>
            </w:r>
          </w:p>
          <w:p>
            <w:pPr>
              <w:pStyle w:val="ListBullet"/>
              <w:spacing w:after="40"/>
              <w:ind w:left="170"/>
            </w:pPr>
            <w:r>
              <w:rPr>
                <w:rFonts w:ascii="Calibri" w:hAnsi="Calibri"/>
                <w:color w:val="1A1A1A"/>
                <w:sz w:val="15"/>
              </w:rPr>
              <w:t>customer_leakage, row_leakage = 0 (hardcoded, not computed)</w:t>
            </w:r>
          </w:p>
          <w:p>
            <w:pPr>
              <w:pStyle w:val="ListBullet"/>
              <w:spacing w:after="40"/>
              <w:ind w:left="170"/>
            </w:pPr>
            <w:r>
              <w:rPr>
                <w:rFonts w:ascii="Calibri" w:hAnsi="Calibri"/>
                <w:color w:val="1A1A1A"/>
                <w:sz w:val="15"/>
              </w:rPr>
              <w:t>reproducibility = True (hardcoded, not independently re-verified per run)</w:t>
            </w:r>
          </w:p>
        </w:tc>
      </w:tr>
    </w:tbl>
    <w:p>
      <w:pPr>
        <w:spacing w:before="90" w:after="30"/>
      </w:pPr>
      <w:r>
        <w:rPr>
          <w:rFonts w:ascii="Calibri" w:hAnsi="Calibri"/>
          <w:b/>
          <w:color w:val="EB001B"/>
          <w:sz w:val="19"/>
        </w:rPr>
        <w:t>Verification Discipline</w:t>
      </w:r>
    </w:p>
    <w:tbl>
      <w:tblPr>
        <w:tblW w:type="auto" w:w="0"/>
        <w:tblLook w:firstColumn="1" w:firstRow="1" w:lastColumn="0" w:lastRow="0" w:noHBand="0" w:noVBand="1" w:val="04A0"/>
      </w:tblPr>
      <w:tblGrid>
        <w:gridCol w:w="10318"/>
      </w:tblGrid>
      <w:tr>
        <w:trPr>
          <w:cantSplit/>
        </w:trPr>
        <w:tc>
          <w:tcPr>
            <w:tcW w:type="dxa" w:w="10318"/>
            <w:shd w:fill="F2F4F6"/>
            <w:tcBorders>
              <w:top w:val="single" w:sz="8" w:space="0" w:color="0B1B2B"/>
              <w:left w:val="single" w:sz="8" w:space="0" w:color="0B1B2B"/>
              <w:bottom w:val="single" w:sz="8" w:space="0" w:color="0B1B2B"/>
              <w:right w:val="single" w:sz="8" w:space="0" w:color="0B1B2B"/>
            </w:tcBorders>
            <w:tcMar>
              <w:top w:w="45" w:type="dxa"/>
              <w:bottom w:w="45" w:type="dxa"/>
              <w:left w:w="100" w:type="dxa"/>
              <w:right w:w="100" w:type="dxa"/>
            </w:tcMar>
          </w:tcPr>
          <w:p>
            <w:pPr>
              <w:spacing w:after="60"/>
            </w:pPr>
            <w:r>
              <w:rPr>
                <w:rFonts w:ascii="Calibri" w:hAnsi="Calibri"/>
                <w:b/>
                <w:color w:val="0B1B2B"/>
                <w:sz w:val="19"/>
              </w:rPr>
              <w:t>This session, not a claim from an old README</w:t>
            </w:r>
          </w:p>
          <w:p>
            <w:pPr>
              <w:pStyle w:val="ListBullet"/>
              <w:spacing w:after="40" w:before="0"/>
              <w:ind w:left="198"/>
            </w:pPr>
            <w:r>
              <w:rPr>
                <w:rFonts w:ascii="Calibri" w:hAnsi="Calibri"/>
                <w:b/>
                <w:color w:val="1A1A1A"/>
                <w:sz w:val="17"/>
              </w:rPr>
              <w:t xml:space="preserve">Full backend test suite: </w:t>
            </w:r>
            <w:r>
              <w:rPr>
                <w:rFonts w:ascii="Calibri" w:hAnsi="Calibri"/>
                <w:color w:val="1A1A1A"/>
                <w:sz w:val="17"/>
              </w:rPr>
              <w:t>166 tests passed, 0 failed, across 14 test modules (test_arena, test_red_team, test_blue_team, test_judge_mode, test_observatory, test_observatory_stix, test_sandbox_compiler, test_zero_day, test_benchmark, test_candidate_registry, test_explainability, test_analyze_attack, test_api, test_simulator).</w:t>
            </w:r>
          </w:p>
          <w:p>
            <w:pPr>
              <w:pStyle w:val="ListBullet"/>
              <w:spacing w:after="40" w:before="0"/>
              <w:ind w:left="198"/>
            </w:pPr>
            <w:r>
              <w:rPr>
                <w:rFonts w:ascii="Calibri" w:hAnsi="Calibri"/>
                <w:b/>
                <w:color w:val="1A1A1A"/>
                <w:sz w:val="17"/>
              </w:rPr>
              <w:t xml:space="preserve">Leakage controls: </w:t>
            </w:r>
            <w:r>
              <w:rPr>
                <w:rFonts w:ascii="Calibri" w:hAnsi="Calibri"/>
                <w:color w:val="1A1A1A"/>
                <w:sz w:val="17"/>
              </w:rPr>
              <w:t>customer-level train/test split (never row-level) for the detector; graph features built from train-split transactions only; rolling velocity windows computed strictly prior to the current row (own contribution subtracted after the window sum).</w:t>
            </w:r>
          </w:p>
          <w:p>
            <w:pPr>
              <w:pStyle w:val="ListBullet"/>
              <w:spacing w:after="40" w:before="0"/>
              <w:ind w:left="198"/>
            </w:pPr>
            <w:r>
              <w:rPr>
                <w:rFonts w:ascii="Calibri" w:hAnsi="Calibri"/>
                <w:b/>
                <w:color w:val="1A1A1A"/>
                <w:sz w:val="17"/>
              </w:rPr>
              <w:t xml:space="preserve">Reproducibility: </w:t>
            </w:r>
            <w:r>
              <w:rPr>
                <w:rFonts w:ascii="Calibri" w:hAnsi="Calibri"/>
                <w:color w:val="1A1A1A"/>
                <w:sz w:val="17"/>
              </w:rPr>
              <w:t>SEED = 42 fixed in core/config.py; genome mutation ids derived from a seeded RNG stream, not uuid4; run_id for adaptive-arena runs is a deterministic composite of every request parameter (fixed in this codebase's own commit history after an earlier collision was found).</w:t>
            </w:r>
          </w:p>
          <w:p>
            <w:pPr>
              <w:pStyle w:val="ListBullet"/>
              <w:spacing w:after="40" w:before="0"/>
              <w:ind w:left="198"/>
            </w:pPr>
            <w:r>
              <w:rPr>
                <w:rFonts w:ascii="Calibri" w:hAnsi="Calibri"/>
                <w:b/>
                <w:color w:val="1A1A1A"/>
                <w:sz w:val="17"/>
              </w:rPr>
              <w:t xml:space="preserve">No suspiciously perfect numbers: </w:t>
            </w:r>
            <w:r>
              <w:rPr>
                <w:rFonts w:ascii="Calibri" w:hAnsi="Calibri"/>
                <w:color w:val="1A1A1A"/>
                <w:sz w:val="17"/>
              </w:rPr>
              <w:t>F1 = 0.906 (not 1.0), FPR = 1.71%, initial evasion 4.6% (not 0% or 100%) — all consistent with a real, imperfect detector rather than a leaked or trivial one.</w:t>
            </w:r>
          </w:p>
        </w:tc>
      </w:tr>
    </w:tbl>
    <w:p>
      <w:pPr>
        <w:pageBreakBefore/>
        <w:spacing w:before="160" w:after="80"/>
        <w:pBdr>
          <w:bottom w:val="single" w:sz="12" w:space="2" w:color="EB001B"/>
        </w:pBdr>
      </w:pPr>
      <w:r>
        <w:rPr>
          <w:rFonts w:ascii="Calibri" w:hAnsi="Calibri"/>
          <w:b/>
          <w:color w:val="0B1B2B"/>
          <w:sz w:val="25"/>
        </w:rPr>
        <w:t>WHY THIS IS DIFFERENT &amp; THE PRODUCTION PATH</w:t>
      </w:r>
    </w:p>
    <w:p>
      <w:pPr>
        <w:spacing w:before="90" w:after="30"/>
      </w:pPr>
      <w:r>
        <w:rPr>
          <w:rFonts w:ascii="Calibri" w:hAnsi="Calibri"/>
          <w:b/>
          <w:color w:val="EB001B"/>
          <w:sz w:val="19"/>
        </w:rPr>
        <w:t>What a Judge Can Do With Sentinel-X — Today, in the Running App</w:t>
      </w:r>
    </w:p>
    <w:p>
      <w:pPr>
        <w:spacing w:after="80" w:before="0"/>
      </w:pPr>
      <w:r>
        <w:rPr>
          <w:rFonts w:ascii="Calibri" w:hAnsi="Calibri"/>
          <w:b w:val="0"/>
          <w:i w:val="0"/>
          <w:color w:val="1A1A1A"/>
          <w:sz w:val="16"/>
        </w:rPr>
        <w:t>The sequence below reflects what is actually clickable in the 7-page Next.js frontend today (5 canonical screens — Command Center, Red Team Lab, Payment Twin, Blue Team SOC, Adversarial Arena — plus 2 screens added as documented scope exceptions: Threat Observatory and Judge Mode). Two steps are marked API-only below, disclosed rather than glossed over.</w:t>
      </w:r>
    </w:p>
    <w:p>
      <w:pPr>
        <w:spacing w:after="40" w:before="0"/>
      </w:pPr>
      <w:r>
        <w:rPr>
          <w:rFonts w:ascii="Calibri" w:hAnsi="Calibri"/>
          <w:b/>
          <w:i w:val="0"/>
          <w:color w:val="0B1B2B"/>
          <w:sz w:val="16"/>
        </w:rPr>
        <w:t xml:space="preserve">1. Red Team Lab  </w:t>
      </w:r>
      <w:r>
        <w:rPr>
          <w:rFonts w:ascii="Calibri" w:hAnsi="Calibri"/>
          <w:b w:val="0"/>
          <w:i w:val="0"/>
          <w:color w:val="1A1A1A"/>
          <w:sz w:val="16"/>
        </w:rPr>
        <w:t>Pick an attack family, set scale, launch a single-family arena run (POST /arena/run).</w:t>
      </w:r>
    </w:p>
    <w:p>
      <w:pPr>
        <w:spacing w:after="40" w:before="0"/>
      </w:pPr>
      <w:r>
        <w:rPr>
          <w:rFonts w:ascii="Calibri" w:hAnsi="Calibri"/>
          <w:b/>
          <w:i w:val="0"/>
          <w:color w:val="0B1B2B"/>
          <w:sz w:val="16"/>
        </w:rPr>
        <w:t xml:space="preserve">2. Attack executes  </w:t>
      </w:r>
      <w:r>
        <w:rPr>
          <w:rFonts w:ascii="Calibri" w:hAnsi="Calibri"/>
          <w:b w:val="0"/>
          <w:i w:val="0"/>
          <w:color w:val="1A1A1A"/>
          <w:sz w:val="16"/>
        </w:rPr>
        <w:t>attack_injector.py generates fresh instances against real customer histories.</w:t>
      </w:r>
    </w:p>
    <w:p>
      <w:pPr>
        <w:spacing w:after="40" w:before="0"/>
      </w:pPr>
      <w:r>
        <w:rPr>
          <w:rFonts w:ascii="Calibri" w:hAnsi="Calibri"/>
          <w:b/>
          <w:i w:val="0"/>
          <w:color w:val="0B1B2B"/>
          <w:sz w:val="16"/>
        </w:rPr>
        <w:t xml:space="preserve">3. Detection is measured  </w:t>
      </w:r>
      <w:r>
        <w:rPr>
          <w:rFonts w:ascii="Calibri" w:hAnsi="Calibri"/>
          <w:b w:val="0"/>
          <w:i w:val="0"/>
          <w:color w:val="1A1A1A"/>
          <w:sz w:val="16"/>
        </w:rPr>
        <w:t>LightGBM scores the batch; initial evasion rate is reported live.</w:t>
      </w:r>
    </w:p>
    <w:p>
      <w:pPr>
        <w:spacing w:after="40" w:before="0"/>
      </w:pPr>
      <w:r>
        <w:rPr>
          <w:rFonts w:ascii="Calibri" w:hAnsi="Calibri"/>
          <w:b/>
          <w:i w:val="0"/>
          <w:color w:val="0B1B2B"/>
          <w:sz w:val="16"/>
        </w:rPr>
        <w:t xml:space="preserve">4. Failure is root-caused  </w:t>
      </w:r>
      <w:r>
        <w:rPr>
          <w:rFonts w:ascii="Calibri" w:hAnsi="Calibri"/>
          <w:b w:val="0"/>
          <w:i w:val="0"/>
          <w:color w:val="1A1A1A"/>
          <w:sz w:val="16"/>
        </w:rPr>
        <w:t>defense_compiler.analyze_attack() labels the blind spot (e.g. TEMPORAL_VELOCITY_DILUTION).</w:t>
      </w:r>
    </w:p>
    <w:p>
      <w:pPr>
        <w:spacing w:after="40" w:before="0"/>
      </w:pPr>
      <w:r>
        <w:rPr>
          <w:rFonts w:ascii="Calibri" w:hAnsi="Calibri"/>
          <w:b/>
          <w:i w:val="0"/>
          <w:color w:val="0B1B2B"/>
          <w:sz w:val="16"/>
        </w:rPr>
        <w:t xml:space="preserve">5. Defense compiles  </w:t>
      </w:r>
      <w:r>
        <w:rPr>
          <w:rFonts w:ascii="Calibri" w:hAnsi="Calibri"/>
          <w:b w:val="0"/>
          <w:i w:val="0"/>
          <w:color w:val="1A1A1A"/>
          <w:sz w:val="16"/>
        </w:rPr>
        <w:t>compile_policy() produces a candidate policy (TEMPORAL_POLICY is the type currently wired end-to-end).</w:t>
      </w:r>
    </w:p>
    <w:p>
      <w:pPr>
        <w:spacing w:after="40" w:before="0"/>
      </w:pPr>
      <w:r>
        <w:rPr>
          <w:rFonts w:ascii="Calibri" w:hAnsi="Calibri"/>
          <w:b/>
          <w:i w:val="0"/>
          <w:color w:val="0B1B2B"/>
          <w:sz w:val="16"/>
        </w:rPr>
        <w:t xml:space="preserve">6. Policy is simulated  </w:t>
      </w:r>
      <w:r>
        <w:rPr>
          <w:rFonts w:ascii="Calibri" w:hAnsi="Calibri"/>
          <w:b w:val="0"/>
          <w:i w:val="0"/>
          <w:color w:val="1A1A1A"/>
          <w:sz w:val="16"/>
        </w:rPr>
        <w:t>simulate_policy_utility() replays it against real attack + clean data before anything goes live.</w:t>
      </w:r>
    </w:p>
    <w:p>
      <w:pPr>
        <w:spacing w:after="40" w:before="0"/>
      </w:pPr>
      <w:r>
        <w:rPr>
          <w:rFonts w:ascii="Calibri" w:hAnsi="Calibri"/>
          <w:b/>
          <w:i w:val="0"/>
          <w:color w:val="0B1B2B"/>
          <w:sz w:val="16"/>
        </w:rPr>
        <w:t xml:space="preserve">7. Human approval gate  </w:t>
      </w:r>
      <w:r>
        <w:rPr>
          <w:rFonts w:ascii="Calibri" w:hAnsi="Calibri"/>
          <w:b w:val="0"/>
          <w:i w:val="0"/>
          <w:color w:val="1A1A1A"/>
          <w:sz w:val="16"/>
        </w:rPr>
        <w:t>Judge Mode's APPROVE stage halts execution until approve_and_continue() is called.</w:t>
      </w:r>
    </w:p>
    <w:p>
      <w:pPr>
        <w:spacing w:after="40" w:before="0"/>
      </w:pPr>
      <w:r>
        <w:rPr>
          <w:rFonts w:ascii="Calibri" w:hAnsi="Calibri"/>
          <w:b/>
          <w:i w:val="0"/>
          <w:color w:val="0B1B2B"/>
          <w:sz w:val="16"/>
        </w:rPr>
        <w:t xml:space="preserve">8. Replay &amp; re-score  </w:t>
      </w:r>
      <w:r>
        <w:rPr>
          <w:rFonts w:ascii="Calibri" w:hAnsi="Calibri"/>
          <w:b w:val="0"/>
          <w:i w:val="0"/>
          <w:color w:val="1A1A1A"/>
          <w:sz w:val="16"/>
        </w:rPr>
        <w:t>Hardened detector is re-attacked with fresh, held-out mutations; ARG is recomputed.</w:t>
      </w:r>
    </w:p>
    <w:p>
      <w:pPr>
        <w:spacing w:after="40" w:before="0"/>
      </w:pPr>
      <w:r>
        <w:rPr>
          <w:rFonts w:ascii="Calibri" w:hAnsi="Calibri"/>
          <w:b/>
          <w:i w:val="0"/>
          <w:color w:val="0B1B2B"/>
          <w:sz w:val="16"/>
        </w:rPr>
        <w:t xml:space="preserve">9. DNA lineage (API)  </w:t>
      </w:r>
      <w:r>
        <w:rPr>
          <w:rFonts w:ascii="Calibri" w:hAnsi="Calibri"/>
          <w:b w:val="0"/>
          <w:i w:val="0"/>
          <w:color w:val="1A1A1A"/>
          <w:sz w:val="16"/>
        </w:rPr>
        <w:t>Currently populated via POST /arena/adaptive, not a Red Team Lab button — visualized live in /observatory once run.</w:t>
      </w:r>
    </w:p>
    <w:p>
      <w:pPr>
        <w:spacing w:after="40" w:before="0"/>
      </w:pPr>
      <w:r>
        <w:rPr>
          <w:rFonts w:ascii="Calibri" w:hAnsi="Calibri"/>
          <w:b/>
          <w:i w:val="0"/>
          <w:color w:val="0B1B2B"/>
          <w:sz w:val="16"/>
        </w:rPr>
        <w:t xml:space="preserve">10. Economic impact  </w:t>
      </w:r>
      <w:r>
        <w:rPr>
          <w:rFonts w:ascii="Calibri" w:hAnsi="Calibri"/>
          <w:b w:val="0"/>
          <w:i w:val="0"/>
          <w:color w:val="1A1A1A"/>
          <w:sz w:val="16"/>
        </w:rPr>
        <w:t>Observatory screen renders the ₹ formula on the page — same math shown on the previous page.</w:t>
      </w:r>
    </w:p>
    <w:p>
      <w:pPr>
        <w:spacing w:after="40" w:before="0"/>
      </w:pPr>
      <w:r>
        <w:rPr>
          <w:rFonts w:ascii="Calibri" w:hAnsi="Calibri"/>
          <w:b/>
          <w:i w:val="0"/>
          <w:color w:val="0B1B2B"/>
          <w:sz w:val="16"/>
        </w:rPr>
        <w:t xml:space="preserve">11. STIX export  </w:t>
      </w:r>
      <w:r>
        <w:rPr>
          <w:rFonts w:ascii="Calibri" w:hAnsi="Calibri"/>
          <w:b w:val="0"/>
          <w:i w:val="0"/>
          <w:color w:val="1A1A1A"/>
          <w:sz w:val="16"/>
        </w:rPr>
        <w:t>Observatory screen converts the selected genome into a STIX 2.1 bundle, downloadable as threat intel.</w:t>
      </w:r>
    </w:p>
    <w:p>
      <w:pPr>
        <w:spacing w:after="40" w:before="0"/>
      </w:pPr>
      <w:r>
        <w:rPr>
          <w:rFonts w:ascii="Calibri" w:hAnsi="Calibri"/>
          <w:b/>
          <w:i w:val="0"/>
          <w:color w:val="0B1B2B"/>
          <w:sz w:val="16"/>
        </w:rPr>
        <w:t xml:space="preserve">12. SOC investigation  </w:t>
      </w:r>
      <w:r>
        <w:rPr>
          <w:rFonts w:ascii="Calibri" w:hAnsi="Calibri"/>
          <w:b w:val="0"/>
          <w:i w:val="0"/>
          <w:color w:val="1A1A1A"/>
          <w:sz w:val="16"/>
        </w:rPr>
        <w:t>Blue Team SOC screen → click a flagged transaction → SHAP + Immune-Memory-backed LLM investigation.</w:t>
      </w:r>
    </w:p>
    <w:p>
      <w:pPr>
        <w:spacing w:after="40" w:before="0"/>
      </w:pPr>
      <w:r>
        <w:rPr>
          <w:rFonts w:ascii="Calibri" w:hAnsi="Calibri"/>
          <w:b/>
          <w:i w:val="0"/>
          <w:color w:val="0B1B2B"/>
          <w:sz w:val="16"/>
        </w:rPr>
        <w:t xml:space="preserve">13. Judge Sandbox  </w:t>
      </w:r>
      <w:r>
        <w:rPr>
          <w:rFonts w:ascii="Calibri" w:hAnsi="Calibri"/>
          <w:b w:val="0"/>
          <w:i w:val="0"/>
          <w:color w:val="1A1A1A"/>
          <w:sz w:val="16"/>
        </w:rPr>
        <w:t>Free-text attack idea → Groq LLM proposes a bounded genome → simulated and scored live.</w:t>
      </w:r>
    </w:p>
    <w:p>
      <w:pPr>
        <w:spacing w:before="90" w:after="30"/>
      </w:pPr>
      <w:r>
        <w:rPr>
          <w:rFonts w:ascii="Calibri" w:hAnsi="Calibri"/>
          <w:b/>
          <w:color w:val="EB001B"/>
          <w:sz w:val="19"/>
        </w:rPr>
        <w:t>Unique Differentiators</w:t>
      </w:r>
    </w:p>
    <w:p>
      <w:pPr>
        <w:spacing w:after="60" w:before="0"/>
      </w:pPr>
      <w:r>
        <w:rPr>
          <w:rFonts w:ascii="Calibri" w:hAnsi="Calibri"/>
          <w:b w:val="0"/>
          <w:i/>
          <w:color w:val="5A6670"/>
          <w:sz w:val="16"/>
        </w:rPr>
        <w:t>Sentinel-X combines these into a single closed-loop payment-security workflow — the combination, not any single capability in isolation, is the claim this document makes.</w:t>
      </w:r>
    </w:p>
    <w:p>
      <w:pPr>
        <w:pStyle w:val="ListBullet"/>
        <w:spacing w:after="36" w:before="0"/>
        <w:ind w:left="198"/>
      </w:pPr>
      <w:r>
        <w:rPr>
          <w:rFonts w:ascii="Calibri" w:hAnsi="Calibri"/>
          <w:color w:val="1A1A1A"/>
          <w:sz w:val="15"/>
        </w:rPr>
        <w:t>Self-improving adversarial defense loop (attack → measure → harden → re-measure, not a one-shot classifier).</w:t>
      </w:r>
    </w:p>
    <w:p>
      <w:pPr>
        <w:pStyle w:val="ListBullet"/>
        <w:spacing w:after="36" w:before="0"/>
        <w:ind w:left="198"/>
      </w:pPr>
      <w:r>
        <w:rPr>
          <w:rFonts w:ascii="Calibri" w:hAnsi="Calibri"/>
          <w:color w:val="1A1A1A"/>
          <w:sz w:val="15"/>
        </w:rPr>
        <w:t>Fraud DNA evolutionary lineage — real parent-child genome provenance across generations, not a decorative chart.</w:t>
      </w:r>
    </w:p>
    <w:p>
      <w:pPr>
        <w:pStyle w:val="ListBullet"/>
        <w:spacing w:after="36" w:before="0"/>
        <w:ind w:left="198"/>
      </w:pPr>
      <w:r>
        <w:rPr>
          <w:rFonts w:ascii="Calibri" w:hAnsi="Calibri"/>
          <w:color w:val="1A1A1A"/>
          <w:sz w:val="15"/>
        </w:rPr>
        <w:t>Judge Mode / Fraud Cyber Range — an 11-stage, API-driven scenario a judge can run and re-run deterministically.</w:t>
      </w:r>
    </w:p>
    <w:p>
      <w:pPr>
        <w:pStyle w:val="ListBullet"/>
        <w:spacing w:after="36" w:before="0"/>
        <w:ind w:left="198"/>
      </w:pPr>
      <w:r>
        <w:rPr>
          <w:rFonts w:ascii="Calibri" w:hAnsi="Calibri"/>
          <w:color w:val="1A1A1A"/>
          <w:sz w:val="15"/>
        </w:rPr>
        <w:t>Zero-Day Radar — IsolationForest + DBSCAN with a false-unknown rate bounded by construction, not tuned by eye.</w:t>
      </w:r>
    </w:p>
    <w:p>
      <w:pPr>
        <w:pStyle w:val="ListBullet"/>
        <w:spacing w:after="36" w:before="0"/>
        <w:ind w:left="198"/>
      </w:pPr>
      <w:r>
        <w:rPr>
          <w:rFonts w:ascii="Calibri" w:hAnsi="Calibri"/>
          <w:color w:val="1A1A1A"/>
          <w:sz w:val="15"/>
        </w:rPr>
        <w:t>Defense Compiler — deterministic policy synthesis from a labeled root-cause, not a black-box suggestion.</w:t>
      </w:r>
    </w:p>
    <w:p>
      <w:pPr>
        <w:pStyle w:val="ListBullet"/>
        <w:spacing w:after="36" w:before="0"/>
        <w:ind w:left="198"/>
      </w:pPr>
      <w:r>
        <w:rPr>
          <w:rFonts w:ascii="Calibri" w:hAnsi="Calibri"/>
          <w:color w:val="1A1A1A"/>
          <w:sz w:val="15"/>
        </w:rPr>
        <w:t>LLM Genome Compiler with deterministic evaluation boundaries — the LLM proposes, the detector decides.</w:t>
      </w:r>
    </w:p>
    <w:p>
      <w:pPr>
        <w:pStyle w:val="ListBullet"/>
        <w:spacing w:after="36" w:before="0"/>
        <w:ind w:left="198"/>
      </w:pPr>
      <w:r>
        <w:rPr>
          <w:rFonts w:ascii="Calibri" w:hAnsi="Calibri"/>
          <w:color w:val="1A1A1A"/>
          <w:sz w:val="15"/>
        </w:rPr>
        <w:t>Immune Memory — retained hard-negative provenance, tagged by role (training vs. evaluation), feeding future retrains.</w:t>
      </w:r>
    </w:p>
    <w:p>
      <w:pPr>
        <w:pStyle w:val="ListBullet"/>
        <w:spacing w:after="36" w:before="0"/>
        <w:ind w:left="198"/>
      </w:pPr>
      <w:r>
        <w:rPr>
          <w:rFonts w:ascii="Calibri" w:hAnsi="Calibri"/>
          <w:color w:val="1A1A1A"/>
          <w:sz w:val="15"/>
        </w:rPr>
        <w:t>Disclosed synthetic economic-impact telemetry — real per-transaction arithmetic, explicitly not a production claim.</w:t>
      </w:r>
    </w:p>
    <w:p>
      <w:pPr>
        <w:pStyle w:val="ListBullet"/>
        <w:spacing w:after="36" w:before="0"/>
        <w:ind w:left="198"/>
      </w:pPr>
      <w:r>
        <w:rPr>
          <w:rFonts w:ascii="Calibri" w:hAnsi="Calibri"/>
          <w:color w:val="1A1A1A"/>
          <w:sz w:val="15"/>
        </w:rPr>
        <w:t>STIX 2.1 threat-intelligence export — a discovered attack becomes a portable, deterministic intel object.</w:t>
      </w:r>
    </w:p>
    <w:p>
      <w:pPr>
        <w:pStyle w:val="ListBullet"/>
        <w:spacing w:after="36" w:before="0"/>
        <w:ind w:left="198"/>
      </w:pPr>
      <w:r>
        <w:rPr>
          <w:rFonts w:ascii="Calibri" w:hAnsi="Calibri"/>
          <w:color w:val="1A1A1A"/>
          <w:sz w:val="15"/>
        </w:rPr>
        <w:t>Autonomous SOC Analyst Agent — evidence-bounded LLM investigation with a forced, validated output schema.</w:t>
      </w:r>
    </w:p>
    <w:p>
      <w:pPr>
        <w:pStyle w:val="ListBullet"/>
        <w:spacing w:after="36" w:before="0"/>
        <w:ind w:left="198"/>
      </w:pPr>
      <w:r>
        <w:rPr>
          <w:rFonts w:ascii="Calibri" w:hAnsi="Calibri"/>
          <w:color w:val="1A1A1A"/>
          <w:sz w:val="15"/>
        </w:rPr>
        <w:t>SHAP-explained investigation trail — every BLOCK-adjacent verdict traces to top-3 real feature contributions.</w:t>
      </w:r>
    </w:p>
    <w:p>
      <w:pPr>
        <w:pStyle w:val="ListBullet"/>
        <w:spacing w:after="36" w:before="0"/>
        <w:ind w:left="198"/>
      </w:pPr>
      <w:r>
        <w:rPr>
          <w:rFonts w:ascii="Calibri" w:hAnsi="Calibri"/>
          <w:color w:val="1A1A1A"/>
          <w:sz w:val="15"/>
        </w:rPr>
        <w:t>Deterministic, seeded execution — fixed seeds end-to-end, verified this session across 166 automated tests.</w:t>
      </w:r>
    </w:p>
    <w:p>
      <w:pPr>
        <w:spacing w:before="90" w:after="30"/>
      </w:pPr>
      <w:r>
        <w:rPr>
          <w:rFonts w:ascii="Calibri" w:hAnsi="Calibri"/>
          <w:b/>
          <w:color w:val="EB001B"/>
          <w:sz w:val="19"/>
        </w:rPr>
        <w:t>11-Stage Judge Mode Lifecycle</w:t>
      </w:r>
    </w:p>
    <w:tbl>
      <w:tblPr>
        <w:tblW w:type="auto" w:w="0"/>
        <w:tblLayout w:type="fixed"/>
        <w:tblLook w:firstColumn="1" w:firstRow="1" w:lastColumn="0" w:lastRow="0" w:noHBand="0" w:noVBand="1" w:val="04A0"/>
      </w:tblPr>
      <w:tblGrid>
        <w:gridCol w:w="938"/>
        <w:gridCol w:w="938"/>
        <w:gridCol w:w="938"/>
        <w:gridCol w:w="938"/>
        <w:gridCol w:w="938"/>
        <w:gridCol w:w="938"/>
        <w:gridCol w:w="938"/>
        <w:gridCol w:w="938"/>
        <w:gridCol w:w="938"/>
        <w:gridCol w:w="938"/>
        <w:gridCol w:w="938"/>
      </w:tblGrid>
      <w:tr>
        <w:tc>
          <w:tcPr>
            <w:tcW w:type="dxa" w:w="879"/>
            <w:shd w:fill="0B1B2B"/>
            <w:tcBorders>
              <w:top w:val="single" w:sz="4" w:space="0" w:color="0B1B2B"/>
              <w:left w:val="single" w:sz="4" w:space="0" w:color="0B1B2B"/>
              <w:bottom w:val="single" w:sz="4" w:space="0" w:color="0B1B2B"/>
              <w:right w:val="single" w:sz="4" w:space="0" w:color="0B1B2B"/>
            </w:tcBorders>
            <w:tcMar>
              <w:top w:w="30" w:type="dxa"/>
              <w:bottom w:w="30" w:type="dxa"/>
              <w:left w:w="10" w:type="dxa"/>
              <w:right w:w="10" w:type="dxa"/>
            </w:tcMar>
          </w:tcPr>
          <w:p>
            <w:pPr>
              <w:jc w:val="center"/>
            </w:pPr>
            <w:r>
              <w:rPr>
                <w:rFonts w:ascii="Calibri" w:hAnsi="Calibri"/>
                <w:b/>
                <w:color w:val="FFFFFF"/>
                <w:sz w:val="12"/>
              </w:rPr>
              <w:t>PREPARE</w:t>
            </w:r>
          </w:p>
        </w:tc>
        <w:tc>
          <w:tcPr>
            <w:tcW w:type="dxa" w:w="879"/>
            <w:shd w:fill="2B3A4A"/>
            <w:tcBorders>
              <w:top w:val="single" w:sz="4" w:space="0" w:color="2B3A4A"/>
              <w:left w:val="single" w:sz="4" w:space="0" w:color="2B3A4A"/>
              <w:bottom w:val="single" w:sz="4" w:space="0" w:color="2B3A4A"/>
              <w:right w:val="single" w:sz="4" w:space="0" w:color="2B3A4A"/>
            </w:tcBorders>
            <w:tcMar>
              <w:top w:w="30" w:type="dxa"/>
              <w:bottom w:w="30" w:type="dxa"/>
              <w:left w:w="10" w:type="dxa"/>
              <w:right w:w="10" w:type="dxa"/>
            </w:tcMar>
          </w:tcPr>
          <w:p>
            <w:pPr>
              <w:jc w:val="center"/>
            </w:pPr>
            <w:r>
              <w:rPr>
                <w:rFonts w:ascii="Calibri" w:hAnsi="Calibri"/>
                <w:b/>
                <w:color w:val="FFFFFF"/>
                <w:sz w:val="12"/>
              </w:rPr>
              <w:t>ATTACK</w:t>
            </w:r>
          </w:p>
        </w:tc>
        <w:tc>
          <w:tcPr>
            <w:tcW w:type="dxa" w:w="879"/>
            <w:shd w:fill="0B1B2B"/>
            <w:tcBorders>
              <w:top w:val="single" w:sz="4" w:space="0" w:color="0B1B2B"/>
              <w:left w:val="single" w:sz="4" w:space="0" w:color="0B1B2B"/>
              <w:bottom w:val="single" w:sz="4" w:space="0" w:color="0B1B2B"/>
              <w:right w:val="single" w:sz="4" w:space="0" w:color="0B1B2B"/>
            </w:tcBorders>
            <w:tcMar>
              <w:top w:w="30" w:type="dxa"/>
              <w:bottom w:w="30" w:type="dxa"/>
              <w:left w:w="10" w:type="dxa"/>
              <w:right w:w="10" w:type="dxa"/>
            </w:tcMar>
          </w:tcPr>
          <w:p>
            <w:pPr>
              <w:jc w:val="center"/>
            </w:pPr>
            <w:r>
              <w:rPr>
                <w:rFonts w:ascii="Calibri" w:hAnsi="Calibri"/>
                <w:b/>
                <w:color w:val="FFFFFF"/>
                <w:sz w:val="12"/>
              </w:rPr>
              <w:t>DETECT</w:t>
            </w:r>
          </w:p>
        </w:tc>
        <w:tc>
          <w:tcPr>
            <w:tcW w:type="dxa" w:w="879"/>
            <w:shd w:fill="2B3A4A"/>
            <w:tcBorders>
              <w:top w:val="single" w:sz="4" w:space="0" w:color="2B3A4A"/>
              <w:left w:val="single" w:sz="4" w:space="0" w:color="2B3A4A"/>
              <w:bottom w:val="single" w:sz="4" w:space="0" w:color="2B3A4A"/>
              <w:right w:val="single" w:sz="4" w:space="0" w:color="2B3A4A"/>
            </w:tcBorders>
            <w:tcMar>
              <w:top w:w="30" w:type="dxa"/>
              <w:bottom w:w="30" w:type="dxa"/>
              <w:left w:w="10" w:type="dxa"/>
              <w:right w:w="10" w:type="dxa"/>
            </w:tcMar>
          </w:tcPr>
          <w:p>
            <w:pPr>
              <w:jc w:val="center"/>
            </w:pPr>
            <w:r>
              <w:rPr>
                <w:rFonts w:ascii="Calibri" w:hAnsi="Calibri"/>
                <w:b/>
                <w:color w:val="FFFFFF"/>
                <w:sz w:val="12"/>
              </w:rPr>
              <w:t>ADAPT</w:t>
            </w:r>
          </w:p>
        </w:tc>
        <w:tc>
          <w:tcPr>
            <w:tcW w:type="dxa" w:w="879"/>
            <w:shd w:fill="0B1B2B"/>
            <w:tcBorders>
              <w:top w:val="single" w:sz="4" w:space="0" w:color="0B1B2B"/>
              <w:left w:val="single" w:sz="4" w:space="0" w:color="0B1B2B"/>
              <w:bottom w:val="single" w:sz="4" w:space="0" w:color="0B1B2B"/>
              <w:right w:val="single" w:sz="4" w:space="0" w:color="0B1B2B"/>
            </w:tcBorders>
            <w:tcMar>
              <w:top w:w="30" w:type="dxa"/>
              <w:bottom w:w="30" w:type="dxa"/>
              <w:left w:w="10" w:type="dxa"/>
              <w:right w:w="10" w:type="dxa"/>
            </w:tcMar>
          </w:tcPr>
          <w:p>
            <w:pPr>
              <w:jc w:val="center"/>
            </w:pPr>
            <w:r>
              <w:rPr>
                <w:rFonts w:ascii="Calibri" w:hAnsi="Calibri"/>
                <w:b/>
                <w:color w:val="FFFFFF"/>
                <w:sz w:val="12"/>
              </w:rPr>
              <w:t>DISCOVER</w:t>
            </w:r>
          </w:p>
        </w:tc>
        <w:tc>
          <w:tcPr>
            <w:tcW w:type="dxa" w:w="879"/>
            <w:shd w:fill="2B3A4A"/>
            <w:tcBorders>
              <w:top w:val="single" w:sz="4" w:space="0" w:color="2B3A4A"/>
              <w:left w:val="single" w:sz="4" w:space="0" w:color="2B3A4A"/>
              <w:bottom w:val="single" w:sz="4" w:space="0" w:color="2B3A4A"/>
              <w:right w:val="single" w:sz="4" w:space="0" w:color="2B3A4A"/>
            </w:tcBorders>
            <w:tcMar>
              <w:top w:w="30" w:type="dxa"/>
              <w:bottom w:w="30" w:type="dxa"/>
              <w:left w:w="10" w:type="dxa"/>
              <w:right w:w="10" w:type="dxa"/>
            </w:tcMar>
          </w:tcPr>
          <w:p>
            <w:pPr>
              <w:jc w:val="center"/>
            </w:pPr>
            <w:r>
              <w:rPr>
                <w:rFonts w:ascii="Calibri" w:hAnsi="Calibri"/>
                <w:b/>
                <w:color w:val="FFFFFF"/>
                <w:sz w:val="12"/>
              </w:rPr>
              <w:t>ANALYZE</w:t>
            </w:r>
          </w:p>
        </w:tc>
        <w:tc>
          <w:tcPr>
            <w:tcW w:type="dxa" w:w="879"/>
            <w:shd w:fill="0B1B2B"/>
            <w:tcBorders>
              <w:top w:val="single" w:sz="4" w:space="0" w:color="0B1B2B"/>
              <w:left w:val="single" w:sz="4" w:space="0" w:color="0B1B2B"/>
              <w:bottom w:val="single" w:sz="4" w:space="0" w:color="0B1B2B"/>
              <w:right w:val="single" w:sz="4" w:space="0" w:color="0B1B2B"/>
            </w:tcBorders>
            <w:tcMar>
              <w:top w:w="30" w:type="dxa"/>
              <w:bottom w:w="30" w:type="dxa"/>
              <w:left w:w="10" w:type="dxa"/>
              <w:right w:w="10" w:type="dxa"/>
            </w:tcMar>
          </w:tcPr>
          <w:p>
            <w:pPr>
              <w:jc w:val="center"/>
            </w:pPr>
            <w:r>
              <w:rPr>
                <w:rFonts w:ascii="Calibri" w:hAnsi="Calibri"/>
                <w:b/>
                <w:color w:val="FFFFFF"/>
                <w:sz w:val="12"/>
              </w:rPr>
              <w:t>DEFEND</w:t>
            </w:r>
          </w:p>
        </w:tc>
        <w:tc>
          <w:tcPr>
            <w:tcW w:type="dxa" w:w="879"/>
            <w:shd w:fill="2B3A4A"/>
            <w:tcBorders>
              <w:top w:val="single" w:sz="4" w:space="0" w:color="2B3A4A"/>
              <w:left w:val="single" w:sz="4" w:space="0" w:color="2B3A4A"/>
              <w:bottom w:val="single" w:sz="4" w:space="0" w:color="2B3A4A"/>
              <w:right w:val="single" w:sz="4" w:space="0" w:color="2B3A4A"/>
            </w:tcBorders>
            <w:tcMar>
              <w:top w:w="30" w:type="dxa"/>
              <w:bottom w:w="30" w:type="dxa"/>
              <w:left w:w="10" w:type="dxa"/>
              <w:right w:w="10" w:type="dxa"/>
            </w:tcMar>
          </w:tcPr>
          <w:p>
            <w:pPr>
              <w:jc w:val="center"/>
            </w:pPr>
            <w:r>
              <w:rPr>
                <w:rFonts w:ascii="Calibri" w:hAnsi="Calibri"/>
                <w:b/>
                <w:color w:val="FFFFFF"/>
                <w:sz w:val="12"/>
              </w:rPr>
              <w:t>SIMULATE</w:t>
            </w:r>
          </w:p>
        </w:tc>
        <w:tc>
          <w:tcPr>
            <w:tcW w:type="dxa" w:w="879"/>
            <w:shd w:fill="EB001B"/>
            <w:tcBorders>
              <w:top w:val="single" w:sz="4" w:space="0" w:color="EB001B"/>
              <w:left w:val="single" w:sz="4" w:space="0" w:color="EB001B"/>
              <w:bottom w:val="single" w:sz="4" w:space="0" w:color="EB001B"/>
              <w:right w:val="single" w:sz="4" w:space="0" w:color="EB001B"/>
            </w:tcBorders>
            <w:tcMar>
              <w:top w:w="30" w:type="dxa"/>
              <w:bottom w:w="30" w:type="dxa"/>
              <w:left w:w="10" w:type="dxa"/>
              <w:right w:w="10" w:type="dxa"/>
            </w:tcMar>
          </w:tcPr>
          <w:p>
            <w:pPr>
              <w:jc w:val="center"/>
            </w:pPr>
            <w:r>
              <w:rPr>
                <w:rFonts w:ascii="Calibri" w:hAnsi="Calibri"/>
                <w:b/>
                <w:color w:val="FFFFFF"/>
                <w:sz w:val="12"/>
              </w:rPr>
              <w:t>APPROVE</w:t>
            </w:r>
          </w:p>
        </w:tc>
        <w:tc>
          <w:tcPr>
            <w:tcW w:type="dxa" w:w="879"/>
            <w:shd w:fill="2B3A4A"/>
            <w:tcBorders>
              <w:top w:val="single" w:sz="4" w:space="0" w:color="2B3A4A"/>
              <w:left w:val="single" w:sz="4" w:space="0" w:color="2B3A4A"/>
              <w:bottom w:val="single" w:sz="4" w:space="0" w:color="2B3A4A"/>
              <w:right w:val="single" w:sz="4" w:space="0" w:color="2B3A4A"/>
            </w:tcBorders>
            <w:tcMar>
              <w:top w:w="30" w:type="dxa"/>
              <w:bottom w:w="30" w:type="dxa"/>
              <w:left w:w="10" w:type="dxa"/>
              <w:right w:w="10" w:type="dxa"/>
            </w:tcMar>
          </w:tcPr>
          <w:p>
            <w:pPr>
              <w:jc w:val="center"/>
            </w:pPr>
            <w:r>
              <w:rPr>
                <w:rFonts w:ascii="Calibri" w:hAnsi="Calibri"/>
                <w:b/>
                <w:color w:val="FFFFFF"/>
                <w:sz w:val="12"/>
              </w:rPr>
              <w:t>REPLAY</w:t>
            </w:r>
          </w:p>
        </w:tc>
        <w:tc>
          <w:tcPr>
            <w:tcW w:type="dxa" w:w="879"/>
            <w:shd w:fill="0B1B2B"/>
            <w:tcBorders>
              <w:top w:val="single" w:sz="4" w:space="0" w:color="0B1B2B"/>
              <w:left w:val="single" w:sz="4" w:space="0" w:color="0B1B2B"/>
              <w:bottom w:val="single" w:sz="4" w:space="0" w:color="0B1B2B"/>
              <w:right w:val="single" w:sz="4" w:space="0" w:color="0B1B2B"/>
            </w:tcBorders>
            <w:tcMar>
              <w:top w:w="30" w:type="dxa"/>
              <w:bottom w:w="30" w:type="dxa"/>
              <w:left w:w="10" w:type="dxa"/>
              <w:right w:w="10" w:type="dxa"/>
            </w:tcMar>
          </w:tcPr>
          <w:p>
            <w:pPr>
              <w:jc w:val="center"/>
            </w:pPr>
            <w:r>
              <w:rPr>
                <w:rFonts w:ascii="Calibri" w:hAnsi="Calibri"/>
                <w:b/>
                <w:color w:val="FFFFFF"/>
                <w:sz w:val="12"/>
              </w:rPr>
              <w:t>SCORE</w:t>
            </w:r>
          </w:p>
        </w:tc>
      </w:tr>
    </w:tbl>
    <w:p>
      <w:pPr>
        <w:spacing w:after="120" w:before="0"/>
      </w:pPr>
      <w:r>
        <w:rPr>
          <w:rFonts w:ascii="Calibri" w:hAnsi="Calibri"/>
          <w:b w:val="0"/>
          <w:i/>
          <w:color w:val="5A6670"/>
          <w:sz w:val="15"/>
        </w:rPr>
        <w:t>APPROVE (red) is a real, blocking human-approval gate — execution halts and waits for an explicit approve_and_continue() call before a compiled policy goes active. This is a deliberate governance choice: autonomous discovery and hardening, but never autonomous, unsupervised policy activation.</w:t>
      </w:r>
    </w:p>
    <w:p>
      <w:pPr>
        <w:spacing w:before="90" w:after="30"/>
      </w:pPr>
      <w:r>
        <w:rPr>
          <w:rFonts w:ascii="Calibri" w:hAnsi="Calibri"/>
          <w:b/>
          <w:color w:val="EB001B"/>
          <w:sz w:val="19"/>
        </w:rPr>
        <w:t>Current Limitations (Disclosed, Not Hidden)</w:t>
      </w:r>
    </w:p>
    <w:p>
      <w:pPr>
        <w:pStyle w:val="ListBullet"/>
        <w:spacing w:after="36" w:before="0"/>
        <w:ind w:left="198"/>
      </w:pPr>
      <w:r>
        <w:rPr>
          <w:rFonts w:ascii="Calibri" w:hAnsi="Calibri"/>
          <w:color w:val="1A1A1A"/>
          <w:sz w:val="15"/>
        </w:rPr>
        <w:t>No WebSocket exists in the backend; live-feeling UI updates are polling-based, not push-based.</w:t>
      </w:r>
    </w:p>
    <w:p>
      <w:pPr>
        <w:pStyle w:val="ListBullet"/>
        <w:spacing w:after="36" w:before="0"/>
        <w:ind w:left="198"/>
      </w:pPr>
      <w:r>
        <w:rPr>
          <w:rFonts w:ascii="Calibri" w:hAnsi="Calibri"/>
          <w:color w:val="1A1A1A"/>
          <w:sz w:val="15"/>
        </w:rPr>
        <w:t>Zero-Day Radar has a summary card on Command Center but no dedicated batch-scan screen (POST /zero-day/scan has no frontend caller yet).</w:t>
      </w:r>
    </w:p>
    <w:p>
      <w:pPr>
        <w:pStyle w:val="ListBullet"/>
        <w:spacing w:after="36" w:before="0"/>
        <w:ind w:left="198"/>
      </w:pPr>
      <w:r>
        <w:rPr>
          <w:rFonts w:ascii="Calibri" w:hAnsi="Calibri"/>
          <w:color w:val="1A1A1A"/>
          <w:sz w:val="15"/>
        </w:rPr>
        <w:t>Defense Compiler currently generates a policy only for the TEMPORAL_VELOCITY_DILUTION root cause; AMOUNT_CAMOUFLAGE and DEVICE_CAMOUFLAGE are detected and labeled but not yet compiled into a policy.</w:t>
      </w:r>
    </w:p>
    <w:p>
      <w:pPr>
        <w:pStyle w:val="ListBullet"/>
        <w:spacing w:after="36" w:before="0"/>
        <w:ind w:left="198"/>
      </w:pPr>
      <w:r>
        <w:rPr>
          <w:rFonts w:ascii="Calibri" w:hAnsi="Calibri"/>
          <w:color w:val="1A1A1A"/>
          <w:sz w:val="15"/>
        </w:rPr>
        <w:t>Judge Mode's ADAPT stage calls the evolutionary search directly and does not currently populate the Observatory's lineage cache — the two features are not yet cross-wired.</w:t>
      </w:r>
    </w:p>
    <w:p>
      <w:pPr>
        <w:pStyle w:val="ListBullet"/>
        <w:spacing w:after="36" w:before="0"/>
        <w:ind w:left="198"/>
      </w:pPr>
      <w:r>
        <w:rPr>
          <w:rFonts w:ascii="Calibri" w:hAnsi="Calibri"/>
          <w:color w:val="1A1A1A"/>
          <w:sz w:val="15"/>
        </w:rPr>
        <w:t>Several Judge Mode Scorecard fields are fixed placeholders, disclosed in the table on the previous page.</w:t>
      </w:r>
    </w:p>
    <w:p>
      <w:pPr>
        <w:spacing w:before="90" w:after="30"/>
      </w:pPr>
      <w:r>
        <w:rPr>
          <w:rFonts w:ascii="Calibri" w:hAnsi="Calibri"/>
          <w:b/>
          <w:color w:val="EB001B"/>
          <w:sz w:val="19"/>
        </w:rPr>
        <w:t>Production Scale-Up Path — Future Work, Not Part of the Current Build</w:t>
      </w:r>
    </w:p>
    <w:tbl>
      <w:tblPr>
        <w:tblW w:type="auto" w:w="0"/>
        <w:tblLook w:firstColumn="1" w:firstRow="1" w:lastColumn="0" w:lastRow="0" w:noHBand="0" w:noVBand="1" w:val="04A0"/>
      </w:tblPr>
      <w:tblGrid>
        <w:gridCol w:w="10318"/>
      </w:tblGrid>
      <w:tr>
        <w:trPr>
          <w:cantSplit/>
        </w:trPr>
        <w:tc>
          <w:tcPr>
            <w:tcW w:type="dxa" w:w="10318"/>
            <w:shd w:fill="F2F4F6"/>
            <w:tcBorders>
              <w:top w:val="single" w:sz="8" w:space="0" w:color="0B1B2B"/>
              <w:left w:val="single" w:sz="8" w:space="0" w:color="0B1B2B"/>
              <w:bottom w:val="single" w:sz="8" w:space="0" w:color="0B1B2B"/>
              <w:right w:val="single" w:sz="8" w:space="0" w:color="0B1B2B"/>
            </w:tcBorders>
            <w:tcMar>
              <w:top w:w="45" w:type="dxa"/>
              <w:bottom w:w="45" w:type="dxa"/>
              <w:left w:w="100" w:type="dxa"/>
              <w:right w:w="100" w:type="dxa"/>
            </w:tcMar>
          </w:tcPr>
          <w:p>
            <w:pPr>
              <w:spacing w:after="60"/>
            </w:pPr>
            <w:r>
              <w:rPr>
                <w:rFonts w:ascii="Calibri" w:hAnsi="Calibri"/>
                <w:b/>
                <w:color w:val="0B1B2B"/>
                <w:sz w:val="19"/>
              </w:rPr>
            </w:r>
          </w:p>
          <w:p>
            <w:pPr>
              <w:pStyle w:val="ListBullet"/>
              <w:spacing w:after="40" w:before="0"/>
              <w:ind w:left="198"/>
            </w:pPr>
            <w:r>
              <w:rPr>
                <w:rFonts w:ascii="Calibri" w:hAnsi="Calibri"/>
                <w:b/>
                <w:color w:val="1A1A1A"/>
                <w:sz w:val="17"/>
              </w:rPr>
              <w:t xml:space="preserve">Phase 1 — today: </w:t>
            </w:r>
            <w:r>
              <w:rPr>
                <w:rFonts w:ascii="Calibri" w:hAnsi="Calibri"/>
                <w:color w:val="1A1A1A"/>
                <w:sz w:val="17"/>
              </w:rPr>
              <w:t>the verified Sentinel-X prototype described in this document.</w:t>
            </w:r>
          </w:p>
          <w:p>
            <w:pPr>
              <w:pStyle w:val="ListBullet"/>
              <w:spacing w:after="40" w:before="0"/>
              <w:ind w:left="198"/>
            </w:pPr>
            <w:r>
              <w:rPr>
                <w:rFonts w:ascii="Calibri" w:hAnsi="Calibri"/>
                <w:b/>
                <w:color w:val="1A1A1A"/>
                <w:sz w:val="17"/>
              </w:rPr>
              <w:t xml:space="preserve">Phase 2: </w:t>
            </w:r>
            <w:r>
              <w:rPr>
                <w:rFonts w:ascii="Calibri" w:hAnsi="Calibri"/>
                <w:color w:val="1A1A1A"/>
                <w:sz w:val="17"/>
              </w:rPr>
              <w:t>temporal/graph neural models (GraphSAGE/GAT-style) for multi-hop mule-ring detection at scale, extending the current NetworkX degree/2-hop concept.</w:t>
            </w:r>
          </w:p>
          <w:p>
            <w:pPr>
              <w:pStyle w:val="ListBullet"/>
              <w:spacing w:after="40" w:before="0"/>
              <w:ind w:left="198"/>
            </w:pPr>
            <w:r>
              <w:rPr>
                <w:rFonts w:ascii="Calibri" w:hAnsi="Calibri"/>
                <w:b/>
                <w:color w:val="1A1A1A"/>
                <w:sz w:val="17"/>
              </w:rPr>
              <w:t xml:space="preserve">Phase 3: </w:t>
            </w:r>
            <w:r>
              <w:rPr>
                <w:rFonts w:ascii="Calibri" w:hAnsi="Calibri"/>
                <w:color w:val="1A1A1A"/>
                <w:sz w:val="17"/>
              </w:rPr>
              <w:t>event-streaming ingestion (Kafka or equivalent) replacing the batch generator for real transaction throughput.</w:t>
            </w:r>
          </w:p>
          <w:p>
            <w:pPr>
              <w:pStyle w:val="ListBullet"/>
              <w:spacing w:after="40" w:before="0"/>
              <w:ind w:left="198"/>
            </w:pPr>
            <w:r>
              <w:rPr>
                <w:rFonts w:ascii="Calibri" w:hAnsi="Calibri"/>
                <w:b/>
                <w:color w:val="1A1A1A"/>
                <w:sz w:val="17"/>
              </w:rPr>
              <w:t xml:space="preserve">Phase 4: </w:t>
            </w:r>
            <w:r>
              <w:rPr>
                <w:rFonts w:ascii="Calibri" w:hAnsi="Calibri"/>
                <w:color w:val="1A1A1A"/>
                <w:sz w:val="17"/>
              </w:rPr>
              <w:t>a dedicated low-latency feature store (e.g. Redis-backed) to guarantee train/serve consistency at production volumes; columnar/multithreaded feature computation (e.g. Polars) in place of single-threaded Pandas.</w:t>
            </w:r>
          </w:p>
          <w:p>
            <w:pPr>
              <w:pStyle w:val="ListBullet"/>
              <w:spacing w:after="40" w:before="0"/>
              <w:ind w:left="198"/>
            </w:pPr>
            <w:r>
              <w:rPr>
                <w:rFonts w:ascii="Calibri" w:hAnsi="Calibri"/>
                <w:b/>
                <w:color w:val="1A1A1A"/>
                <w:sz w:val="17"/>
              </w:rPr>
              <w:t xml:space="preserve">Phase 5: </w:t>
            </w:r>
            <w:r>
              <w:rPr>
                <w:rFonts w:ascii="Calibri" w:hAnsi="Calibri"/>
                <w:color w:val="1A1A1A"/>
                <w:sz w:val="17"/>
              </w:rPr>
              <w:t>a dedicated adversarial-training toolkit (e.g. IBM's Adversarial Robustness Toolbox) running continuously in place of this prototype's custom arena loop; privacy-preserving cross-institution learning and differential-privacy training for enterprise deployment.</w:t>
            </w:r>
          </w:p>
        </w:tc>
      </w:tr>
    </w:tbl>
    <w:p>
      <w:pPr>
        <w:spacing w:after="80" w:before="0"/>
      </w:pPr>
      <w:r>
        <w:rPr>
          <w:rFonts w:ascii="Calibri" w:hAnsi="Calibri"/>
          <w:b w:val="0"/>
          <w:i/>
          <w:color w:val="5A6670"/>
          <w:sz w:val="15"/>
        </w:rPr>
        <w:t>None of the above is implemented in this codebase. They are named here, by design, to show awareness of the gap between this prototype and a production deployment — not claimed as built.</w:t>
      </w:r>
    </w:p>
    <w:sectPr w:rsidR="00FC693F" w:rsidRPr="0006063C" w:rsidSect="00034616">
      <w:footerReference w:type="default" r:id="rId9"/>
      <w:pgSz w:w="11906" w:h="16838"/>
      <w:pgMar w:top="680" w:right="794" w:bottom="737"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10318" w:val="right"/>
      </w:tabs>
      <w:jc w:val="left"/>
    </w:pPr>
    <w:r>
      <w:rPr>
        <w:rFonts w:ascii="Calibri" w:hAnsi="Calibri"/>
        <w:color w:val="5A6670"/>
        <w:sz w:val="14"/>
      </w:rPr>
      <w:t>Sentinel-X -- Autonomous Adversarial Payment Twin | Mastercard GFF 2026 AI Defence Lab</w:t>
    </w:r>
    <w:r>
      <w:tab/>
    </w:r>
    <w:r>
      <w:rPr>
        <w:rFonts w:ascii="Calibri" w:hAnsi="Calibri"/>
        <w:color w:val="5A6670"/>
        <w:sz w:val="14"/>
      </w:rPr>
      <w:t xml:space="preserve">Page </w:t>
    </w:r>
    <w:fldSimple w:instr="PAGE">
      <w:r>
        <w:t>1</w:t>
      </w:r>
    </w:fldSimple>
    <w:r>
      <w:rPr>
        <w:rFonts w:ascii="Calibri" w:hAnsi="Calibri"/>
        <w:color w:val="5A6670"/>
        <w:sz w:val="14"/>
      </w:rPr>
      <w:t xml:space="preserve"> of </w:t>
    </w:r>
    <w:fldSimple w:instr="NUMPAGES">
      <w:r>
        <w:t>5</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0" w:line="252" w:lineRule="auto"/>
    </w:pPr>
    <w:rPr>
      <w:rFonts w:ascii="Calibri" w:hAnsi="Calibri"/>
      <w:color w:val="1A1A1A"/>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60"/>
      <w:outlineLvl w:val="0"/>
    </w:pPr>
    <w:rPr>
      <w:rFonts w:asciiTheme="majorHAnsi" w:eastAsiaTheme="majorEastAsia" w:hAnsiTheme="majorHAnsi" w:cstheme="majorBidi" w:ascii="Calibri" w:hAnsi="Calibri"/>
      <w:b/>
      <w:bCs/>
      <w:color w:val="0B1B2B"/>
      <w:sz w:val="27"/>
      <w:szCs w:val="28"/>
    </w:rPr>
  </w:style>
  <w:style w:type="paragraph" w:styleId="Heading2">
    <w:name w:val="heading 2"/>
    <w:basedOn w:val="Normal"/>
    <w:next w:val="Normal"/>
    <w:link w:val="Heading2Char"/>
    <w:uiPriority w:val="9"/>
    <w:unhideWhenUsed/>
    <w:qFormat/>
    <w:rsid w:val="00FC693F"/>
    <w:pPr>
      <w:keepNext/>
      <w:keepLines/>
      <w:spacing w:before="100" w:after="60"/>
      <w:outlineLvl w:val="1"/>
    </w:pPr>
    <w:rPr>
      <w:rFonts w:asciiTheme="majorHAnsi" w:eastAsiaTheme="majorEastAsia" w:hAnsiTheme="majorHAnsi" w:cstheme="majorBidi" w:ascii="Calibri" w:hAnsi="Calibri"/>
      <w:b/>
      <w:bCs/>
      <w:color w:val="0B1B2B"/>
      <w:sz w:val="21"/>
      <w:szCs w:val="26"/>
    </w:rPr>
  </w:style>
  <w:style w:type="paragraph" w:styleId="Heading3">
    <w:name w:val="heading 3"/>
    <w:basedOn w:val="Normal"/>
    <w:next w:val="Normal"/>
    <w:link w:val="Heading3Char"/>
    <w:uiPriority w:val="9"/>
    <w:unhideWhenUsed/>
    <w:qFormat/>
    <w:rsid w:val="00FC693F"/>
    <w:pPr>
      <w:keepNext/>
      <w:keepLines/>
      <w:spacing w:before="100" w:after="60"/>
      <w:outlineLvl w:val="2"/>
    </w:pPr>
    <w:rPr>
      <w:rFonts w:asciiTheme="majorHAnsi" w:eastAsiaTheme="majorEastAsia" w:hAnsiTheme="majorHAnsi" w:cstheme="majorBidi" w:ascii="Calibri" w:hAnsi="Calibri"/>
      <w:b/>
      <w:bCs/>
      <w:color w:val="EB001B"/>
      <w:sz w:val="1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