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4965"/>
          <w:sz w:val="60"/>
        </w:rPr>
        <w:t>Agentic Revenue, Pricing</w:t>
        <w:br/>
        <w:t>&amp; Promotion Intelligence</w:t>
      </w:r>
    </w:p>
    <w:p>
      <w:pPr>
        <w:jc w:val="center"/>
      </w:pPr>
      <w:r>
        <w:rPr>
          <w:color w:val="5A6472"/>
          <w:sz w:val="34"/>
        </w:rPr>
        <w:t>Engineering Handbook</w:t>
      </w:r>
    </w:p>
    <w:p/>
    <w:p>
      <w:pPr>
        <w:jc w:val="center"/>
      </w:pPr>
      <w:r>
        <w:rPr>
          <w:i/>
          <w:sz w:val="22"/>
        </w:rPr>
        <w:t>A CPG / Retail platform where Claude and LangGraph orchestrate reasoning</w:t>
        <w:br/>
        <w:t>and deterministic models produce every number.</w:t>
      </w:r>
    </w:p>
    <w:p/>
    <w:p/>
    <w:p/>
    <w:p/>
    <w:p/>
    <w:p/>
    <w:p>
      <w:pPr>
        <w:jc w:val="center"/>
      </w:pPr>
      <w:r>
        <w:rPr>
          <w:color w:val="5A6472"/>
          <w:sz w:val="20"/>
        </w:rPr>
        <w:t>Stage 1, Steps 1-5 complete</w:t>
        <w:br/>
        <w:t>Generated 2026-08-27  |  commit 95043ed</w:t>
        <w:br/>
        <w:t>534 tests passing  |  ruff, mypy, bandit clean</w:t>
      </w:r>
    </w:p>
    <w:p>
      <w:r>
        <w:br w:type="page"/>
      </w:r>
    </w:p>
    <w:p>
      <w:pPr>
        <w:pStyle w:val="Heading1"/>
        <w:spacing w:before="280" w:after="120"/>
      </w:pPr>
      <w:r>
        <w:rPr>
          <w:color w:val="1B4965"/>
        </w:rPr>
        <w:t>Contents</w:t>
      </w:r>
    </w:p>
    <w:p>
      <w:r>
        <w:fldChar w:fldCharType="begin"/>
        <w:instrText xml:space="preserve">TOC \o "1-3" \h \z \u</w:instrText>
        <w:fldChar w:fldCharType="separate"/>
        <w:t>Right-click here and choose 'Update Field' to build the contents.</w:t>
        <w:fldChar w:fldCharType="end"/>
      </w:r>
    </w:p>
    <w:p>
      <w:r>
        <w:br w:type="page"/>
      </w:r>
    </w:p>
    <w:p>
      <w:pPr>
        <w:pStyle w:val="Heading1"/>
        <w:spacing w:before="280" w:after="120"/>
      </w:pPr>
      <w:r>
        <w:rPr>
          <w:color w:val="1B4965"/>
        </w:rPr>
        <w:t>How to read this handbook</w:t>
      </w:r>
    </w:p>
    <w:p>
      <w:pPr>
        <w:spacing w:after="120"/>
      </w:pPr>
      <w:r>
        <w:rPr>
          <w:b w:val="0"/>
          <w:sz w:val="21"/>
        </w:rPr>
        <w:t>This document is the single reference for the platform: what it does, why each decision was made, what went wrong along the way, and how to run and extend it. It is organised so you can enter at any level.</w:t>
      </w:r>
    </w:p>
    <w:tbl>
      <w:tblPr>
        <w:tblStyle w:val="LightGrid-Accent1"/>
        <w:tblW w:type="auto" w:w="0"/>
        <w:jc w:val="center"/>
        <w:tblLook w:firstColumn="1" w:firstRow="1" w:lastColumn="0" w:lastRow="0" w:noHBand="0" w:noVBand="1" w:val="04A0"/>
      </w:tblPr>
      <w:tblGrid>
        <w:gridCol w:w="4824"/>
        <w:gridCol w:w="4824"/>
      </w:tblGrid>
      <w:tr>
        <w:tc>
          <w:tcPr>
            <w:tcW w:type="dxa" w:w="4896"/>
          </w:tcPr>
          <w:p>
            <w:r/>
            <w:r>
              <w:rPr>
                <w:b/>
                <w:sz w:val="18"/>
              </w:rPr>
              <w:t>If you want to...</w:t>
            </w:r>
          </w:p>
        </w:tc>
        <w:tc>
          <w:tcPr>
            <w:tcW w:type="dxa" w:w="3744"/>
          </w:tcPr>
          <w:p>
            <w:r/>
            <w:r>
              <w:rPr>
                <w:b/>
                <w:sz w:val="18"/>
              </w:rPr>
              <w:t>Read</w:t>
            </w:r>
          </w:p>
        </w:tc>
      </w:tr>
      <w:tr>
        <w:tc>
          <w:tcPr>
            <w:tcW w:type="dxa" w:w="4896"/>
          </w:tcPr>
          <w:p>
            <w:r>
              <w:rPr>
                <w:sz w:val="18"/>
              </w:rPr>
            </w:r>
            <w:r>
              <w:rPr>
                <w:b w:val="0"/>
                <w:sz w:val="18"/>
              </w:rPr>
              <w:t>Understand the shape of the system in ten minutes</w:t>
            </w:r>
          </w:p>
        </w:tc>
        <w:tc>
          <w:tcPr>
            <w:tcW w:type="dxa" w:w="3744"/>
          </w:tcPr>
          <w:p>
            <w:r>
              <w:rPr>
                <w:sz w:val="18"/>
              </w:rPr>
            </w:r>
            <w:r>
              <w:rPr>
                <w:b w:val="0"/>
                <w:sz w:val="18"/>
              </w:rPr>
              <w:t>Part I - Orientation</w:t>
            </w:r>
          </w:p>
        </w:tc>
      </w:tr>
      <w:tr>
        <w:tc>
          <w:tcPr>
            <w:tcW w:type="dxa" w:w="4896"/>
          </w:tcPr>
          <w:p>
            <w:r>
              <w:rPr>
                <w:sz w:val="18"/>
              </w:rPr>
            </w:r>
            <w:r>
              <w:rPr>
                <w:b w:val="0"/>
                <w:sz w:val="18"/>
              </w:rPr>
              <w:t>Know why the data is synthetic and what that buys</w:t>
            </w:r>
          </w:p>
        </w:tc>
        <w:tc>
          <w:tcPr>
            <w:tcW w:type="dxa" w:w="3744"/>
          </w:tcPr>
          <w:p>
            <w:r>
              <w:rPr>
                <w:sz w:val="18"/>
              </w:rPr>
            </w:r>
            <w:r>
              <w:rPr>
                <w:b w:val="0"/>
                <w:sz w:val="18"/>
              </w:rPr>
              <w:t>Part II, Step 2</w:t>
            </w:r>
          </w:p>
        </w:tc>
      </w:tr>
      <w:tr>
        <w:tc>
          <w:tcPr>
            <w:tcW w:type="dxa" w:w="4896"/>
          </w:tcPr>
          <w:p>
            <w:r>
              <w:rPr>
                <w:sz w:val="18"/>
              </w:rPr>
            </w:r>
            <w:r>
              <w:rPr>
                <w:b w:val="0"/>
                <w:sz w:val="18"/>
              </w:rPr>
              <w:t>Understand how leakage is prevented structurally</w:t>
            </w:r>
          </w:p>
        </w:tc>
        <w:tc>
          <w:tcPr>
            <w:tcW w:type="dxa" w:w="3744"/>
          </w:tcPr>
          <w:p>
            <w:r>
              <w:rPr>
                <w:sz w:val="18"/>
              </w:rPr>
            </w:r>
            <w:r>
              <w:rPr>
                <w:b w:val="0"/>
                <w:sz w:val="18"/>
              </w:rPr>
              <w:t>Part II Step 3, and Part IV</w:t>
            </w:r>
          </w:p>
        </w:tc>
      </w:tr>
      <w:tr>
        <w:tc>
          <w:tcPr>
            <w:tcW w:type="dxa" w:w="4896"/>
          </w:tcPr>
          <w:p>
            <w:r>
              <w:rPr>
                <w:sz w:val="18"/>
              </w:rPr>
            </w:r>
            <w:r>
              <w:rPr>
                <w:b w:val="0"/>
                <w:sz w:val="18"/>
              </w:rPr>
              <w:t>Understand the models and their measured results</w:t>
            </w:r>
          </w:p>
        </w:tc>
        <w:tc>
          <w:tcPr>
            <w:tcW w:type="dxa" w:w="3744"/>
          </w:tcPr>
          <w:p>
            <w:r>
              <w:rPr>
                <w:sz w:val="18"/>
              </w:rPr>
            </w:r>
            <w:r>
              <w:rPr>
                <w:b w:val="0"/>
                <w:sz w:val="18"/>
              </w:rPr>
              <w:t>Part III - Steps 4 and 5</w:t>
            </w:r>
          </w:p>
        </w:tc>
      </w:tr>
      <w:tr>
        <w:tc>
          <w:tcPr>
            <w:tcW w:type="dxa" w:w="4896"/>
          </w:tcPr>
          <w:p>
            <w:r>
              <w:rPr>
                <w:sz w:val="18"/>
              </w:rPr>
            </w:r>
            <w:r>
              <w:rPr>
                <w:b w:val="0"/>
                <w:sz w:val="18"/>
              </w:rPr>
              <w:t>Run the platform or retrain a model</w:t>
            </w:r>
          </w:p>
        </w:tc>
        <w:tc>
          <w:tcPr>
            <w:tcW w:type="dxa" w:w="3744"/>
          </w:tcPr>
          <w:p>
            <w:r>
              <w:rPr>
                <w:sz w:val="18"/>
              </w:rPr>
            </w:r>
            <w:r>
              <w:rPr>
                <w:b w:val="0"/>
                <w:sz w:val="18"/>
              </w:rPr>
              <w:t>Part V - Operations</w:t>
            </w:r>
          </w:p>
        </w:tc>
      </w:tr>
      <w:tr>
        <w:tc>
          <w:tcPr>
            <w:tcW w:type="dxa" w:w="4896"/>
          </w:tcPr>
          <w:p>
            <w:r>
              <w:rPr>
                <w:sz w:val="18"/>
              </w:rPr>
            </w:r>
            <w:r>
              <w:rPr>
                <w:b w:val="0"/>
                <w:sz w:val="18"/>
              </w:rPr>
              <w:t>Learn from the mistakes rather than repeat them</w:t>
            </w:r>
          </w:p>
        </w:tc>
        <w:tc>
          <w:tcPr>
            <w:tcW w:type="dxa" w:w="3744"/>
          </w:tcPr>
          <w:p>
            <w:r>
              <w:rPr>
                <w:sz w:val="18"/>
              </w:rPr>
            </w:r>
            <w:r>
              <w:rPr>
                <w:b w:val="0"/>
                <w:sz w:val="18"/>
              </w:rPr>
              <w:t>Part VI - the defect catalogue</w:t>
            </w:r>
          </w:p>
        </w:tc>
      </w:tr>
      <w:tr>
        <w:tc>
          <w:tcPr>
            <w:tcW w:type="dxa" w:w="4896"/>
          </w:tcPr>
          <w:p>
            <w:r>
              <w:rPr>
                <w:sz w:val="18"/>
              </w:rPr>
            </w:r>
            <w:r>
              <w:rPr>
                <w:b w:val="0"/>
                <w:sz w:val="18"/>
              </w:rPr>
              <w:t>Prepare to discuss this in an interview</w:t>
            </w:r>
          </w:p>
        </w:tc>
        <w:tc>
          <w:tcPr>
            <w:tcW w:type="dxa" w:w="3744"/>
          </w:tcPr>
          <w:p>
            <w:r>
              <w:rPr>
                <w:sz w:val="18"/>
              </w:rPr>
            </w:r>
            <w:r>
              <w:rPr>
                <w:b w:val="0"/>
                <w:sz w:val="18"/>
              </w:rPr>
              <w:t>Part VI - talking points</w:t>
            </w:r>
          </w:p>
        </w:tc>
      </w:tr>
    </w:tbl>
    <w:p>
      <w:pPr>
        <w:spacing w:after="120"/>
      </w:pPr>
    </w:p>
    <w:p>
      <w:pPr>
        <w:spacing w:before="120" w:after="160"/>
        <w:ind w:left="360"/>
        <w:shd w:fill="F7F9FC"/>
      </w:pPr>
      <w:r>
        <w:rPr>
          <w:b/>
          <w:color w:val="1B4965"/>
          <w:sz w:val="19"/>
        </w:rPr>
        <w:t xml:space="preserve">A note on tone.  </w:t>
      </w:r>
      <w:r>
        <w:rPr>
          <w:b w:val="0"/>
          <w:sz w:val="20"/>
        </w:rPr>
        <w:t>Numbers in this document are measured, not estimated. Where something is uncertain, underspecified, or was got wrong and later corrected, it says so. The defect catalogue in Part VI is deliberately unflattering - it is the most useful section in the document.</w:t>
      </w:r>
    </w:p>
    <w:p>
      <w:r>
        <w:br w:type="page"/>
      </w:r>
    </w:p>
    <w:p>
      <w:pPr>
        <w:pStyle w:val="Heading1"/>
        <w:spacing w:before="280" w:after="120"/>
      </w:pPr>
      <w:r>
        <w:rPr>
          <w:color w:val="1B4965"/>
        </w:rPr>
        <w:t>Part I  -  Orientation</w:t>
      </w:r>
    </w:p>
    <w:p>
      <w:pPr>
        <w:pStyle w:val="Heading2"/>
        <w:spacing w:before="280" w:after="120"/>
      </w:pPr>
      <w:r>
        <w:rPr>
          <w:color w:val="1B4965"/>
        </w:rPr>
        <w:t>1. What this platform is</w:t>
      </w:r>
    </w:p>
    <w:p>
      <w:pPr>
        <w:spacing w:after="120"/>
      </w:pPr>
      <w:r>
        <w:rPr>
          <w:b w:val="0"/>
          <w:sz w:val="21"/>
        </w:rPr>
        <w:t>A commercial analytics platform for consumer packaged goods and retail. It answers questions a category manager actually asks - how much will we sell, did that promotion work, what should this product cost - and it answers them with a specific division of labour:</w:t>
      </w:r>
    </w:p>
    <w:p>
      <w:pPr>
        <w:pStyle w:val="ListBullet"/>
        <w:spacing w:after="60"/>
      </w:pPr>
      <w:r>
        <w:rPr>
          <w:b/>
          <w:sz w:val="20"/>
        </w:rPr>
        <w:t>Claude and LangGraph orchestrate reasoning.</w:t>
      </w:r>
      <w:r>
        <w:rPr>
          <w:b w:val="0"/>
          <w:sz w:val="20"/>
        </w:rPr>
        <w:t xml:space="preserve"> They decide which question is being asked, which analyses to run, in what order, and how to explain the result.</w:t>
      </w:r>
    </w:p>
    <w:p>
      <w:pPr>
        <w:pStyle w:val="ListBullet"/>
        <w:spacing w:after="60"/>
      </w:pPr>
      <w:r>
        <w:rPr>
          <w:b/>
          <w:sz w:val="20"/>
        </w:rPr>
        <w:t>Deterministic models produce every number.</w:t>
      </w:r>
      <w:r>
        <w:rPr>
          <w:b w:val="0"/>
          <w:sz w:val="20"/>
        </w:rPr>
        <w:t xml:space="preserve"> No figure in any answer originates from a language model. Every quantity is traceable to a fitted model, a dataset version and a code commit.</w:t>
      </w:r>
    </w:p>
    <w:p>
      <w:pPr>
        <w:spacing w:before="120" w:after="160"/>
        <w:ind w:left="360"/>
        <w:shd w:fill="F7F9FC"/>
      </w:pPr>
      <w:r>
        <w:rPr>
          <w:b/>
          <w:color w:val="1B4965"/>
          <w:sz w:val="19"/>
        </w:rPr>
        <w:t xml:space="preserve">The governing constraint.  </w:t>
      </w:r>
      <w:r>
        <w:rPr>
          <w:b w:val="0"/>
          <w:sz w:val="20"/>
        </w:rPr>
        <w:t>The LLM must never invent a numerical result. This is not a stylistic preference - it is what makes the platform auditable. An agent that can estimate a number is an agent whose output cannot be checked.</w:t>
      </w:r>
    </w:p>
    <w:p>
      <w:pPr>
        <w:pStyle w:val="Heading2"/>
        <w:spacing w:before="280" w:after="120"/>
      </w:pPr>
      <w:r>
        <w:rPr>
          <w:color w:val="1B4965"/>
        </w:rPr>
        <w:t>2. The two-stage architecture</w:t>
      </w:r>
    </w:p>
    <w:p>
      <w:pPr>
        <w:spacing w:after="120"/>
      </w:pPr>
      <w:r>
        <w:rPr>
          <w:b w:val="0"/>
          <w:sz w:val="21"/>
        </w:rPr>
        <w:t>The platform is built twice over: once locally, where iteration is fast and everything is inspectable, and once on Databricks, where it would run in production. The second build is a redeployment rather than a rewrite, and that claim is enforced by three seams rather than asserted in a document.</w:t>
      </w:r>
    </w:p>
    <w:p>
      <w:pPr>
        <w:jc w:val="center"/>
      </w:pPr>
      <w:r>
        <w:drawing>
          <wp:inline xmlns:a="http://schemas.openxmlformats.org/drawingml/2006/main" xmlns:pic="http://schemas.openxmlformats.org/drawingml/2006/picture">
            <wp:extent cx="5760720" cy="3349908"/>
            <wp:docPr id="1" name="Picture 1"/>
            <wp:cNvGraphicFramePr>
              <a:graphicFrameLocks noChangeAspect="1"/>
            </wp:cNvGraphicFramePr>
            <a:graphic>
              <a:graphicData uri="http://schemas.openxmlformats.org/drawingml/2006/picture">
                <pic:pic>
                  <pic:nvPicPr>
                    <pic:cNvPr id="0" name="01_two_stage_architecture.png"/>
                    <pic:cNvPicPr/>
                  </pic:nvPicPr>
                  <pic:blipFill>
                    <a:blip r:embed="rId9"/>
                    <a:stretch>
                      <a:fillRect/>
                    </a:stretch>
                  </pic:blipFill>
                  <pic:spPr>
                    <a:xfrm>
                      <a:off x="0" y="0"/>
                      <a:ext cx="5760720" cy="3349908"/>
                    </a:xfrm>
                    <a:prstGeom prst="rect"/>
                  </pic:spPr>
                </pic:pic>
              </a:graphicData>
            </a:graphic>
          </wp:inline>
        </w:drawing>
      </w:r>
    </w:p>
    <w:p>
      <w:pPr>
        <w:spacing w:after="240"/>
        <w:jc w:val="center"/>
      </w:pPr>
      <w:r>
        <w:rPr>
          <w:i/>
          <w:color w:val="5A6472"/>
          <w:sz w:val="18"/>
        </w:rPr>
        <w:t>Figure 1  -  Only three components differ between local and production.</w:t>
      </w:r>
    </w:p>
    <w:p>
      <w:pPr>
        <w:spacing w:after="120"/>
      </w:pPr>
      <w:r>
        <w:rPr>
          <w:b w:val="0"/>
          <w:sz w:val="21"/>
        </w:rPr>
        <w:t>Everything above the seams - services, models, feature logic, the tool contract, the agent layer - is identical in both columns. A model trained locally moves to Stage 2 without a code change, because it never learns where its data came from.</w:t>
      </w:r>
    </w:p>
    <w:p>
      <w:pPr>
        <w:spacing w:before="120" w:after="160"/>
        <w:ind w:left="360"/>
        <w:shd w:fill="F7F9FC"/>
      </w:pPr>
      <w:r>
        <w:rPr>
          <w:b/>
          <w:color w:val="1B4965"/>
          <w:sz w:val="19"/>
        </w:rPr>
        <w:t xml:space="preserve">No AWS.  </w:t>
      </w:r>
      <w:r>
        <w:rPr>
          <w:b w:val="0"/>
          <w:sz w:val="20"/>
        </w:rPr>
        <w:t>This platform is Databricks-native in production. AWS is not used anywhere - no S3, no ECR, no Lambda, no managed database. The constraint is deliberate and is reflected in the migration design in Part V.</w:t>
      </w:r>
    </w:p>
    <w:p>
      <w:pPr>
        <w:pStyle w:val="Heading2"/>
        <w:spacing w:before="280" w:after="120"/>
      </w:pPr>
      <w:r>
        <w:rPr>
          <w:color w:val="1B4965"/>
        </w:rPr>
        <w:t>3. Layered architecture</w:t>
      </w:r>
    </w:p>
    <w:p>
      <w:pPr>
        <w:spacing w:after="120"/>
      </w:pPr>
      <w:r>
        <w:rPr>
          <w:b w:val="0"/>
          <w:sz w:val="21"/>
        </w:rPr>
        <w:t>Within either column, dependencies point strictly downward. A model may use the feature layer; the feature layer may not know a model exists.</w:t>
      </w:r>
    </w:p>
    <w:p>
      <w:pPr>
        <w:jc w:val="center"/>
      </w:pPr>
      <w:r>
        <w:drawing>
          <wp:inline xmlns:a="http://schemas.openxmlformats.org/drawingml/2006/main" xmlns:pic="http://schemas.openxmlformats.org/drawingml/2006/picture">
            <wp:extent cx="5760720" cy="3856650"/>
            <wp:docPr id="2" name="Picture 2"/>
            <wp:cNvGraphicFramePr>
              <a:graphicFrameLocks noChangeAspect="1"/>
            </wp:cNvGraphicFramePr>
            <a:graphic>
              <a:graphicData uri="http://schemas.openxmlformats.org/drawingml/2006/picture">
                <pic:pic>
                  <pic:nvPicPr>
                    <pic:cNvPr id="0" name="02_layered_architecture.png"/>
                    <pic:cNvPicPr/>
                  </pic:nvPicPr>
                  <pic:blipFill>
                    <a:blip r:embed="rId10"/>
                    <a:stretch>
                      <a:fillRect/>
                    </a:stretch>
                  </pic:blipFill>
                  <pic:spPr>
                    <a:xfrm>
                      <a:off x="0" y="0"/>
                      <a:ext cx="5760720" cy="3856650"/>
                    </a:xfrm>
                    <a:prstGeom prst="rect"/>
                  </pic:spPr>
                </pic:pic>
              </a:graphicData>
            </a:graphic>
          </wp:inline>
        </w:drawing>
      </w:r>
    </w:p>
    <w:p>
      <w:pPr>
        <w:spacing w:after="240"/>
        <w:jc w:val="center"/>
      </w:pPr>
      <w:r>
        <w:rPr>
          <w:i/>
          <w:color w:val="5A6472"/>
          <w:sz w:val="18"/>
        </w:rPr>
        <w:t>Figure 2  -  Seven layers. The two amber layers are where implementations swap.</w:t>
      </w:r>
    </w:p>
    <w:p>
      <w:pPr>
        <w:pStyle w:val="Heading2"/>
        <w:spacing w:before="280" w:after="120"/>
      </w:pPr>
      <w:r>
        <w:rPr>
          <w:color w:val="1B4965"/>
        </w:rPr>
        <w:t>4. Technology stack</w:t>
      </w:r>
    </w:p>
    <w:tbl>
      <w:tblPr>
        <w:tblStyle w:val="LightGrid-Accent1"/>
        <w:tblW w:type="auto" w:w="0"/>
        <w:jc w:val="center"/>
        <w:tblLook w:firstColumn="1" w:firstRow="1" w:lastColumn="0" w:lastRow="0" w:noHBand="0" w:noVBand="1" w:val="04A0"/>
      </w:tblPr>
      <w:tblGrid>
        <w:gridCol w:w="3216"/>
        <w:gridCol w:w="3216"/>
        <w:gridCol w:w="3216"/>
      </w:tblGrid>
      <w:tr>
        <w:tc>
          <w:tcPr>
            <w:tcW w:type="dxa" w:w="2448"/>
          </w:tcPr>
          <w:p>
            <w:r/>
            <w:r>
              <w:rPr>
                <w:b/>
                <w:sz w:val="18"/>
              </w:rPr>
              <w:t>Concern</w:t>
            </w:r>
          </w:p>
        </w:tc>
        <w:tc>
          <w:tcPr>
            <w:tcW w:type="dxa" w:w="3312"/>
          </w:tcPr>
          <w:p>
            <w:r/>
            <w:r>
              <w:rPr>
                <w:b/>
                <w:sz w:val="18"/>
              </w:rPr>
              <w:t>Stage 1 (local)</w:t>
            </w:r>
          </w:p>
        </w:tc>
        <w:tc>
          <w:tcPr>
            <w:tcW w:type="dxa" w:w="2880"/>
          </w:tcPr>
          <w:p>
            <w:r/>
            <w:r>
              <w:rPr>
                <w:b/>
                <w:sz w:val="18"/>
              </w:rPr>
              <w:t>Stage 2 (production)</w:t>
            </w:r>
          </w:p>
        </w:tc>
      </w:tr>
      <w:tr>
        <w:tc>
          <w:tcPr>
            <w:tcW w:type="dxa" w:w="2448"/>
          </w:tcPr>
          <w:p>
            <w:r>
              <w:rPr>
                <w:sz w:val="18"/>
              </w:rPr>
            </w:r>
            <w:r>
              <w:rPr>
                <w:b w:val="0"/>
                <w:sz w:val="18"/>
              </w:rPr>
              <w:t>Language</w:t>
            </w:r>
          </w:p>
        </w:tc>
        <w:tc>
          <w:tcPr>
            <w:tcW w:type="dxa" w:w="3312"/>
          </w:tcPr>
          <w:p>
            <w:r>
              <w:rPr>
                <w:sz w:val="18"/>
              </w:rPr>
            </w:r>
            <w:r>
              <w:rPr>
                <w:b w:val="0"/>
                <w:sz w:val="18"/>
              </w:rPr>
              <w:t>Python 3.12+, managed by uv</w:t>
            </w:r>
          </w:p>
        </w:tc>
        <w:tc>
          <w:tcPr>
            <w:tcW w:type="dxa" w:w="2880"/>
          </w:tcPr>
          <w:p>
            <w:r>
              <w:rPr>
                <w:sz w:val="18"/>
              </w:rPr>
            </w:r>
            <w:r>
              <w:rPr>
                <w:b w:val="0"/>
                <w:sz w:val="18"/>
              </w:rPr>
              <w:t>same</w:t>
            </w:r>
          </w:p>
        </w:tc>
      </w:tr>
      <w:tr>
        <w:tc>
          <w:tcPr>
            <w:tcW w:type="dxa" w:w="2448"/>
          </w:tcPr>
          <w:p>
            <w:r>
              <w:rPr>
                <w:sz w:val="18"/>
              </w:rPr>
            </w:r>
            <w:r>
              <w:rPr>
                <w:b w:val="0"/>
                <w:sz w:val="18"/>
              </w:rPr>
              <w:t>Analytics store</w:t>
            </w:r>
          </w:p>
        </w:tc>
        <w:tc>
          <w:tcPr>
            <w:tcW w:type="dxa" w:w="3312"/>
          </w:tcPr>
          <w:p>
            <w:r>
              <w:rPr>
                <w:sz w:val="18"/>
              </w:rPr>
            </w:r>
            <w:r>
              <w:rPr>
                <w:b w:val="0"/>
                <w:sz w:val="18"/>
              </w:rPr>
              <w:t>DuckDB over Parquet</w:t>
            </w:r>
          </w:p>
        </w:tc>
        <w:tc>
          <w:tcPr>
            <w:tcW w:type="dxa" w:w="2880"/>
          </w:tcPr>
          <w:p>
            <w:r>
              <w:rPr>
                <w:sz w:val="18"/>
              </w:rPr>
            </w:r>
            <w:r>
              <w:rPr>
                <w:b w:val="0"/>
                <w:sz w:val="18"/>
              </w:rPr>
              <w:t>Databricks SQL over Delta</w:t>
            </w:r>
          </w:p>
        </w:tc>
      </w:tr>
      <w:tr>
        <w:tc>
          <w:tcPr>
            <w:tcW w:type="dxa" w:w="2448"/>
          </w:tcPr>
          <w:p>
            <w:r>
              <w:rPr>
                <w:sz w:val="18"/>
              </w:rPr>
            </w:r>
            <w:r>
              <w:rPr>
                <w:b w:val="0"/>
                <w:sz w:val="18"/>
              </w:rPr>
              <w:t>Application state</w:t>
            </w:r>
          </w:p>
        </w:tc>
        <w:tc>
          <w:tcPr>
            <w:tcW w:type="dxa" w:w="3312"/>
          </w:tcPr>
          <w:p>
            <w:r>
              <w:rPr>
                <w:sz w:val="18"/>
              </w:rPr>
            </w:r>
            <w:r>
              <w:rPr>
                <w:b w:val="0"/>
                <w:sz w:val="18"/>
              </w:rPr>
              <w:t>SQLite</w:t>
            </w:r>
          </w:p>
        </w:tc>
        <w:tc>
          <w:tcPr>
            <w:tcW w:type="dxa" w:w="2880"/>
          </w:tcPr>
          <w:p>
            <w:r>
              <w:rPr>
                <w:sz w:val="18"/>
              </w:rPr>
            </w:r>
            <w:r>
              <w:rPr>
                <w:b w:val="0"/>
                <w:sz w:val="18"/>
              </w:rPr>
              <w:t>Databricks SQL</w:t>
            </w:r>
          </w:p>
        </w:tc>
      </w:tr>
      <w:tr>
        <w:tc>
          <w:tcPr>
            <w:tcW w:type="dxa" w:w="2448"/>
          </w:tcPr>
          <w:p>
            <w:r>
              <w:rPr>
                <w:sz w:val="18"/>
              </w:rPr>
            </w:r>
            <w:r>
              <w:rPr>
                <w:b w:val="0"/>
                <w:sz w:val="18"/>
              </w:rPr>
              <w:t>Feature engineering</w:t>
            </w:r>
          </w:p>
        </w:tc>
        <w:tc>
          <w:tcPr>
            <w:tcW w:type="dxa" w:w="3312"/>
          </w:tcPr>
          <w:p>
            <w:r>
              <w:rPr>
                <w:sz w:val="18"/>
              </w:rPr>
            </w:r>
            <w:r>
              <w:rPr>
                <w:b w:val="0"/>
                <w:sz w:val="18"/>
              </w:rPr>
              <w:t>pandas</w:t>
            </w:r>
          </w:p>
        </w:tc>
        <w:tc>
          <w:tcPr>
            <w:tcW w:type="dxa" w:w="2880"/>
          </w:tcPr>
          <w:p>
            <w:r>
              <w:rPr>
                <w:sz w:val="18"/>
              </w:rPr>
            </w:r>
            <w:r>
              <w:rPr>
                <w:b w:val="0"/>
                <w:sz w:val="18"/>
              </w:rPr>
              <w:t>PySpark</w:t>
            </w:r>
          </w:p>
        </w:tc>
      </w:tr>
      <w:tr>
        <w:tc>
          <w:tcPr>
            <w:tcW w:type="dxa" w:w="2448"/>
          </w:tcPr>
          <w:p>
            <w:r>
              <w:rPr>
                <w:sz w:val="18"/>
              </w:rPr>
            </w:r>
            <w:r>
              <w:rPr>
                <w:b w:val="0"/>
                <w:sz w:val="18"/>
              </w:rPr>
              <w:t>Models</w:t>
            </w:r>
          </w:p>
        </w:tc>
        <w:tc>
          <w:tcPr>
            <w:tcW w:type="dxa" w:w="3312"/>
          </w:tcPr>
          <w:p>
            <w:r>
              <w:rPr>
                <w:sz w:val="18"/>
              </w:rPr>
            </w:r>
            <w:r>
              <w:rPr>
                <w:b w:val="0"/>
                <w:sz w:val="18"/>
              </w:rPr>
              <w:t>LightGBM, XGBoost, scikit-learn, statsmodels</w:t>
            </w:r>
          </w:p>
        </w:tc>
        <w:tc>
          <w:tcPr>
            <w:tcW w:type="dxa" w:w="2880"/>
          </w:tcPr>
          <w:p>
            <w:r>
              <w:rPr>
                <w:sz w:val="18"/>
              </w:rPr>
            </w:r>
            <w:r>
              <w:rPr>
                <w:b w:val="0"/>
                <w:sz w:val="18"/>
              </w:rPr>
              <w:t>same</w:t>
            </w:r>
          </w:p>
        </w:tc>
      </w:tr>
      <w:tr>
        <w:tc>
          <w:tcPr>
            <w:tcW w:type="dxa" w:w="2448"/>
          </w:tcPr>
          <w:p>
            <w:r>
              <w:rPr>
                <w:sz w:val="18"/>
              </w:rPr>
            </w:r>
            <w:r>
              <w:rPr>
                <w:b w:val="0"/>
                <w:sz w:val="18"/>
              </w:rPr>
              <w:t>Optimisation</w:t>
            </w:r>
          </w:p>
        </w:tc>
        <w:tc>
          <w:tcPr>
            <w:tcW w:type="dxa" w:w="3312"/>
          </w:tcPr>
          <w:p>
            <w:r>
              <w:rPr>
                <w:sz w:val="18"/>
              </w:rPr>
            </w:r>
            <w:r>
              <w:rPr>
                <w:b w:val="0"/>
                <w:sz w:val="18"/>
              </w:rPr>
              <w:t>OR-Tools</w:t>
            </w:r>
          </w:p>
        </w:tc>
        <w:tc>
          <w:tcPr>
            <w:tcW w:type="dxa" w:w="2880"/>
          </w:tcPr>
          <w:p>
            <w:r>
              <w:rPr>
                <w:sz w:val="18"/>
              </w:rPr>
            </w:r>
            <w:r>
              <w:rPr>
                <w:b w:val="0"/>
                <w:sz w:val="18"/>
              </w:rPr>
              <w:t>same</w:t>
            </w:r>
          </w:p>
        </w:tc>
      </w:tr>
      <w:tr>
        <w:tc>
          <w:tcPr>
            <w:tcW w:type="dxa" w:w="2448"/>
          </w:tcPr>
          <w:p>
            <w:r>
              <w:rPr>
                <w:sz w:val="18"/>
              </w:rPr>
            </w:r>
            <w:r>
              <w:rPr>
                <w:b w:val="0"/>
                <w:sz w:val="18"/>
              </w:rPr>
              <w:t>Experiment tracking</w:t>
            </w:r>
          </w:p>
        </w:tc>
        <w:tc>
          <w:tcPr>
            <w:tcW w:type="dxa" w:w="3312"/>
          </w:tcPr>
          <w:p>
            <w:r>
              <w:rPr>
                <w:sz w:val="18"/>
              </w:rPr>
            </w:r>
            <w:r>
              <w:rPr>
                <w:b w:val="0"/>
                <w:sz w:val="18"/>
              </w:rPr>
              <w:t>MLflow on SQLite</w:t>
            </w:r>
          </w:p>
        </w:tc>
        <w:tc>
          <w:tcPr>
            <w:tcW w:type="dxa" w:w="2880"/>
          </w:tcPr>
          <w:p>
            <w:r>
              <w:rPr>
                <w:sz w:val="18"/>
              </w:rPr>
            </w:r>
            <w:r>
              <w:rPr>
                <w:b w:val="0"/>
                <w:sz w:val="18"/>
              </w:rPr>
              <w:t>Databricks MLflow</w:t>
            </w:r>
          </w:p>
        </w:tc>
      </w:tr>
      <w:tr>
        <w:tc>
          <w:tcPr>
            <w:tcW w:type="dxa" w:w="2448"/>
          </w:tcPr>
          <w:p>
            <w:r>
              <w:rPr>
                <w:sz w:val="18"/>
              </w:rPr>
            </w:r>
            <w:r>
              <w:rPr>
                <w:b w:val="0"/>
                <w:sz w:val="18"/>
              </w:rPr>
              <w:t>Model registry</w:t>
            </w:r>
          </w:p>
        </w:tc>
        <w:tc>
          <w:tcPr>
            <w:tcW w:type="dxa" w:w="3312"/>
          </w:tcPr>
          <w:p>
            <w:r>
              <w:rPr>
                <w:sz w:val="18"/>
              </w:rPr>
            </w:r>
            <w:r>
              <w:rPr>
                <w:b w:val="0"/>
                <w:sz w:val="18"/>
              </w:rPr>
              <w:t>local MLflow registry</w:t>
            </w:r>
          </w:p>
        </w:tc>
        <w:tc>
          <w:tcPr>
            <w:tcW w:type="dxa" w:w="2880"/>
          </w:tcPr>
          <w:p>
            <w:r>
              <w:rPr>
                <w:sz w:val="18"/>
              </w:rPr>
            </w:r>
            <w:r>
              <w:rPr>
                <w:b w:val="0"/>
                <w:sz w:val="18"/>
              </w:rPr>
              <w:t>Unity Catalog</w:t>
            </w:r>
          </w:p>
        </w:tc>
      </w:tr>
      <w:tr>
        <w:tc>
          <w:tcPr>
            <w:tcW w:type="dxa" w:w="2448"/>
          </w:tcPr>
          <w:p>
            <w:r>
              <w:rPr>
                <w:sz w:val="18"/>
              </w:rPr>
            </w:r>
            <w:r>
              <w:rPr>
                <w:b w:val="0"/>
                <w:sz w:val="18"/>
              </w:rPr>
              <w:t>Vector store</w:t>
            </w:r>
          </w:p>
        </w:tc>
        <w:tc>
          <w:tcPr>
            <w:tcW w:type="dxa" w:w="3312"/>
          </w:tcPr>
          <w:p>
            <w:r>
              <w:rPr>
                <w:sz w:val="18"/>
              </w:rPr>
            </w:r>
            <w:r>
              <w:rPr>
                <w:b w:val="0"/>
                <w:sz w:val="18"/>
              </w:rPr>
              <w:t>Chroma</w:t>
            </w:r>
          </w:p>
        </w:tc>
        <w:tc>
          <w:tcPr>
            <w:tcW w:type="dxa" w:w="2880"/>
          </w:tcPr>
          <w:p>
            <w:r>
              <w:rPr>
                <w:sz w:val="18"/>
              </w:rPr>
            </w:r>
            <w:r>
              <w:rPr>
                <w:b w:val="0"/>
                <w:sz w:val="18"/>
              </w:rPr>
              <w:t>Databricks Vector Search</w:t>
            </w:r>
          </w:p>
        </w:tc>
      </w:tr>
      <w:tr>
        <w:tc>
          <w:tcPr>
            <w:tcW w:type="dxa" w:w="2448"/>
          </w:tcPr>
          <w:p>
            <w:r>
              <w:rPr>
                <w:sz w:val="18"/>
              </w:rPr>
            </w:r>
            <w:r>
              <w:rPr>
                <w:b w:val="0"/>
                <w:sz w:val="18"/>
              </w:rPr>
              <w:t>Reasoning</w:t>
            </w:r>
          </w:p>
        </w:tc>
        <w:tc>
          <w:tcPr>
            <w:tcW w:type="dxa" w:w="3312"/>
          </w:tcPr>
          <w:p>
            <w:r>
              <w:rPr>
                <w:sz w:val="18"/>
              </w:rPr>
            </w:r>
            <w:r>
              <w:rPr>
                <w:b w:val="0"/>
                <w:sz w:val="18"/>
              </w:rPr>
              <w:t>Claude (Anthropic API)</w:t>
            </w:r>
          </w:p>
        </w:tc>
        <w:tc>
          <w:tcPr>
            <w:tcW w:type="dxa" w:w="2880"/>
          </w:tcPr>
          <w:p>
            <w:r>
              <w:rPr>
                <w:sz w:val="18"/>
              </w:rPr>
            </w:r>
            <w:r>
              <w:rPr>
                <w:b w:val="0"/>
                <w:sz w:val="18"/>
              </w:rPr>
              <w:t>same</w:t>
            </w:r>
          </w:p>
        </w:tc>
      </w:tr>
      <w:tr>
        <w:tc>
          <w:tcPr>
            <w:tcW w:type="dxa" w:w="2448"/>
          </w:tcPr>
          <w:p>
            <w:r>
              <w:rPr>
                <w:sz w:val="18"/>
              </w:rPr>
            </w:r>
            <w:r>
              <w:rPr>
                <w:b w:val="0"/>
                <w:sz w:val="18"/>
              </w:rPr>
              <w:t>Orchestration</w:t>
            </w:r>
          </w:p>
        </w:tc>
        <w:tc>
          <w:tcPr>
            <w:tcW w:type="dxa" w:w="3312"/>
          </w:tcPr>
          <w:p>
            <w:r>
              <w:rPr>
                <w:sz w:val="18"/>
              </w:rPr>
            </w:r>
            <w:r>
              <w:rPr>
                <w:b w:val="0"/>
                <w:sz w:val="18"/>
              </w:rPr>
              <w:t>LangGraph</w:t>
            </w:r>
          </w:p>
        </w:tc>
        <w:tc>
          <w:tcPr>
            <w:tcW w:type="dxa" w:w="2880"/>
          </w:tcPr>
          <w:p>
            <w:r>
              <w:rPr>
                <w:sz w:val="18"/>
              </w:rPr>
            </w:r>
            <w:r>
              <w:rPr>
                <w:b w:val="0"/>
                <w:sz w:val="18"/>
              </w:rPr>
              <w:t>same</w:t>
            </w:r>
          </w:p>
        </w:tc>
      </w:tr>
      <w:tr>
        <w:tc>
          <w:tcPr>
            <w:tcW w:type="dxa" w:w="2448"/>
          </w:tcPr>
          <w:p>
            <w:r>
              <w:rPr>
                <w:sz w:val="18"/>
              </w:rPr>
            </w:r>
            <w:r>
              <w:rPr>
                <w:b w:val="0"/>
                <w:sz w:val="18"/>
              </w:rPr>
              <w:t>Contracts</w:t>
            </w:r>
          </w:p>
        </w:tc>
        <w:tc>
          <w:tcPr>
            <w:tcW w:type="dxa" w:w="3312"/>
          </w:tcPr>
          <w:p>
            <w:r>
              <w:rPr>
                <w:sz w:val="18"/>
              </w:rPr>
            </w:r>
            <w:r>
              <w:rPr>
                <w:b w:val="0"/>
                <w:sz w:val="18"/>
              </w:rPr>
              <w:t>Pydantic, Pandera</w:t>
            </w:r>
          </w:p>
        </w:tc>
        <w:tc>
          <w:tcPr>
            <w:tcW w:type="dxa" w:w="2880"/>
          </w:tcPr>
          <w:p>
            <w:r>
              <w:rPr>
                <w:sz w:val="18"/>
              </w:rPr>
            </w:r>
            <w:r>
              <w:rPr>
                <w:b w:val="0"/>
                <w:sz w:val="18"/>
              </w:rPr>
              <w:t>same</w:t>
            </w:r>
          </w:p>
        </w:tc>
      </w:tr>
      <w:tr>
        <w:tc>
          <w:tcPr>
            <w:tcW w:type="dxa" w:w="2448"/>
          </w:tcPr>
          <w:p>
            <w:r>
              <w:rPr>
                <w:sz w:val="18"/>
              </w:rPr>
            </w:r>
            <w:r>
              <w:rPr>
                <w:b w:val="0"/>
                <w:sz w:val="18"/>
              </w:rPr>
              <w:t>API</w:t>
            </w:r>
          </w:p>
        </w:tc>
        <w:tc>
          <w:tcPr>
            <w:tcW w:type="dxa" w:w="3312"/>
          </w:tcPr>
          <w:p>
            <w:r>
              <w:rPr>
                <w:sz w:val="18"/>
              </w:rPr>
            </w:r>
            <w:r>
              <w:rPr>
                <w:b w:val="0"/>
                <w:sz w:val="18"/>
              </w:rPr>
              <w:t>FastAPI</w:t>
            </w:r>
          </w:p>
        </w:tc>
        <w:tc>
          <w:tcPr>
            <w:tcW w:type="dxa" w:w="2880"/>
          </w:tcPr>
          <w:p>
            <w:r>
              <w:rPr>
                <w:sz w:val="18"/>
              </w:rPr>
            </w:r>
            <w:r>
              <w:rPr>
                <w:b w:val="0"/>
                <w:sz w:val="18"/>
              </w:rPr>
              <w:t>Databricks Model Serving</w:t>
            </w:r>
          </w:p>
        </w:tc>
      </w:tr>
      <w:tr>
        <w:tc>
          <w:tcPr>
            <w:tcW w:type="dxa" w:w="2448"/>
          </w:tcPr>
          <w:p>
            <w:r>
              <w:rPr>
                <w:sz w:val="18"/>
              </w:rPr>
            </w:r>
            <w:r>
              <w:rPr>
                <w:b w:val="0"/>
                <w:sz w:val="18"/>
              </w:rPr>
              <w:t>Quality gates</w:t>
            </w:r>
          </w:p>
        </w:tc>
        <w:tc>
          <w:tcPr>
            <w:tcW w:type="dxa" w:w="3312"/>
          </w:tcPr>
          <w:p>
            <w:r>
              <w:rPr>
                <w:sz w:val="18"/>
              </w:rPr>
            </w:r>
            <w:r>
              <w:rPr>
                <w:b w:val="0"/>
                <w:sz w:val="18"/>
              </w:rPr>
              <w:t>ruff, mypy, bandit, pytest</w:t>
            </w:r>
          </w:p>
        </w:tc>
        <w:tc>
          <w:tcPr>
            <w:tcW w:type="dxa" w:w="2880"/>
          </w:tcPr>
          <w:p>
            <w:r>
              <w:rPr>
                <w:sz w:val="18"/>
              </w:rPr>
            </w:r>
            <w:r>
              <w:rPr>
                <w:b w:val="0"/>
                <w:sz w:val="18"/>
              </w:rPr>
              <w:t>same</w:t>
            </w:r>
          </w:p>
        </w:tc>
      </w:tr>
    </w:tbl>
    <w:p>
      <w:pPr>
        <w:spacing w:after="120"/>
      </w:pPr>
    </w:p>
    <w:p>
      <w:pPr>
        <w:pStyle w:val="Heading2"/>
        <w:spacing w:before="280" w:after="120"/>
      </w:pPr>
      <w:r>
        <w:rPr>
          <w:color w:val="1B4965"/>
        </w:rPr>
        <w:t>5. Repository map</w:t>
      </w:r>
    </w:p>
    <w:p>
      <w:pPr>
        <w:spacing w:after="0" w:before="0"/>
        <w:ind w:left="432"/>
        <w:shd w:fill="F4F6F9"/>
      </w:pPr>
      <w:r>
        <w:rPr>
          <w:rFonts w:ascii="Consolas" w:hAnsi="Consolas"/>
          <w:color w:val="1B2430"/>
          <w:sz w:val="17"/>
        </w:rPr>
        <w:t>app/            application layer</w:t>
      </w:r>
    </w:p>
    <w:p>
      <w:pPr>
        <w:spacing w:after="0" w:before="0"/>
        <w:ind w:left="432"/>
        <w:shd w:fill="F4F6F9"/>
      </w:pPr>
      <w:r>
        <w:rPr>
          <w:rFonts w:ascii="Consolas" w:hAnsi="Consolas"/>
          <w:color w:val="1B2430"/>
          <w:sz w:val="17"/>
        </w:rPr>
        <w:t xml:space="preserve">  config/       Settings - one class per section, env-prefixed</w:t>
      </w:r>
    </w:p>
    <w:p>
      <w:pPr>
        <w:spacing w:after="0" w:before="0"/>
        <w:ind w:left="432"/>
        <w:shd w:fill="F4F6F9"/>
      </w:pPr>
      <w:r>
        <w:rPr>
          <w:rFonts w:ascii="Consolas" w:hAnsi="Consolas"/>
          <w:color w:val="1B2430"/>
          <w:sz w:val="17"/>
        </w:rPr>
        <w:t xml:space="preserve">  services/     Container (DI), baseline_service, forecast_service</w:t>
      </w:r>
    </w:p>
    <w:p>
      <w:pPr>
        <w:spacing w:after="0" w:before="0"/>
        <w:ind w:left="432"/>
        <w:shd w:fill="F4F6F9"/>
      </w:pPr>
      <w:r>
        <w:rPr>
          <w:rFonts w:ascii="Consolas" w:hAnsi="Consolas"/>
          <w:color w:val="1B2430"/>
          <w:sz w:val="17"/>
        </w:rPr>
        <w:t xml:space="preserve">  tools/        AnalyticalTool ABC, ToolResult envelope, registry</w:t>
      </w:r>
    </w:p>
    <w:p>
      <w:pPr>
        <w:spacing w:after="0" w:before="0"/>
        <w:ind w:left="432"/>
        <w:shd w:fill="F4F6F9"/>
      </w:pPr>
      <w:r>
        <w:rPr>
          <w:rFonts w:ascii="Consolas" w:hAnsi="Consolas"/>
          <w:color w:val="1B2430"/>
          <w:sz w:val="17"/>
        </w:rPr>
        <w:t xml:space="preserve">  schemas/      Pydantic contracts: domain, tool_contract, baseline, forecast</w:t>
      </w:r>
    </w:p>
    <w:p>
      <w:pPr>
        <w:spacing w:after="0" w:before="0"/>
        <w:ind w:left="432"/>
        <w:shd w:fill="F4F6F9"/>
      </w:pPr>
      <w:r>
        <w:rPr>
          <w:rFonts w:ascii="Consolas" w:hAnsi="Consolas"/>
          <w:color w:val="1B2430"/>
          <w:sz w:val="17"/>
        </w:rPr>
        <w:t xml:space="preserve">  observability/  structlog logging, trace context, metrics</w:t>
      </w:r>
    </w:p>
    <w:p>
      <w:pPr>
        <w:spacing w:after="0" w:before="0"/>
        <w:ind w:left="432"/>
        <w:shd w:fill="F4F6F9"/>
      </w:pPr>
      <w:r>
        <w:rPr>
          <w:rFonts w:ascii="Consolas" w:hAnsi="Consolas"/>
          <w:color w:val="1B2430"/>
          <w:sz w:val="17"/>
        </w:rPr>
        <w:t xml:space="preserve">  api/          FastAPI app and routes</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data/           data layer</w:t>
      </w:r>
    </w:p>
    <w:p>
      <w:pPr>
        <w:spacing w:after="0" w:before="0"/>
        <w:ind w:left="432"/>
        <w:shd w:fill="F4F6F9"/>
      </w:pPr>
      <w:r>
        <w:rPr>
          <w:rFonts w:ascii="Consolas" w:hAnsi="Consolas"/>
          <w:color w:val="1B2430"/>
          <w:sz w:val="17"/>
        </w:rPr>
        <w:t xml:space="preserve">  generation/   the synthetic data simulator (Step 2)</w:t>
      </w:r>
    </w:p>
    <w:p>
      <w:pPr>
        <w:spacing w:after="0" w:before="0"/>
        <w:ind w:left="432"/>
        <w:shd w:fill="F4F6F9"/>
      </w:pPr>
      <w:r>
        <w:rPr>
          <w:rFonts w:ascii="Consolas" w:hAnsi="Consolas"/>
          <w:color w:val="1B2430"/>
          <w:sz w:val="17"/>
        </w:rPr>
        <w:t xml:space="preserve">  repositories/ DataRepository ABC, Local + Databricks, PointInTimeView</w:t>
      </w:r>
    </w:p>
    <w:p>
      <w:pPr>
        <w:spacing w:after="0" w:before="0"/>
        <w:ind w:left="432"/>
        <w:shd w:fill="F4F6F9"/>
      </w:pPr>
      <w:r>
        <w:rPr>
          <w:rFonts w:ascii="Consolas" w:hAnsi="Consolas"/>
          <w:color w:val="1B2430"/>
          <w:sz w:val="17"/>
        </w:rPr>
        <w:t xml:space="preserve">  contracts/    Pandera table schemas</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features/       feature layer (Step 3)</w:t>
      </w:r>
    </w:p>
    <w:p>
      <w:pPr>
        <w:spacing w:after="0" w:before="0"/>
        <w:ind w:left="432"/>
        <w:shd w:fill="F4F6F9"/>
      </w:pPr>
      <w:r>
        <w:rPr>
          <w:rFonts w:ascii="Consolas" w:hAnsi="Consolas"/>
          <w:color w:val="1B2430"/>
          <w:sz w:val="17"/>
        </w:rPr>
        <w:t xml:space="preserve">  contracts/    catalogue, specs, config loader, feature versioning</w:t>
      </w:r>
    </w:p>
    <w:p>
      <w:pPr>
        <w:spacing w:after="0" w:before="0"/>
        <w:ind w:left="432"/>
        <w:shd w:fill="F4F6F9"/>
      </w:pPr>
      <w:r>
        <w:rPr>
          <w:rFonts w:ascii="Consolas" w:hAnsi="Consolas"/>
          <w:color w:val="1B2430"/>
          <w:sz w:val="17"/>
        </w:rPr>
        <w:t xml:space="preserve">  engineering/  panel helpers, demand, pricing, promotion, inventory, temporal</w:t>
      </w:r>
    </w:p>
    <w:p>
      <w:pPr>
        <w:spacing w:after="0" w:before="0"/>
        <w:ind w:left="432"/>
        <w:shd w:fill="F4F6F9"/>
      </w:pPr>
      <w:r>
        <w:rPr>
          <w:rFonts w:ascii="Consolas" w:hAnsi="Consolas"/>
          <w:color w:val="1B2430"/>
          <w:sz w:val="17"/>
        </w:rPr>
        <w:t xml:space="preserve">  datasets/     per-model dataset builders</w:t>
      </w:r>
    </w:p>
    <w:p>
      <w:pPr>
        <w:spacing w:after="0" w:before="0"/>
        <w:ind w:left="432"/>
        <w:shd w:fill="F4F6F9"/>
      </w:pPr>
      <w:r>
        <w:rPr>
          <w:rFonts w:ascii="Consolas" w:hAnsi="Consolas"/>
          <w:color w:val="1B2430"/>
          <w:sz w:val="17"/>
        </w:rPr>
        <w:t xml:space="preserve">  repositories/ FeatureRepository ABC + local implementation</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ml/             model layer</w:t>
      </w:r>
    </w:p>
    <w:p>
      <w:pPr>
        <w:spacing w:after="0" w:before="0"/>
        <w:ind w:left="432"/>
        <w:shd w:fill="F4F6F9"/>
      </w:pPr>
      <w:r>
        <w:rPr>
          <w:rFonts w:ascii="Consolas" w:hAnsi="Consolas"/>
          <w:color w:val="1B2430"/>
          <w:sz w:val="17"/>
        </w:rPr>
        <w:t xml:space="preserve">  base.py       AnalyticalModel ABC, ModelMetadata, error types</w:t>
      </w:r>
    </w:p>
    <w:p>
      <w:pPr>
        <w:spacing w:after="0" w:before="0"/>
        <w:ind w:left="432"/>
        <w:shd w:fill="F4F6F9"/>
      </w:pPr>
      <w:r>
        <w:rPr>
          <w:rFonts w:ascii="Consolas" w:hAnsi="Consolas"/>
          <w:color w:val="1B2430"/>
          <w:sz w:val="17"/>
        </w:rPr>
        <w:t xml:space="preserve">  baseline/     Step 4 - baseline sales</w:t>
      </w:r>
    </w:p>
    <w:p>
      <w:pPr>
        <w:spacing w:after="0" w:before="0"/>
        <w:ind w:left="432"/>
        <w:shd w:fill="F4F6F9"/>
      </w:pPr>
      <w:r>
        <w:rPr>
          <w:rFonts w:ascii="Consolas" w:hAnsi="Consolas"/>
          <w:color w:val="1B2430"/>
          <w:sz w:val="17"/>
        </w:rPr>
        <w:t xml:space="preserve">  forecasting/  Step 5 - demand forecasting</w:t>
      </w:r>
    </w:p>
    <w:p>
      <w:pPr>
        <w:spacing w:after="0" w:before="0"/>
        <w:ind w:left="432"/>
        <w:shd w:fill="F4F6F9"/>
      </w:pPr>
      <w:r>
        <w:rPr>
          <w:rFonts w:ascii="Consolas" w:hAnsi="Consolas"/>
          <w:color w:val="1B2430"/>
          <w:sz w:val="17"/>
        </w:rPr>
        <w:t xml:space="preserve">  &lt;others&gt;/     interface-only stubs for Steps 6-11</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tests/          534 tests, marked by concern</w:t>
      </w:r>
    </w:p>
    <w:p>
      <w:pPr>
        <w:spacing w:after="0" w:before="0"/>
        <w:ind w:left="432"/>
        <w:shd w:fill="F4F6F9"/>
      </w:pPr>
      <w:r>
        <w:rPr>
          <w:rFonts w:ascii="Consolas" w:hAnsi="Consolas"/>
          <w:color w:val="1B2430"/>
          <w:sz w:val="17"/>
        </w:rPr>
        <w:t>configs/        YAML: dataset profiles, feature selection, model config</w:t>
      </w:r>
    </w:p>
    <w:p>
      <w:pPr>
        <w:spacing w:after="0" w:before="0"/>
        <w:ind w:left="432"/>
        <w:shd w:fill="F4F6F9"/>
      </w:pPr>
      <w:r>
        <w:rPr>
          <w:rFonts w:ascii="Consolas" w:hAnsi="Consolas"/>
          <w:color w:val="1B2430"/>
          <w:sz w:val="17"/>
        </w:rPr>
        <w:t>scripts/        generate_data, train_baseline, train_forecast</w:t>
      </w:r>
    </w:p>
    <w:p>
      <w:pPr>
        <w:spacing w:after="0" w:before="0"/>
        <w:ind w:left="432"/>
        <w:shd w:fill="F4F6F9"/>
      </w:pPr>
      <w:r>
        <w:rPr>
          <w:rFonts w:ascii="Consolas" w:hAnsi="Consolas"/>
          <w:color w:val="1B2430"/>
          <w:sz w:val="17"/>
        </w:rPr>
        <w:t>docs/           this handbook, model cards, migration designs</w:t>
      </w:r>
    </w:p>
    <w:p>
      <w:pPr>
        <w:spacing w:after="0" w:before="0"/>
        <w:ind w:left="432"/>
        <w:shd w:fill="F4F6F9"/>
      </w:pPr>
      <w:r>
        <w:rPr>
          <w:rFonts w:ascii="Consolas" w:hAnsi="Consolas"/>
          <w:color w:val="1B2430"/>
          <w:sz w:val="17"/>
        </w:rPr>
        <w:t>notebooks/      exploration and validation, one folder per step</w:t>
      </w:r>
    </w:p>
    <w:p>
      <w:pPr>
        <w:spacing w:after="80"/>
      </w:pPr>
    </w:p>
    <w:p>
      <w:r>
        <w:br w:type="page"/>
      </w:r>
    </w:p>
    <w:p>
      <w:pPr>
        <w:pStyle w:val="Heading1"/>
        <w:spacing w:before="280" w:after="120"/>
      </w:pPr>
      <w:r>
        <w:rPr>
          <w:color w:val="1B4965"/>
        </w:rPr>
        <w:t>Part II  -  Foundations</w:t>
      </w:r>
    </w:p>
    <w:p>
      <w:pPr>
        <w:pStyle w:val="Heading2"/>
        <w:spacing w:before="280" w:after="120"/>
      </w:pPr>
      <w:r>
        <w:rPr>
          <w:color w:val="1B4965"/>
        </w:rPr>
        <w:t>Step 1  -  Skeleton and the three seams</w:t>
      </w:r>
    </w:p>
    <w:p>
      <w:pPr>
        <w:spacing w:after="120"/>
      </w:pPr>
      <w:r>
        <w:rPr>
          <w:b w:val="0"/>
          <w:sz w:val="21"/>
        </w:rPr>
        <w:t>Step 1 built no features and trained no models. It established the boundaries that make the remaining nineteen steps possible, and the reason it comes first is that these boundaries are almost impossible to retrofit.</w:t>
      </w:r>
    </w:p>
    <w:p>
      <w:pPr>
        <w:pStyle w:val="Heading3"/>
        <w:spacing w:before="200" w:after="120"/>
      </w:pPr>
      <w:r>
        <w:rPr>
          <w:color w:val="1B4965"/>
        </w:rPr>
        <w:t>Seam 1  -  DataRepository</w:t>
      </w:r>
    </w:p>
    <w:p>
      <w:pPr>
        <w:spacing w:after="120"/>
      </w:pPr>
      <w:r>
        <w:rPr>
          <w:b w:val="0"/>
          <w:sz w:val="21"/>
        </w:rPr>
        <w:t>An abstract base class defining every read the platform performs. Business logic receives a repository and never asks which implementation it got.</w:t>
      </w:r>
    </w:p>
    <w:p>
      <w:pPr>
        <w:spacing w:after="0" w:before="0"/>
        <w:ind w:left="432"/>
        <w:shd w:fill="F4F6F9"/>
      </w:pPr>
      <w:r>
        <w:rPr>
          <w:rFonts w:ascii="Consolas" w:hAnsi="Consolas"/>
          <w:color w:val="1B2430"/>
          <w:sz w:val="17"/>
        </w:rPr>
        <w:t>class DataRepository(ABC):</w:t>
      </w:r>
    </w:p>
    <w:p>
      <w:pPr>
        <w:spacing w:after="0" w:before="0"/>
        <w:ind w:left="432"/>
        <w:shd w:fill="F4F6F9"/>
      </w:pPr>
      <w:r>
        <w:rPr>
          <w:rFonts w:ascii="Consolas" w:hAnsi="Consolas"/>
          <w:color w:val="1B2430"/>
          <w:sz w:val="17"/>
        </w:rPr>
        <w:t xml:space="preserve">    @abstractmethod</w:t>
      </w:r>
    </w:p>
    <w:p>
      <w:pPr>
        <w:spacing w:after="0" w:before="0"/>
        <w:ind w:left="432"/>
        <w:shd w:fill="F4F6F9"/>
      </w:pPr>
      <w:r>
        <w:rPr>
          <w:rFonts w:ascii="Consolas" w:hAnsi="Consolas"/>
          <w:color w:val="1B2430"/>
          <w:sz w:val="17"/>
        </w:rPr>
        <w:t xml:space="preserve">    def get_sales(self, *, product_ids=None, store_ids=None,</w:t>
      </w:r>
    </w:p>
    <w:p>
      <w:pPr>
        <w:spacing w:after="0" w:before="0"/>
        <w:ind w:left="432"/>
        <w:shd w:fill="F4F6F9"/>
      </w:pPr>
      <w:r>
        <w:rPr>
          <w:rFonts w:ascii="Consolas" w:hAnsi="Consolas"/>
          <w:color w:val="1B2430"/>
          <w:sz w:val="17"/>
        </w:rPr>
        <w:t xml:space="preserve">                  start_date=None, end_date=None, as_of_date=None,</w:t>
      </w:r>
    </w:p>
    <w:p>
      <w:pPr>
        <w:spacing w:after="0" w:before="0"/>
        <w:ind w:left="432"/>
        <w:shd w:fill="F4F6F9"/>
      </w:pPr>
      <w:r>
        <w:rPr>
          <w:rFonts w:ascii="Consolas" w:hAnsi="Consolas"/>
          <w:color w:val="1B2430"/>
          <w:sz w:val="17"/>
        </w:rPr>
        <w:t xml:space="preserve">                  max_rows=None) -&gt; pd.DataFrame: ...</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 xml:space="preserve">    def as_of(self, as_of_date: date) -&gt; PointInTimeView:</w:t>
      </w:r>
    </w:p>
    <w:p>
      <w:pPr>
        <w:spacing w:after="0" w:before="0"/>
        <w:ind w:left="432"/>
        <w:shd w:fill="F4F6F9"/>
      </w:pPr>
      <w:r>
        <w:rPr>
          <w:rFonts w:ascii="Consolas" w:hAnsi="Consolas"/>
          <w:color w:val="1B2430"/>
          <w:sz w:val="17"/>
        </w:rPr>
        <w:t xml:space="preserve">        return PointInTimeView(self, as_of_date)</w:t>
      </w:r>
    </w:p>
    <w:p>
      <w:pPr>
        <w:spacing w:after="80"/>
      </w:pPr>
    </w:p>
    <w:p>
      <w:pPr>
        <w:pStyle w:val="Heading3"/>
        <w:spacing w:before="200" w:after="120"/>
      </w:pPr>
      <w:r>
        <w:rPr>
          <w:color w:val="1B4965"/>
        </w:rPr>
        <w:t>Seam 2  -  the ToolResult envelope</w:t>
      </w:r>
    </w:p>
    <w:p>
      <w:pPr>
        <w:spacing w:after="120"/>
      </w:pPr>
      <w:r>
        <w:rPr>
          <w:b w:val="0"/>
          <w:sz w:val="21"/>
        </w:rPr>
        <w:t xml:space="preserve">Every analytical capability returns the same shape. </w:t>
      </w:r>
      <w:r>
        <w:rPr>
          <w:rFonts w:ascii="Consolas" w:hAnsi="Consolas"/>
          <w:b w:val="0"/>
          <w:sz w:val="19"/>
        </w:rPr>
        <w:t>AnalyticalTool.run()</w:t>
      </w:r>
      <w:r>
        <w:rPr>
          <w:b w:val="0"/>
          <w:sz w:val="21"/>
        </w:rPr>
        <w:t xml:space="preserve"> is marked </w:t>
      </w:r>
      <w:r>
        <w:rPr>
          <w:rFonts w:ascii="Consolas" w:hAnsi="Consolas"/>
          <w:b w:val="0"/>
          <w:sz w:val="19"/>
        </w:rPr>
        <w:t>@final</w:t>
      </w:r>
      <w:r>
        <w:rPr>
          <w:b w:val="0"/>
          <w:sz w:val="21"/>
        </w:rPr>
        <w:t xml:space="preserve">, so a subclass cannot bypass validation, timing, tracing or error wrapping - it implements only </w:t>
      </w:r>
      <w:r>
        <w:rPr>
          <w:rFonts w:ascii="Consolas" w:hAnsi="Consolas"/>
          <w:b w:val="0"/>
          <w:sz w:val="19"/>
        </w:rPr>
        <w:t>_execute</w:t>
      </w:r>
      <w:r>
        <w:rPr>
          <w:b w:val="0"/>
          <w:sz w:val="21"/>
        </w:rPr>
        <w:t>.</w:t>
      </w:r>
    </w:p>
    <w:tbl>
      <w:tblPr>
        <w:tblStyle w:val="LightGrid-Accent1"/>
        <w:tblW w:type="auto" w:w="0"/>
        <w:jc w:val="center"/>
        <w:tblLook w:firstColumn="1" w:firstRow="1" w:lastColumn="0" w:lastRow="0" w:noHBand="0" w:noVBand="1" w:val="04A0"/>
      </w:tblPr>
      <w:tblGrid>
        <w:gridCol w:w="4824"/>
        <w:gridCol w:w="4824"/>
      </w:tblGrid>
      <w:tr>
        <w:tc>
          <w:tcPr>
            <w:tcW w:type="dxa" w:w="3168"/>
          </w:tcPr>
          <w:p>
            <w:r/>
            <w:r>
              <w:rPr>
                <w:b/>
                <w:sz w:val="18"/>
              </w:rPr>
              <w:t>Field</w:t>
            </w:r>
          </w:p>
        </w:tc>
        <w:tc>
          <w:tcPr>
            <w:tcW w:type="dxa" w:w="5472"/>
          </w:tcPr>
          <w:p>
            <w:r/>
            <w:r>
              <w:rPr>
                <w:b/>
                <w:sz w:val="18"/>
              </w:rPr>
              <w:t>Purpose</w:t>
            </w:r>
          </w:p>
        </w:tc>
      </w:tr>
      <w:tr>
        <w:tc>
          <w:tcPr>
            <w:tcW w:type="dxa" w:w="3168"/>
          </w:tcPr>
          <w:p>
            <w:r>
              <w:rPr>
                <w:sz w:val="18"/>
              </w:rPr>
            </w:r>
            <w:r>
              <w:rPr>
                <w:rFonts w:ascii="Consolas" w:hAnsi="Consolas"/>
                <w:b w:val="0"/>
                <w:sz w:val="18"/>
              </w:rPr>
              <w:t>status</w:t>
            </w:r>
          </w:p>
        </w:tc>
        <w:tc>
          <w:tcPr>
            <w:tcW w:type="dxa" w:w="5472"/>
          </w:tcPr>
          <w:p>
            <w:r>
              <w:rPr>
                <w:sz w:val="18"/>
              </w:rPr>
            </w:r>
            <w:r>
              <w:rPr>
                <w:b w:val="0"/>
                <w:sz w:val="18"/>
              </w:rPr>
              <w:t>success / partial / error / invalid_input / timeout</w:t>
            </w:r>
          </w:p>
        </w:tc>
      </w:tr>
      <w:tr>
        <w:tc>
          <w:tcPr>
            <w:tcW w:type="dxa" w:w="3168"/>
          </w:tcPr>
          <w:p>
            <w:r>
              <w:rPr>
                <w:sz w:val="18"/>
              </w:rPr>
            </w:r>
            <w:r>
              <w:rPr>
                <w:rFonts w:ascii="Consolas" w:hAnsi="Consolas"/>
                <w:b w:val="0"/>
                <w:sz w:val="18"/>
              </w:rPr>
              <w:t>model_name</w:t>
            </w:r>
            <w:r>
              <w:rPr>
                <w:b w:val="0"/>
                <w:sz w:val="18"/>
              </w:rPr>
              <w:t xml:space="preserve">, </w:t>
            </w:r>
            <w:r>
              <w:rPr>
                <w:rFonts w:ascii="Consolas" w:hAnsi="Consolas"/>
                <w:b w:val="0"/>
                <w:sz w:val="18"/>
              </w:rPr>
              <w:t>model_version</w:t>
            </w:r>
            <w:r>
              <w:rPr>
                <w:b w:val="0"/>
                <w:sz w:val="18"/>
              </w:rPr>
              <w:t xml:space="preserve">, </w:t>
            </w:r>
            <w:r>
              <w:rPr>
                <w:rFonts w:ascii="Consolas" w:hAnsi="Consolas"/>
                <w:b w:val="0"/>
                <w:sz w:val="18"/>
              </w:rPr>
              <w:t>dataset_version</w:t>
            </w:r>
          </w:p>
        </w:tc>
        <w:tc>
          <w:tcPr>
            <w:tcW w:type="dxa" w:w="5472"/>
          </w:tcPr>
          <w:p>
            <w:r>
              <w:rPr>
                <w:sz w:val="18"/>
              </w:rPr>
            </w:r>
            <w:r>
              <w:rPr>
                <w:b w:val="0"/>
                <w:sz w:val="18"/>
              </w:rPr>
              <w:t>Provenance - which artifact produced this number</w:t>
            </w:r>
          </w:p>
        </w:tc>
      </w:tr>
      <w:tr>
        <w:tc>
          <w:tcPr>
            <w:tcW w:type="dxa" w:w="3168"/>
          </w:tcPr>
          <w:p>
            <w:r>
              <w:rPr>
                <w:sz w:val="18"/>
              </w:rPr>
            </w:r>
            <w:r>
              <w:rPr>
                <w:rFonts w:ascii="Consolas" w:hAnsi="Consolas"/>
                <w:b w:val="0"/>
                <w:sz w:val="18"/>
              </w:rPr>
              <w:t>result</w:t>
            </w:r>
          </w:p>
        </w:tc>
        <w:tc>
          <w:tcPr>
            <w:tcW w:type="dxa" w:w="5472"/>
          </w:tcPr>
          <w:p>
            <w:r>
              <w:rPr>
                <w:sz w:val="18"/>
              </w:rPr>
            </w:r>
            <w:r>
              <w:rPr>
                <w:b w:val="0"/>
                <w:sz w:val="18"/>
              </w:rPr>
              <w:t>The payload, as plain JSON</w:t>
            </w:r>
          </w:p>
        </w:tc>
      </w:tr>
      <w:tr>
        <w:tc>
          <w:tcPr>
            <w:tcW w:type="dxa" w:w="3168"/>
          </w:tcPr>
          <w:p>
            <w:r>
              <w:rPr>
                <w:sz w:val="18"/>
              </w:rPr>
            </w:r>
            <w:r>
              <w:rPr>
                <w:rFonts w:ascii="Consolas" w:hAnsi="Consolas"/>
                <w:b w:val="0"/>
                <w:sz w:val="18"/>
              </w:rPr>
              <w:t>confidence</w:t>
            </w:r>
          </w:p>
        </w:tc>
        <w:tc>
          <w:tcPr>
            <w:tcW w:type="dxa" w:w="5472"/>
          </w:tcPr>
          <w:p>
            <w:r>
              <w:rPr>
                <w:sz w:val="18"/>
              </w:rPr>
            </w:r>
            <w:r>
              <w:rPr>
                <w:b w:val="0"/>
                <w:sz w:val="18"/>
              </w:rPr>
              <w:t>Measured, or absent. Never invented</w:t>
            </w:r>
          </w:p>
        </w:tc>
      </w:tr>
      <w:tr>
        <w:tc>
          <w:tcPr>
            <w:tcW w:type="dxa" w:w="3168"/>
          </w:tcPr>
          <w:p>
            <w:r>
              <w:rPr>
                <w:sz w:val="18"/>
              </w:rPr>
            </w:r>
            <w:r>
              <w:rPr>
                <w:rFonts w:ascii="Consolas" w:hAnsi="Consolas"/>
                <w:b w:val="0"/>
                <w:sz w:val="18"/>
              </w:rPr>
              <w:t>assumptions</w:t>
            </w:r>
          </w:p>
        </w:tc>
        <w:tc>
          <w:tcPr>
            <w:tcW w:type="dxa" w:w="5472"/>
          </w:tcPr>
          <w:p>
            <w:r>
              <w:rPr>
                <w:sz w:val="18"/>
              </w:rPr>
            </w:r>
            <w:r>
              <w:rPr>
                <w:b w:val="0"/>
                <w:sz w:val="18"/>
              </w:rPr>
              <w:t>What the caller must know to use the number responsibly</w:t>
            </w:r>
          </w:p>
        </w:tc>
      </w:tr>
      <w:tr>
        <w:tc>
          <w:tcPr>
            <w:tcW w:type="dxa" w:w="3168"/>
          </w:tcPr>
          <w:p>
            <w:r>
              <w:rPr>
                <w:sz w:val="18"/>
              </w:rPr>
            </w:r>
            <w:r>
              <w:rPr>
                <w:rFonts w:ascii="Consolas" w:hAnsi="Consolas"/>
                <w:b w:val="0"/>
                <w:sz w:val="18"/>
              </w:rPr>
              <w:t>warnings</w:t>
            </w:r>
          </w:p>
        </w:tc>
        <w:tc>
          <w:tcPr>
            <w:tcW w:type="dxa" w:w="5472"/>
          </w:tcPr>
          <w:p>
            <w:r>
              <w:rPr>
                <w:sz w:val="18"/>
              </w:rPr>
            </w:r>
            <w:r>
              <w:rPr>
                <w:b w:val="0"/>
                <w:sz w:val="18"/>
              </w:rPr>
              <w:t xml:space="preserve">Caveats; a non-empty list downgrades status to </w:t>
            </w:r>
            <w:r>
              <w:rPr>
                <w:rFonts w:ascii="Consolas" w:hAnsi="Consolas"/>
                <w:b w:val="0"/>
                <w:sz w:val="18"/>
              </w:rPr>
              <w:t>partial</w:t>
            </w:r>
          </w:p>
        </w:tc>
      </w:tr>
      <w:tr>
        <w:tc>
          <w:tcPr>
            <w:tcW w:type="dxa" w:w="3168"/>
          </w:tcPr>
          <w:p>
            <w:r>
              <w:rPr>
                <w:sz w:val="18"/>
              </w:rPr>
            </w:r>
            <w:r>
              <w:rPr>
                <w:rFonts w:ascii="Consolas" w:hAnsi="Consolas"/>
                <w:b w:val="0"/>
                <w:sz w:val="18"/>
              </w:rPr>
              <w:t>error</w:t>
            </w:r>
          </w:p>
        </w:tc>
        <w:tc>
          <w:tcPr>
            <w:tcW w:type="dxa" w:w="5472"/>
          </w:tcPr>
          <w:p>
            <w:r>
              <w:rPr>
                <w:sz w:val="18"/>
              </w:rPr>
            </w:r>
            <w:r>
              <w:rPr>
                <w:b w:val="0"/>
                <w:sz w:val="18"/>
              </w:rPr>
              <w:t xml:space="preserve">Code, message, and a </w:t>
            </w:r>
            <w:r>
              <w:rPr>
                <w:rFonts w:ascii="Consolas" w:hAnsi="Consolas"/>
                <w:b w:val="0"/>
                <w:sz w:val="18"/>
              </w:rPr>
              <w:t>recoverable</w:t>
            </w:r>
            <w:r>
              <w:rPr>
                <w:b w:val="0"/>
                <w:sz w:val="18"/>
              </w:rPr>
              <w:t xml:space="preserve"> flag for agent re-planning</w:t>
            </w:r>
          </w:p>
        </w:tc>
      </w:tr>
      <w:tr>
        <w:tc>
          <w:tcPr>
            <w:tcW w:type="dxa" w:w="3168"/>
          </w:tcPr>
          <w:p>
            <w:r>
              <w:rPr>
                <w:sz w:val="18"/>
              </w:rPr>
            </w:r>
            <w:r>
              <w:rPr>
                <w:rFonts w:ascii="Consolas" w:hAnsi="Consolas"/>
                <w:b w:val="0"/>
                <w:sz w:val="18"/>
              </w:rPr>
              <w:t>trace_id</w:t>
            </w:r>
          </w:p>
        </w:tc>
        <w:tc>
          <w:tcPr>
            <w:tcW w:type="dxa" w:w="5472"/>
          </w:tcPr>
          <w:p>
            <w:r>
              <w:rPr>
                <w:sz w:val="18"/>
              </w:rPr>
            </w:r>
            <w:r>
              <w:rPr>
                <w:b w:val="0"/>
                <w:sz w:val="18"/>
              </w:rPr>
              <w:t>Ties the result to its log lines</w:t>
            </w:r>
          </w:p>
        </w:tc>
      </w:tr>
    </w:tbl>
    <w:p>
      <w:pPr>
        <w:spacing w:after="120"/>
      </w:pPr>
    </w:p>
    <w:p>
      <w:pPr>
        <w:pStyle w:val="Heading3"/>
        <w:spacing w:before="200" w:after="120"/>
      </w:pPr>
      <w:r>
        <w:rPr>
          <w:color w:val="1B4965"/>
        </w:rPr>
        <w:t>Seam 3  -  the DI container</w:t>
      </w:r>
    </w:p>
    <w:p>
      <w:pPr>
        <w:spacing w:after="120"/>
      </w:pPr>
      <w:r>
        <w:rPr>
          <w:b w:val="0"/>
          <w:sz w:val="21"/>
        </w:rPr>
        <w:t xml:space="preserve">One class with cached properties, keyed on </w:t>
      </w:r>
      <w:r>
        <w:rPr>
          <w:rFonts w:ascii="Consolas" w:hAnsi="Consolas"/>
          <w:b w:val="0"/>
          <w:sz w:val="19"/>
        </w:rPr>
        <w:t>APP__ENVIRONMENT</w:t>
      </w:r>
      <w:r>
        <w:rPr>
          <w:b w:val="0"/>
          <w:sz w:val="21"/>
        </w:rPr>
        <w:t>. Components are built lazily, so constructing the container never requires a trained model or an API key - a missing artifact surfaces at the point of use, not at boot.</w:t>
      </w:r>
    </w:p>
    <w:p>
      <w:pPr>
        <w:spacing w:before="120" w:after="160"/>
        <w:ind w:left="360"/>
        <w:shd w:fill="F7F9FC"/>
      </w:pPr>
      <w:r>
        <w:rPr>
          <w:b/>
          <w:color w:val="1B4965"/>
          <w:sz w:val="19"/>
        </w:rPr>
        <w:t xml:space="preserve">Design decision.  </w:t>
      </w:r>
      <w:r>
        <w:rPr>
          <w:b w:val="0"/>
          <w:sz w:val="20"/>
        </w:rPr>
        <w:t>Not a DI framework. dependency-injector and friends buy scoping, auto-wiring and declarative overrides; with four factories and one switch they would add a dependency and a mental model in exchange for nothing.</w:t>
      </w:r>
    </w:p>
    <w:p>
      <w:pPr>
        <w:pStyle w:val="Heading3"/>
        <w:spacing w:before="200" w:after="120"/>
      </w:pPr>
      <w:r>
        <w:rPr>
          <w:color w:val="1B4965"/>
        </w:rPr>
        <w:t>Defects found in Step 1</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8"/>
              </w:rPr>
              <w:t>Symptom</w:t>
            </w:r>
          </w:p>
        </w:tc>
        <w:tc>
          <w:tcPr>
            <w:tcW w:type="dxa" w:w="3456"/>
          </w:tcPr>
          <w:p>
            <w:r/>
            <w:r>
              <w:rPr>
                <w:b/>
                <w:sz w:val="18"/>
              </w:rPr>
              <w:t>Cause</w:t>
            </w:r>
          </w:p>
        </w:tc>
        <w:tc>
          <w:tcPr>
            <w:tcW w:type="dxa" w:w="2592"/>
          </w:tcPr>
          <w:p>
            <w:r/>
            <w:r>
              <w:rPr>
                <w:b/>
                <w:sz w:val="18"/>
              </w:rPr>
              <w:t>Fix</w:t>
            </w:r>
          </w:p>
        </w:tc>
      </w:tr>
      <w:tr>
        <w:tc>
          <w:tcPr>
            <w:tcW w:type="dxa" w:w="2736"/>
          </w:tcPr>
          <w:p>
            <w:r>
              <w:rPr>
                <w:sz w:val="18"/>
              </w:rPr>
            </w:r>
            <w:r>
              <w:rPr>
                <w:b w:val="0"/>
                <w:sz w:val="18"/>
              </w:rPr>
              <w:t>Settings failed to construct</w:t>
            </w:r>
          </w:p>
        </w:tc>
        <w:tc>
          <w:tcPr>
            <w:tcW w:type="dxa" w:w="3456"/>
          </w:tcPr>
          <w:p>
            <w:r>
              <w:rPr>
                <w:sz w:val="18"/>
              </w:rPr>
            </w:r>
            <w:r>
              <w:rPr>
                <w:rFonts w:ascii="Consolas" w:hAnsi="Consolas"/>
                <w:b w:val="0"/>
                <w:sz w:val="18"/>
              </w:rPr>
              <w:t>**_SECTION_CONFIG</w:t>
            </w:r>
            <w:r>
              <w:rPr>
                <w:b w:val="0"/>
                <w:sz w:val="18"/>
              </w:rPr>
              <w:t xml:space="preserve"> collided with an explicit </w:t>
            </w:r>
            <w:r>
              <w:rPr>
                <w:rFonts w:ascii="Consolas" w:hAnsi="Consolas"/>
                <w:b w:val="0"/>
                <w:sz w:val="18"/>
              </w:rPr>
              <w:t>env_prefix</w:t>
            </w:r>
            <w:r>
              <w:rPr>
                <w:b w:val="0"/>
                <w:sz w:val="18"/>
              </w:rPr>
              <w:t xml:space="preserve"> keyword</w:t>
            </w:r>
          </w:p>
        </w:tc>
        <w:tc>
          <w:tcPr>
            <w:tcW w:type="dxa" w:w="2592"/>
          </w:tcPr>
          <w:p>
            <w:r>
              <w:rPr>
                <w:sz w:val="18"/>
              </w:rPr>
            </w:r>
            <w:r>
              <w:rPr>
                <w:b w:val="0"/>
                <w:sz w:val="18"/>
              </w:rPr>
              <w:t>Standalone dict constant, spread per section</w:t>
            </w:r>
          </w:p>
        </w:tc>
      </w:tr>
      <w:tr>
        <w:tc>
          <w:tcPr>
            <w:tcW w:type="dxa" w:w="2736"/>
          </w:tcPr>
          <w:p>
            <w:r>
              <w:rPr>
                <w:sz w:val="18"/>
              </w:rPr>
            </w:r>
            <w:r>
              <w:rPr>
                <w:b w:val="0"/>
                <w:sz w:val="18"/>
              </w:rPr>
              <w:t xml:space="preserve">46 test errors, </w:t>
            </w:r>
            <w:r>
              <w:rPr>
                <w:rFonts w:ascii="Consolas" w:hAnsi="Consolas"/>
                <w:b w:val="0"/>
                <w:sz w:val="18"/>
              </w:rPr>
              <w:t>AttributeError</w:t>
            </w:r>
            <w:r>
              <w:rPr>
                <w:b w:val="0"/>
                <w:sz w:val="18"/>
              </w:rPr>
              <w:t xml:space="preserve"> on every log call</w:t>
            </w:r>
          </w:p>
        </w:tc>
        <w:tc>
          <w:tcPr>
            <w:tcW w:type="dxa" w:w="3456"/>
          </w:tcPr>
          <w:p>
            <w:r>
              <w:rPr>
                <w:sz w:val="18"/>
              </w:rPr>
            </w:r>
            <w:r>
              <w:rPr>
                <w:rFonts w:ascii="Consolas" w:hAnsi="Consolas"/>
                <w:b w:val="0"/>
                <w:sz w:val="18"/>
              </w:rPr>
              <w:t>structlog.stdlib.add_logger_name</w:t>
            </w:r>
            <w:r>
              <w:rPr>
                <w:b w:val="0"/>
                <w:sz w:val="18"/>
              </w:rPr>
              <w:t xml:space="preserve"> with </w:t>
            </w:r>
            <w:r>
              <w:rPr>
                <w:rFonts w:ascii="Consolas" w:hAnsi="Consolas"/>
                <w:b w:val="0"/>
                <w:sz w:val="18"/>
              </w:rPr>
              <w:t>PrintLoggerFactory</w:t>
            </w:r>
          </w:p>
        </w:tc>
        <w:tc>
          <w:tcPr>
            <w:tcW w:type="dxa" w:w="2592"/>
          </w:tcPr>
          <w:p>
            <w:r>
              <w:rPr>
                <w:sz w:val="18"/>
              </w:rPr>
            </w:r>
            <w:r>
              <w:rPr>
                <w:b w:val="0"/>
                <w:sz w:val="18"/>
              </w:rPr>
              <w:t xml:space="preserve">Switched to </w:t>
            </w:r>
            <w:r>
              <w:rPr>
                <w:rFonts w:ascii="Consolas" w:hAnsi="Consolas"/>
                <w:b w:val="0"/>
                <w:sz w:val="18"/>
              </w:rPr>
              <w:t>structlog.stdlib.LoggerFactory()</w:t>
            </w:r>
          </w:p>
        </w:tc>
      </w:tr>
      <w:tr>
        <w:tc>
          <w:tcPr>
            <w:tcW w:type="dxa" w:w="2736"/>
          </w:tcPr>
          <w:p>
            <w:r>
              <w:rPr>
                <w:sz w:val="18"/>
              </w:rPr>
            </w:r>
            <w:r>
              <w:rPr>
                <w:b w:val="0"/>
                <w:sz w:val="18"/>
              </w:rPr>
              <w:t>bandit B101</w:t>
            </w:r>
          </w:p>
        </w:tc>
        <w:tc>
          <w:tcPr>
            <w:tcW w:type="dxa" w:w="3456"/>
          </w:tcPr>
          <w:p>
            <w:r>
              <w:rPr>
                <w:sz w:val="18"/>
              </w:rPr>
            </w:r>
            <w:r>
              <w:rPr>
                <w:rFonts w:ascii="Consolas" w:hAnsi="Consolas"/>
                <w:b w:val="0"/>
                <w:sz w:val="18"/>
              </w:rPr>
              <w:t>assert</w:t>
            </w:r>
            <w:r>
              <w:rPr>
                <w:b w:val="0"/>
                <w:sz w:val="18"/>
              </w:rPr>
              <w:t xml:space="preserve"> used for type narrowing - stripped under </w:t>
            </w:r>
            <w:r>
              <w:rPr>
                <w:rFonts w:ascii="Consolas" w:hAnsi="Consolas"/>
                <w:b w:val="0"/>
                <w:sz w:val="18"/>
              </w:rPr>
              <w:t>python -O</w:t>
            </w:r>
          </w:p>
        </w:tc>
        <w:tc>
          <w:tcPr>
            <w:tcW w:type="dxa" w:w="2592"/>
          </w:tcPr>
          <w:p>
            <w:r>
              <w:rPr>
                <w:sz w:val="18"/>
              </w:rPr>
            </w:r>
            <w:r>
              <w:rPr>
                <w:b w:val="0"/>
                <w:sz w:val="18"/>
              </w:rPr>
              <w:t>Explicit local-variable narrowing</w:t>
            </w:r>
          </w:p>
        </w:tc>
      </w:tr>
    </w:tbl>
    <w:p>
      <w:pPr>
        <w:spacing w:after="120"/>
      </w:pPr>
    </w:p>
    <w:p>
      <w:r>
        <w:br w:type="page"/>
      </w:r>
    </w:p>
    <w:p>
      <w:pPr>
        <w:pStyle w:val="Heading2"/>
        <w:spacing w:before="280" w:after="120"/>
      </w:pPr>
      <w:r>
        <w:rPr>
          <w:color w:val="1B4965"/>
        </w:rPr>
        <w:t>Step 2  -  Synthetic data with hidden ground truth</w:t>
      </w:r>
    </w:p>
    <w:p>
      <w:pPr>
        <w:spacing w:after="120"/>
      </w:pPr>
      <w:r>
        <w:rPr>
          <w:b w:val="0"/>
          <w:sz w:val="21"/>
        </w:rPr>
        <w:t>The dataset is generated from a structural causal model rather than sampled from a distribution. That distinction is what makes every later step testable: because the true elasticities, promotion lifts and latent demand are known, a model can be checked against the answer rather than against its own fit.</w:t>
      </w:r>
    </w:p>
    <w:p>
      <w:pPr>
        <w:jc w:val="center"/>
      </w:pPr>
      <w:r>
        <w:drawing>
          <wp:inline xmlns:a="http://schemas.openxmlformats.org/drawingml/2006/main" xmlns:pic="http://schemas.openxmlformats.org/drawingml/2006/picture">
            <wp:extent cx="5760720" cy="3349908"/>
            <wp:docPr id="3" name="Picture 3"/>
            <wp:cNvGraphicFramePr>
              <a:graphicFrameLocks noChangeAspect="1"/>
            </wp:cNvGraphicFramePr>
            <a:graphic>
              <a:graphicData uri="http://schemas.openxmlformats.org/drawingml/2006/picture">
                <pic:pic>
                  <pic:nvPicPr>
                    <pic:cNvPr id="0" name="03_data_generation.png"/>
                    <pic:cNvPicPr/>
                  </pic:nvPicPr>
                  <pic:blipFill>
                    <a:blip r:embed="rId11"/>
                    <a:stretch>
                      <a:fillRect/>
                    </a:stretch>
                  </pic:blipFill>
                  <pic:spPr>
                    <a:xfrm>
                      <a:off x="0" y="0"/>
                      <a:ext cx="5760720" cy="3349908"/>
                    </a:xfrm>
                    <a:prstGeom prst="rect"/>
                  </pic:spPr>
                </pic:pic>
              </a:graphicData>
            </a:graphic>
          </wp:inline>
        </w:drawing>
      </w:r>
    </w:p>
    <w:p>
      <w:pPr>
        <w:spacing w:after="240"/>
        <w:jc w:val="center"/>
      </w:pPr>
      <w:r>
        <w:rPr>
          <w:i/>
          <w:color w:val="5A6472"/>
          <w:sz w:val="18"/>
        </w:rPr>
        <w:t>Figure 3  -  Demand is simulated, then censored by inventory. Both are retained.</w:t>
      </w:r>
    </w:p>
    <w:p>
      <w:pPr>
        <w:pStyle w:val="Heading3"/>
        <w:spacing w:before="200" w:after="120"/>
      </w:pPr>
      <w:r>
        <w:rPr>
          <w:color w:val="1B4965"/>
        </w:rPr>
        <w:t>Scale and shape</w:t>
      </w:r>
    </w:p>
    <w:tbl>
      <w:tblPr>
        <w:tblStyle w:val="LightGrid-Accent1"/>
        <w:tblW w:type="auto" w:w="0"/>
        <w:jc w:val="center"/>
        <w:tblLook w:firstColumn="1" w:firstRow="1" w:lastColumn="0" w:lastRow="0" w:noHBand="0" w:noVBand="1" w:val="04A0"/>
      </w:tblPr>
      <w:tblGrid>
        <w:gridCol w:w="4824"/>
        <w:gridCol w:w="4824"/>
      </w:tblGrid>
      <w:tr>
        <w:tc>
          <w:tcPr>
            <w:tcW w:type="dxa" w:w="3456"/>
          </w:tcPr>
          <w:p>
            <w:r/>
            <w:r>
              <w:rPr>
                <w:b/>
                <w:sz w:val="18"/>
              </w:rPr>
              <w:t>Property</w:t>
            </w:r>
          </w:p>
        </w:tc>
        <w:tc>
          <w:tcPr>
            <w:tcW w:type="dxa" w:w="5184"/>
          </w:tcPr>
          <w:p>
            <w:r/>
            <w:r>
              <w:rPr>
                <w:b/>
                <w:sz w:val="18"/>
              </w:rPr>
              <w:t>Value</w:t>
            </w:r>
          </w:p>
        </w:tc>
      </w:tr>
      <w:tr>
        <w:tc>
          <w:tcPr>
            <w:tcW w:type="dxa" w:w="3456"/>
          </w:tcPr>
          <w:p>
            <w:r>
              <w:rPr>
                <w:sz w:val="18"/>
              </w:rPr>
            </w:r>
            <w:r>
              <w:rPr>
                <w:b w:val="0"/>
                <w:sz w:val="18"/>
              </w:rPr>
              <w:t>Period</w:t>
            </w:r>
          </w:p>
        </w:tc>
        <w:tc>
          <w:tcPr>
            <w:tcW w:type="dxa" w:w="5184"/>
          </w:tcPr>
          <w:p>
            <w:r>
              <w:rPr>
                <w:sz w:val="18"/>
              </w:rPr>
            </w:r>
            <w:r>
              <w:rPr>
                <w:b w:val="0"/>
                <w:sz w:val="18"/>
              </w:rPr>
              <w:t>2023-01-01 to 2025-12-31 (1,096 days)</w:t>
            </w:r>
          </w:p>
        </w:tc>
      </w:tr>
      <w:tr>
        <w:tc>
          <w:tcPr>
            <w:tcW w:type="dxa" w:w="3456"/>
          </w:tcPr>
          <w:p>
            <w:r>
              <w:rPr>
                <w:sz w:val="18"/>
              </w:rPr>
            </w:r>
            <w:r>
              <w:rPr>
                <w:b w:val="0"/>
                <w:sz w:val="18"/>
              </w:rPr>
              <w:t>Products / stores</w:t>
            </w:r>
          </w:p>
        </w:tc>
        <w:tc>
          <w:tcPr>
            <w:tcW w:type="dxa" w:w="5184"/>
          </w:tcPr>
          <w:p>
            <w:r>
              <w:rPr>
                <w:sz w:val="18"/>
              </w:rPr>
            </w:r>
            <w:r>
              <w:rPr>
                <w:b w:val="0"/>
                <w:sz w:val="18"/>
              </w:rPr>
              <w:t>300 / 200</w:t>
            </w:r>
          </w:p>
        </w:tc>
      </w:tr>
      <w:tr>
        <w:tc>
          <w:tcPr>
            <w:tcW w:type="dxa" w:w="3456"/>
          </w:tcPr>
          <w:p>
            <w:r>
              <w:rPr>
                <w:sz w:val="18"/>
              </w:rPr>
            </w:r>
            <w:r>
              <w:rPr>
                <w:b/>
                <w:sz w:val="18"/>
              </w:rPr>
              <w:t>Real product-store series</w:t>
            </w:r>
          </w:p>
        </w:tc>
        <w:tc>
          <w:tcPr>
            <w:tcW w:type="dxa" w:w="5184"/>
          </w:tcPr>
          <w:p>
            <w:r>
              <w:rPr>
                <w:sz w:val="18"/>
              </w:rPr>
            </w:r>
            <w:r>
              <w:rPr>
                <w:b/>
                <w:sz w:val="18"/>
              </w:rPr>
              <w:t>6,128</w:t>
            </w:r>
            <w:r>
              <w:rPr>
                <w:b w:val="0"/>
                <w:sz w:val="18"/>
              </w:rPr>
              <w:t xml:space="preserve"> - each product is listed in ~10% of stores</w:t>
            </w:r>
          </w:p>
        </w:tc>
      </w:tr>
      <w:tr>
        <w:tc>
          <w:tcPr>
            <w:tcW w:type="dxa" w:w="3456"/>
          </w:tcPr>
          <w:p>
            <w:r>
              <w:rPr>
                <w:sz w:val="18"/>
              </w:rPr>
            </w:r>
            <w:r>
              <w:rPr>
                <w:b w:val="0"/>
                <w:sz w:val="18"/>
              </w:rPr>
              <w:t>Daily sales rows</w:t>
            </w:r>
          </w:p>
        </w:tc>
        <w:tc>
          <w:tcPr>
            <w:tcW w:type="dxa" w:w="5184"/>
          </w:tcPr>
          <w:p>
            <w:r>
              <w:rPr>
                <w:sz w:val="18"/>
              </w:rPr>
            </w:r>
            <w:r>
              <w:rPr>
                <w:b w:val="0"/>
                <w:sz w:val="18"/>
              </w:rPr>
              <w:t>6,716,288</w:t>
            </w:r>
          </w:p>
        </w:tc>
      </w:tr>
      <w:tr>
        <w:tc>
          <w:tcPr>
            <w:tcW w:type="dxa" w:w="3456"/>
          </w:tcPr>
          <w:p>
            <w:r>
              <w:rPr>
                <w:sz w:val="18"/>
              </w:rPr>
            </w:r>
            <w:r>
              <w:rPr>
                <w:b w:val="0"/>
                <w:sz w:val="18"/>
              </w:rPr>
              <w:t>Total rows across all tables</w:t>
            </w:r>
          </w:p>
        </w:tc>
        <w:tc>
          <w:tcPr>
            <w:tcW w:type="dxa" w:w="5184"/>
          </w:tcPr>
          <w:p>
            <w:r>
              <w:rPr>
                <w:sz w:val="18"/>
              </w:rPr>
            </w:r>
            <w:r>
              <w:rPr>
                <w:b w:val="0"/>
                <w:sz w:val="18"/>
              </w:rPr>
              <w:t>23.6 million</w:t>
            </w:r>
          </w:p>
        </w:tc>
      </w:tr>
      <w:tr>
        <w:tc>
          <w:tcPr>
            <w:tcW w:type="dxa" w:w="3456"/>
          </w:tcPr>
          <w:p>
            <w:r>
              <w:rPr>
                <w:sz w:val="18"/>
              </w:rPr>
            </w:r>
            <w:r>
              <w:rPr>
                <w:b w:val="0"/>
                <w:sz w:val="18"/>
              </w:rPr>
              <w:t>Gold tables</w:t>
            </w:r>
          </w:p>
        </w:tc>
        <w:tc>
          <w:tcPr>
            <w:tcW w:type="dxa" w:w="5184"/>
          </w:tcPr>
          <w:p>
            <w:r>
              <w:rPr>
                <w:sz w:val="18"/>
              </w:rPr>
            </w:r>
            <w:r>
              <w:rPr>
                <w:b w:val="0"/>
                <w:sz w:val="18"/>
              </w:rPr>
              <w:t>11</w:t>
            </w:r>
          </w:p>
        </w:tc>
      </w:tr>
    </w:tbl>
    <w:p>
      <w:pPr>
        <w:spacing w:after="120"/>
      </w:pPr>
    </w:p>
    <w:p>
      <w:pPr>
        <w:pStyle w:val="Heading3"/>
        <w:spacing w:before="200" w:after="120"/>
      </w:pPr>
      <w:r>
        <w:rPr>
          <w:color w:val="1B4965"/>
        </w:rPr>
        <w:t>The six deliberate confounders</w:t>
      </w:r>
    </w:p>
    <w:p>
      <w:pPr>
        <w:spacing w:after="120"/>
      </w:pPr>
      <w:r>
        <w:rPr>
          <w:b w:val="0"/>
          <w:sz w:val="21"/>
        </w:rPr>
        <w:t>A dataset where price moves at random would make elasticity trivial to recover and the platform's causal machinery pointless. These confounders are what give Steps 6-8 something real to solve.</w:t>
      </w:r>
    </w:p>
    <w:tbl>
      <w:tblPr>
        <w:tblStyle w:val="LightGrid-Accent1"/>
        <w:tblW w:type="auto" w:w="0"/>
        <w:jc w:val="center"/>
        <w:tblLook w:firstColumn="1" w:firstRow="1" w:lastColumn="0" w:lastRow="0" w:noHBand="0" w:noVBand="1" w:val="04A0"/>
      </w:tblPr>
      <w:tblGrid>
        <w:gridCol w:w="4824"/>
        <w:gridCol w:w="4824"/>
      </w:tblGrid>
      <w:tr>
        <w:tc>
          <w:tcPr>
            <w:tcW w:type="dxa" w:w="3744"/>
          </w:tcPr>
          <w:p>
            <w:r/>
            <w:r>
              <w:rPr>
                <w:b/>
                <w:sz w:val="18"/>
              </w:rPr>
              <w:t>Confounder</w:t>
            </w:r>
          </w:p>
        </w:tc>
        <w:tc>
          <w:tcPr>
            <w:tcW w:type="dxa" w:w="4896"/>
          </w:tcPr>
          <w:p>
            <w:r/>
            <w:r>
              <w:rPr>
                <w:b/>
                <w:sz w:val="18"/>
              </w:rPr>
              <w:t>What it creates</w:t>
            </w:r>
          </w:p>
        </w:tc>
      </w:tr>
      <w:tr>
        <w:tc>
          <w:tcPr>
            <w:tcW w:type="dxa" w:w="3744"/>
          </w:tcPr>
          <w:p>
            <w:r>
              <w:rPr>
                <w:sz w:val="18"/>
              </w:rPr>
            </w:r>
            <w:r>
              <w:rPr>
                <w:b w:val="0"/>
                <w:sz w:val="18"/>
              </w:rPr>
              <w:t>Price endogeneity (0.45)</w:t>
            </w:r>
          </w:p>
        </w:tc>
        <w:tc>
          <w:tcPr>
            <w:tcW w:type="dxa" w:w="4896"/>
          </w:tcPr>
          <w:p>
            <w:r>
              <w:rPr>
                <w:sz w:val="18"/>
              </w:rPr>
            </w:r>
            <w:r>
              <w:rPr>
                <w:b w:val="0"/>
                <w:sz w:val="18"/>
              </w:rPr>
              <w:t>Price responds to demand, biasing naive elasticity</w:t>
            </w:r>
          </w:p>
        </w:tc>
      </w:tr>
      <w:tr>
        <w:tc>
          <w:tcPr>
            <w:tcW w:type="dxa" w:w="3744"/>
          </w:tcPr>
          <w:p>
            <w:r>
              <w:rPr>
                <w:sz w:val="18"/>
              </w:rPr>
            </w:r>
            <w:r>
              <w:rPr>
                <w:b w:val="0"/>
                <w:sz w:val="18"/>
              </w:rPr>
              <w:t>Commodity-cost instrument (0.55 pass-through)</w:t>
            </w:r>
          </w:p>
        </w:tc>
        <w:tc>
          <w:tcPr>
            <w:tcW w:type="dxa" w:w="4896"/>
          </w:tcPr>
          <w:p>
            <w:r>
              <w:rPr>
                <w:sz w:val="18"/>
              </w:rPr>
            </w:r>
            <w:r>
              <w:rPr>
                <w:b w:val="0"/>
                <w:sz w:val="18"/>
              </w:rPr>
              <w:t xml:space="preserve">A </w:t>
            </w:r>
            <w:r>
              <w:rPr>
                <w:b/>
                <w:sz w:val="18"/>
              </w:rPr>
              <w:t>valid IV</w:t>
            </w:r>
            <w:r>
              <w:rPr>
                <w:b w:val="0"/>
                <w:sz w:val="18"/>
              </w:rPr>
              <w:t xml:space="preserve"> - moves price, not demand</w:t>
            </w:r>
          </w:p>
        </w:tc>
      </w:tr>
      <w:tr>
        <w:tc>
          <w:tcPr>
            <w:tcW w:type="dxa" w:w="3744"/>
          </w:tcPr>
          <w:p>
            <w:r>
              <w:rPr>
                <w:sz w:val="18"/>
              </w:rPr>
            </w:r>
            <w:r>
              <w:rPr>
                <w:b w:val="0"/>
                <w:sz w:val="18"/>
              </w:rPr>
              <w:t>Randomised price tests (18% of periods)</w:t>
            </w:r>
          </w:p>
        </w:tc>
        <w:tc>
          <w:tcPr>
            <w:tcW w:type="dxa" w:w="4896"/>
          </w:tcPr>
          <w:p>
            <w:r>
              <w:rPr>
                <w:sz w:val="18"/>
              </w:rPr>
            </w:r>
            <w:r>
              <w:rPr>
                <w:b w:val="0"/>
                <w:sz w:val="18"/>
              </w:rPr>
              <w:t>A clean experimental subset to validate against</w:t>
            </w:r>
          </w:p>
        </w:tc>
      </w:tr>
      <w:tr>
        <w:tc>
          <w:tcPr>
            <w:tcW w:type="dxa" w:w="3744"/>
          </w:tcPr>
          <w:p>
            <w:r>
              <w:rPr>
                <w:sz w:val="18"/>
              </w:rPr>
            </w:r>
            <w:r>
              <w:rPr>
                <w:b w:val="0"/>
                <w:sz w:val="18"/>
              </w:rPr>
              <w:t>Promotion targeting (0.40)</w:t>
            </w:r>
          </w:p>
        </w:tc>
        <w:tc>
          <w:tcPr>
            <w:tcW w:type="dxa" w:w="4896"/>
          </w:tcPr>
          <w:p>
            <w:r>
              <w:rPr>
                <w:sz w:val="18"/>
              </w:rPr>
            </w:r>
            <w:r>
              <w:rPr>
                <w:b w:val="0"/>
                <w:sz w:val="18"/>
              </w:rPr>
              <w:t>Promotions scheduled toward seasonal peaks - selection bias</w:t>
            </w:r>
          </w:p>
        </w:tc>
      </w:tr>
      <w:tr>
        <w:tc>
          <w:tcPr>
            <w:tcW w:type="dxa" w:w="3744"/>
          </w:tcPr>
          <w:p>
            <w:r>
              <w:rPr>
                <w:sz w:val="18"/>
              </w:rPr>
            </w:r>
            <w:r>
              <w:rPr>
                <w:b w:val="0"/>
                <w:sz w:val="18"/>
              </w:rPr>
              <w:t>Competitor-cost correlation (0.40)</w:t>
            </w:r>
          </w:p>
        </w:tc>
        <w:tc>
          <w:tcPr>
            <w:tcW w:type="dxa" w:w="4896"/>
          </w:tcPr>
          <w:p>
            <w:r>
              <w:rPr>
                <w:sz w:val="18"/>
              </w:rPr>
            </w:r>
            <w:r>
              <w:rPr>
                <w:b w:val="0"/>
                <w:sz w:val="18"/>
              </w:rPr>
              <w:t>Competitor prices move with shared costs</w:t>
            </w:r>
          </w:p>
        </w:tc>
      </w:tr>
      <w:tr>
        <w:tc>
          <w:tcPr>
            <w:tcW w:type="dxa" w:w="3744"/>
          </w:tcPr>
          <w:p>
            <w:r>
              <w:rPr>
                <w:sz w:val="18"/>
              </w:rPr>
            </w:r>
            <w:r>
              <w:rPr>
                <w:b w:val="0"/>
                <w:sz w:val="18"/>
              </w:rPr>
              <w:t>Endogenous stockouts</w:t>
            </w:r>
          </w:p>
        </w:tc>
        <w:tc>
          <w:tcPr>
            <w:tcW w:type="dxa" w:w="4896"/>
          </w:tcPr>
          <w:p>
            <w:r>
              <w:rPr>
                <w:sz w:val="18"/>
              </w:rPr>
            </w:r>
            <w:r>
              <w:rPr>
                <w:b w:val="0"/>
                <w:sz w:val="18"/>
              </w:rPr>
              <w:t xml:space="preserve">Stockouts happen </w:t>
            </w:r>
            <w:r>
              <w:rPr>
                <w:b/>
                <w:sz w:val="18"/>
              </w:rPr>
              <w:t>because</w:t>
            </w:r>
            <w:r>
              <w:rPr>
                <w:b w:val="0"/>
                <w:sz w:val="18"/>
              </w:rPr>
              <w:t xml:space="preserve"> demand spiked</w:t>
            </w:r>
          </w:p>
        </w:tc>
      </w:tr>
    </w:tbl>
    <w:p>
      <w:pPr>
        <w:spacing w:after="120"/>
      </w:pPr>
    </w:p>
    <w:p>
      <w:pPr>
        <w:spacing w:before="120" w:after="160"/>
        <w:ind w:left="360"/>
        <w:shd w:fill="F7F9FC"/>
      </w:pPr>
      <w:r>
        <w:rPr>
          <w:b/>
          <w:color w:val="B3403A"/>
          <w:sz w:val="19"/>
        </w:rPr>
        <w:t xml:space="preserve">The finding that matters most.  </w:t>
      </w:r>
      <w:r>
        <w:rPr>
          <w:b w:val="0"/>
          <w:sz w:val="20"/>
        </w:rPr>
        <w:t>Latent demand during a stockout runs 1.57x normal. Stockouts are caused by demand, not merely correlated with it. This single fact invalidated the original stockout diagnostic in Step 4 - see Part III.</w:t>
      </w:r>
    </w:p>
    <w:p>
      <w:pPr>
        <w:pStyle w:val="Heading3"/>
        <w:spacing w:before="200" w:after="120"/>
      </w:pPr>
      <w:r>
        <w:rPr>
          <w:color w:val="1B4965"/>
        </w:rPr>
        <w:t>Hidden ground truth</w:t>
      </w:r>
    </w:p>
    <w:p>
      <w:pPr>
        <w:spacing w:after="120"/>
      </w:pPr>
      <w:r>
        <w:rPr>
          <w:rFonts w:ascii="Consolas" w:hAnsi="Consolas"/>
          <w:b w:val="0"/>
          <w:sz w:val="19"/>
        </w:rPr>
        <w:t>data/local/ground_truth/</w:t>
      </w:r>
      <w:r>
        <w:rPr>
          <w:b w:val="0"/>
          <w:sz w:val="21"/>
        </w:rPr>
        <w:t xml:space="preserve"> holds the true parameters and the uncensored demand. It is </w:t>
      </w:r>
      <w:r>
        <w:rPr>
          <w:b/>
          <w:sz w:val="21"/>
        </w:rPr>
        <w:t>structurally unreachable</w:t>
      </w:r>
      <w:r>
        <w:rPr>
          <w:b w:val="0"/>
          <w:sz w:val="21"/>
        </w:rPr>
        <w:t xml:space="preserve"> through any repository method: the local repository registers only the gold directory, so no </w:t>
      </w:r>
      <w:r>
        <w:rPr>
          <w:rFonts w:ascii="Consolas" w:hAnsi="Consolas"/>
          <w:b w:val="0"/>
          <w:sz w:val="19"/>
        </w:rPr>
        <w:t>get_*</w:t>
      </w:r>
      <w:r>
        <w:rPr>
          <w:b w:val="0"/>
          <w:sz w:val="21"/>
        </w:rPr>
        <w:t xml:space="preserve"> call and no SQL query can reach it. The single sanctioned reader is the evaluation path, which reads from disk directly.</w:t>
      </w:r>
    </w:p>
    <w:p>
      <w:pPr>
        <w:pStyle w:val="Heading3"/>
        <w:spacing w:before="200" w:after="120"/>
      </w:pPr>
      <w:r>
        <w:rPr>
          <w:color w:val="1B4965"/>
        </w:rPr>
        <w:t>Defects found in Step 2</w:t>
      </w:r>
    </w:p>
    <w:tbl>
      <w:tblPr>
        <w:tblStyle w:val="LightGrid-Accent1"/>
        <w:tblW w:type="auto" w:w="0"/>
        <w:jc w:val="center"/>
        <w:tblLook w:firstColumn="1" w:firstRow="1" w:lastColumn="0" w:lastRow="0" w:noHBand="0" w:noVBand="1" w:val="04A0"/>
      </w:tblPr>
      <w:tblGrid>
        <w:gridCol w:w="3216"/>
        <w:gridCol w:w="3216"/>
        <w:gridCol w:w="3216"/>
      </w:tblGrid>
      <w:tr>
        <w:tc>
          <w:tcPr>
            <w:tcW w:type="dxa" w:w="2448"/>
          </w:tcPr>
          <w:p>
            <w:r/>
            <w:r>
              <w:rPr>
                <w:b/>
                <w:sz w:val="18"/>
              </w:rPr>
              <w:t>Symptom</w:t>
            </w:r>
          </w:p>
        </w:tc>
        <w:tc>
          <w:tcPr>
            <w:tcW w:type="dxa" w:w="3312"/>
          </w:tcPr>
          <w:p>
            <w:r/>
            <w:r>
              <w:rPr>
                <w:b/>
                <w:sz w:val="18"/>
              </w:rPr>
              <w:t>Cause</w:t>
            </w:r>
          </w:p>
        </w:tc>
        <w:tc>
          <w:tcPr>
            <w:tcW w:type="dxa" w:w="3024"/>
          </w:tcPr>
          <w:p>
            <w:r/>
            <w:r>
              <w:rPr>
                <w:b/>
                <w:sz w:val="18"/>
              </w:rPr>
              <w:t>Why it mattered</w:t>
            </w:r>
          </w:p>
        </w:tc>
      </w:tr>
      <w:tr>
        <w:tc>
          <w:tcPr>
            <w:tcW w:type="dxa" w:w="2448"/>
          </w:tcPr>
          <w:p>
            <w:r>
              <w:rPr>
                <w:sz w:val="18"/>
              </w:rPr>
            </w:r>
            <w:r>
              <w:rPr>
                <w:b w:val="0"/>
                <w:sz w:val="18"/>
              </w:rPr>
              <w:t>Stockouts were impossible - 170 days of cover</w:t>
            </w:r>
          </w:p>
        </w:tc>
        <w:tc>
          <w:tcPr>
            <w:tcW w:type="dxa" w:w="3312"/>
          </w:tcPr>
          <w:p>
            <w:r>
              <w:rPr>
                <w:sz w:val="18"/>
              </w:rPr>
            </w:r>
            <w:r>
              <w:rPr>
                <w:b w:val="0"/>
                <w:sz w:val="18"/>
              </w:rPr>
              <w:t xml:space="preserve">Replenishment ordered against </w:t>
            </w:r>
            <w:r>
              <w:rPr>
                <w:b/>
                <w:sz w:val="18"/>
              </w:rPr>
              <w:t>on-hand stock, not inventory position</w:t>
            </w:r>
            <w:r>
              <w:rPr>
                <w:b w:val="0"/>
                <w:sz w:val="18"/>
              </w:rPr>
              <w:t>, stacking duplicate orders during lead time</w:t>
            </w:r>
          </w:p>
        </w:tc>
        <w:tc>
          <w:tcPr>
            <w:tcW w:type="dxa" w:w="3024"/>
          </w:tcPr>
          <w:p>
            <w:r>
              <w:rPr>
                <w:sz w:val="18"/>
              </w:rPr>
            </w:r>
            <w:r>
              <w:rPr>
                <w:b w:val="0"/>
                <w:sz w:val="18"/>
              </w:rPr>
              <w:t>The censoring mechanism that Steps 4-5 are validated against did not exist</w:t>
            </w:r>
          </w:p>
        </w:tc>
      </w:tr>
      <w:tr>
        <w:tc>
          <w:tcPr>
            <w:tcW w:type="dxa" w:w="2448"/>
          </w:tcPr>
          <w:p>
            <w:r>
              <w:rPr>
                <w:sz w:val="18"/>
              </w:rPr>
            </w:r>
            <w:r>
              <w:rPr>
                <w:b w:val="0"/>
                <w:sz w:val="18"/>
              </w:rPr>
              <w:t>Data changed between identical runs</w:t>
            </w:r>
          </w:p>
        </w:tc>
        <w:tc>
          <w:tcPr>
            <w:tcW w:type="dxa" w:w="3312"/>
          </w:tcPr>
          <w:p>
            <w:r>
              <w:rPr>
                <w:sz w:val="18"/>
              </w:rPr>
            </w:r>
            <w:r>
              <w:rPr>
                <w:b w:val="0"/>
                <w:sz w:val="18"/>
              </w:rPr>
              <w:t xml:space="preserve">Chunk RNG used </w:t>
            </w:r>
            <w:r>
              <w:rPr>
                <w:rFonts w:ascii="Consolas" w:hAnsi="Consolas"/>
                <w:b w:val="0"/>
                <w:sz w:val="18"/>
              </w:rPr>
              <w:t>SeedSequence.spawn()</w:t>
            </w:r>
            <w:r>
              <w:rPr>
                <w:b w:val="0"/>
                <w:sz w:val="18"/>
              </w:rPr>
              <w:t>, which mutates the parent's child counter</w:t>
            </w:r>
          </w:p>
        </w:tc>
        <w:tc>
          <w:tcPr>
            <w:tcW w:type="dxa" w:w="3024"/>
          </w:tcPr>
          <w:p>
            <w:r>
              <w:rPr>
                <w:sz w:val="18"/>
              </w:rPr>
            </w:r>
            <w:r>
              <w:rPr>
                <w:b w:val="0"/>
                <w:sz w:val="18"/>
              </w:rPr>
              <w:t>Reproducibility - the headline claim of the step - was false</w:t>
            </w:r>
          </w:p>
        </w:tc>
      </w:tr>
      <w:tr>
        <w:tc>
          <w:tcPr>
            <w:tcW w:type="dxa" w:w="2448"/>
          </w:tcPr>
          <w:p>
            <w:r>
              <w:rPr>
                <w:sz w:val="18"/>
              </w:rPr>
            </w:r>
            <w:r>
              <w:rPr>
                <w:b w:val="0"/>
                <w:sz w:val="18"/>
              </w:rPr>
              <w:t>Elasticity unidentifiable at dev scale</w:t>
            </w:r>
          </w:p>
        </w:tc>
        <w:tc>
          <w:tcPr>
            <w:tcW w:type="dxa" w:w="3312"/>
          </w:tcPr>
          <w:p>
            <w:r>
              <w:rPr>
                <w:sz w:val="18"/>
              </w:rPr>
            </w:r>
            <w:r>
              <w:rPr>
                <w:b w:val="0"/>
                <w:sz w:val="18"/>
              </w:rPr>
              <w:t xml:space="preserve">Validation sampled the </w:t>
            </w:r>
            <w:r>
              <w:rPr>
                <w:b/>
                <w:sz w:val="18"/>
              </w:rPr>
              <w:t>first</w:t>
            </w:r>
            <w:r>
              <w:rPr>
                <w:b w:val="0"/>
                <w:sz w:val="18"/>
              </w:rPr>
              <w:t xml:space="preserve"> partitions, giving a 3-month window</w:t>
            </w:r>
          </w:p>
        </w:tc>
        <w:tc>
          <w:tcPr>
            <w:tcW w:type="dxa" w:w="3024"/>
          </w:tcPr>
          <w:p>
            <w:r>
              <w:rPr>
                <w:sz w:val="18"/>
              </w:rPr>
            </w:r>
            <w:r>
              <w:rPr>
                <w:b w:val="0"/>
                <w:sz w:val="18"/>
              </w:rPr>
              <w:t>A correct simulator looked broken</w:t>
            </w:r>
          </w:p>
        </w:tc>
      </w:tr>
      <w:tr>
        <w:tc>
          <w:tcPr>
            <w:tcW w:type="dxa" w:w="2448"/>
          </w:tcPr>
          <w:p>
            <w:r>
              <w:rPr>
                <w:sz w:val="18"/>
              </w:rPr>
            </w:r>
            <w:r>
              <w:rPr>
                <w:b w:val="0"/>
                <w:sz w:val="18"/>
              </w:rPr>
              <w:t>Transaction table 19x too large</w:t>
            </w:r>
          </w:p>
        </w:tc>
        <w:tc>
          <w:tcPr>
            <w:tcW w:type="dxa" w:w="3312"/>
          </w:tcPr>
          <w:p>
            <w:r>
              <w:rPr>
                <w:sz w:val="18"/>
              </w:rPr>
            </w:r>
            <w:r>
              <w:rPr>
                <w:b w:val="0"/>
                <w:sz w:val="18"/>
              </w:rPr>
              <w:t>Sampling rate mis-set</w:t>
            </w:r>
          </w:p>
        </w:tc>
        <w:tc>
          <w:tcPr>
            <w:tcW w:type="dxa" w:w="3024"/>
          </w:tcPr>
          <w:p>
            <w:r>
              <w:rPr>
                <w:sz w:val="18"/>
              </w:rPr>
            </w:r>
            <w:r>
              <w:rPr>
                <w:b w:val="0"/>
                <w:sz w:val="18"/>
              </w:rPr>
              <w:t>Generation time and disk</w:t>
            </w:r>
          </w:p>
        </w:tc>
      </w:tr>
      <w:tr>
        <w:tc>
          <w:tcPr>
            <w:tcW w:type="dxa" w:w="2448"/>
          </w:tcPr>
          <w:p>
            <w:r>
              <w:rPr>
                <w:sz w:val="18"/>
              </w:rPr>
            </w:r>
            <w:r>
              <w:rPr>
                <w:rFonts w:ascii="Consolas" w:hAnsi="Consolas"/>
                <w:b w:val="0"/>
                <w:sz w:val="18"/>
              </w:rPr>
              <w:t>__init__.py</w:t>
            </w:r>
            <w:r>
              <w:rPr>
                <w:b w:val="0"/>
                <w:sz w:val="18"/>
              </w:rPr>
              <w:t xml:space="preserve"> files silently emptied</w:t>
            </w:r>
          </w:p>
        </w:tc>
        <w:tc>
          <w:tcPr>
            <w:tcW w:type="dxa" w:w="3312"/>
          </w:tcPr>
          <w:p>
            <w:r>
              <w:rPr>
                <w:sz w:val="18"/>
              </w:rPr>
            </w:r>
            <w:r>
              <w:rPr>
                <w:rFonts w:ascii="Consolas" w:hAnsi="Consolas"/>
                <w:b w:val="0"/>
                <w:sz w:val="18"/>
              </w:rPr>
              <w:t>New-Item -ItemType File -Force</w:t>
            </w:r>
            <w:r>
              <w:rPr>
                <w:b w:val="0"/>
                <w:sz w:val="18"/>
              </w:rPr>
              <w:t xml:space="preserve"> truncates existing files</w:t>
            </w:r>
          </w:p>
        </w:tc>
        <w:tc>
          <w:tcPr>
            <w:tcW w:type="dxa" w:w="3024"/>
          </w:tcPr>
          <w:p>
            <w:r>
              <w:rPr>
                <w:sz w:val="18"/>
              </w:rPr>
            </w:r>
            <w:r>
              <w:rPr>
                <w:b w:val="0"/>
                <w:sz w:val="18"/>
              </w:rPr>
              <w:t>Packages stopped importing</w:t>
            </w:r>
          </w:p>
        </w:tc>
      </w:tr>
    </w:tbl>
    <w:p>
      <w:pPr>
        <w:spacing w:after="120"/>
      </w:pPr>
    </w:p>
    <w:p>
      <w:r>
        <w:br w:type="page"/>
      </w:r>
    </w:p>
    <w:p>
      <w:pPr>
        <w:pStyle w:val="Heading2"/>
        <w:spacing w:before="280" w:after="120"/>
      </w:pPr>
      <w:r>
        <w:rPr>
          <w:color w:val="1B4965"/>
        </w:rPr>
        <w:t>Step 3  -  Data access, contracts and features</w:t>
      </w:r>
    </w:p>
    <w:p>
      <w:pPr>
        <w:spacing w:after="120"/>
      </w:pPr>
      <w:r>
        <w:rPr>
          <w:b w:val="0"/>
          <w:sz w:val="21"/>
        </w:rPr>
        <w:t>Step 3 is where leakage prevention became structural rather than procedural. The central insight is that the naive rule - clamp every table to the as-of date - is wrong, and being wrong in the safe direction still destroys information the platform needs.</w:t>
      </w:r>
    </w:p>
    <w:p>
      <w:pPr>
        <w:pStyle w:val="Heading3"/>
        <w:spacing w:before="200" w:after="120"/>
      </w:pPr>
      <w:r>
        <w:rPr>
          <w:color w:val="1B4965"/>
        </w:rPr>
        <w:t>Availability classes</w:t>
      </w:r>
    </w:p>
    <w:p>
      <w:pPr>
        <w:jc w:val="center"/>
      </w:pPr>
      <w:r>
        <w:drawing>
          <wp:inline xmlns:a="http://schemas.openxmlformats.org/drawingml/2006/main" xmlns:pic="http://schemas.openxmlformats.org/drawingml/2006/picture">
            <wp:extent cx="5760720" cy="2731334"/>
            <wp:docPr id="4" name="Picture 4"/>
            <wp:cNvGraphicFramePr>
              <a:graphicFrameLocks noChangeAspect="1"/>
            </wp:cNvGraphicFramePr>
            <a:graphic>
              <a:graphicData uri="http://schemas.openxmlformats.org/drawingml/2006/picture">
                <pic:pic>
                  <pic:nvPicPr>
                    <pic:cNvPr id="0" name="04_availability_classes.png"/>
                    <pic:cNvPicPr/>
                  </pic:nvPicPr>
                  <pic:blipFill>
                    <a:blip r:embed="rId12"/>
                    <a:stretch>
                      <a:fillRect/>
                    </a:stretch>
                  </pic:blipFill>
                  <pic:spPr>
                    <a:xfrm>
                      <a:off x="0" y="0"/>
                      <a:ext cx="5760720" cy="2731334"/>
                    </a:xfrm>
                    <a:prstGeom prst="rect"/>
                  </pic:spPr>
                </pic:pic>
              </a:graphicData>
            </a:graphic>
          </wp:inline>
        </w:drawing>
      </w:r>
    </w:p>
    <w:p>
      <w:pPr>
        <w:spacing w:after="240"/>
        <w:jc w:val="center"/>
      </w:pPr>
      <w:r>
        <w:rPr>
          <w:i/>
          <w:color w:val="5A6472"/>
          <w:sz w:val="18"/>
        </w:rPr>
        <w:t>Figure 4  -  What is knowable depends on the table, not on a global rule.</w:t>
      </w:r>
    </w:p>
    <w:p>
      <w:pPr>
        <w:spacing w:after="120"/>
      </w:pPr>
      <w:r>
        <w:rPr>
          <w:b w:val="0"/>
          <w:sz w:val="21"/>
        </w:rPr>
        <w:t>Sales for a future date do not exist. The promotion calendar for that same date does - it was planned weeks ago. Blanket clamping would delete exactly the information a forecast depends on, and Step 5 would have been impossible.</w:t>
      </w:r>
    </w:p>
    <w:p>
      <w:pPr>
        <w:pStyle w:val="Heading3"/>
        <w:spacing w:before="200" w:after="120"/>
      </w:pPr>
      <w:r>
        <w:rPr>
          <w:color w:val="1B4965"/>
        </w:rPr>
        <w:t>Point-in-time correctness as a type constraint</w:t>
      </w:r>
    </w:p>
    <w:p>
      <w:pPr>
        <w:spacing w:after="120"/>
      </w:pPr>
      <w:r>
        <w:rPr>
          <w:rFonts w:ascii="Consolas" w:hAnsi="Consolas"/>
          <w:b w:val="0"/>
          <w:sz w:val="19"/>
        </w:rPr>
        <w:t>FeatureEngineer</w:t>
      </w:r>
      <w:r>
        <w:rPr>
          <w:b w:val="0"/>
          <w:sz w:val="21"/>
        </w:rPr>
        <w:t xml:space="preserve"> requires a </w:t>
      </w:r>
      <w:r>
        <w:rPr>
          <w:rFonts w:ascii="Consolas" w:hAnsi="Consolas"/>
          <w:b w:val="0"/>
          <w:sz w:val="19"/>
        </w:rPr>
        <w:t>PointInTimeView</w:t>
      </w:r>
      <w:r>
        <w:rPr>
          <w:b w:val="0"/>
          <w:sz w:val="21"/>
        </w:rPr>
        <w:t xml:space="preserve"> and raises </w:t>
      </w:r>
      <w:r>
        <w:rPr>
          <w:rFonts w:ascii="Consolas" w:hAnsi="Consolas"/>
          <w:b w:val="0"/>
          <w:sz w:val="19"/>
        </w:rPr>
        <w:t>TypeError</w:t>
      </w:r>
      <w:r>
        <w:rPr>
          <w:b w:val="0"/>
          <w:sz w:val="21"/>
        </w:rPr>
        <w:t xml:space="preserve"> on a bare repository. Leakage through the feature layer is therefore not a discipline question - it is a construction that will not run.</w:t>
      </w:r>
    </w:p>
    <w:p>
      <w:pPr>
        <w:pStyle w:val="Heading3"/>
        <w:spacing w:before="200" w:after="120"/>
      </w:pPr>
      <w:r>
        <w:rPr>
          <w:color w:val="1B4965"/>
        </w:rPr>
        <w:t>The feature pipeline</w:t>
      </w:r>
    </w:p>
    <w:p>
      <w:pPr>
        <w:jc w:val="center"/>
      </w:pPr>
      <w:r>
        <w:drawing>
          <wp:inline xmlns:a="http://schemas.openxmlformats.org/drawingml/2006/main" xmlns:pic="http://schemas.openxmlformats.org/drawingml/2006/picture">
            <wp:extent cx="5760720" cy="2918204"/>
            <wp:docPr id="5" name="Picture 5"/>
            <wp:cNvGraphicFramePr>
              <a:graphicFrameLocks noChangeAspect="1"/>
            </wp:cNvGraphicFramePr>
            <a:graphic>
              <a:graphicData uri="http://schemas.openxmlformats.org/drawingml/2006/picture">
                <pic:pic>
                  <pic:nvPicPr>
                    <pic:cNvPr id="0" name="05_feature_pipeline.png"/>
                    <pic:cNvPicPr/>
                  </pic:nvPicPr>
                  <pic:blipFill>
                    <a:blip r:embed="rId13"/>
                    <a:stretch>
                      <a:fillRect/>
                    </a:stretch>
                  </pic:blipFill>
                  <pic:spPr>
                    <a:xfrm>
                      <a:off x="0" y="0"/>
                      <a:ext cx="5760720" cy="2918204"/>
                    </a:xfrm>
                    <a:prstGeom prst="rect"/>
                  </pic:spPr>
                </pic:pic>
              </a:graphicData>
            </a:graphic>
          </wp:inline>
        </w:drawing>
      </w:r>
    </w:p>
    <w:p>
      <w:pPr>
        <w:spacing w:after="240"/>
        <w:jc w:val="center"/>
      </w:pPr>
      <w:r>
        <w:rPr>
          <w:i/>
          <w:color w:val="5A6472"/>
          <w:sz w:val="18"/>
        </w:rPr>
        <w:t>Figure 5  -  The order is load-bearing, not incidental.</w:t>
      </w:r>
    </w:p>
    <w:p>
      <w:pPr>
        <w:pStyle w:val="ListBullet"/>
        <w:spacing w:after="60"/>
      </w:pPr>
      <w:r>
        <w:rPr>
          <w:b/>
          <w:sz w:val="20"/>
        </w:rPr>
        <w:t>Sorting precedes every shift.</w:t>
      </w:r>
      <w:r>
        <w:rPr>
          <w:b w:val="0"/>
          <w:sz w:val="20"/>
        </w:rPr>
        <w:t xml:space="preserve"> A lag computed on an unsorted panel is silently wrong.</w:t>
      </w:r>
    </w:p>
    <w:p>
      <w:pPr>
        <w:pStyle w:val="ListBullet"/>
        <w:spacing w:after="60"/>
      </w:pPr>
      <w:r>
        <w:rPr>
          <w:b/>
          <w:sz w:val="20"/>
        </w:rPr>
        <w:t>Target-derived columns are dropped last.</w:t>
      </w:r>
      <w:r>
        <w:rPr>
          <w:b w:val="0"/>
          <w:sz w:val="20"/>
        </w:rPr>
        <w:t xml:space="preserve"> </w:t>
      </w:r>
      <w:r>
        <w:rPr>
          <w:rFonts w:ascii="Consolas" w:hAnsi="Consolas"/>
          <w:b w:val="0"/>
          <w:sz w:val="18"/>
        </w:rPr>
        <w:t>revenue = units x price</w:t>
      </w:r>
      <w:r>
        <w:rPr>
          <w:b w:val="0"/>
          <w:sz w:val="20"/>
        </w:rPr>
        <w:t xml:space="preserve"> recovers the target exactly, and a model given revenue learns arithmetic rather than demand.</w:t>
      </w:r>
    </w:p>
    <w:p>
      <w:pPr>
        <w:pStyle w:val="ListBullet"/>
        <w:spacing w:after="60"/>
      </w:pPr>
      <w:r>
        <w:rPr>
          <w:b/>
          <w:sz w:val="20"/>
        </w:rPr>
        <w:t xml:space="preserve">Every temporal feature routes through </w:t>
      </w:r>
      <w:r>
        <w:rPr>
          <w:rFonts w:ascii="Consolas" w:hAnsi="Consolas"/>
          <w:b/>
          <w:sz w:val="18"/>
        </w:rPr>
        <w:t>shifted_group</w:t>
      </w:r>
      <w:r>
        <w:rPr>
          <w:b/>
          <w:sz w:val="20"/>
        </w:rPr>
        <w:t xml:space="preserve"> or </w:t>
      </w:r>
      <w:r>
        <w:rPr>
          <w:rFonts w:ascii="Consolas" w:hAnsi="Consolas"/>
          <w:b/>
          <w:sz w:val="18"/>
        </w:rPr>
        <w:t>rolling_on_shifted</w:t>
      </w:r>
      <w:r>
        <w:rPr>
          <w:b/>
          <w:sz w:val="20"/>
        </w:rPr>
        <w:t>.</w:t>
      </w:r>
      <w:r>
        <w:rPr>
          <w:b w:val="0"/>
          <w:sz w:val="20"/>
        </w:rPr>
        <w:t xml:space="preserve"> A window can never include its own row; </w:t>
      </w:r>
      <w:r>
        <w:rPr>
          <w:rFonts w:ascii="Consolas" w:hAnsi="Consolas"/>
          <w:b w:val="0"/>
          <w:sz w:val="18"/>
        </w:rPr>
        <w:t>periods &lt; 1</w:t>
      </w:r>
      <w:r>
        <w:rPr>
          <w:b w:val="0"/>
          <w:sz w:val="20"/>
        </w:rPr>
        <w:t xml:space="preserve"> is rejected outright.</w:t>
      </w:r>
    </w:p>
    <w:p>
      <w:pPr>
        <w:pStyle w:val="Heading3"/>
        <w:spacing w:before="200" w:after="120"/>
      </w:pPr>
      <w:r>
        <w:rPr>
          <w:color w:val="1B4965"/>
        </w:rPr>
        <w:t>Defects found in Step 3</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8"/>
              </w:rPr>
              <w:t>Symptom</w:t>
            </w:r>
          </w:p>
        </w:tc>
        <w:tc>
          <w:tcPr>
            <w:tcW w:type="dxa" w:w="3024"/>
          </w:tcPr>
          <w:p>
            <w:r/>
            <w:r>
              <w:rPr>
                <w:b/>
                <w:sz w:val="18"/>
              </w:rPr>
              <w:t>Cause</w:t>
            </w:r>
          </w:p>
        </w:tc>
        <w:tc>
          <w:tcPr>
            <w:tcW w:type="dxa" w:w="2880"/>
          </w:tcPr>
          <w:p>
            <w:r/>
            <w:r>
              <w:rPr>
                <w:b/>
                <w:sz w:val="18"/>
              </w:rPr>
              <w:t>Fix</w:t>
            </w:r>
          </w:p>
        </w:tc>
      </w:tr>
      <w:tr>
        <w:tc>
          <w:tcPr>
            <w:tcW w:type="dxa" w:w="2736"/>
          </w:tcPr>
          <w:p>
            <w:r>
              <w:rPr>
                <w:sz w:val="18"/>
              </w:rPr>
            </w:r>
            <w:r>
              <w:rPr>
                <w:b w:val="0"/>
                <w:sz w:val="18"/>
              </w:rPr>
              <w:t>A query returned exactly 100,000 of 6,716,288 rows, silently</w:t>
            </w:r>
          </w:p>
        </w:tc>
        <w:tc>
          <w:tcPr>
            <w:tcW w:type="dxa" w:w="3024"/>
          </w:tcPr>
          <w:p>
            <w:r>
              <w:rPr>
                <w:sz w:val="18"/>
              </w:rPr>
            </w:r>
            <w:r>
              <w:rPr>
                <w:b w:val="0"/>
                <w:sz w:val="18"/>
              </w:rPr>
              <w:t>Row cap applied with no signal to the caller</w:t>
            </w:r>
          </w:p>
        </w:tc>
        <w:tc>
          <w:tcPr>
            <w:tcW w:type="dxa" w:w="2880"/>
          </w:tcPr>
          <w:p>
            <w:r>
              <w:rPr>
                <w:sz w:val="18"/>
              </w:rPr>
            </w:r>
            <w:r>
              <w:rPr>
                <w:rFonts w:ascii="Consolas" w:hAnsi="Consolas"/>
                <w:b w:val="0"/>
                <w:sz w:val="18"/>
              </w:rPr>
              <w:t>ResultTruncatedError</w:t>
            </w:r>
            <w:r>
              <w:rPr>
                <w:b w:val="0"/>
                <w:sz w:val="18"/>
              </w:rPr>
              <w:t xml:space="preserve"> - a truncated analysis is worse than a failed one</w:t>
            </w:r>
          </w:p>
        </w:tc>
      </w:tr>
      <w:tr>
        <w:tc>
          <w:tcPr>
            <w:tcW w:type="dxa" w:w="2736"/>
          </w:tcPr>
          <w:p>
            <w:r>
              <w:rPr>
                <w:sz w:val="18"/>
              </w:rPr>
            </w:r>
            <w:r>
              <w:rPr>
                <w:b w:val="0"/>
                <w:sz w:val="18"/>
              </w:rPr>
              <w:t>Near-perfect model accuracy</w:t>
            </w:r>
          </w:p>
        </w:tc>
        <w:tc>
          <w:tcPr>
            <w:tcW w:type="dxa" w:w="3024"/>
          </w:tcPr>
          <w:p>
            <w:r>
              <w:rPr>
                <w:sz w:val="18"/>
              </w:rPr>
            </w:r>
            <w:r>
              <w:rPr>
                <w:rFonts w:ascii="Consolas" w:hAnsi="Consolas"/>
                <w:b w:val="0"/>
                <w:sz w:val="18"/>
              </w:rPr>
              <w:t>revenue</w:t>
            </w:r>
            <w:r>
              <w:rPr>
                <w:b w:val="0"/>
                <w:sz w:val="18"/>
              </w:rPr>
              <w:t xml:space="preserve">, </w:t>
            </w:r>
            <w:r>
              <w:rPr>
                <w:rFonts w:ascii="Consolas" w:hAnsi="Consolas"/>
                <w:b w:val="0"/>
                <w:sz w:val="18"/>
              </w:rPr>
              <w:t>cost</w:t>
            </w:r>
            <w:r>
              <w:rPr>
                <w:b w:val="0"/>
                <w:sz w:val="18"/>
              </w:rPr>
              <w:t xml:space="preserve">, </w:t>
            </w:r>
            <w:r>
              <w:rPr>
                <w:rFonts w:ascii="Consolas" w:hAnsi="Consolas"/>
                <w:b w:val="0"/>
                <w:sz w:val="18"/>
              </w:rPr>
              <w:t>gross_profit</w:t>
            </w:r>
            <w:r>
              <w:rPr>
                <w:b w:val="0"/>
                <w:sz w:val="18"/>
              </w:rPr>
              <w:t xml:space="preserve"> reached the feature matrix</w:t>
            </w:r>
          </w:p>
        </w:tc>
        <w:tc>
          <w:tcPr>
            <w:tcW w:type="dxa" w:w="2880"/>
          </w:tcPr>
          <w:p>
            <w:r>
              <w:rPr>
                <w:sz w:val="18"/>
              </w:rPr>
            </w:r>
            <w:r>
              <w:rPr>
                <w:rFonts w:ascii="Consolas" w:hAnsi="Consolas"/>
                <w:b w:val="0"/>
                <w:sz w:val="18"/>
              </w:rPr>
              <w:t>drop_target_derived()</w:t>
            </w:r>
            <w:r>
              <w:rPr>
                <w:b w:val="0"/>
                <w:sz w:val="18"/>
              </w:rPr>
              <w:t xml:space="preserve"> inside the engineer</w:t>
            </w:r>
          </w:p>
        </w:tc>
      </w:tr>
      <w:tr>
        <w:tc>
          <w:tcPr>
            <w:tcW w:type="dxa" w:w="2736"/>
          </w:tcPr>
          <w:p>
            <w:r>
              <w:rPr>
                <w:sz w:val="18"/>
              </w:rPr>
            </w:r>
            <w:r>
              <w:rPr>
                <w:b w:val="0"/>
                <w:sz w:val="18"/>
              </w:rPr>
              <w:t>Panels came back inexplicably sparse</w:t>
            </w:r>
          </w:p>
        </w:tc>
        <w:tc>
          <w:tcPr>
            <w:tcW w:type="dxa" w:w="3024"/>
          </w:tcPr>
          <w:p>
            <w:r>
              <w:rPr>
                <w:sz w:val="18"/>
              </w:rPr>
            </w:r>
            <w:r>
              <w:rPr>
                <w:b w:val="0"/>
                <w:sz w:val="18"/>
              </w:rPr>
              <w:t>Products and stores sampled independently, producing never-co-listed pairs</w:t>
            </w:r>
          </w:p>
        </w:tc>
        <w:tc>
          <w:tcPr>
            <w:tcW w:type="dxa" w:w="2880"/>
          </w:tcPr>
          <w:p>
            <w:r>
              <w:rPr>
                <w:sz w:val="18"/>
              </w:rPr>
            </w:r>
            <w:r>
              <w:rPr>
                <w:b w:val="0"/>
                <w:sz w:val="18"/>
              </w:rPr>
              <w:t>Co-listed sampling path</w:t>
            </w:r>
          </w:p>
        </w:tc>
      </w:tr>
      <w:tr>
        <w:tc>
          <w:tcPr>
            <w:tcW w:type="dxa" w:w="2736"/>
          </w:tcPr>
          <w:p>
            <w:r>
              <w:rPr>
                <w:sz w:val="18"/>
              </w:rPr>
            </w:r>
            <w:r>
              <w:rPr>
                <w:rFonts w:ascii="Consolas" w:hAnsi="Consolas"/>
                <w:b w:val="0"/>
                <w:sz w:val="18"/>
              </w:rPr>
              <w:t>channel</w:t>
            </w:r>
            <w:r>
              <w:rPr>
                <w:b w:val="0"/>
                <w:sz w:val="18"/>
              </w:rPr>
              <w:t xml:space="preserve"> parameter vanished from a method</w:t>
            </w:r>
          </w:p>
        </w:tc>
        <w:tc>
          <w:tcPr>
            <w:tcW w:type="dxa" w:w="3024"/>
          </w:tcPr>
          <w:p>
            <w:r>
              <w:rPr>
                <w:sz w:val="18"/>
              </w:rPr>
            </w:r>
            <w:r>
              <w:rPr>
                <w:b w:val="0"/>
                <w:sz w:val="18"/>
              </w:rPr>
              <w:t>Regex-based patching of Python source</w:t>
            </w:r>
          </w:p>
        </w:tc>
        <w:tc>
          <w:tcPr>
            <w:tcW w:type="dxa" w:w="2880"/>
          </w:tcPr>
          <w:p>
            <w:r>
              <w:rPr>
                <w:sz w:val="18"/>
              </w:rPr>
            </w:r>
            <w:r>
              <w:rPr>
                <w:b w:val="0"/>
                <w:sz w:val="18"/>
              </w:rPr>
              <w:t>Use the editor, never regex, on code</w:t>
            </w:r>
          </w:p>
        </w:tc>
      </w:tr>
    </w:tbl>
    <w:p>
      <w:pPr>
        <w:spacing w:after="120"/>
      </w:pPr>
    </w:p>
    <w:p>
      <w:r>
        <w:br w:type="page"/>
      </w:r>
    </w:p>
    <w:p>
      <w:pPr>
        <w:pStyle w:val="Heading1"/>
        <w:spacing w:before="280" w:after="120"/>
      </w:pPr>
      <w:r>
        <w:rPr>
          <w:color w:val="1B4965"/>
        </w:rPr>
        <w:t>Part III  -  The models</w:t>
      </w:r>
    </w:p>
    <w:p>
      <w:pPr>
        <w:pStyle w:val="Heading2"/>
        <w:spacing w:before="280" w:after="120"/>
      </w:pPr>
      <w:r>
        <w:rPr>
          <w:color w:val="1B4965"/>
        </w:rPr>
        <w:t>The distinction that carries both steps</w:t>
      </w:r>
    </w:p>
    <w:p>
      <w:pPr>
        <w:jc w:val="center"/>
      </w:pPr>
      <w:r>
        <w:drawing>
          <wp:inline xmlns:a="http://schemas.openxmlformats.org/drawingml/2006/main" xmlns:pic="http://schemas.openxmlformats.org/drawingml/2006/picture">
            <wp:extent cx="5760720" cy="3047155"/>
            <wp:docPr id="6" name="Picture 6"/>
            <wp:cNvGraphicFramePr>
              <a:graphicFrameLocks noChangeAspect="1"/>
            </wp:cNvGraphicFramePr>
            <a:graphic>
              <a:graphicData uri="http://schemas.openxmlformats.org/drawingml/2006/picture">
                <pic:pic>
                  <pic:nvPicPr>
                    <pic:cNvPr id="0" name="06_baseline_vs_forecast.png"/>
                    <pic:cNvPicPr/>
                  </pic:nvPicPr>
                  <pic:blipFill>
                    <a:blip r:embed="rId14"/>
                    <a:stretch>
                      <a:fillRect/>
                    </a:stretch>
                  </pic:blipFill>
                  <pic:spPr>
                    <a:xfrm>
                      <a:off x="0" y="0"/>
                      <a:ext cx="5760720" cy="3047155"/>
                    </a:xfrm>
                    <a:prstGeom prst="rect"/>
                  </pic:spPr>
                </pic:pic>
              </a:graphicData>
            </a:graphic>
          </wp:inline>
        </w:drawing>
      </w:r>
    </w:p>
    <w:p>
      <w:pPr>
        <w:spacing w:after="240"/>
        <w:jc w:val="center"/>
      </w:pPr>
      <w:r>
        <w:rPr>
          <w:i/>
          <w:color w:val="5A6472"/>
          <w:sz w:val="18"/>
        </w:rPr>
        <w:t>Figure 6  -  Same machinery, opposite counterfactual.</w:t>
      </w:r>
    </w:p>
    <w:p>
      <w:pPr>
        <w:spacing w:after="120"/>
      </w:pPr>
      <w:r>
        <w:rPr>
          <w:b w:val="0"/>
          <w:sz w:val="21"/>
        </w:rPr>
        <w:t xml:space="preserve">A baseline estimates what </w:t>
      </w:r>
      <w:r>
        <w:rPr>
          <w:b/>
          <w:sz w:val="21"/>
        </w:rPr>
        <w:t>would</w:t>
      </w:r>
      <w:r>
        <w:rPr>
          <w:b w:val="0"/>
          <w:sz w:val="21"/>
        </w:rPr>
        <w:t xml:space="preserve"> have happened without an intervention. A forecast predicts what </w:t>
      </w:r>
      <w:r>
        <w:rPr>
          <w:b/>
          <w:sz w:val="21"/>
        </w:rPr>
        <w:t>will</w:t>
      </w:r>
      <w:r>
        <w:rPr>
          <w:b w:val="0"/>
          <w:sz w:val="21"/>
        </w:rPr>
        <w:t xml:space="preserve"> happen including planned interventions. Conflating them is the most common way uplift analysis goes wrong: a forecast that includes the promotion measures the promotion against itself and reports roughly zero uplift.</w:t>
      </w:r>
    </w:p>
    <w:p>
      <w:r>
        <w:br w:type="page"/>
      </w:r>
    </w:p>
    <w:p>
      <w:pPr>
        <w:pStyle w:val="Heading2"/>
        <w:spacing w:before="280" w:after="120"/>
      </w:pPr>
      <w:r>
        <w:rPr>
          <w:color w:val="1B4965"/>
        </w:rPr>
        <w:t>Step 4  -  Baseline sales model</w:t>
      </w:r>
    </w:p>
    <w:p>
      <w:pPr>
        <w:spacing w:after="120"/>
      </w:pPr>
      <w:r>
        <w:rPr>
          <w:b w:val="0"/>
          <w:sz w:val="21"/>
        </w:rPr>
        <w:t>The question: what would sales have been under normal conditions - no promotion running, stock available? Promotion uplift is measured against it, root cause compares actual to it, and scenario simulation starts from it. A biased baseline does not fail loudly; it propagates a consistent distortion into every downstream number.</w:t>
      </w:r>
    </w:p>
    <w:p>
      <w:pPr>
        <w:pStyle w:val="Heading3"/>
        <w:spacing w:before="200" w:after="120"/>
      </w:pPr>
      <w:r>
        <w:rPr>
          <w:color w:val="1B4965"/>
        </w:rPr>
        <w:t>The two design decisions</w:t>
      </w:r>
    </w:p>
    <w:p>
      <w:pPr>
        <w:spacing w:after="120"/>
      </w:pPr>
      <w:r>
        <w:rPr>
          <w:b/>
          <w:sz w:val="21"/>
        </w:rPr>
        <w:t>Promotional contamination.</w:t>
      </w:r>
      <w:r>
        <w:rPr>
          <w:b w:val="0"/>
          <w:sz w:val="21"/>
        </w:rPr>
        <w:t xml:space="preserve"> Two defensible approaches, both with a real bias:</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8"/>
              </w:rPr>
              <w:t>Approach</w:t>
            </w:r>
          </w:p>
        </w:tc>
        <w:tc>
          <w:tcPr>
            <w:tcW w:type="dxa" w:w="2592"/>
          </w:tcPr>
          <w:p>
            <w:r/>
            <w:r>
              <w:rPr>
                <w:b/>
                <w:sz w:val="18"/>
              </w:rPr>
              <w:t>Strength</w:t>
            </w:r>
          </w:p>
        </w:tc>
        <w:tc>
          <w:tcPr>
            <w:tcW w:type="dxa" w:w="3312"/>
          </w:tcPr>
          <w:p>
            <w:r/>
            <w:r>
              <w:rPr>
                <w:b/>
                <w:sz w:val="18"/>
              </w:rPr>
              <w:t>Bias</w:t>
            </w:r>
          </w:p>
        </w:tc>
      </w:tr>
      <w:tr>
        <w:tc>
          <w:tcPr>
            <w:tcW w:type="dxa" w:w="2736"/>
          </w:tcPr>
          <w:p>
            <w:r>
              <w:rPr>
                <w:sz w:val="18"/>
              </w:rPr>
            </w:r>
            <w:r>
              <w:rPr>
                <w:b/>
                <w:sz w:val="18"/>
              </w:rPr>
              <w:t>C</w:t>
            </w:r>
            <w:r>
              <w:rPr>
                <w:b w:val="0"/>
                <w:sz w:val="18"/>
              </w:rPr>
              <w:t xml:space="preserve"> - train on non-promotional rows only</w:t>
            </w:r>
          </w:p>
        </w:tc>
        <w:tc>
          <w:tcPr>
            <w:tcW w:type="dxa" w:w="2592"/>
          </w:tcPr>
          <w:p>
            <w:r>
              <w:rPr>
                <w:sz w:val="18"/>
              </w:rPr>
            </w:r>
            <w:r>
              <w:rPr>
                <w:b w:val="0"/>
                <w:sz w:val="18"/>
              </w:rPr>
              <w:t>Clean counterfactual semantics</w:t>
            </w:r>
          </w:p>
        </w:tc>
        <w:tc>
          <w:tcPr>
            <w:tcW w:type="dxa" w:w="3312"/>
          </w:tcPr>
          <w:p>
            <w:r>
              <w:rPr>
                <w:sz w:val="18"/>
              </w:rPr>
            </w:r>
            <w:r>
              <w:rPr>
                <w:b w:val="0"/>
                <w:sz w:val="18"/>
              </w:rPr>
              <w:t xml:space="preserve">Promotions target seasonal peaks, so dropping them under-represents high season and </w:t>
            </w:r>
            <w:r>
              <w:rPr>
                <w:b/>
                <w:sz w:val="18"/>
              </w:rPr>
              <w:t>overstates uplift</w:t>
            </w:r>
          </w:p>
        </w:tc>
      </w:tr>
      <w:tr>
        <w:tc>
          <w:tcPr>
            <w:tcW w:type="dxa" w:w="2736"/>
          </w:tcPr>
          <w:p>
            <w:r>
              <w:rPr>
                <w:sz w:val="18"/>
              </w:rPr>
            </w:r>
            <w:r>
              <w:rPr>
                <w:b/>
                <w:sz w:val="18"/>
              </w:rPr>
              <w:t>B</w:t>
            </w:r>
            <w:r>
              <w:rPr>
                <w:b w:val="0"/>
                <w:sz w:val="18"/>
              </w:rPr>
              <w:t xml:space="preserve"> - promotion features as controls, predict with them zeroed</w:t>
            </w:r>
          </w:p>
        </w:tc>
        <w:tc>
          <w:tcPr>
            <w:tcW w:type="dxa" w:w="2592"/>
          </w:tcPr>
          <w:p>
            <w:r>
              <w:rPr>
                <w:sz w:val="18"/>
              </w:rPr>
            </w:r>
            <w:r>
              <w:rPr>
                <w:b w:val="0"/>
                <w:sz w:val="18"/>
              </w:rPr>
              <w:t>Uses all rows, avoids selection bias</w:t>
            </w:r>
          </w:p>
        </w:tc>
        <w:tc>
          <w:tcPr>
            <w:tcW w:type="dxa" w:w="3312"/>
          </w:tcPr>
          <w:p>
            <w:r>
              <w:rPr>
                <w:sz w:val="18"/>
              </w:rPr>
            </w:r>
            <w:r>
              <w:rPr>
                <w:b w:val="0"/>
                <w:sz w:val="18"/>
              </w:rPr>
              <w:t>Asks a tree model to extrapolate to a feature combination it may rarely have seen</w:t>
            </w:r>
          </w:p>
        </w:tc>
      </w:tr>
    </w:tbl>
    <w:p>
      <w:pPr>
        <w:spacing w:after="120"/>
      </w:pPr>
    </w:p>
    <w:p>
      <w:pPr>
        <w:spacing w:after="120"/>
      </w:pPr>
      <w:r>
        <w:rPr>
          <w:b w:val="0"/>
          <w:sz w:val="21"/>
        </w:rPr>
        <w:t>Neither argument settles it, so both were built and scored against true demand. Approach C won by 0.2 points - too narrow to generalise, and reported as such.</w:t>
      </w:r>
    </w:p>
    <w:p>
      <w:pPr>
        <w:spacing w:after="120"/>
      </w:pPr>
      <w:r>
        <w:rPr>
          <w:b/>
          <w:sz w:val="21"/>
        </w:rPr>
        <w:t>Stockout censoring.</w:t>
      </w:r>
      <w:r>
        <w:rPr>
          <w:b w:val="0"/>
          <w:sz w:val="21"/>
        </w:rPr>
        <w:t xml:space="preserve"> Observed sales during a stockout measure availability, not demand. Stockout rows are excluded from training, and censored values are not lagged forward.</w:t>
      </w:r>
    </w:p>
    <w:p>
      <w:pPr>
        <w:spacing w:before="120" w:after="160"/>
        <w:ind w:left="360"/>
        <w:shd w:fill="F7F9FC"/>
      </w:pPr>
      <w:r>
        <w:rPr>
          <w:b/>
          <w:color w:val="B3403A"/>
          <w:sz w:val="19"/>
        </w:rPr>
        <w:t xml:space="preserve">The finding that reshaped the step.  </w:t>
      </w:r>
      <w:r>
        <w:rPr>
          <w:b w:val="0"/>
          <w:sz w:val="20"/>
        </w:rPr>
        <w:t xml:space="preserve">The first full run disqualified both LightGBM candidates. The feature importances explained why: </w:t>
      </w:r>
      <w:r>
        <w:rPr>
          <w:rFonts w:ascii="Consolas" w:hAnsi="Consolas"/>
          <w:b w:val="0"/>
          <w:sz w:val="18"/>
        </w:rPr>
        <w:t>closing_inventory_lag_1</w:t>
      </w:r>
      <w:r>
        <w:rPr>
          <w:b w:val="0"/>
          <w:sz w:val="20"/>
        </w:rPr>
        <w:t xml:space="preserve"> was the single most important feature. Given inventory, the model learns that low stock predicts low sales - which is true, and is exactly the censoring relationship the step exists to avoid. Excluding stockout rows does not prevent it; the relationship is learned from partially-depleted rows and extrapolated to zero stock.</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3312"/>
          </w:tcPr>
          <w:p>
            <w:r/>
            <w:r>
              <w:rPr>
                <w:b/>
                <w:sz w:val="18"/>
              </w:rPr>
              <w:t>LightGBM configuration</w:t>
            </w:r>
          </w:p>
        </w:tc>
        <w:tc>
          <w:tcPr>
            <w:tcW w:type="dxa" w:w="1872"/>
          </w:tcPr>
          <w:p>
            <w:r/>
            <w:r>
              <w:rPr>
                <w:b/>
                <w:sz w:val="18"/>
              </w:rPr>
              <w:t>Stockout lift</w:t>
            </w:r>
          </w:p>
        </w:tc>
        <w:tc>
          <w:tcPr>
            <w:tcW w:type="dxa" w:w="2304"/>
          </w:tcPr>
          <w:p>
            <w:r/>
            <w:r>
              <w:rPr>
                <w:b/>
                <w:sz w:val="18"/>
              </w:rPr>
              <w:t>Recovers (correct ~0.64)</w:t>
            </w:r>
          </w:p>
        </w:tc>
        <w:tc>
          <w:tcPr>
            <w:tcW w:type="dxa" w:w="1872"/>
          </w:tcPr>
          <w:p>
            <w:r/>
            <w:r>
              <w:rPr>
                <w:b/>
                <w:sz w:val="18"/>
              </w:rPr>
              <w:t>Outcome</w:t>
            </w:r>
          </w:p>
        </w:tc>
      </w:tr>
      <w:tr>
        <w:tc>
          <w:tcPr>
            <w:tcW w:type="dxa" w:w="3312"/>
          </w:tcPr>
          <w:p>
            <w:r>
              <w:rPr>
                <w:sz w:val="18"/>
              </w:rPr>
            </w:r>
            <w:r>
              <w:rPr>
                <w:b w:val="0"/>
                <w:sz w:val="18"/>
              </w:rPr>
              <w:t>Inventory features present</w:t>
            </w:r>
          </w:p>
        </w:tc>
        <w:tc>
          <w:tcPr>
            <w:tcW w:type="dxa" w:w="1872"/>
          </w:tcPr>
          <w:p>
            <w:r>
              <w:rPr>
                <w:sz w:val="18"/>
              </w:rPr>
            </w:r>
            <w:r>
              <w:rPr>
                <w:b w:val="0"/>
                <w:sz w:val="18"/>
              </w:rPr>
              <w:t>1.12</w:t>
            </w:r>
          </w:p>
        </w:tc>
        <w:tc>
          <w:tcPr>
            <w:tcW w:type="dxa" w:w="2304"/>
          </w:tcPr>
          <w:p>
            <w:r>
              <w:rPr>
                <w:sz w:val="18"/>
              </w:rPr>
            </w:r>
            <w:r>
              <w:rPr>
                <w:b w:val="0"/>
                <w:sz w:val="18"/>
              </w:rPr>
              <w:t>0.30</w:t>
            </w:r>
          </w:p>
        </w:tc>
        <w:tc>
          <w:tcPr>
            <w:tcW w:type="dxa" w:w="1872"/>
          </w:tcPr>
          <w:p>
            <w:r>
              <w:rPr>
                <w:sz w:val="18"/>
              </w:rPr>
            </w:r>
            <w:r>
              <w:rPr>
                <w:b/>
                <w:sz w:val="18"/>
              </w:rPr>
              <w:t>disqualified</w:t>
            </w:r>
          </w:p>
        </w:tc>
      </w:tr>
      <w:tr>
        <w:tc>
          <w:tcPr>
            <w:tcW w:type="dxa" w:w="3312"/>
          </w:tcPr>
          <w:p>
            <w:r>
              <w:rPr>
                <w:sz w:val="18"/>
              </w:rPr>
            </w:r>
            <w:r>
              <w:rPr>
                <w:b w:val="0"/>
                <w:sz w:val="18"/>
              </w:rPr>
              <w:t>Supply features excluded</w:t>
            </w:r>
          </w:p>
        </w:tc>
        <w:tc>
          <w:tcPr>
            <w:tcW w:type="dxa" w:w="1872"/>
          </w:tcPr>
          <w:p>
            <w:r>
              <w:rPr>
                <w:sz w:val="18"/>
              </w:rPr>
            </w:r>
            <w:r>
              <w:rPr>
                <w:b/>
                <w:sz w:val="18"/>
              </w:rPr>
              <w:t>2.48</w:t>
            </w:r>
          </w:p>
        </w:tc>
        <w:tc>
          <w:tcPr>
            <w:tcW w:type="dxa" w:w="2304"/>
          </w:tcPr>
          <w:p>
            <w:r>
              <w:rPr>
                <w:sz w:val="18"/>
              </w:rPr>
            </w:r>
            <w:r>
              <w:rPr>
                <w:b/>
                <w:sz w:val="18"/>
              </w:rPr>
              <w:t>0.68</w:t>
            </w:r>
          </w:p>
        </w:tc>
        <w:tc>
          <w:tcPr>
            <w:tcW w:type="dxa" w:w="1872"/>
          </w:tcPr>
          <w:p>
            <w:r>
              <w:rPr>
                <w:sz w:val="18"/>
              </w:rPr>
            </w:r>
            <w:r>
              <w:rPr>
                <w:b w:val="0"/>
                <w:sz w:val="18"/>
              </w:rPr>
              <w:t>selected</w:t>
            </w:r>
          </w:p>
        </w:tc>
      </w:tr>
    </w:tbl>
    <w:p>
      <w:pPr>
        <w:spacing w:after="120"/>
      </w:pPr>
    </w:p>
    <w:p>
      <w:pPr>
        <w:spacing w:after="120"/>
      </w:pPr>
      <w:r>
        <w:rPr>
          <w:b w:val="0"/>
          <w:i/>
          <w:sz w:val="21"/>
        </w:rPr>
        <w:t>Accuracy moved only 40.4% to 40.2% WMAPE. That is the telling part: those columns were contributing censoring signal rather than demand signal, so removing them cost nothing and fixed the diagnostic outright.</w:t>
      </w:r>
    </w:p>
    <w:p>
      <w:pPr>
        <w:pStyle w:val="Heading3"/>
        <w:spacing w:before="200" w:after="120"/>
      </w:pPr>
      <w:r>
        <w:rPr>
          <w:color w:val="1B4965"/>
        </w:rPr>
        <w:t>Results</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sz w:val="18"/>
              </w:rPr>
              <w:t>Metric</w:t>
            </w:r>
          </w:p>
        </w:tc>
        <w:tc>
          <w:tcPr>
            <w:tcW w:type="dxa" w:w="2592"/>
          </w:tcPr>
          <w:p>
            <w:r/>
            <w:r>
              <w:rPr>
                <w:b/>
                <w:sz w:val="18"/>
              </w:rPr>
              <w:t>Value</w:t>
            </w:r>
          </w:p>
        </w:tc>
        <w:tc>
          <w:tcPr>
            <w:tcW w:type="dxa" w:w="3312"/>
          </w:tcPr>
          <w:p>
            <w:r/>
            <w:r>
              <w:rPr>
                <w:b/>
                <w:sz w:val="18"/>
              </w:rPr>
              <w:t>Reading</w:t>
            </w:r>
          </w:p>
        </w:tc>
      </w:tr>
      <w:tr>
        <w:tc>
          <w:tcPr>
            <w:tcW w:type="dxa" w:w="2736"/>
          </w:tcPr>
          <w:p>
            <w:r>
              <w:rPr>
                <w:sz w:val="18"/>
              </w:rPr>
            </w:r>
            <w:r>
              <w:rPr>
                <w:b w:val="0"/>
                <w:sz w:val="18"/>
              </w:rPr>
              <w:t>Selected model</w:t>
            </w:r>
          </w:p>
        </w:tc>
        <w:tc>
          <w:tcPr>
            <w:tcW w:type="dxa" w:w="2592"/>
          </w:tcPr>
          <w:p>
            <w:r>
              <w:rPr>
                <w:sz w:val="18"/>
              </w:rPr>
            </w:r>
            <w:r>
              <w:rPr>
                <w:rFonts w:ascii="Consolas" w:hAnsi="Consolas"/>
                <w:b w:val="0"/>
                <w:sz w:val="18"/>
              </w:rPr>
              <w:t>lightgbm__exclude</w:t>
            </w:r>
          </w:p>
        </w:tc>
        <w:tc>
          <w:tcPr>
            <w:tcW w:type="dxa" w:w="3312"/>
          </w:tcPr>
          <w:p>
            <w:r>
              <w:rPr>
                <w:sz w:val="18"/>
              </w:rPr>
            </w:r>
            <w:r>
              <w:rPr>
                <w:b w:val="0"/>
                <w:sz w:val="18"/>
              </w:rPr>
              <w:t>Beat the seasonal naive by 13.9 points</w:t>
            </w:r>
          </w:p>
        </w:tc>
      </w:tr>
      <w:tr>
        <w:tc>
          <w:tcPr>
            <w:tcW w:type="dxa" w:w="2736"/>
          </w:tcPr>
          <w:p>
            <w:r>
              <w:rPr>
                <w:sz w:val="18"/>
              </w:rPr>
            </w:r>
            <w:r>
              <w:rPr>
                <w:b w:val="0"/>
                <w:sz w:val="18"/>
              </w:rPr>
              <w:t>Latent WMAPE</w:t>
            </w:r>
          </w:p>
        </w:tc>
        <w:tc>
          <w:tcPr>
            <w:tcW w:type="dxa" w:w="2592"/>
          </w:tcPr>
          <w:p>
            <w:r>
              <w:rPr>
                <w:sz w:val="18"/>
              </w:rPr>
            </w:r>
            <w:r>
              <w:rPr>
                <w:b w:val="0"/>
                <w:sz w:val="18"/>
              </w:rPr>
              <w:t>40.4%</w:t>
            </w:r>
          </w:p>
        </w:tc>
        <w:tc>
          <w:tcPr>
            <w:tcW w:type="dxa" w:w="3312"/>
          </w:tcPr>
          <w:p>
            <w:r>
              <w:rPr>
                <w:sz w:val="18"/>
              </w:rPr>
            </w:r>
            <w:r>
              <w:rPr>
                <w:b w:val="0"/>
                <w:sz w:val="18"/>
              </w:rPr>
              <w:t>Against true demand, not observed sales</w:t>
            </w:r>
          </w:p>
        </w:tc>
      </w:tr>
      <w:tr>
        <w:tc>
          <w:tcPr>
            <w:tcW w:type="dxa" w:w="2736"/>
          </w:tcPr>
          <w:p>
            <w:r>
              <w:rPr>
                <w:sz w:val="18"/>
              </w:rPr>
            </w:r>
            <w:r>
              <w:rPr>
                <w:b/>
                <w:sz w:val="18"/>
              </w:rPr>
              <w:t>Irreducible noise floor</w:t>
            </w:r>
          </w:p>
        </w:tc>
        <w:tc>
          <w:tcPr>
            <w:tcW w:type="dxa" w:w="2592"/>
          </w:tcPr>
          <w:p>
            <w:r>
              <w:rPr>
                <w:sz w:val="18"/>
              </w:rPr>
            </w:r>
            <w:r>
              <w:rPr>
                <w:b/>
                <w:sz w:val="18"/>
              </w:rPr>
              <w:t>35.0%</w:t>
            </w:r>
          </w:p>
        </w:tc>
        <w:tc>
          <w:tcPr>
            <w:tcW w:type="dxa" w:w="3312"/>
          </w:tcPr>
          <w:p>
            <w:r>
              <w:rPr>
                <w:sz w:val="18"/>
              </w:rPr>
            </w:r>
            <w:r>
              <w:rPr>
                <w:b w:val="0"/>
                <w:sz w:val="18"/>
              </w:rPr>
              <w:t>What a model knowing the true mean would score</w:t>
            </w:r>
          </w:p>
        </w:tc>
      </w:tr>
      <w:tr>
        <w:tc>
          <w:tcPr>
            <w:tcW w:type="dxa" w:w="2736"/>
          </w:tcPr>
          <w:p>
            <w:r>
              <w:rPr>
                <w:sz w:val="18"/>
              </w:rPr>
            </w:r>
            <w:r>
              <w:rPr>
                <w:b/>
                <w:sz w:val="18"/>
              </w:rPr>
              <w:t>Ratio to floor</w:t>
            </w:r>
          </w:p>
        </w:tc>
        <w:tc>
          <w:tcPr>
            <w:tcW w:type="dxa" w:w="2592"/>
          </w:tcPr>
          <w:p>
            <w:r>
              <w:rPr>
                <w:sz w:val="18"/>
              </w:rPr>
            </w:r>
            <w:r>
              <w:rPr>
                <w:b/>
                <w:sz w:val="18"/>
              </w:rPr>
              <w:t>1.15x</w:t>
            </w:r>
          </w:p>
        </w:tc>
        <w:tc>
          <w:tcPr>
            <w:tcW w:type="dxa" w:w="3312"/>
          </w:tcPr>
          <w:p>
            <w:r>
              <w:rPr>
                <w:sz w:val="18"/>
              </w:rPr>
            </w:r>
            <w:r>
              <w:rPr>
                <w:b w:val="0"/>
                <w:sz w:val="18"/>
              </w:rPr>
              <w:t>Most remaining error is unlearnable noise</w:t>
            </w:r>
          </w:p>
        </w:tc>
      </w:tr>
      <w:tr>
        <w:tc>
          <w:tcPr>
            <w:tcW w:type="dxa" w:w="2736"/>
          </w:tcPr>
          <w:p>
            <w:r>
              <w:rPr>
                <w:sz w:val="18"/>
              </w:rPr>
            </w:r>
            <w:r>
              <w:rPr>
                <w:b w:val="0"/>
                <w:sz w:val="18"/>
              </w:rPr>
              <w:t>Stockout lift</w:t>
            </w:r>
          </w:p>
        </w:tc>
        <w:tc>
          <w:tcPr>
            <w:tcW w:type="dxa" w:w="2592"/>
          </w:tcPr>
          <w:p>
            <w:r>
              <w:rPr>
                <w:sz w:val="18"/>
              </w:rPr>
            </w:r>
            <w:r>
              <w:rPr>
                <w:b w:val="0"/>
                <w:sz w:val="18"/>
              </w:rPr>
              <w:t>2.48x</w:t>
            </w:r>
          </w:p>
        </w:tc>
        <w:tc>
          <w:tcPr>
            <w:tcW w:type="dxa" w:w="3312"/>
          </w:tcPr>
          <w:p>
            <w:r>
              <w:rPr>
                <w:sz w:val="18"/>
              </w:rPr>
            </w:r>
            <w:r>
              <w:rPr>
                <w:b w:val="0"/>
                <w:sz w:val="18"/>
              </w:rPr>
              <w:t>Sees through the censoring</w:t>
            </w:r>
          </w:p>
        </w:tc>
      </w:tr>
      <w:tr>
        <w:tc>
          <w:tcPr>
            <w:tcW w:type="dxa" w:w="2736"/>
          </w:tcPr>
          <w:p>
            <w:r>
              <w:rPr>
                <w:sz w:val="18"/>
              </w:rPr>
            </w:r>
            <w:r>
              <w:rPr>
                <w:b w:val="0"/>
                <w:sz w:val="18"/>
              </w:rPr>
              <w:t>Interval coverage</w:t>
            </w:r>
          </w:p>
        </w:tc>
        <w:tc>
          <w:tcPr>
            <w:tcW w:type="dxa" w:w="2592"/>
          </w:tcPr>
          <w:p>
            <w:r>
              <w:rPr>
                <w:sz w:val="18"/>
              </w:rPr>
            </w:r>
            <w:r>
              <w:rPr>
                <w:b w:val="0"/>
                <w:sz w:val="18"/>
              </w:rPr>
              <w:t>92.0% on 587,603 rows</w:t>
            </w:r>
          </w:p>
        </w:tc>
        <w:tc>
          <w:tcPr>
            <w:tcW w:type="dxa" w:w="3312"/>
          </w:tcPr>
          <w:p>
            <w:r>
              <w:rPr>
                <w:sz w:val="18"/>
              </w:rPr>
            </w:r>
            <w:r>
              <w:rPr>
                <w:b w:val="0"/>
                <w:sz w:val="18"/>
              </w:rPr>
              <w:t>Nominal 90% - calibrated</w:t>
            </w:r>
          </w:p>
        </w:tc>
      </w:tr>
      <w:tr>
        <w:tc>
          <w:tcPr>
            <w:tcW w:type="dxa" w:w="2736"/>
          </w:tcPr>
          <w:p>
            <w:r>
              <w:rPr>
                <w:sz w:val="18"/>
              </w:rPr>
            </w:r>
            <w:r>
              <w:rPr>
                <w:b w:val="0"/>
                <w:sz w:val="18"/>
              </w:rPr>
              <w:t>Backtest</w:t>
            </w:r>
          </w:p>
        </w:tc>
        <w:tc>
          <w:tcPr>
            <w:tcW w:type="dxa" w:w="2592"/>
          </w:tcPr>
          <w:p>
            <w:r>
              <w:rPr>
                <w:sz w:val="18"/>
              </w:rPr>
            </w:r>
            <w:r>
              <w:rPr>
                <w:b w:val="0"/>
                <w:sz w:val="18"/>
              </w:rPr>
              <w:t>39.0% +/- 0.7%</w:t>
            </w:r>
          </w:p>
        </w:tc>
        <w:tc>
          <w:tcPr>
            <w:tcW w:type="dxa" w:w="3312"/>
          </w:tcPr>
          <w:p>
            <w:r>
              <w:rPr>
                <w:sz w:val="18"/>
              </w:rPr>
            </w:r>
            <w:r>
              <w:rPr>
                <w:b w:val="0"/>
                <w:sz w:val="18"/>
              </w:rPr>
              <w:t>Stable across four expanding folds</w:t>
            </w:r>
          </w:p>
        </w:tc>
      </w:tr>
    </w:tbl>
    <w:p>
      <w:pPr>
        <w:spacing w:after="120"/>
      </w:pPr>
    </w:p>
    <w:p>
      <w:pPr>
        <w:spacing w:before="120" w:after="160"/>
        <w:ind w:left="360"/>
        <w:shd w:fill="F7F9FC"/>
      </w:pPr>
      <w:r>
        <w:rPr>
          <w:b/>
          <w:color w:val="1B4965"/>
          <w:sz w:val="19"/>
        </w:rPr>
        <w:t xml:space="preserve">An unresolved tension, stated rather than resolved.  </w:t>
      </w:r>
      <w:r>
        <w:rPr>
          <w:b w:val="0"/>
          <w:sz w:val="20"/>
        </w:rPr>
        <w:t>The design argues bias matters more than error for a baseline, but the selection rule ranks on WMAPE - and here they disagree. LightGBM is 3.3 points more accurate; Ridge is nearly unbiased (-0.5% vs +6.7%). The over-prediction understates uplift rather than inventing it, which is the safer direction, but adding a bias term to the criterion is a real decision and belongs with Step 6.</w:t>
      </w:r>
    </w:p>
    <w:p>
      <w:r>
        <w:br w:type="page"/>
      </w:r>
    </w:p>
    <w:p>
      <w:pPr>
        <w:pStyle w:val="Heading2"/>
        <w:spacing w:before="280" w:after="120"/>
      </w:pPr>
      <w:r>
        <w:rPr>
          <w:color w:val="1B4965"/>
        </w:rPr>
        <w:t>Step 5  -  Demand forecasting model</w:t>
      </w:r>
    </w:p>
    <w:p>
      <w:pPr>
        <w:spacing w:after="120"/>
      </w:pPr>
      <w:r>
        <w:rPr>
          <w:b w:val="0"/>
          <w:sz w:val="21"/>
        </w:rPr>
        <w:t>Step 4's baseline is a nowcast - it predicts units at date D using features at D, including yesterday's sales. That is valid for a historical counterfactual and invalid for forecasting: standing at as-of T predicting T+30, you do not know T+29's sales. Every design decision in Step 5 follows from that gap.</w:t>
      </w:r>
    </w:p>
    <w:p>
      <w:pPr>
        <w:pStyle w:val="Heading3"/>
        <w:spacing w:before="200" w:after="120"/>
      </w:pPr>
      <w:r>
        <w:rPr>
          <w:color w:val="1B4965"/>
        </w:rPr>
        <w:t>The horizon dataset</w:t>
      </w:r>
    </w:p>
    <w:p>
      <w:pPr>
        <w:jc w:val="center"/>
      </w:pPr>
      <w:r>
        <w:drawing>
          <wp:inline xmlns:a="http://schemas.openxmlformats.org/drawingml/2006/main" xmlns:pic="http://schemas.openxmlformats.org/drawingml/2006/picture">
            <wp:extent cx="5760720" cy="3218154"/>
            <wp:docPr id="7" name="Picture 7"/>
            <wp:cNvGraphicFramePr>
              <a:graphicFrameLocks noChangeAspect="1"/>
            </wp:cNvGraphicFramePr>
            <a:graphic>
              <a:graphicData uri="http://schemas.openxmlformats.org/drawingml/2006/picture">
                <pic:pic>
                  <pic:nvPicPr>
                    <pic:cNvPr id="0" name="07_horizon_dataset.png"/>
                    <pic:cNvPicPr/>
                  </pic:nvPicPr>
                  <pic:blipFill>
                    <a:blip r:embed="rId15"/>
                    <a:stretch>
                      <a:fillRect/>
                    </a:stretch>
                  </pic:blipFill>
                  <pic:spPr>
                    <a:xfrm>
                      <a:off x="0" y="0"/>
                      <a:ext cx="5760720" cy="3218154"/>
                    </a:xfrm>
                    <a:prstGeom prst="rect"/>
                  </pic:spPr>
                </pic:pic>
              </a:graphicData>
            </a:graphic>
          </wp:inline>
        </w:drawing>
      </w:r>
    </w:p>
    <w:p>
      <w:pPr>
        <w:spacing w:after="240"/>
        <w:jc w:val="center"/>
      </w:pPr>
      <w:r>
        <w:rPr>
          <w:i/>
          <w:color w:val="5A6472"/>
          <w:sz w:val="18"/>
        </w:rPr>
        <w:t>Figure 7  -  Each feature is placed by asking whether it is knowable at the origin.</w:t>
      </w:r>
    </w:p>
    <w:tbl>
      <w:tblPr>
        <w:tblStyle w:val="LightGrid-Accent1"/>
        <w:tblW w:type="auto" w:w="0"/>
        <w:jc w:val="center"/>
        <w:tblLook w:firstColumn="1" w:firstRow="1" w:lastColumn="0" w:lastRow="0" w:noHBand="0" w:noVBand="1" w:val="04A0"/>
      </w:tblPr>
      <w:tblGrid>
        <w:gridCol w:w="3216"/>
        <w:gridCol w:w="3216"/>
        <w:gridCol w:w="3216"/>
      </w:tblGrid>
      <w:tr>
        <w:tc>
          <w:tcPr>
            <w:tcW w:type="dxa" w:w="3024"/>
          </w:tcPr>
          <w:p>
            <w:r/>
            <w:r>
              <w:rPr>
                <w:b/>
                <w:sz w:val="18"/>
              </w:rPr>
              <w:t>Feature family</w:t>
            </w:r>
          </w:p>
        </w:tc>
        <w:tc>
          <w:tcPr>
            <w:tcW w:type="dxa" w:w="2160"/>
          </w:tcPr>
          <w:p>
            <w:r/>
            <w:r>
              <w:rPr>
                <w:b/>
                <w:sz w:val="18"/>
              </w:rPr>
              <w:t>Sourced at</w:t>
            </w:r>
          </w:p>
        </w:tc>
        <w:tc>
          <w:tcPr>
            <w:tcW w:type="dxa" w:w="3456"/>
          </w:tcPr>
          <w:p>
            <w:r/>
            <w:r>
              <w:rPr>
                <w:b/>
                <w:sz w:val="18"/>
              </w:rPr>
              <w:t>Why legitimate</w:t>
            </w:r>
          </w:p>
        </w:tc>
      </w:tr>
      <w:tr>
        <w:tc>
          <w:tcPr>
            <w:tcW w:type="dxa" w:w="3024"/>
          </w:tcPr>
          <w:p>
            <w:r>
              <w:rPr>
                <w:sz w:val="18"/>
              </w:rPr>
            </w:r>
            <w:r>
              <w:rPr>
                <w:b w:val="0"/>
                <w:sz w:val="18"/>
              </w:rPr>
              <w:t>lags, rollings, dynamics</w:t>
            </w:r>
          </w:p>
        </w:tc>
        <w:tc>
          <w:tcPr>
            <w:tcW w:type="dxa" w:w="2160"/>
          </w:tcPr>
          <w:p>
            <w:r>
              <w:rPr>
                <w:sz w:val="18"/>
              </w:rPr>
            </w:r>
            <w:r>
              <w:rPr>
                <w:b w:val="0"/>
                <w:sz w:val="18"/>
              </w:rPr>
              <w:t xml:space="preserve">origin </w:t>
            </w:r>
            <w:r>
              <w:rPr>
                <w:rFonts w:ascii="Consolas" w:hAnsi="Consolas"/>
                <w:b w:val="0"/>
                <w:sz w:val="18"/>
              </w:rPr>
              <w:t>t</w:t>
            </w:r>
          </w:p>
        </w:tc>
        <w:tc>
          <w:tcPr>
            <w:tcW w:type="dxa" w:w="3456"/>
          </w:tcPr>
          <w:p>
            <w:r>
              <w:rPr>
                <w:sz w:val="18"/>
              </w:rPr>
            </w:r>
            <w:r>
              <w:rPr>
                <w:rFonts w:ascii="Consolas" w:hAnsi="Consolas"/>
                <w:b w:val="0"/>
                <w:sz w:val="18"/>
              </w:rPr>
              <w:t>sales_daily</w:t>
            </w:r>
            <w:r>
              <w:rPr>
                <w:b w:val="0"/>
                <w:sz w:val="18"/>
              </w:rPr>
              <w:t xml:space="preserve"> is OBSERVED</w:t>
            </w:r>
          </w:p>
        </w:tc>
      </w:tr>
      <w:tr>
        <w:tc>
          <w:tcPr>
            <w:tcW w:type="dxa" w:w="3024"/>
          </w:tcPr>
          <w:p>
            <w:r>
              <w:rPr>
                <w:sz w:val="18"/>
              </w:rPr>
            </w:r>
            <w:r>
              <w:rPr>
                <w:b w:val="0"/>
                <w:sz w:val="18"/>
              </w:rPr>
              <w:t>competitor price and gap</w:t>
            </w:r>
          </w:p>
        </w:tc>
        <w:tc>
          <w:tcPr>
            <w:tcW w:type="dxa" w:w="2160"/>
          </w:tcPr>
          <w:p>
            <w:r>
              <w:rPr>
                <w:sz w:val="18"/>
              </w:rPr>
            </w:r>
            <w:r>
              <w:rPr>
                <w:b w:val="0"/>
                <w:sz w:val="18"/>
              </w:rPr>
              <w:t xml:space="preserve">origin </w:t>
            </w:r>
            <w:r>
              <w:rPr>
                <w:rFonts w:ascii="Consolas" w:hAnsi="Consolas"/>
                <w:b w:val="0"/>
                <w:sz w:val="18"/>
              </w:rPr>
              <w:t>t</w:t>
            </w:r>
          </w:p>
        </w:tc>
        <w:tc>
          <w:tcPr>
            <w:tcW w:type="dxa" w:w="3456"/>
          </w:tcPr>
          <w:p>
            <w:r>
              <w:rPr>
                <w:sz w:val="18"/>
              </w:rPr>
            </w:r>
            <w:r>
              <w:rPr>
                <w:b w:val="0"/>
                <w:sz w:val="18"/>
              </w:rPr>
              <w:t>OBSERVED - not knowable forward</w:t>
            </w:r>
          </w:p>
        </w:tc>
      </w:tr>
      <w:tr>
        <w:tc>
          <w:tcPr>
            <w:tcW w:type="dxa" w:w="3024"/>
          </w:tcPr>
          <w:p>
            <w:r>
              <w:rPr>
                <w:sz w:val="18"/>
              </w:rPr>
            </w:r>
            <w:r>
              <w:rPr>
                <w:b w:val="0"/>
                <w:sz w:val="18"/>
              </w:rPr>
              <w:t>calendar, festival, season</w:t>
            </w:r>
          </w:p>
        </w:tc>
        <w:tc>
          <w:tcPr>
            <w:tcW w:type="dxa" w:w="2160"/>
          </w:tcPr>
          <w:p>
            <w:r>
              <w:rPr>
                <w:sz w:val="18"/>
              </w:rPr>
            </w:r>
            <w:r>
              <w:rPr>
                <w:b w:val="0"/>
                <w:sz w:val="18"/>
              </w:rPr>
              <w:t xml:space="preserve">target </w:t>
            </w:r>
            <w:r>
              <w:rPr>
                <w:rFonts w:ascii="Consolas" w:hAnsi="Consolas"/>
                <w:b w:val="0"/>
                <w:sz w:val="18"/>
              </w:rPr>
              <w:t>t+h</w:t>
            </w:r>
          </w:p>
        </w:tc>
        <w:tc>
          <w:tcPr>
            <w:tcW w:type="dxa" w:w="3456"/>
          </w:tcPr>
          <w:p>
            <w:r>
              <w:rPr>
                <w:sz w:val="18"/>
              </w:rPr>
            </w:r>
            <w:r>
              <w:rPr>
                <w:rFonts w:ascii="Consolas" w:hAnsi="Consolas"/>
                <w:b w:val="0"/>
                <w:sz w:val="18"/>
              </w:rPr>
              <w:t>calendar</w:t>
            </w:r>
            <w:r>
              <w:rPr>
                <w:b w:val="0"/>
                <w:sz w:val="18"/>
              </w:rPr>
              <w:t xml:space="preserve"> is KNOWN_IN_ADVANCE</w:t>
            </w:r>
          </w:p>
        </w:tc>
      </w:tr>
      <w:tr>
        <w:tc>
          <w:tcPr>
            <w:tcW w:type="dxa" w:w="3024"/>
          </w:tcPr>
          <w:p>
            <w:r>
              <w:rPr>
                <w:sz w:val="18"/>
              </w:rPr>
            </w:r>
            <w:r>
              <w:rPr>
                <w:b w:val="0"/>
                <w:sz w:val="18"/>
              </w:rPr>
              <w:t>planned promotion</w:t>
            </w:r>
          </w:p>
        </w:tc>
        <w:tc>
          <w:tcPr>
            <w:tcW w:type="dxa" w:w="2160"/>
          </w:tcPr>
          <w:p>
            <w:r>
              <w:rPr>
                <w:sz w:val="18"/>
              </w:rPr>
            </w:r>
            <w:r>
              <w:rPr>
                <w:b w:val="0"/>
                <w:sz w:val="18"/>
              </w:rPr>
              <w:t xml:space="preserve">target </w:t>
            </w:r>
            <w:r>
              <w:rPr>
                <w:rFonts w:ascii="Consolas" w:hAnsi="Consolas"/>
                <w:b w:val="0"/>
                <w:sz w:val="18"/>
              </w:rPr>
              <w:t>t+h</w:t>
            </w:r>
          </w:p>
        </w:tc>
        <w:tc>
          <w:tcPr>
            <w:tcW w:type="dxa" w:w="3456"/>
          </w:tcPr>
          <w:p>
            <w:r>
              <w:rPr>
                <w:sz w:val="18"/>
              </w:rPr>
            </w:r>
            <w:r>
              <w:rPr>
                <w:rFonts w:ascii="Consolas" w:hAnsi="Consolas"/>
                <w:b w:val="0"/>
                <w:sz w:val="18"/>
              </w:rPr>
              <w:t>promotions</w:t>
            </w:r>
            <w:r>
              <w:rPr>
                <w:b w:val="0"/>
                <w:sz w:val="18"/>
              </w:rPr>
              <w:t xml:space="preserve"> is KNOWN_IN_ADVANCE</w:t>
            </w:r>
          </w:p>
        </w:tc>
      </w:tr>
      <w:tr>
        <w:tc>
          <w:tcPr>
            <w:tcW w:type="dxa" w:w="3024"/>
          </w:tcPr>
          <w:p>
            <w:r>
              <w:rPr>
                <w:sz w:val="18"/>
              </w:rPr>
            </w:r>
            <w:r>
              <w:rPr>
                <w:b w:val="0"/>
                <w:sz w:val="18"/>
              </w:rPr>
              <w:t>planned price</w:t>
            </w:r>
          </w:p>
        </w:tc>
        <w:tc>
          <w:tcPr>
            <w:tcW w:type="dxa" w:w="2160"/>
          </w:tcPr>
          <w:p>
            <w:r>
              <w:rPr>
                <w:sz w:val="18"/>
              </w:rPr>
            </w:r>
            <w:r>
              <w:rPr>
                <w:b w:val="0"/>
                <w:sz w:val="18"/>
              </w:rPr>
              <w:t xml:space="preserve">target </w:t>
            </w:r>
            <w:r>
              <w:rPr>
                <w:rFonts w:ascii="Consolas" w:hAnsi="Consolas"/>
                <w:b w:val="0"/>
                <w:sz w:val="18"/>
              </w:rPr>
              <w:t>t+h</w:t>
            </w:r>
          </w:p>
        </w:tc>
        <w:tc>
          <w:tcPr>
            <w:tcW w:type="dxa" w:w="3456"/>
          </w:tcPr>
          <w:p>
            <w:r>
              <w:rPr>
                <w:sz w:val="18"/>
              </w:rPr>
            </w:r>
            <w:r>
              <w:rPr>
                <w:rFonts w:ascii="Consolas" w:hAnsi="Consolas"/>
                <w:b w:val="0"/>
                <w:sz w:val="18"/>
              </w:rPr>
              <w:t>pricing</w:t>
            </w:r>
            <w:r>
              <w:rPr>
                <w:b w:val="0"/>
                <w:sz w:val="18"/>
              </w:rPr>
              <w:t xml:space="preserve"> is KNOWN_IN_ADVANCE</w:t>
            </w:r>
          </w:p>
        </w:tc>
      </w:tr>
      <w:tr>
        <w:tc>
          <w:tcPr>
            <w:tcW w:type="dxa" w:w="3024"/>
          </w:tcPr>
          <w:p>
            <w:r>
              <w:rPr>
                <w:sz w:val="18"/>
              </w:rPr>
            </w:r>
            <w:r>
              <w:rPr>
                <w:rFonts w:ascii="Consolas" w:hAnsi="Consolas"/>
                <w:b w:val="0"/>
                <w:sz w:val="18"/>
              </w:rPr>
              <w:t>horizon_step</w:t>
            </w:r>
          </w:p>
        </w:tc>
        <w:tc>
          <w:tcPr>
            <w:tcW w:type="dxa" w:w="2160"/>
          </w:tcPr>
          <w:p>
            <w:r>
              <w:rPr>
                <w:sz w:val="18"/>
              </w:rPr>
            </w:r>
            <w:r>
              <w:rPr>
                <w:b w:val="0"/>
                <w:sz w:val="18"/>
              </w:rPr>
              <w:t>-</w:t>
            </w:r>
          </w:p>
        </w:tc>
        <w:tc>
          <w:tcPr>
            <w:tcW w:type="dxa" w:w="3456"/>
          </w:tcPr>
          <w:p>
            <w:r>
              <w:rPr>
                <w:sz w:val="18"/>
              </w:rPr>
            </w:r>
            <w:r>
              <w:rPr>
                <w:b w:val="0"/>
                <w:sz w:val="18"/>
              </w:rPr>
              <w:t>Lets one model span every horizon</w:t>
            </w:r>
          </w:p>
        </w:tc>
      </w:tr>
    </w:tbl>
    <w:p>
      <w:pPr>
        <w:spacing w:after="120"/>
      </w:pPr>
    </w:p>
    <w:p>
      <w:pPr>
        <w:spacing w:after="120"/>
      </w:pPr>
      <w:r>
        <w:rPr>
          <w:b w:val="0"/>
          <w:sz w:val="21"/>
        </w:rPr>
        <w:t xml:space="preserve">Target-side columns carry an </w:t>
      </w:r>
      <w:r>
        <w:rPr>
          <w:rFonts w:ascii="Consolas" w:hAnsi="Consolas"/>
          <w:b w:val="0"/>
          <w:sz w:val="19"/>
        </w:rPr>
        <w:t>h_</w:t>
      </w:r>
      <w:r>
        <w:rPr>
          <w:b w:val="0"/>
          <w:sz w:val="21"/>
        </w:rPr>
        <w:t xml:space="preserve"> prefix, so the origin/target split is visible in the feature-importance table rather than being a fact you must remember.</w:t>
      </w:r>
    </w:p>
    <w:p>
      <w:pPr>
        <w:pStyle w:val="Heading3"/>
        <w:spacing w:before="200" w:after="120"/>
      </w:pPr>
      <w:r>
        <w:rPr>
          <w:color w:val="1B4965"/>
        </w:rPr>
        <w:t>Why one model rather than four</w:t>
      </w:r>
    </w:p>
    <w:p>
      <w:pPr>
        <w:pStyle w:val="ListBullet"/>
        <w:spacing w:after="60"/>
      </w:pPr>
      <w:r>
        <w:rPr>
          <w:b/>
          <w:sz w:val="20"/>
        </w:rPr>
        <w:t>Four per-horizon models on a cumulative target</w:t>
      </w:r>
      <w:r>
        <w:rPr>
          <w:b w:val="0"/>
          <w:sz w:val="20"/>
        </w:rPr>
        <w:t xml:space="preserve"> - dispositive: cannot produce the daily path the interface requires, and the nested totals would be mutually incoherent.</w:t>
      </w:r>
    </w:p>
    <w:p>
      <w:pPr>
        <w:pStyle w:val="ListBullet"/>
        <w:spacing w:after="60"/>
      </w:pPr>
      <w:r>
        <w:rPr>
          <w:b/>
          <w:sz w:val="20"/>
        </w:rPr>
        <w:t>Recursive one-step-ahead</w:t>
      </w:r>
      <w:r>
        <w:rPr>
          <w:b w:val="0"/>
          <w:sz w:val="20"/>
        </w:rPr>
        <w:t xml:space="preserve"> - the killer is feature-distribution collapse, not error compounding. Feeding conditional-mean predictions forward drives rolling standard deviations and volatility toward zero, so by h=30 the model sees inputs it never saw.</w:t>
      </w:r>
    </w:p>
    <w:p>
      <w:pPr>
        <w:pStyle w:val="ListBullet"/>
        <w:spacing w:after="60"/>
      </w:pPr>
      <w:r>
        <w:rPr>
          <w:b/>
          <w:sz w:val="20"/>
        </w:rPr>
        <w:t>Four direct models on daily targets</w:t>
      </w:r>
      <w:r>
        <w:rPr>
          <w:b w:val="0"/>
          <w:sz w:val="20"/>
        </w:rPr>
        <w:t xml:space="preserve"> - 4x the compute, less data per model, no benefit once </w:t>
      </w:r>
      <w:r>
        <w:rPr>
          <w:rFonts w:ascii="Consolas" w:hAnsi="Consolas"/>
          <w:b w:val="0"/>
          <w:sz w:val="18"/>
        </w:rPr>
        <w:t>h</w:t>
      </w:r>
      <w:r>
        <w:rPr>
          <w:b w:val="0"/>
          <w:sz w:val="20"/>
        </w:rPr>
        <w:t xml:space="preserve"> is already a feature.</w:t>
      </w:r>
    </w:p>
    <w:p>
      <w:pPr>
        <w:pStyle w:val="Heading3"/>
        <w:spacing w:before="200" w:after="120"/>
      </w:pPr>
      <w:r>
        <w:rPr>
          <w:color w:val="1B4965"/>
        </w:rPr>
        <w:t>The embargo</w:t>
      </w:r>
    </w:p>
    <w:p>
      <w:pPr>
        <w:jc w:val="center"/>
      </w:pPr>
      <w:r>
        <w:drawing>
          <wp:inline xmlns:a="http://schemas.openxmlformats.org/drawingml/2006/main" xmlns:pic="http://schemas.openxmlformats.org/drawingml/2006/picture">
            <wp:extent cx="5760720" cy="2702352"/>
            <wp:docPr id="8" name="Picture 8"/>
            <wp:cNvGraphicFramePr>
              <a:graphicFrameLocks noChangeAspect="1"/>
            </wp:cNvGraphicFramePr>
            <a:graphic>
              <a:graphicData uri="http://schemas.openxmlformats.org/drawingml/2006/picture">
                <pic:pic>
                  <pic:nvPicPr>
                    <pic:cNvPr id="0" name="08_embargo_split.png"/>
                    <pic:cNvPicPr/>
                  </pic:nvPicPr>
                  <pic:blipFill>
                    <a:blip r:embed="rId16"/>
                    <a:stretch>
                      <a:fillRect/>
                    </a:stretch>
                  </pic:blipFill>
                  <pic:spPr>
                    <a:xfrm>
                      <a:off x="0" y="0"/>
                      <a:ext cx="5760720" cy="2702352"/>
                    </a:xfrm>
                    <a:prstGeom prst="rect"/>
                  </pic:spPr>
                </pic:pic>
              </a:graphicData>
            </a:graphic>
          </wp:inline>
        </w:drawing>
      </w:r>
    </w:p>
    <w:p>
      <w:pPr>
        <w:spacing w:after="240"/>
        <w:jc w:val="center"/>
      </w:pPr>
      <w:r>
        <w:rPr>
          <w:i/>
          <w:color w:val="5A6472"/>
          <w:sz w:val="18"/>
        </w:rPr>
        <w:t>Figure 8  -  Without the gap, a boundary training origin is scored on its own outcome.</w:t>
      </w:r>
    </w:p>
    <w:p>
      <w:pPr>
        <w:pStyle w:val="Heading3"/>
        <w:spacing w:before="200" w:after="120"/>
      </w:pPr>
      <w:r>
        <w:rPr>
          <w:color w:val="1B4965"/>
        </w:rPr>
        <w:t>Prediction intervals</w:t>
      </w:r>
    </w:p>
    <w:p>
      <w:pPr>
        <w:spacing w:after="120"/>
      </w:pPr>
      <w:r>
        <w:rPr>
          <w:b w:val="0"/>
          <w:sz w:val="21"/>
        </w:rPr>
        <w:t xml:space="preserve">Two things Step 4's single scalar quantile could not do. </w:t>
      </w:r>
      <w:r>
        <w:rPr>
          <w:b/>
          <w:sz w:val="21"/>
        </w:rPr>
        <w:t>Width must grow with horizon</w:t>
      </w:r>
      <w:r>
        <w:rPr>
          <w:b w:val="0"/>
          <w:sz w:val="21"/>
        </w:rPr>
        <w:t xml:space="preserve">, so calibration is per horizon bucket (Mondrian conformal). And </w:t>
      </w:r>
      <w:r>
        <w:rPr>
          <w:b/>
          <w:sz w:val="21"/>
        </w:rPr>
        <w:t>the horizon total needs its own calibration</w:t>
      </w:r>
      <w:r>
        <w:rPr>
          <w:b w:val="0"/>
          <w:sz w:val="21"/>
        </w:rPr>
        <w:t xml:space="preserve"> - summing daily bounds assumes the daily errors move together perfectly, and if they were independent the sum would be too wide by roughly the square root of 90.</w:t>
      </w:r>
    </w:p>
    <w:p>
      <w:pPr>
        <w:pStyle w:val="Heading3"/>
        <w:spacing w:before="200" w:after="120"/>
      </w:pPr>
      <w:r>
        <w:rPr>
          <w:color w:val="1B4965"/>
        </w:rPr>
        <w:t>The training pipeline</w:t>
      </w:r>
    </w:p>
    <w:p>
      <w:pPr>
        <w:jc w:val="center"/>
      </w:pPr>
      <w:r>
        <w:drawing>
          <wp:inline xmlns:a="http://schemas.openxmlformats.org/drawingml/2006/main" xmlns:pic="http://schemas.openxmlformats.org/drawingml/2006/picture">
            <wp:extent cx="5760720" cy="3134056"/>
            <wp:docPr id="9" name="Picture 9"/>
            <wp:cNvGraphicFramePr>
              <a:graphicFrameLocks noChangeAspect="1"/>
            </wp:cNvGraphicFramePr>
            <a:graphic>
              <a:graphicData uri="http://schemas.openxmlformats.org/drawingml/2006/picture">
                <pic:pic>
                  <pic:nvPicPr>
                    <pic:cNvPr id="0" name="09_training_pipeline.png"/>
                    <pic:cNvPicPr/>
                  </pic:nvPicPr>
                  <pic:blipFill>
                    <a:blip r:embed="rId17"/>
                    <a:stretch>
                      <a:fillRect/>
                    </a:stretch>
                  </pic:blipFill>
                  <pic:spPr>
                    <a:xfrm>
                      <a:off x="0" y="0"/>
                      <a:ext cx="5760720" cy="3134056"/>
                    </a:xfrm>
                    <a:prstGeom prst="rect"/>
                  </pic:spPr>
                </pic:pic>
              </a:graphicData>
            </a:graphic>
          </wp:inline>
        </w:drawing>
      </w:r>
    </w:p>
    <w:p>
      <w:pPr>
        <w:spacing w:after="240"/>
        <w:jc w:val="center"/>
      </w:pPr>
      <w:r>
        <w:rPr>
          <w:i/>
          <w:color w:val="5A6472"/>
          <w:sz w:val="18"/>
        </w:rPr>
        <w:t>Figure 9  -  The order is the correctness argument.</w:t>
      </w:r>
    </w:p>
    <w:p>
      <w:pPr>
        <w:pStyle w:val="Heading3"/>
        <w:spacing w:before="200" w:after="120"/>
      </w:pPr>
      <w:r>
        <w:rPr>
          <w:color w:val="1B4965"/>
        </w:rPr>
        <w:t>Results</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2880"/>
          </w:tcPr>
          <w:p>
            <w:r/>
            <w:r>
              <w:rPr>
                <w:b/>
                <w:sz w:val="18"/>
              </w:rPr>
              <w:t>Model</w:t>
            </w:r>
          </w:p>
        </w:tc>
        <w:tc>
          <w:tcPr>
            <w:tcW w:type="dxa" w:w="1440"/>
          </w:tcPr>
          <w:p>
            <w:r/>
            <w:r>
              <w:rPr>
                <w:b/>
                <w:sz w:val="18"/>
              </w:rPr>
              <w:t>WMAPE</w:t>
            </w:r>
          </w:p>
        </w:tc>
        <w:tc>
          <w:tcPr>
            <w:tcW w:type="dxa" w:w="1440"/>
          </w:tcPr>
          <w:p>
            <w:r/>
            <w:r>
              <w:rPr>
                <w:b/>
                <w:sz w:val="18"/>
              </w:rPr>
              <w:t>Bias</w:t>
            </w:r>
          </w:p>
        </w:tc>
        <w:tc>
          <w:tcPr>
            <w:tcW w:type="dxa" w:w="1584"/>
          </w:tcPr>
          <w:p>
            <w:r/>
            <w:r>
              <w:rPr>
                <w:b/>
                <w:sz w:val="18"/>
              </w:rPr>
              <w:t>Mean FVA</w:t>
            </w:r>
          </w:p>
        </w:tc>
        <w:tc>
          <w:tcPr>
            <w:tcW w:type="dxa" w:w="1296"/>
          </w:tcPr>
          <w:p>
            <w:r/>
            <w:r>
              <w:rPr>
                <w:b/>
                <w:sz w:val="18"/>
              </w:rPr>
              <w:t>Train</w:t>
            </w:r>
          </w:p>
        </w:tc>
      </w:tr>
      <w:tr>
        <w:tc>
          <w:tcPr>
            <w:tcW w:type="dxa" w:w="2880"/>
          </w:tcPr>
          <w:p>
            <w:r>
              <w:rPr>
                <w:sz w:val="18"/>
              </w:rPr>
            </w:r>
            <w:r>
              <w:rPr>
                <w:b/>
                <w:sz w:val="18"/>
              </w:rPr>
              <w:t>xgboost</w:t>
            </w:r>
          </w:p>
        </w:tc>
        <w:tc>
          <w:tcPr>
            <w:tcW w:type="dxa" w:w="1440"/>
          </w:tcPr>
          <w:p>
            <w:r>
              <w:rPr>
                <w:sz w:val="18"/>
              </w:rPr>
            </w:r>
            <w:r>
              <w:rPr>
                <w:b/>
                <w:sz w:val="18"/>
              </w:rPr>
              <w:t>43.8%</w:t>
            </w:r>
          </w:p>
        </w:tc>
        <w:tc>
          <w:tcPr>
            <w:tcW w:type="dxa" w:w="1440"/>
          </w:tcPr>
          <w:p>
            <w:r>
              <w:rPr>
                <w:sz w:val="18"/>
              </w:rPr>
            </w:r>
            <w:r>
              <w:rPr>
                <w:b w:val="0"/>
                <w:sz w:val="18"/>
              </w:rPr>
              <w:t>+8.4%</w:t>
            </w:r>
          </w:p>
        </w:tc>
        <w:tc>
          <w:tcPr>
            <w:tcW w:type="dxa" w:w="1584"/>
          </w:tcPr>
          <w:p>
            <w:r>
              <w:rPr>
                <w:sz w:val="18"/>
              </w:rPr>
            </w:r>
            <w:r>
              <w:rPr>
                <w:b/>
                <w:sz w:val="18"/>
              </w:rPr>
              <w:t>+12.6 pp</w:t>
            </w:r>
          </w:p>
        </w:tc>
        <w:tc>
          <w:tcPr>
            <w:tcW w:type="dxa" w:w="1296"/>
          </w:tcPr>
          <w:p>
            <w:r>
              <w:rPr>
                <w:sz w:val="18"/>
              </w:rPr>
            </w:r>
            <w:r>
              <w:rPr>
                <w:b w:val="0"/>
                <w:sz w:val="18"/>
              </w:rPr>
              <w:t>34.4s</w:t>
            </w:r>
          </w:p>
        </w:tc>
      </w:tr>
      <w:tr>
        <w:tc>
          <w:tcPr>
            <w:tcW w:type="dxa" w:w="2880"/>
          </w:tcPr>
          <w:p>
            <w:r>
              <w:rPr>
                <w:sz w:val="18"/>
              </w:rPr>
            </w:r>
            <w:r>
              <w:rPr>
                <w:b w:val="0"/>
                <w:sz w:val="18"/>
              </w:rPr>
              <w:t>lightgbm</w:t>
            </w:r>
          </w:p>
        </w:tc>
        <w:tc>
          <w:tcPr>
            <w:tcW w:type="dxa" w:w="1440"/>
          </w:tcPr>
          <w:p>
            <w:r>
              <w:rPr>
                <w:sz w:val="18"/>
              </w:rPr>
            </w:r>
            <w:r>
              <w:rPr>
                <w:b w:val="0"/>
                <w:sz w:val="18"/>
              </w:rPr>
              <w:t>47.5%</w:t>
            </w:r>
          </w:p>
        </w:tc>
        <w:tc>
          <w:tcPr>
            <w:tcW w:type="dxa" w:w="1440"/>
          </w:tcPr>
          <w:p>
            <w:r>
              <w:rPr>
                <w:sz w:val="18"/>
              </w:rPr>
            </w:r>
            <w:r>
              <w:rPr>
                <w:b w:val="0"/>
                <w:sz w:val="18"/>
              </w:rPr>
              <w:t>+19.9%</w:t>
            </w:r>
          </w:p>
        </w:tc>
        <w:tc>
          <w:tcPr>
            <w:tcW w:type="dxa" w:w="1584"/>
          </w:tcPr>
          <w:p>
            <w:r>
              <w:rPr>
                <w:sz w:val="18"/>
              </w:rPr>
            </w:r>
            <w:r>
              <w:rPr>
                <w:b w:val="0"/>
                <w:sz w:val="18"/>
              </w:rPr>
              <w:t>+9.5 pp</w:t>
            </w:r>
          </w:p>
        </w:tc>
        <w:tc>
          <w:tcPr>
            <w:tcW w:type="dxa" w:w="1296"/>
          </w:tcPr>
          <w:p>
            <w:r>
              <w:rPr>
                <w:sz w:val="18"/>
              </w:rPr>
            </w:r>
            <w:r>
              <w:rPr>
                <w:b w:val="0"/>
                <w:sz w:val="18"/>
              </w:rPr>
              <w:t>11.3s</w:t>
            </w:r>
          </w:p>
        </w:tc>
      </w:tr>
      <w:tr>
        <w:tc>
          <w:tcPr>
            <w:tcW w:type="dxa" w:w="2880"/>
          </w:tcPr>
          <w:p>
            <w:r>
              <w:rPr>
                <w:sz w:val="18"/>
              </w:rPr>
            </w:r>
            <w:r>
              <w:rPr>
                <w:b w:val="0"/>
                <w:sz w:val="18"/>
              </w:rPr>
              <w:t>horizon_seasonal_naive</w:t>
            </w:r>
          </w:p>
        </w:tc>
        <w:tc>
          <w:tcPr>
            <w:tcW w:type="dxa" w:w="1440"/>
          </w:tcPr>
          <w:p>
            <w:r>
              <w:rPr>
                <w:sz w:val="18"/>
              </w:rPr>
            </w:r>
            <w:r>
              <w:rPr>
                <w:b w:val="0"/>
                <w:sz w:val="18"/>
              </w:rPr>
              <w:t>56.0%</w:t>
            </w:r>
          </w:p>
        </w:tc>
        <w:tc>
          <w:tcPr>
            <w:tcW w:type="dxa" w:w="1440"/>
          </w:tcPr>
          <w:p>
            <w:r>
              <w:rPr>
                <w:sz w:val="18"/>
              </w:rPr>
            </w:r>
            <w:r>
              <w:rPr>
                <w:b w:val="0"/>
                <w:sz w:val="18"/>
              </w:rPr>
              <w:t>+7.2%</w:t>
            </w:r>
          </w:p>
        </w:tc>
        <w:tc>
          <w:tcPr>
            <w:tcW w:type="dxa" w:w="1584"/>
          </w:tcPr>
          <w:p>
            <w:r>
              <w:rPr>
                <w:sz w:val="18"/>
              </w:rPr>
            </w:r>
            <w:r>
              <w:rPr>
                <w:b w:val="0"/>
                <w:sz w:val="18"/>
              </w:rPr>
              <w:t>-</w:t>
            </w:r>
          </w:p>
        </w:tc>
        <w:tc>
          <w:tcPr>
            <w:tcW w:type="dxa" w:w="1296"/>
          </w:tcPr>
          <w:p>
            <w:r>
              <w:rPr>
                <w:sz w:val="18"/>
              </w:rPr>
            </w:r>
            <w:r>
              <w:rPr>
                <w:b w:val="0"/>
                <w:sz w:val="18"/>
              </w:rPr>
              <w:t>0.4s</w:t>
            </w:r>
          </w:p>
        </w:tc>
      </w:tr>
      <w:tr>
        <w:tc>
          <w:tcPr>
            <w:tcW w:type="dxa" w:w="2880"/>
          </w:tcPr>
          <w:p>
            <w:r>
              <w:rPr>
                <w:sz w:val="18"/>
              </w:rPr>
            </w:r>
            <w:r>
              <w:rPr>
                <w:b w:val="0"/>
                <w:sz w:val="18"/>
              </w:rPr>
              <w:t>horizon_naive</w:t>
            </w:r>
          </w:p>
        </w:tc>
        <w:tc>
          <w:tcPr>
            <w:tcW w:type="dxa" w:w="1440"/>
          </w:tcPr>
          <w:p>
            <w:r>
              <w:rPr>
                <w:sz w:val="18"/>
              </w:rPr>
            </w:r>
            <w:r>
              <w:rPr>
                <w:b w:val="0"/>
                <w:sz w:val="18"/>
              </w:rPr>
              <w:t>78.1%</w:t>
            </w:r>
          </w:p>
        </w:tc>
        <w:tc>
          <w:tcPr>
            <w:tcW w:type="dxa" w:w="1440"/>
          </w:tcPr>
          <w:p>
            <w:r>
              <w:rPr>
                <w:sz w:val="18"/>
              </w:rPr>
            </w:r>
            <w:r>
              <w:rPr>
                <w:b w:val="0"/>
                <w:sz w:val="18"/>
              </w:rPr>
              <w:t>+36.1%</w:t>
            </w:r>
          </w:p>
        </w:tc>
        <w:tc>
          <w:tcPr>
            <w:tcW w:type="dxa" w:w="1584"/>
          </w:tcPr>
          <w:p>
            <w:r>
              <w:rPr>
                <w:sz w:val="18"/>
              </w:rPr>
            </w:r>
            <w:r>
              <w:rPr>
                <w:b w:val="0"/>
                <w:sz w:val="18"/>
              </w:rPr>
              <w:t>-19.8 pp</w:t>
            </w:r>
          </w:p>
        </w:tc>
        <w:tc>
          <w:tcPr>
            <w:tcW w:type="dxa" w:w="1296"/>
          </w:tcPr>
          <w:p>
            <w:r>
              <w:rPr>
                <w:sz w:val="18"/>
              </w:rPr>
            </w:r>
            <w:r>
              <w:rPr>
                <w:b w:val="0"/>
                <w:sz w:val="18"/>
              </w:rPr>
              <w:t>0.4s</w:t>
            </w:r>
          </w:p>
        </w:tc>
      </w:tr>
    </w:tbl>
    <w:p>
      <w:pPr>
        <w:spacing w:after="120"/>
      </w:pPr>
    </w:p>
    <w:p>
      <w:pPr>
        <w:spacing w:after="120"/>
      </w:pPr>
      <w:r>
        <w:rPr>
          <w:b w:val="0"/>
          <w:sz w:val="21"/>
        </w:rPr>
        <w:t xml:space="preserve">800 series, 548,754 rows, 475 seconds. Forecast Value Added is </w:t>
      </w:r>
      <w:r>
        <w:rPr>
          <w:b/>
          <w:sz w:val="21"/>
        </w:rPr>
        <w:t>positive at every horizon bucket</w:t>
      </w:r>
      <w:r>
        <w:rPr>
          <w:b w:val="0"/>
          <w:sz w:val="21"/>
        </w:rPr>
        <w:t xml:space="preserve"> (+11 to +15 points), so there is no horizon at which the naive benchmark would be the better choice.</w:t>
      </w:r>
    </w:p>
    <w:tbl>
      <w:tblPr>
        <w:tblStyle w:val="LightGrid-Accent1"/>
        <w:tblW w:type="auto" w:w="0"/>
        <w:jc w:val="center"/>
        <w:tblLook w:firstColumn="1" w:firstRow="1" w:lastColumn="0" w:lastRow="0" w:noHBand="0" w:noVBand="1" w:val="04A0"/>
      </w:tblPr>
      <w:tblGrid>
        <w:gridCol w:w="3216"/>
        <w:gridCol w:w="3216"/>
        <w:gridCol w:w="3216"/>
      </w:tblGrid>
      <w:tr>
        <w:tc>
          <w:tcPr>
            <w:tcW w:type="dxa" w:w="3456"/>
          </w:tcPr>
          <w:p>
            <w:r/>
            <w:r>
              <w:rPr>
                <w:b/>
                <w:sz w:val="18"/>
              </w:rPr>
              <w:t>Aggregation level</w:t>
            </w:r>
          </w:p>
        </w:tc>
        <w:tc>
          <w:tcPr>
            <w:tcW w:type="dxa" w:w="2304"/>
          </w:tcPr>
          <w:p>
            <w:r/>
            <w:r>
              <w:rPr>
                <w:b/>
                <w:sz w:val="18"/>
              </w:rPr>
              <w:t>Series</w:t>
            </w:r>
          </w:p>
        </w:tc>
        <w:tc>
          <w:tcPr>
            <w:tcW w:type="dxa" w:w="2304"/>
          </w:tcPr>
          <w:p>
            <w:r/>
            <w:r>
              <w:rPr>
                <w:b/>
                <w:sz w:val="18"/>
              </w:rPr>
              <w:t>WMAPE</w:t>
            </w:r>
          </w:p>
        </w:tc>
      </w:tr>
      <w:tr>
        <w:tc>
          <w:tcPr>
            <w:tcW w:type="dxa" w:w="3456"/>
          </w:tcPr>
          <w:p>
            <w:r>
              <w:rPr>
                <w:sz w:val="18"/>
              </w:rPr>
            </w:r>
            <w:r>
              <w:rPr>
                <w:b w:val="0"/>
                <w:sz w:val="18"/>
              </w:rPr>
              <w:t>product x store</w:t>
            </w:r>
          </w:p>
        </w:tc>
        <w:tc>
          <w:tcPr>
            <w:tcW w:type="dxa" w:w="2304"/>
          </w:tcPr>
          <w:p>
            <w:r>
              <w:rPr>
                <w:sz w:val="18"/>
              </w:rPr>
            </w:r>
            <w:r>
              <w:rPr>
                <w:b w:val="0"/>
                <w:sz w:val="18"/>
              </w:rPr>
              <w:t>45,295</w:t>
            </w:r>
          </w:p>
        </w:tc>
        <w:tc>
          <w:tcPr>
            <w:tcW w:type="dxa" w:w="2304"/>
          </w:tcPr>
          <w:p>
            <w:r>
              <w:rPr>
                <w:sz w:val="18"/>
              </w:rPr>
            </w:r>
            <w:r>
              <w:rPr>
                <w:b w:val="0"/>
                <w:sz w:val="18"/>
              </w:rPr>
              <w:t>43.6%</w:t>
            </w:r>
          </w:p>
        </w:tc>
      </w:tr>
      <w:tr>
        <w:tc>
          <w:tcPr>
            <w:tcW w:type="dxa" w:w="3456"/>
          </w:tcPr>
          <w:p>
            <w:r>
              <w:rPr>
                <w:sz w:val="18"/>
              </w:rPr>
            </w:r>
            <w:r>
              <w:rPr>
                <w:b w:val="0"/>
                <w:sz w:val="18"/>
              </w:rPr>
              <w:t>product</w:t>
            </w:r>
          </w:p>
        </w:tc>
        <w:tc>
          <w:tcPr>
            <w:tcW w:type="dxa" w:w="2304"/>
          </w:tcPr>
          <w:p>
            <w:r>
              <w:rPr>
                <w:sz w:val="18"/>
              </w:rPr>
            </w:r>
            <w:r>
              <w:rPr>
                <w:b w:val="0"/>
                <w:sz w:val="18"/>
              </w:rPr>
              <w:t>24,752</w:t>
            </w:r>
          </w:p>
        </w:tc>
        <w:tc>
          <w:tcPr>
            <w:tcW w:type="dxa" w:w="2304"/>
          </w:tcPr>
          <w:p>
            <w:r>
              <w:rPr>
                <w:sz w:val="18"/>
              </w:rPr>
            </w:r>
            <w:r>
              <w:rPr>
                <w:b w:val="0"/>
                <w:sz w:val="18"/>
              </w:rPr>
              <w:t>35.7%</w:t>
            </w:r>
          </w:p>
        </w:tc>
      </w:tr>
      <w:tr>
        <w:tc>
          <w:tcPr>
            <w:tcW w:type="dxa" w:w="3456"/>
          </w:tcPr>
          <w:p>
            <w:r>
              <w:rPr>
                <w:sz w:val="18"/>
              </w:rPr>
            </w:r>
            <w:r>
              <w:rPr>
                <w:b w:val="0"/>
                <w:sz w:val="18"/>
              </w:rPr>
              <w:t>store</w:t>
            </w:r>
          </w:p>
        </w:tc>
        <w:tc>
          <w:tcPr>
            <w:tcW w:type="dxa" w:w="2304"/>
          </w:tcPr>
          <w:p>
            <w:r>
              <w:rPr>
                <w:sz w:val="18"/>
              </w:rPr>
            </w:r>
            <w:r>
              <w:rPr>
                <w:b w:val="0"/>
                <w:sz w:val="18"/>
              </w:rPr>
              <w:t>4,857</w:t>
            </w:r>
          </w:p>
        </w:tc>
        <w:tc>
          <w:tcPr>
            <w:tcW w:type="dxa" w:w="2304"/>
          </w:tcPr>
          <w:p>
            <w:r>
              <w:rPr>
                <w:sz w:val="18"/>
              </w:rPr>
            </w:r>
            <w:r>
              <w:rPr>
                <w:b w:val="0"/>
                <w:sz w:val="18"/>
              </w:rPr>
              <w:t>18.7%</w:t>
            </w:r>
          </w:p>
        </w:tc>
      </w:tr>
      <w:tr>
        <w:tc>
          <w:tcPr>
            <w:tcW w:type="dxa" w:w="3456"/>
          </w:tcPr>
          <w:p>
            <w:r>
              <w:rPr>
                <w:sz w:val="18"/>
              </w:rPr>
            </w:r>
            <w:r>
              <w:rPr>
                <w:b w:val="0"/>
                <w:sz w:val="18"/>
              </w:rPr>
              <w:t>category</w:t>
            </w:r>
          </w:p>
        </w:tc>
        <w:tc>
          <w:tcPr>
            <w:tcW w:type="dxa" w:w="2304"/>
          </w:tcPr>
          <w:p>
            <w:r>
              <w:rPr>
                <w:sz w:val="18"/>
              </w:rPr>
            </w:r>
            <w:r>
              <w:rPr>
                <w:b w:val="0"/>
                <w:sz w:val="18"/>
              </w:rPr>
              <w:t>854</w:t>
            </w:r>
          </w:p>
        </w:tc>
        <w:tc>
          <w:tcPr>
            <w:tcW w:type="dxa" w:w="2304"/>
          </w:tcPr>
          <w:p>
            <w:r>
              <w:rPr>
                <w:sz w:val="18"/>
              </w:rPr>
            </w:r>
            <w:r>
              <w:rPr>
                <w:b w:val="0"/>
                <w:sz w:val="18"/>
              </w:rPr>
              <w:t>15.0%</w:t>
            </w:r>
          </w:p>
        </w:tc>
      </w:tr>
      <w:tr>
        <w:tc>
          <w:tcPr>
            <w:tcW w:type="dxa" w:w="3456"/>
          </w:tcPr>
          <w:p>
            <w:r>
              <w:rPr>
                <w:sz w:val="18"/>
              </w:rPr>
            </w:r>
            <w:r>
              <w:rPr>
                <w:b w:val="0"/>
                <w:sz w:val="18"/>
              </w:rPr>
              <w:t>region</w:t>
            </w:r>
          </w:p>
        </w:tc>
        <w:tc>
          <w:tcPr>
            <w:tcW w:type="dxa" w:w="2304"/>
          </w:tcPr>
          <w:p>
            <w:r>
              <w:rPr>
                <w:sz w:val="18"/>
              </w:rPr>
            </w:r>
            <w:r>
              <w:rPr>
                <w:b w:val="0"/>
                <w:sz w:val="18"/>
              </w:rPr>
              <w:t>610</w:t>
            </w:r>
          </w:p>
        </w:tc>
        <w:tc>
          <w:tcPr>
            <w:tcW w:type="dxa" w:w="2304"/>
          </w:tcPr>
          <w:p>
            <w:r>
              <w:rPr>
                <w:sz w:val="18"/>
              </w:rPr>
            </w:r>
            <w:r>
              <w:rPr>
                <w:b w:val="0"/>
                <w:sz w:val="18"/>
              </w:rPr>
              <w:t>11.8%</w:t>
            </w:r>
          </w:p>
        </w:tc>
      </w:tr>
      <w:tr>
        <w:tc>
          <w:tcPr>
            <w:tcW w:type="dxa" w:w="3456"/>
          </w:tcPr>
          <w:p>
            <w:r>
              <w:rPr>
                <w:sz w:val="18"/>
              </w:rPr>
            </w:r>
            <w:r>
              <w:rPr>
                <w:b/>
                <w:sz w:val="18"/>
              </w:rPr>
              <w:t>total</w:t>
            </w:r>
          </w:p>
        </w:tc>
        <w:tc>
          <w:tcPr>
            <w:tcW w:type="dxa" w:w="2304"/>
          </w:tcPr>
          <w:p>
            <w:r>
              <w:rPr>
                <w:sz w:val="18"/>
              </w:rPr>
            </w:r>
            <w:r>
              <w:rPr>
                <w:b w:val="0"/>
                <w:sz w:val="18"/>
              </w:rPr>
              <w:t>122</w:t>
            </w:r>
          </w:p>
        </w:tc>
        <w:tc>
          <w:tcPr>
            <w:tcW w:type="dxa" w:w="2304"/>
          </w:tcPr>
          <w:p>
            <w:r>
              <w:rPr>
                <w:sz w:val="18"/>
              </w:rPr>
            </w:r>
            <w:r>
              <w:rPr>
                <w:b/>
                <w:sz w:val="18"/>
              </w:rPr>
              <w:t>9.6%</w:t>
            </w:r>
          </w:p>
        </w:tc>
      </w:tr>
    </w:tbl>
    <w:p>
      <w:pPr>
        <w:spacing w:after="120"/>
      </w:pPr>
    </w:p>
    <w:p>
      <w:pPr>
        <w:spacing w:after="120"/>
      </w:pPr>
      <w:r>
        <w:rPr>
          <w:b w:val="0"/>
          <w:sz w:val="21"/>
        </w:rPr>
        <w:t>Error falls by a factor of 4.5 from SKU to total. Bottom-up aggregation is exactly coherent by construction, so nothing is reconciled - this table quantifies the price of that choice, and answers 'should I trust the regional number more than the SKU number?' with a magnitude.</w:t>
      </w:r>
    </w:p>
    <w:p>
      <w:pPr>
        <w:spacing w:before="120" w:after="160"/>
        <w:ind w:left="360"/>
        <w:shd w:fill="F7F9FC"/>
      </w:pPr>
      <w:r>
        <w:rPr>
          <w:b/>
          <w:color w:val="1B4965"/>
          <w:sz w:val="19"/>
        </w:rPr>
        <w:t xml:space="preserve">Reported rather than smoothed.  </w:t>
      </w:r>
      <w:r>
        <w:rPr>
          <w:b w:val="0"/>
          <w:sz w:val="20"/>
        </w:rPr>
        <w:t>The horizon gradient is shallow - 43.6% at h1-3 against 44.7% at h57-90, only 1.1 points over three months. At 1.25x the noise floor there are only ~9 points of learnable signal in total, so a steep curve is arithmetically unavailable. That makes the gradient weak evidence about join correctness on this dataset, and the leakage tests carry that argument instead.</w:t>
      </w:r>
    </w:p>
    <w:p>
      <w:pPr>
        <w:spacing w:before="120" w:after="160"/>
        <w:ind w:left="360"/>
        <w:shd w:fill="F7F9FC"/>
      </w:pPr>
      <w:r>
        <w:rPr>
          <w:b/>
          <w:color w:val="B3403A"/>
          <w:sz w:val="19"/>
        </w:rPr>
        <w:t xml:space="preserve">The parameter trap worth remembering.  </w:t>
      </w:r>
      <w:r>
        <w:rPr>
          <w:b w:val="0"/>
          <w:sz w:val="20"/>
        </w:rPr>
        <w:t xml:space="preserve">XGBoost first scored 82.9% WMAPE at +58% bias and looked far worse than LightGBM. The cause was semantics: </w:t>
      </w:r>
      <w:r>
        <w:rPr>
          <w:rFonts w:ascii="Consolas" w:hAnsi="Consolas"/>
          <w:b w:val="0"/>
          <w:sz w:val="18"/>
        </w:rPr>
        <w:t>min_child_weight</w:t>
      </w:r>
      <w:r>
        <w:rPr>
          <w:b w:val="0"/>
          <w:sz w:val="20"/>
        </w:rPr>
        <w:t xml:space="preserve"> sums Hessians, and under </w:t>
      </w:r>
      <w:r>
        <w:rPr>
          <w:rFonts w:ascii="Consolas" w:hAnsi="Consolas"/>
          <w:b w:val="0"/>
          <w:sz w:val="18"/>
        </w:rPr>
        <w:t>count:poisson</w:t>
      </w:r>
      <w:r>
        <w:rPr>
          <w:b w:val="0"/>
          <w:sz w:val="20"/>
        </w:rPr>
        <w:t xml:space="preserve"> the Hessian is approximately mu, so the parameter scales with the target level. LightGBM's </w:t>
      </w:r>
      <w:r>
        <w:rPr>
          <w:rFonts w:ascii="Consolas" w:hAnsi="Consolas"/>
          <w:b w:val="0"/>
          <w:sz w:val="18"/>
        </w:rPr>
        <w:t>min_child_samples</w:t>
      </w:r>
      <w:r>
        <w:rPr>
          <w:b w:val="0"/>
          <w:sz w:val="20"/>
        </w:rPr>
        <w:t xml:space="preserve"> counts rows. Setting both to 50 gave XGBoost ~38x less regularisation. Scaled to 50 x mean(y) it scores 43.8%. Reporting the unscaled run would have put a confident and completely false line in the comparison table.</w:t>
      </w:r>
    </w:p>
    <w:p>
      <w:pPr>
        <w:pStyle w:val="Heading3"/>
        <w:spacing w:before="200" w:after="120"/>
      </w:pPr>
      <w:r>
        <w:rPr>
          <w:color w:val="1B4965"/>
        </w:rPr>
        <w:t>Behaviour beyond the end of the data</w:t>
      </w:r>
    </w:p>
    <w:p>
      <w:pPr>
        <w:spacing w:after="120"/>
      </w:pPr>
      <w:r>
        <w:rPr>
          <w:b w:val="0"/>
          <w:sz w:val="21"/>
        </w:rPr>
        <w:t xml:space="preserve">The calendar, promotion schedule and price plan all end 2025-12-31, so a 90-day forecast is only fully informed from as-of 2025-10-02. Requests past that are </w:t>
      </w:r>
      <w:r>
        <w:rPr>
          <w:b/>
          <w:sz w:val="21"/>
        </w:rPr>
        <w:t>refused</w:t>
      </w:r>
      <w:r>
        <w:rPr>
          <w:b w:val="0"/>
          <w:sz w:val="21"/>
        </w:rPr>
        <w:t xml:space="preserve"> with a recoverable error naming the latest workable as-of.</w:t>
      </w:r>
    </w:p>
    <w:p>
      <w:pPr>
        <w:spacing w:after="0" w:before="0"/>
        <w:ind w:left="432"/>
        <w:shd w:fill="F4F6F9"/>
      </w:pPr>
      <w:r>
        <w:rPr>
          <w:rFonts w:ascii="Consolas" w:hAnsi="Consolas"/>
          <w:color w:val="1B2430"/>
          <w:sz w:val="17"/>
        </w:rPr>
        <w:t>insufficient_data: a 90-day horizon from 2025-12-01 reaches 2026-03-01, but the</w:t>
      </w:r>
    </w:p>
    <w:p>
      <w:pPr>
        <w:spacing w:after="0" w:before="0"/>
        <w:ind w:left="432"/>
        <w:shd w:fill="F4F6F9"/>
      </w:pPr>
      <w:r>
        <w:rPr>
          <w:rFonts w:ascii="Consolas" w:hAnsi="Consolas"/>
          <w:color w:val="1B2430"/>
          <w:sz w:val="17"/>
        </w:rPr>
        <w:t>calendar, promotion schedule and price plan end 2025-12-31. Forecasting past that</w:t>
      </w:r>
    </w:p>
    <w:p>
      <w:pPr>
        <w:spacing w:after="0" w:before="0"/>
        <w:ind w:left="432"/>
        <w:shd w:fill="F4F6F9"/>
      </w:pPr>
      <w:r>
        <w:rPr>
          <w:rFonts w:ascii="Consolas" w:hAnsi="Consolas"/>
          <w:color w:val="1B2430"/>
          <w:sz w:val="17"/>
        </w:rPr>
        <w:t>would mean assuming no promotions are planned, which biases those days low. The</w:t>
      </w:r>
    </w:p>
    <w:p>
      <w:pPr>
        <w:spacing w:after="0" w:before="0"/>
        <w:ind w:left="432"/>
        <w:shd w:fill="F4F6F9"/>
      </w:pPr>
      <w:r>
        <w:rPr>
          <w:rFonts w:ascii="Consolas" w:hAnsi="Consolas"/>
          <w:color w:val="1B2430"/>
          <w:sz w:val="17"/>
        </w:rPr>
        <w:t>latest as-of that supports a 90-day horizon is 2025-10-02.</w:t>
      </w:r>
    </w:p>
    <w:p>
      <w:pPr>
        <w:spacing w:after="80"/>
      </w:pPr>
    </w:p>
    <w:p>
      <w:pPr>
        <w:spacing w:after="120"/>
      </w:pPr>
      <w:r>
        <w:rPr>
          <w:b w:val="0"/>
          <w:i/>
          <w:sz w:val="21"/>
        </w:rPr>
        <w:t>The alternative - assume no promotion runs and carry the last price forward - produces a number that is systematically low and indistinguishable from a real forecast.</w:t>
      </w:r>
    </w:p>
    <w:p>
      <w:r>
        <w:br w:type="page"/>
      </w:r>
    </w:p>
    <w:p>
      <w:pPr>
        <w:pStyle w:val="Heading1"/>
        <w:spacing w:before="280" w:after="120"/>
      </w:pPr>
      <w:r>
        <w:rPr>
          <w:color w:val="1B4965"/>
        </w:rPr>
        <w:t>Part IV  -  Cross-cutting concerns</w:t>
      </w:r>
    </w:p>
    <w:p>
      <w:pPr>
        <w:pStyle w:val="Heading2"/>
        <w:spacing w:before="280" w:after="120"/>
      </w:pPr>
      <w:r>
        <w:rPr>
          <w:color w:val="1B4965"/>
        </w:rPr>
        <w:t>Leakage: defence in depth</w:t>
      </w:r>
    </w:p>
    <w:p>
      <w:pPr>
        <w:spacing w:after="120"/>
      </w:pPr>
      <w:r>
        <w:rPr>
          <w:b w:val="0"/>
          <w:sz w:val="21"/>
        </w:rPr>
        <w:t>Leakage has the worst signal-to-noise of any failure mode in applied ML: it never raises, never warns, and makes every number look better. The only defence is to assert the absence of something, repeatedly, from several angles.</w:t>
      </w:r>
    </w:p>
    <w:p>
      <w:pPr>
        <w:jc w:val="center"/>
      </w:pPr>
      <w:r>
        <w:drawing>
          <wp:inline xmlns:a="http://schemas.openxmlformats.org/drawingml/2006/main" xmlns:pic="http://schemas.openxmlformats.org/drawingml/2006/picture">
            <wp:extent cx="5760720" cy="3257706"/>
            <wp:docPr id="10" name="Picture 10"/>
            <wp:cNvGraphicFramePr>
              <a:graphicFrameLocks noChangeAspect="1"/>
            </wp:cNvGraphicFramePr>
            <a:graphic>
              <a:graphicData uri="http://schemas.openxmlformats.org/drawingml/2006/picture">
                <pic:pic>
                  <pic:nvPicPr>
                    <pic:cNvPr id="0" name="11_leakage_defence.png"/>
                    <pic:cNvPicPr/>
                  </pic:nvPicPr>
                  <pic:blipFill>
                    <a:blip r:embed="rId18"/>
                    <a:stretch>
                      <a:fillRect/>
                    </a:stretch>
                  </pic:blipFill>
                  <pic:spPr>
                    <a:xfrm>
                      <a:off x="0" y="0"/>
                      <a:ext cx="5760720" cy="3257706"/>
                    </a:xfrm>
                    <a:prstGeom prst="rect"/>
                  </pic:spPr>
                </pic:pic>
              </a:graphicData>
            </a:graphic>
          </wp:inline>
        </w:drawing>
      </w:r>
    </w:p>
    <w:p>
      <w:pPr>
        <w:spacing w:after="240"/>
        <w:jc w:val="center"/>
      </w:pPr>
      <w:r>
        <w:rPr>
          <w:i/>
          <w:color w:val="5A6472"/>
          <w:sz w:val="18"/>
        </w:rPr>
        <w:t>Figure 10  -  Five independent layers, each catching what the others miss.</w:t>
      </w:r>
    </w:p>
    <w:p>
      <w:pPr>
        <w:spacing w:before="120" w:after="160"/>
        <w:ind w:left="360"/>
        <w:shd w:fill="F7F9FC"/>
      </w:pPr>
      <w:r>
        <w:rPr>
          <w:b/>
          <w:color w:val="1B4965"/>
          <w:sz w:val="19"/>
        </w:rPr>
        <w:t xml:space="preserve">The test that makes the rest meaningful.  </w:t>
      </w:r>
      <w:r>
        <w:rPr>
          <w:b w:val="0"/>
          <w:sz w:val="20"/>
        </w:rPr>
        <w:t xml:space="preserve">A test that has never failed proves nothing about its ability to detect anything. So the suite plants the exact bug the design prevents - </w:t>
      </w:r>
      <w:r>
        <w:rPr>
          <w:rFonts w:ascii="Consolas" w:hAnsi="Consolas"/>
          <w:b w:val="0"/>
          <w:sz w:val="18"/>
        </w:rPr>
        <w:t>horizon_features_from_target=True</w:t>
      </w:r>
      <w:r>
        <w:rPr>
          <w:b w:val="0"/>
          <w:sz w:val="20"/>
        </w:rPr>
        <w:t xml:space="preserve"> sources origin features from the target row - and asserts the detector fires. Without that, the mutation test is unfalsifiable.</w:t>
      </w:r>
    </w:p>
    <w:tbl>
      <w:tblPr>
        <w:tblStyle w:val="LightGrid-Accent1"/>
        <w:tblW w:type="auto" w:w="0"/>
        <w:jc w:val="center"/>
        <w:tblLook w:firstColumn="1" w:firstRow="1" w:lastColumn="0" w:lastRow="0" w:noHBand="0" w:noVBand="1" w:val="04A0"/>
      </w:tblPr>
      <w:tblGrid>
        <w:gridCol w:w="4824"/>
        <w:gridCol w:w="4824"/>
      </w:tblGrid>
      <w:tr>
        <w:tc>
          <w:tcPr>
            <w:tcW w:type="dxa" w:w="2736"/>
          </w:tcPr>
          <w:p>
            <w:r/>
            <w:r>
              <w:rPr>
                <w:b/>
                <w:sz w:val="18"/>
              </w:rPr>
              <w:t>Test</w:t>
            </w:r>
          </w:p>
        </w:tc>
        <w:tc>
          <w:tcPr>
            <w:tcW w:type="dxa" w:w="5904"/>
          </w:tcPr>
          <w:p>
            <w:r/>
            <w:r>
              <w:rPr>
                <w:b/>
                <w:sz w:val="18"/>
              </w:rPr>
              <w:t>Asserts</w:t>
            </w:r>
          </w:p>
        </w:tc>
      </w:tr>
      <w:tr>
        <w:tc>
          <w:tcPr>
            <w:tcW w:type="dxa" w:w="2736"/>
          </w:tcPr>
          <w:p>
            <w:r>
              <w:rPr>
                <w:sz w:val="18"/>
              </w:rPr>
            </w:r>
            <w:r>
              <w:rPr>
                <w:b w:val="0"/>
                <w:sz w:val="18"/>
              </w:rPr>
              <w:t>Mutation (T1)</w:t>
            </w:r>
          </w:p>
        </w:tc>
        <w:tc>
          <w:tcPr>
            <w:tcW w:type="dxa" w:w="5904"/>
          </w:tcPr>
          <w:p>
            <w:r>
              <w:rPr>
                <w:sz w:val="18"/>
              </w:rPr>
            </w:r>
            <w:r>
              <w:rPr>
                <w:b w:val="0"/>
                <w:sz w:val="18"/>
              </w:rPr>
              <w:t>Corrupting all OBSERVED data after a cutoff leaves training features byte-identical</w:t>
            </w:r>
          </w:p>
        </w:tc>
      </w:tr>
      <w:tr>
        <w:tc>
          <w:tcPr>
            <w:tcW w:type="dxa" w:w="2736"/>
          </w:tcPr>
          <w:p>
            <w:r>
              <w:rPr>
                <w:sz w:val="18"/>
              </w:rPr>
            </w:r>
            <w:r>
              <w:rPr>
                <w:b w:val="0"/>
                <w:sz w:val="18"/>
              </w:rPr>
              <w:t>Falsifiability (T2)</w:t>
            </w:r>
          </w:p>
        </w:tc>
        <w:tc>
          <w:tcPr>
            <w:tcW w:type="dxa" w:w="5904"/>
          </w:tcPr>
          <w:p>
            <w:r>
              <w:rPr>
                <w:sz w:val="18"/>
              </w:rPr>
            </w:r>
            <w:r>
              <w:rPr>
                <w:b/>
                <w:sz w:val="18"/>
              </w:rPr>
              <w:t>T1 fails</w:t>
            </w:r>
            <w:r>
              <w:rPr>
                <w:b w:val="0"/>
                <w:sz w:val="18"/>
              </w:rPr>
              <w:t xml:space="preserve"> when the bug is deliberately planted</w:t>
            </w:r>
          </w:p>
        </w:tc>
      </w:tr>
      <w:tr>
        <w:tc>
          <w:tcPr>
            <w:tcW w:type="dxa" w:w="2736"/>
          </w:tcPr>
          <w:p>
            <w:r>
              <w:rPr>
                <w:sz w:val="18"/>
              </w:rPr>
            </w:r>
            <w:r>
              <w:rPr>
                <w:b w:val="0"/>
                <w:sz w:val="18"/>
              </w:rPr>
              <w:t>Arithmetic (T3)</w:t>
            </w:r>
          </w:p>
        </w:tc>
        <w:tc>
          <w:tcPr>
            <w:tcW w:type="dxa" w:w="5904"/>
          </w:tcPr>
          <w:p>
            <w:r>
              <w:rPr>
                <w:sz w:val="18"/>
              </w:rPr>
            </w:r>
            <w:r>
              <w:rPr>
                <w:rFonts w:ascii="Consolas" w:hAnsi="Consolas"/>
                <w:b w:val="0"/>
                <w:sz w:val="18"/>
              </w:rPr>
              <w:t>lag_7</w:t>
            </w:r>
            <w:r>
              <w:rPr>
                <w:b w:val="0"/>
                <w:sz w:val="18"/>
              </w:rPr>
              <w:t xml:space="preserve"> at origin </w:t>
            </w:r>
            <w:r>
              <w:rPr>
                <w:rFonts w:ascii="Consolas" w:hAnsi="Consolas"/>
                <w:b w:val="0"/>
                <w:sz w:val="18"/>
              </w:rPr>
              <w:t>t</w:t>
            </w:r>
            <w:r>
              <w:rPr>
                <w:b w:val="0"/>
                <w:sz w:val="18"/>
              </w:rPr>
              <w:t xml:space="preserve"> equals units at </w:t>
            </w:r>
            <w:r>
              <w:rPr>
                <w:rFonts w:ascii="Consolas" w:hAnsi="Consolas"/>
                <w:b w:val="0"/>
                <w:sz w:val="18"/>
              </w:rPr>
              <w:t>t-7</w:t>
            </w:r>
            <w:r>
              <w:rPr>
                <w:b w:val="0"/>
                <w:sz w:val="18"/>
              </w:rPr>
              <w:t>, reconstructed by hand from the source panel</w:t>
            </w:r>
          </w:p>
        </w:tc>
      </w:tr>
      <w:tr>
        <w:tc>
          <w:tcPr>
            <w:tcW w:type="dxa" w:w="2736"/>
          </w:tcPr>
          <w:p>
            <w:r>
              <w:rPr>
                <w:sz w:val="18"/>
              </w:rPr>
            </w:r>
            <w:r>
              <w:rPr>
                <w:b w:val="0"/>
                <w:sz w:val="18"/>
              </w:rPr>
              <w:t>Horizon monotonicity (T4)</w:t>
            </w:r>
          </w:p>
        </w:tc>
        <w:tc>
          <w:tcPr>
            <w:tcW w:type="dxa" w:w="5904"/>
          </w:tcPr>
          <w:p>
            <w:r>
              <w:rPr>
                <w:sz w:val="18"/>
              </w:rPr>
            </w:r>
            <w:r>
              <w:rPr>
                <w:b w:val="0"/>
                <w:sz w:val="18"/>
              </w:rPr>
              <w:t>Error over long horizons exceeds short ones</w:t>
            </w:r>
          </w:p>
        </w:tc>
      </w:tr>
      <w:tr>
        <w:tc>
          <w:tcPr>
            <w:tcW w:type="dxa" w:w="2736"/>
          </w:tcPr>
          <w:p>
            <w:r>
              <w:rPr>
                <w:sz w:val="18"/>
              </w:rPr>
            </w:r>
            <w:r>
              <w:rPr>
                <w:b w:val="0"/>
                <w:sz w:val="18"/>
              </w:rPr>
              <w:t>Noise floor (T5)</w:t>
            </w:r>
          </w:p>
        </w:tc>
        <w:tc>
          <w:tcPr>
            <w:tcW w:type="dxa" w:w="5904"/>
          </w:tcPr>
          <w:p>
            <w:r>
              <w:rPr>
                <w:sz w:val="18"/>
              </w:rPr>
            </w:r>
            <w:r>
              <w:rPr>
                <w:b w:val="0"/>
                <w:sz w:val="18"/>
              </w:rPr>
              <w:t>Nothing scores below the irreducible 35% WMAPE</w:t>
            </w:r>
          </w:p>
        </w:tc>
      </w:tr>
      <w:tr>
        <w:tc>
          <w:tcPr>
            <w:tcW w:type="dxa" w:w="2736"/>
          </w:tcPr>
          <w:p>
            <w:r>
              <w:rPr>
                <w:sz w:val="18"/>
              </w:rPr>
            </w:r>
            <w:r>
              <w:rPr>
                <w:b w:val="0"/>
                <w:sz w:val="18"/>
              </w:rPr>
              <w:t>Train/serve (T6)</w:t>
            </w:r>
          </w:p>
        </w:tc>
        <w:tc>
          <w:tcPr>
            <w:tcW w:type="dxa" w:w="5904"/>
          </w:tcPr>
          <w:p>
            <w:r>
              <w:rPr>
                <w:sz w:val="18"/>
              </w:rPr>
            </w:r>
            <w:r>
              <w:rPr>
                <w:b w:val="0"/>
                <w:sz w:val="18"/>
              </w:rPr>
              <w:t>Both feature paths produce identical vectors</w:t>
            </w:r>
          </w:p>
        </w:tc>
      </w:tr>
      <w:tr>
        <w:tc>
          <w:tcPr>
            <w:tcW w:type="dxa" w:w="2736"/>
          </w:tcPr>
          <w:p>
            <w:r>
              <w:rPr>
                <w:sz w:val="18"/>
              </w:rPr>
            </w:r>
            <w:r>
              <w:rPr>
                <w:b w:val="0"/>
                <w:sz w:val="18"/>
              </w:rPr>
              <w:t>Embargo (T7)</w:t>
            </w:r>
          </w:p>
        </w:tc>
        <w:tc>
          <w:tcPr>
            <w:tcW w:type="dxa" w:w="5904"/>
          </w:tcPr>
          <w:p>
            <w:r>
              <w:rPr>
                <w:sz w:val="18"/>
              </w:rPr>
            </w:r>
            <w:r>
              <w:rPr>
                <w:b w:val="0"/>
                <w:sz w:val="18"/>
              </w:rPr>
              <w:t>No training target lands inside an evaluation fold</w:t>
            </w:r>
          </w:p>
        </w:tc>
      </w:tr>
    </w:tbl>
    <w:p>
      <w:pPr>
        <w:spacing w:after="120"/>
      </w:pPr>
    </w:p>
    <w:p>
      <w:pPr>
        <w:spacing w:after="120"/>
      </w:pPr>
      <w:r>
        <w:rPr>
          <w:b w:val="0"/>
          <w:i/>
          <w:sz w:val="21"/>
        </w:rPr>
        <w:t>T6 has already earned its place twice: it caught festival columns going missing over short serving windows, and categorical dtypes being inferred per frame.</w:t>
      </w:r>
    </w:p>
    <w:p>
      <w:pPr>
        <w:pStyle w:val="Heading2"/>
        <w:spacing w:before="280" w:after="120"/>
      </w:pPr>
      <w:r>
        <w:rPr>
          <w:color w:val="1B4965"/>
        </w:rPr>
        <w:t>Testing philosophy</w:t>
      </w:r>
    </w:p>
    <w:p>
      <w:pPr>
        <w:pStyle w:val="ListBullet"/>
        <w:spacing w:after="60"/>
      </w:pPr>
      <w:r>
        <w:rPr>
          <w:b/>
          <w:sz w:val="20"/>
        </w:rPr>
        <w:t>Reconstruct expectations by hand.</w:t>
      </w:r>
      <w:r>
        <w:rPr>
          <w:b w:val="0"/>
          <w:sz w:val="20"/>
        </w:rPr>
        <w:t xml:space="preserve"> A test that calls the implementation to compute its own expected value cannot detect a bug in that implementation.</w:t>
      </w:r>
    </w:p>
    <w:p>
      <w:pPr>
        <w:pStyle w:val="ListBullet"/>
        <w:spacing w:after="60"/>
      </w:pPr>
      <w:r>
        <w:rPr>
          <w:b/>
          <w:sz w:val="20"/>
        </w:rPr>
        <w:t>Prefer behavioural assertions.</w:t>
      </w:r>
      <w:r>
        <w:rPr>
          <w:b w:val="0"/>
          <w:sz w:val="20"/>
        </w:rPr>
        <w:t xml:space="preserve"> 'Error grows with horizon' survives a refactor that renames every feature; a test naming columns does not.</w:t>
      </w:r>
    </w:p>
    <w:p>
      <w:pPr>
        <w:pStyle w:val="ListBullet"/>
        <w:spacing w:after="60"/>
      </w:pPr>
      <w:r>
        <w:rPr>
          <w:b/>
          <w:sz w:val="20"/>
        </w:rPr>
        <w:t>Contextualise, do not hard-code.</w:t>
      </w:r>
      <w:r>
        <w:rPr>
          <w:b w:val="0"/>
          <w:sz w:val="20"/>
        </w:rPr>
        <w:t xml:space="preserve"> Comparing WMAPE against a measured noise floor is a statement about the model. Comparing it against a threshold that happened to pass is a statement about how the fixture is tuned.</w:t>
      </w:r>
    </w:p>
    <w:p>
      <w:pPr>
        <w:pStyle w:val="ListBullet"/>
        <w:spacing w:after="60"/>
      </w:pPr>
      <w:r>
        <w:rPr>
          <w:b/>
          <w:sz w:val="20"/>
        </w:rPr>
        <w:t>Test the failure path first.</w:t>
      </w:r>
      <w:r>
        <w:rPr>
          <w:b w:val="0"/>
          <w:sz w:val="20"/>
        </w:rPr>
        <w:t xml:space="preserve"> Most of what matters about a service is how it behaves when something is missing, and that is the path least likely to be exercised by hand.</w:t>
      </w:r>
    </w:p>
    <w:tbl>
      <w:tblPr>
        <w:tblStyle w:val="LightGrid-Accent1"/>
        <w:tblW w:type="auto" w:w="0"/>
        <w:jc w:val="center"/>
        <w:tblLook w:firstColumn="1" w:firstRow="1" w:lastColumn="0" w:lastRow="0" w:noHBand="0" w:noVBand="1" w:val="04A0"/>
      </w:tblPr>
      <w:tblGrid>
        <w:gridCol w:w="4824"/>
        <w:gridCol w:w="4824"/>
      </w:tblGrid>
      <w:tr>
        <w:tc>
          <w:tcPr>
            <w:tcW w:type="dxa" w:w="2016"/>
          </w:tcPr>
          <w:p>
            <w:r/>
            <w:r>
              <w:rPr>
                <w:b/>
                <w:sz w:val="18"/>
              </w:rPr>
              <w:t>Marker</w:t>
            </w:r>
          </w:p>
        </w:tc>
        <w:tc>
          <w:tcPr>
            <w:tcW w:type="dxa" w:w="6624"/>
          </w:tcPr>
          <w:p>
            <w:r/>
            <w:r>
              <w:rPr>
                <w:b/>
                <w:sz w:val="18"/>
              </w:rPr>
              <w:t>Covers</w:t>
            </w:r>
          </w:p>
        </w:tc>
      </w:tr>
      <w:tr>
        <w:tc>
          <w:tcPr>
            <w:tcW w:type="dxa" w:w="2016"/>
          </w:tcPr>
          <w:p>
            <w:r>
              <w:rPr>
                <w:sz w:val="18"/>
              </w:rPr>
            </w:r>
            <w:r>
              <w:rPr>
                <w:rFonts w:ascii="Consolas" w:hAnsi="Consolas"/>
                <w:b w:val="0"/>
                <w:sz w:val="18"/>
              </w:rPr>
              <w:t>unit</w:t>
            </w:r>
          </w:p>
        </w:tc>
        <w:tc>
          <w:tcPr>
            <w:tcW w:type="dxa" w:w="6624"/>
          </w:tcPr>
          <w:p>
            <w:r>
              <w:rPr>
                <w:sz w:val="18"/>
              </w:rPr>
            </w:r>
            <w:r>
              <w:rPr>
                <w:b w:val="0"/>
                <w:sz w:val="18"/>
              </w:rPr>
              <w:t>Fast, isolated, no I/O</w:t>
            </w:r>
          </w:p>
        </w:tc>
      </w:tr>
      <w:tr>
        <w:tc>
          <w:tcPr>
            <w:tcW w:type="dxa" w:w="2016"/>
          </w:tcPr>
          <w:p>
            <w:r>
              <w:rPr>
                <w:sz w:val="18"/>
              </w:rPr>
            </w:r>
            <w:r>
              <w:rPr>
                <w:rFonts w:ascii="Consolas" w:hAnsi="Consolas"/>
                <w:b w:val="0"/>
                <w:sz w:val="18"/>
              </w:rPr>
              <w:t>data</w:t>
            </w:r>
          </w:p>
        </w:tc>
        <w:tc>
          <w:tcPr>
            <w:tcW w:type="dxa" w:w="6624"/>
          </w:tcPr>
          <w:p>
            <w:r>
              <w:rPr>
                <w:sz w:val="18"/>
              </w:rPr>
            </w:r>
            <w:r>
              <w:rPr>
                <w:b w:val="0"/>
                <w:sz w:val="18"/>
              </w:rPr>
              <w:t>Synthetic generation and dataset invariants</w:t>
            </w:r>
          </w:p>
        </w:tc>
      </w:tr>
      <w:tr>
        <w:tc>
          <w:tcPr>
            <w:tcW w:type="dxa" w:w="2016"/>
          </w:tcPr>
          <w:p>
            <w:r>
              <w:rPr>
                <w:sz w:val="18"/>
              </w:rPr>
            </w:r>
            <w:r>
              <w:rPr>
                <w:rFonts w:ascii="Consolas" w:hAnsi="Consolas"/>
                <w:b w:val="0"/>
                <w:sz w:val="18"/>
              </w:rPr>
              <w:t>features</w:t>
            </w:r>
          </w:p>
        </w:tc>
        <w:tc>
          <w:tcPr>
            <w:tcW w:type="dxa" w:w="6624"/>
          </w:tcPr>
          <w:p>
            <w:r>
              <w:rPr>
                <w:sz w:val="18"/>
              </w:rPr>
            </w:r>
            <w:r>
              <w:rPr>
                <w:b w:val="0"/>
                <w:sz w:val="18"/>
              </w:rPr>
              <w:t>Feature engineering and the feature repository</w:t>
            </w:r>
          </w:p>
        </w:tc>
      </w:tr>
      <w:tr>
        <w:tc>
          <w:tcPr>
            <w:tcW w:type="dxa" w:w="2016"/>
          </w:tcPr>
          <w:p>
            <w:r>
              <w:rPr>
                <w:sz w:val="18"/>
              </w:rPr>
            </w:r>
            <w:r>
              <w:rPr>
                <w:rFonts w:ascii="Consolas" w:hAnsi="Consolas"/>
                <w:b w:val="0"/>
                <w:sz w:val="18"/>
              </w:rPr>
              <w:t>models</w:t>
            </w:r>
          </w:p>
        </w:tc>
        <w:tc>
          <w:tcPr>
            <w:tcW w:type="dxa" w:w="6624"/>
          </w:tcPr>
          <w:p>
            <w:r>
              <w:rPr>
                <w:sz w:val="18"/>
              </w:rPr>
            </w:r>
            <w:r>
              <w:rPr>
                <w:b w:val="0"/>
                <w:sz w:val="18"/>
              </w:rPr>
              <w:t>ML model behaviour</w:t>
            </w:r>
          </w:p>
        </w:tc>
      </w:tr>
      <w:tr>
        <w:tc>
          <w:tcPr>
            <w:tcW w:type="dxa" w:w="2016"/>
          </w:tcPr>
          <w:p>
            <w:r>
              <w:rPr>
                <w:sz w:val="18"/>
              </w:rPr>
            </w:r>
            <w:r>
              <w:rPr>
                <w:rFonts w:ascii="Consolas" w:hAnsi="Consolas"/>
                <w:b w:val="0"/>
                <w:sz w:val="18"/>
              </w:rPr>
              <w:t>leakage</w:t>
            </w:r>
          </w:p>
        </w:tc>
        <w:tc>
          <w:tcPr>
            <w:tcW w:type="dxa" w:w="6624"/>
          </w:tcPr>
          <w:p>
            <w:r>
              <w:rPr>
                <w:sz w:val="18"/>
              </w:rPr>
            </w:r>
            <w:r>
              <w:rPr>
                <w:b w:val="0"/>
                <w:sz w:val="18"/>
              </w:rPr>
              <w:t>Point-in-time correctness - the property Steps 4-11 depend on</w:t>
            </w:r>
          </w:p>
        </w:tc>
      </w:tr>
      <w:tr>
        <w:tc>
          <w:tcPr>
            <w:tcW w:type="dxa" w:w="2016"/>
          </w:tcPr>
          <w:p>
            <w:r>
              <w:rPr>
                <w:sz w:val="18"/>
              </w:rPr>
            </w:r>
            <w:r>
              <w:rPr>
                <w:rFonts w:ascii="Consolas" w:hAnsi="Consolas"/>
                <w:b w:val="0"/>
                <w:sz w:val="18"/>
              </w:rPr>
              <w:t>statistical</w:t>
            </w:r>
          </w:p>
        </w:tc>
        <w:tc>
          <w:tcPr>
            <w:tcW w:type="dxa" w:w="6624"/>
          </w:tcPr>
          <w:p>
            <w:r>
              <w:rPr>
                <w:sz w:val="18"/>
              </w:rPr>
            </w:r>
            <w:r>
              <w:rPr>
                <w:b w:val="0"/>
                <w:sz w:val="18"/>
              </w:rPr>
              <w:t>Relationship recovery against known ground truth</w:t>
            </w:r>
          </w:p>
        </w:tc>
      </w:tr>
      <w:tr>
        <w:tc>
          <w:tcPr>
            <w:tcW w:type="dxa" w:w="2016"/>
          </w:tcPr>
          <w:p>
            <w:r>
              <w:rPr>
                <w:sz w:val="18"/>
              </w:rPr>
            </w:r>
            <w:r>
              <w:rPr>
                <w:rFonts w:ascii="Consolas" w:hAnsi="Consolas"/>
                <w:b w:val="0"/>
                <w:sz w:val="18"/>
              </w:rPr>
              <w:t>integration</w:t>
            </w:r>
          </w:p>
        </w:tc>
        <w:tc>
          <w:tcPr>
            <w:tcW w:type="dxa" w:w="6624"/>
          </w:tcPr>
          <w:p>
            <w:r>
              <w:rPr>
                <w:sz w:val="18"/>
              </w:rPr>
            </w:r>
            <w:r>
              <w:rPr>
                <w:b w:val="0"/>
                <w:sz w:val="18"/>
              </w:rPr>
              <w:t>API and on-disk artifacts</w:t>
            </w:r>
          </w:p>
        </w:tc>
      </w:tr>
    </w:tbl>
    <w:p>
      <w:pPr>
        <w:spacing w:after="120"/>
      </w:pPr>
    </w:p>
    <w:p>
      <w:pPr>
        <w:pStyle w:val="Heading2"/>
        <w:spacing w:before="280" w:after="120"/>
      </w:pPr>
      <w:r>
        <w:rPr>
          <w:color w:val="1B4965"/>
        </w:rPr>
        <w:t>Reproducibility</w:t>
      </w:r>
    </w:p>
    <w:p>
      <w:pPr>
        <w:spacing w:after="120"/>
      </w:pPr>
      <w:r>
        <w:rPr>
          <w:b w:val="0"/>
          <w:sz w:val="21"/>
        </w:rPr>
        <w:t xml:space="preserve">Every training run records the seed, dataset version, feature version, code commit, split boundaries, hyper-parameters, and a </w:t>
      </w:r>
      <w:r>
        <w:rPr>
          <w:b/>
          <w:sz w:val="21"/>
        </w:rPr>
        <w:t>config fingerprint</w:t>
      </w:r>
      <w:r>
        <w:rPr>
          <w:b w:val="0"/>
          <w:sz w:val="21"/>
        </w:rPr>
        <w:t xml:space="preserve"> - one hash over the entire configuration. Two runs sharing a fingerprint used the same setup; two that differ are not comparable, and the difference is discoverable rather than argued about.</w:t>
      </w:r>
    </w:p>
    <w:p>
      <w:pPr>
        <w:spacing w:before="120" w:after="160"/>
        <w:ind w:left="360"/>
        <w:shd w:fill="F7F9FC"/>
      </w:pPr>
      <w:r>
        <w:rPr>
          <w:b/>
          <w:color w:val="B3403A"/>
          <w:sz w:val="19"/>
        </w:rPr>
        <w:t xml:space="preserve">A guard learned expensively.  </w:t>
      </w:r>
      <w:r>
        <w:rPr>
          <w:b w:val="0"/>
          <w:sz w:val="20"/>
        </w:rPr>
        <w:t xml:space="preserve">The evaluation report is written </w:t>
      </w:r>
      <w:r>
        <w:rPr>
          <w:b/>
          <w:sz w:val="20"/>
        </w:rPr>
        <w:t>before</w:t>
      </w:r>
      <w:r>
        <w:rPr>
          <w:b w:val="0"/>
          <w:sz w:val="20"/>
        </w:rPr>
        <w:t xml:space="preserve"> MLflow tracking, and a tracking failure never fails the run. A three-hour Step 4 run was lost when MLflow rejected its own default store after every model had already been fitted. Bookkeeping must never destroy the thing it is keeping books on.</w:t>
      </w:r>
    </w:p>
    <w:p>
      <w:pPr>
        <w:pStyle w:val="Heading2"/>
        <w:spacing w:before="280" w:after="120"/>
      </w:pPr>
      <w:r>
        <w:rPr>
          <w:color w:val="1B4965"/>
        </w:rPr>
        <w:t>Serving and the agent contract</w:t>
      </w:r>
    </w:p>
    <w:p>
      <w:pPr>
        <w:jc w:val="center"/>
      </w:pPr>
      <w:r>
        <w:drawing>
          <wp:inline xmlns:a="http://schemas.openxmlformats.org/drawingml/2006/main" xmlns:pic="http://schemas.openxmlformats.org/drawingml/2006/picture">
            <wp:extent cx="5760720" cy="3218154"/>
            <wp:docPr id="11" name="Picture 11"/>
            <wp:cNvGraphicFramePr>
              <a:graphicFrameLocks noChangeAspect="1"/>
            </wp:cNvGraphicFramePr>
            <a:graphic>
              <a:graphicData uri="http://schemas.openxmlformats.org/drawingml/2006/picture">
                <pic:pic>
                  <pic:nvPicPr>
                    <pic:cNvPr id="0" name="10_serving_path.png"/>
                    <pic:cNvPicPr/>
                  </pic:nvPicPr>
                  <pic:blipFill>
                    <a:blip r:embed="rId19"/>
                    <a:stretch>
                      <a:fillRect/>
                    </a:stretch>
                  </pic:blipFill>
                  <pic:spPr>
                    <a:xfrm>
                      <a:off x="0" y="0"/>
                      <a:ext cx="5760720" cy="3218154"/>
                    </a:xfrm>
                    <a:prstGeom prst="rect"/>
                  </pic:spPr>
                </pic:pic>
              </a:graphicData>
            </a:graphic>
          </wp:inline>
        </w:drawing>
      </w:r>
    </w:p>
    <w:p>
      <w:pPr>
        <w:spacing w:after="240"/>
        <w:jc w:val="center"/>
      </w:pPr>
      <w:r>
        <w:rPr>
          <w:i/>
          <w:color w:val="5A6472"/>
          <w:sz w:val="18"/>
        </w:rPr>
        <w:t>Figure 11  -  What the agent sees, and what it is deliberately never told.</w:t>
      </w:r>
    </w:p>
    <w:p>
      <w:pPr>
        <w:spacing w:after="120"/>
      </w:pPr>
      <w:r>
        <w:rPr>
          <w:b w:val="0"/>
          <w:sz w:val="21"/>
        </w:rPr>
        <w:t xml:space="preserve">The agent should be able to state a number with its uncertainty and re-plan around a refusal. It should </w:t>
      </w:r>
      <w:r>
        <w:rPr>
          <w:b/>
          <w:sz w:val="21"/>
        </w:rPr>
        <w:t>not</w:t>
      </w:r>
      <w:r>
        <w:rPr>
          <w:b w:val="0"/>
          <w:sz w:val="21"/>
        </w:rPr>
        <w:t xml:space="preserve"> need to know that LightGBM exists, where the parquet lives, how features are built, or what MLflow is - and none of that appears in the tool schema.</w:t>
      </w:r>
    </w:p>
    <w:p>
      <w:pPr>
        <w:spacing w:before="120" w:after="160"/>
        <w:ind w:left="360"/>
        <w:shd w:fill="F7F9FC"/>
      </w:pPr>
      <w:r>
        <w:rPr>
          <w:b/>
          <w:color w:val="1B4965"/>
          <w:sz w:val="19"/>
        </w:rPr>
        <w:t xml:space="preserve">On confidence.  </w:t>
      </w:r>
      <w:r>
        <w:rPr>
          <w:rFonts w:ascii="Consolas" w:hAnsi="Consolas"/>
          <w:b w:val="0"/>
          <w:sz w:val="18"/>
        </w:rPr>
        <w:t>confidence</w:t>
      </w:r>
      <w:r>
        <w:rPr>
          <w:b w:val="0"/>
          <w:sz w:val="20"/>
        </w:rPr>
        <w:t xml:space="preserve"> is measured interval coverage, or it is absent. There is no third option where a plausible-looking number appears because the field exists. A fabricated 0.89 costs nothing to emit and means nothing.</w:t>
      </w:r>
    </w:p>
    <w:p>
      <w:r>
        <w:br w:type="page"/>
      </w:r>
    </w:p>
    <w:p>
      <w:pPr>
        <w:pStyle w:val="Heading1"/>
        <w:spacing w:before="280" w:after="120"/>
      </w:pPr>
      <w:r>
        <w:rPr>
          <w:color w:val="1B4965"/>
        </w:rPr>
        <w:t>Part V  -  Operations</w:t>
      </w:r>
    </w:p>
    <w:p>
      <w:pPr>
        <w:pStyle w:val="Heading2"/>
        <w:spacing w:before="280" w:after="120"/>
      </w:pPr>
      <w:r>
        <w:rPr>
          <w:color w:val="1B4965"/>
        </w:rPr>
        <w:t>Setup</w:t>
      </w:r>
    </w:p>
    <w:p>
      <w:pPr>
        <w:spacing w:after="0" w:before="0"/>
        <w:ind w:left="432"/>
        <w:shd w:fill="F4F6F9"/>
      </w:pPr>
      <w:r>
        <w:rPr>
          <w:rFonts w:ascii="Consolas" w:hAnsi="Consolas"/>
          <w:color w:val="1B2430"/>
          <w:sz w:val="17"/>
        </w:rPr>
        <w:t>git clone &lt;repository&gt;</w:t>
      </w:r>
    </w:p>
    <w:p>
      <w:pPr>
        <w:spacing w:after="0" w:before="0"/>
        <w:ind w:left="432"/>
        <w:shd w:fill="F4F6F9"/>
      </w:pPr>
      <w:r>
        <w:rPr>
          <w:rFonts w:ascii="Consolas" w:hAnsi="Consolas"/>
          <w:color w:val="1B2430"/>
          <w:sz w:val="17"/>
        </w:rPr>
        <w:t>cd agentic-revenue-intelligence</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.\tasks.ps1 setup          # uv sync --all-extras, copies .env.example to .env</w:t>
      </w:r>
    </w:p>
    <w:p>
      <w:pPr>
        <w:spacing w:after="0" w:before="0"/>
        <w:ind w:left="432"/>
        <w:shd w:fill="F4F6F9"/>
      </w:pPr>
      <w:r>
        <w:rPr>
          <w:rFonts w:ascii="Consolas" w:hAnsi="Consolas"/>
          <w:color w:val="1B2430"/>
          <w:sz w:val="17"/>
        </w:rPr>
        <w:t>uv run ari config          # show resolved settings</w:t>
      </w:r>
    </w:p>
    <w:p>
      <w:pPr>
        <w:spacing w:after="0" w:before="0"/>
        <w:ind w:left="432"/>
        <w:shd w:fill="F4F6F9"/>
      </w:pPr>
      <w:r>
        <w:rPr>
          <w:rFonts w:ascii="Consolas" w:hAnsi="Consolas"/>
          <w:color w:val="1B2430"/>
          <w:sz w:val="17"/>
        </w:rPr>
        <w:t>uv run ari health          # probe every dependency</w:t>
      </w:r>
    </w:p>
    <w:p>
      <w:pPr>
        <w:spacing w:after="80"/>
      </w:pPr>
    </w:p>
    <w:p>
      <w:pPr>
        <w:pStyle w:val="Heading2"/>
        <w:spacing w:before="280" w:after="120"/>
      </w:pPr>
      <w:r>
        <w:rPr>
          <w:color w:val="1B4965"/>
        </w:rPr>
        <w:t>Generating data</w:t>
      </w:r>
    </w:p>
    <w:p>
      <w:pPr>
        <w:spacing w:after="0" w:before="0"/>
        <w:ind w:left="432"/>
        <w:shd w:fill="F4F6F9"/>
      </w:pPr>
      <w:r>
        <w:rPr>
          <w:rFonts w:ascii="Consolas" w:hAnsi="Consolas"/>
          <w:color w:val="1B2430"/>
          <w:sz w:val="17"/>
        </w:rPr>
        <w:t>uv run ari generate-data --profile dev --seed 42 --validate</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 Profiles:</w:t>
      </w:r>
    </w:p>
    <w:p>
      <w:pPr>
        <w:spacing w:after="0" w:before="0"/>
        <w:ind w:left="432"/>
        <w:shd w:fill="F4F6F9"/>
      </w:pPr>
      <w:r>
        <w:rPr>
          <w:rFonts w:ascii="Consolas" w:hAnsi="Consolas"/>
          <w:color w:val="1B2430"/>
          <w:sz w:val="17"/>
        </w:rPr>
        <w:t>#   smoke  - 40 products x 30 stores, used by CI and the test suite</w:t>
      </w:r>
    </w:p>
    <w:p>
      <w:pPr>
        <w:spacing w:after="0" w:before="0"/>
        <w:ind w:left="432"/>
        <w:shd w:fill="F4F6F9"/>
      </w:pPr>
      <w:r>
        <w:rPr>
          <w:rFonts w:ascii="Consolas" w:hAnsi="Consolas"/>
          <w:color w:val="1B2430"/>
          <w:sz w:val="17"/>
        </w:rPr>
        <w:t>#   dev    - 300 x 200, the working dataset</w:t>
      </w:r>
    </w:p>
    <w:p>
      <w:pPr>
        <w:spacing w:after="0" w:before="0"/>
        <w:ind w:left="432"/>
        <w:shd w:fill="F4F6F9"/>
      </w:pPr>
      <w:r>
        <w:rPr>
          <w:rFonts w:ascii="Consolas" w:hAnsi="Consolas"/>
          <w:color w:val="1B2430"/>
          <w:sz w:val="17"/>
        </w:rPr>
        <w:t>#   stress - larger, for performance work</w:t>
      </w:r>
    </w:p>
    <w:p>
      <w:pPr>
        <w:spacing w:after="80"/>
      </w:pPr>
    </w:p>
    <w:p>
      <w:pPr>
        <w:pStyle w:val="Heading2"/>
        <w:spacing w:before="280" w:after="120"/>
      </w:pPr>
      <w:r>
        <w:rPr>
          <w:color w:val="1B4965"/>
        </w:rPr>
        <w:t>Training the models</w:t>
      </w:r>
    </w:p>
    <w:p>
      <w:pPr>
        <w:spacing w:after="0" w:before="0"/>
        <w:ind w:left="432"/>
        <w:shd w:fill="F4F6F9"/>
      </w:pPr>
      <w:r>
        <w:rPr>
          <w:rFonts w:ascii="Consolas" w:hAnsi="Consolas"/>
          <w:color w:val="1B2430"/>
          <w:sz w:val="17"/>
        </w:rPr>
        <w:t># Step 4 - baseline sales</w:t>
      </w:r>
    </w:p>
    <w:p>
      <w:pPr>
        <w:spacing w:after="0" w:before="0"/>
        <w:ind w:left="432"/>
        <w:shd w:fill="F4F6F9"/>
      </w:pPr>
      <w:r>
        <w:rPr>
          <w:rFonts w:ascii="Consolas" w:hAnsi="Consolas"/>
          <w:color w:val="1B2430"/>
          <w:sz w:val="17"/>
        </w:rPr>
        <w:t>uv run python scripts/train_baseline.py --profile dev --seed 42</w:t>
      </w:r>
    </w:p>
    <w:p>
      <w:pPr>
        <w:spacing w:after="0" w:before="0"/>
        <w:ind w:left="432"/>
        <w:shd w:fill="F4F6F9"/>
      </w:pPr>
      <w:r>
        <w:rPr>
          <w:rFonts w:ascii="Consolas" w:hAnsi="Consolas"/>
          <w:color w:val="1B2430"/>
          <w:sz w:val="17"/>
        </w:rPr>
        <w:t>uv run python scripts/train_baseline.py --sample-pairs 200 --no-backtest --no-track</w:t>
      </w:r>
    </w:p>
    <w:p>
      <w:pPr>
        <w:spacing w:after="0" w:before="0"/>
        <w:ind w:left="432"/>
        <w:shd w:fill="F4F6F9"/>
      </w:pPr>
      <w:r>
        <w:rPr>
          <w:rFonts w:ascii="Consolas" w:hAnsi="Consolas"/>
          <w:color w:val="1B2430"/>
          <w:sz w:val="17"/>
        </w:rPr>
        <w:t xml:space="preserve"> </w:t>
      </w:r>
    </w:p>
    <w:p>
      <w:pPr>
        <w:spacing w:after="0" w:before="0"/>
        <w:ind w:left="432"/>
        <w:shd w:fill="F4F6F9"/>
      </w:pPr>
      <w:r>
        <w:rPr>
          <w:rFonts w:ascii="Consolas" w:hAnsi="Consolas"/>
          <w:color w:val="1B2430"/>
          <w:sz w:val="17"/>
        </w:rPr>
        <w:t># Step 5 - demand forecasting</w:t>
      </w:r>
    </w:p>
    <w:p>
      <w:pPr>
        <w:spacing w:after="0" w:before="0"/>
        <w:ind w:left="432"/>
        <w:shd w:fill="F4F6F9"/>
      </w:pPr>
      <w:r>
        <w:rPr>
          <w:rFonts w:ascii="Consolas" w:hAnsi="Consolas"/>
          <w:color w:val="1B2430"/>
          <w:sz w:val="17"/>
        </w:rPr>
        <w:t>uv run python scripts/train_forecast.py --smoke --no-track    # &lt;60s, correctness</w:t>
      </w:r>
    </w:p>
    <w:p>
      <w:pPr>
        <w:spacing w:after="0" w:before="0"/>
        <w:ind w:left="432"/>
        <w:shd w:fill="F4F6F9"/>
      </w:pPr>
      <w:r>
        <w:rPr>
          <w:rFonts w:ascii="Consolas" w:hAnsi="Consolas"/>
          <w:color w:val="1B2430"/>
          <w:sz w:val="17"/>
        </w:rPr>
        <w:t>uv run python scripts/train_forecast.py --seed 42             # ~8 min, the deliverable</w:t>
      </w:r>
    </w:p>
    <w:p>
      <w:pPr>
        <w:spacing w:after="0" w:before="0"/>
        <w:ind w:left="432"/>
        <w:shd w:fill="F4F6F9"/>
      </w:pPr>
      <w:r>
        <w:rPr>
          <w:rFonts w:ascii="Consolas" w:hAnsi="Consolas"/>
          <w:color w:val="1B2430"/>
          <w:sz w:val="17"/>
        </w:rPr>
        <w:t>uv run python scripts/train_forecast.py --full                # hours, declared</w:t>
      </w:r>
    </w:p>
    <w:p>
      <w:pPr>
        <w:spacing w:after="80"/>
      </w:pPr>
    </w:p>
    <w:p>
      <w:pPr>
        <w:spacing w:before="120" w:after="160"/>
        <w:ind w:left="360"/>
        <w:shd w:fill="F7F9FC"/>
      </w:pPr>
      <w:r>
        <w:rPr>
          <w:b/>
          <w:color w:val="1B4965"/>
          <w:sz w:val="19"/>
        </w:rPr>
        <w:t xml:space="preserve">Sampled runs write elsewhere.  </w:t>
      </w:r>
      <w:r>
        <w:rPr>
          <w:b w:val="0"/>
          <w:sz w:val="20"/>
        </w:rPr>
        <w:t xml:space="preserve">A sampled run persists to </w:t>
      </w:r>
      <w:r>
        <w:rPr>
          <w:rFonts w:ascii="Consolas" w:hAnsi="Consolas"/>
          <w:b w:val="0"/>
          <w:sz w:val="18"/>
        </w:rPr>
        <w:t>models/*_sampled/</w:t>
      </w:r>
      <w:r>
        <w:rPr>
          <w:b w:val="0"/>
          <w:sz w:val="20"/>
        </w:rPr>
        <w:t>, never to the directory the service loads from. Step 4 learned this the expensive way: a 400-pair verification run silently replaced a model trained on the full panel, and the only visible trace was a smaller calibration count in the metadata sidecar.</w:t>
      </w:r>
    </w:p>
    <w:p>
      <w:pPr>
        <w:pStyle w:val="Heading2"/>
        <w:spacing w:before="280" w:after="120"/>
      </w:pPr>
      <w:r>
        <w:rPr>
          <w:color w:val="1B4965"/>
        </w:rPr>
        <w:t>Quality gates</w:t>
      </w:r>
    </w:p>
    <w:p>
      <w:pPr>
        <w:spacing w:after="0" w:before="0"/>
        <w:ind w:left="432"/>
        <w:shd w:fill="F4F6F9"/>
      </w:pPr>
      <w:r>
        <w:rPr>
          <w:rFonts w:ascii="Consolas" w:hAnsi="Consolas"/>
          <w:color w:val="1B2430"/>
          <w:sz w:val="17"/>
        </w:rPr>
        <w:t>.\tasks.ps1 check       # ruff + mypy + pytest</w:t>
      </w:r>
    </w:p>
    <w:p>
      <w:pPr>
        <w:spacing w:after="0" w:before="0"/>
        <w:ind w:left="432"/>
        <w:shd w:fill="F4F6F9"/>
      </w:pPr>
      <w:r>
        <w:rPr>
          <w:rFonts w:ascii="Consolas" w:hAnsi="Consolas"/>
          <w:color w:val="1B2430"/>
          <w:sz w:val="17"/>
        </w:rPr>
        <w:t>.\tasks.ps1 lint</w:t>
      </w:r>
    </w:p>
    <w:p>
      <w:pPr>
        <w:spacing w:after="0" w:before="0"/>
        <w:ind w:left="432"/>
        <w:shd w:fill="F4F6F9"/>
      </w:pPr>
      <w:r>
        <w:rPr>
          <w:rFonts w:ascii="Consolas" w:hAnsi="Consolas"/>
          <w:color w:val="1B2430"/>
          <w:sz w:val="17"/>
        </w:rPr>
        <w:t>.\tasks.ps1 typecheck</w:t>
      </w:r>
    </w:p>
    <w:p>
      <w:pPr>
        <w:spacing w:after="0" w:before="0"/>
        <w:ind w:left="432"/>
        <w:shd w:fill="F4F6F9"/>
      </w:pPr>
      <w:r>
        <w:rPr>
          <w:rFonts w:ascii="Consolas" w:hAnsi="Consolas"/>
          <w:color w:val="1B2430"/>
          <w:sz w:val="17"/>
        </w:rPr>
        <w:t>.\tasks.ps1 test</w:t>
      </w:r>
    </w:p>
    <w:p>
      <w:pPr>
        <w:spacing w:after="0" w:before="0"/>
        <w:ind w:left="432"/>
        <w:shd w:fill="F4F6F9"/>
      </w:pPr>
      <w:r>
        <w:rPr>
          <w:rFonts w:ascii="Consolas" w:hAnsi="Consolas"/>
          <w:color w:val="1B2430"/>
          <w:sz w:val="17"/>
        </w:rPr>
        <w:t>.\tasks.ps1 security    # bandit</w:t>
      </w:r>
    </w:p>
    <w:p>
      <w:pPr>
        <w:spacing w:after="80"/>
      </w:pPr>
    </w:p>
    <w:p>
      <w:pPr>
        <w:pStyle w:val="Heading2"/>
        <w:spacing w:before="280" w:after="120"/>
      </w:pPr>
      <w:r>
        <w:rPr>
          <w:color w:val="1B4965"/>
        </w:rPr>
        <w:t>Configuration reference</w:t>
      </w:r>
    </w:p>
    <w:tbl>
      <w:tblPr>
        <w:tblStyle w:val="LightGrid-Accent1"/>
        <w:tblW w:type="auto" w:w="0"/>
        <w:jc w:val="center"/>
        <w:tblLook w:firstColumn="1" w:firstRow="1" w:lastColumn="0" w:lastRow="0" w:noHBand="0" w:noVBand="1" w:val="04A0"/>
      </w:tblPr>
      <w:tblGrid>
        <w:gridCol w:w="4824"/>
        <w:gridCol w:w="4824"/>
      </w:tblGrid>
      <w:tr>
        <w:tc>
          <w:tcPr>
            <w:tcW w:type="dxa" w:w="3312"/>
          </w:tcPr>
          <w:p>
            <w:r/>
            <w:r>
              <w:rPr>
                <w:b/>
                <w:sz w:val="18"/>
              </w:rPr>
              <w:t>File</w:t>
            </w:r>
          </w:p>
        </w:tc>
        <w:tc>
          <w:tcPr>
            <w:tcW w:type="dxa" w:w="5328"/>
          </w:tcPr>
          <w:p>
            <w:r/>
            <w:r>
              <w:rPr>
                <w:b/>
                <w:sz w:val="18"/>
              </w:rPr>
              <w:t>Controls</w:t>
            </w:r>
          </w:p>
        </w:tc>
      </w:tr>
      <w:tr>
        <w:tc>
          <w:tcPr>
            <w:tcW w:type="dxa" w:w="3312"/>
          </w:tcPr>
          <w:p>
            <w:r>
              <w:rPr>
                <w:sz w:val="18"/>
              </w:rPr>
            </w:r>
            <w:r>
              <w:rPr>
                <w:rFonts w:ascii="Consolas" w:hAnsi="Consolas"/>
                <w:b w:val="0"/>
                <w:sz w:val="18"/>
              </w:rPr>
              <w:t>.env</w:t>
            </w:r>
          </w:p>
        </w:tc>
        <w:tc>
          <w:tcPr>
            <w:tcW w:type="dxa" w:w="5328"/>
          </w:tcPr>
          <w:p>
            <w:r>
              <w:rPr>
                <w:sz w:val="18"/>
              </w:rPr>
            </w:r>
            <w:r>
              <w:rPr>
                <w:b w:val="0"/>
                <w:sz w:val="18"/>
              </w:rPr>
              <w:t>Environment selection, credentials, paths. Never committed</w:t>
            </w:r>
          </w:p>
        </w:tc>
      </w:tr>
      <w:tr>
        <w:tc>
          <w:tcPr>
            <w:tcW w:type="dxa" w:w="3312"/>
          </w:tcPr>
          <w:p>
            <w:r>
              <w:rPr>
                <w:sz w:val="18"/>
              </w:rPr>
            </w:r>
            <w:r>
              <w:rPr>
                <w:rFonts w:ascii="Consolas" w:hAnsi="Consolas"/>
                <w:b w:val="0"/>
                <w:sz w:val="18"/>
              </w:rPr>
              <w:t>configs/data/*.yaml</w:t>
            </w:r>
          </w:p>
        </w:tc>
        <w:tc>
          <w:tcPr>
            <w:tcW w:type="dxa" w:w="5328"/>
          </w:tcPr>
          <w:p>
            <w:r>
              <w:rPr>
                <w:sz w:val="18"/>
              </w:rPr>
            </w:r>
            <w:r>
              <w:rPr>
                <w:b w:val="0"/>
                <w:sz w:val="18"/>
              </w:rPr>
              <w:t>Dataset profiles - scale, causal parameters, confounders</w:t>
            </w:r>
          </w:p>
        </w:tc>
      </w:tr>
      <w:tr>
        <w:tc>
          <w:tcPr>
            <w:tcW w:type="dxa" w:w="3312"/>
          </w:tcPr>
          <w:p>
            <w:r>
              <w:rPr>
                <w:sz w:val="18"/>
              </w:rPr>
            </w:r>
            <w:r>
              <w:rPr>
                <w:rFonts w:ascii="Consolas" w:hAnsi="Consolas"/>
                <w:b w:val="0"/>
                <w:sz w:val="18"/>
              </w:rPr>
              <w:t>configs/features/features.yaml</w:t>
            </w:r>
          </w:p>
        </w:tc>
        <w:tc>
          <w:tcPr>
            <w:tcW w:type="dxa" w:w="5328"/>
          </w:tcPr>
          <w:p>
            <w:r>
              <w:rPr>
                <w:sz w:val="18"/>
              </w:rPr>
            </w:r>
            <w:r>
              <w:rPr>
                <w:b w:val="0"/>
                <w:sz w:val="18"/>
              </w:rPr>
              <w:t>Which feature groups each model dataset uses</w:t>
            </w:r>
          </w:p>
        </w:tc>
      </w:tr>
      <w:tr>
        <w:tc>
          <w:tcPr>
            <w:tcW w:type="dxa" w:w="3312"/>
          </w:tcPr>
          <w:p>
            <w:r>
              <w:rPr>
                <w:sz w:val="18"/>
              </w:rPr>
            </w:r>
            <w:r>
              <w:rPr>
                <w:rFonts w:ascii="Consolas" w:hAnsi="Consolas"/>
                <w:b w:val="0"/>
                <w:sz w:val="18"/>
              </w:rPr>
              <w:t>configs/models/forecasting.yaml</w:t>
            </w:r>
          </w:p>
        </w:tc>
        <w:tc>
          <w:tcPr>
            <w:tcW w:type="dxa" w:w="5328"/>
          </w:tcPr>
          <w:p>
            <w:r>
              <w:rPr>
                <w:sz w:val="18"/>
              </w:rPr>
            </w:r>
            <w:r>
              <w:rPr>
                <w:b w:val="0"/>
                <w:sz w:val="18"/>
              </w:rPr>
              <w:t>Horizons, sampling, split, embargo, buckets</w:t>
            </w:r>
          </w:p>
        </w:tc>
      </w:tr>
      <w:tr>
        <w:tc>
          <w:tcPr>
            <w:tcW w:type="dxa" w:w="3312"/>
          </w:tcPr>
          <w:p>
            <w:r>
              <w:rPr>
                <w:sz w:val="18"/>
              </w:rPr>
            </w:r>
            <w:r>
              <w:rPr>
                <w:rFonts w:ascii="Consolas" w:hAnsi="Consolas"/>
                <w:b w:val="0"/>
                <w:sz w:val="18"/>
              </w:rPr>
              <w:t>pyproject.toml</w:t>
            </w:r>
          </w:p>
        </w:tc>
        <w:tc>
          <w:tcPr>
            <w:tcW w:type="dxa" w:w="5328"/>
          </w:tcPr>
          <w:p>
            <w:r>
              <w:rPr>
                <w:sz w:val="18"/>
              </w:rPr>
            </w:r>
            <w:r>
              <w:rPr>
                <w:b w:val="0"/>
                <w:sz w:val="18"/>
              </w:rPr>
              <w:t>Dependencies, ruff, mypy, pytest, bandit, coverage</w:t>
            </w:r>
          </w:p>
        </w:tc>
      </w:tr>
    </w:tbl>
    <w:p>
      <w:pPr>
        <w:spacing w:after="120"/>
      </w:pPr>
    </w:p>
    <w:p>
      <w:pPr>
        <w:spacing w:after="120"/>
      </w:pPr>
      <w:r>
        <w:rPr>
          <w:b w:val="0"/>
          <w:sz w:val="21"/>
        </w:rPr>
        <w:t>Key environment variables:</w:t>
      </w:r>
    </w:p>
    <w:p>
      <w:pPr>
        <w:spacing w:after="0" w:before="0"/>
        <w:ind w:left="432"/>
        <w:shd w:fill="F4F6F9"/>
      </w:pPr>
      <w:r>
        <w:rPr>
          <w:rFonts w:ascii="Consolas" w:hAnsi="Consolas"/>
          <w:color w:val="1B2430"/>
          <w:sz w:val="17"/>
        </w:rPr>
        <w:t>APP__ENVIRONMENT=local | databricks     # selects every seam implementation</w:t>
      </w:r>
    </w:p>
    <w:p>
      <w:pPr>
        <w:spacing w:after="0" w:before="0"/>
        <w:ind w:left="432"/>
        <w:shd w:fill="F4F6F9"/>
      </w:pPr>
      <w:r>
        <w:rPr>
          <w:rFonts w:ascii="Consolas" w:hAnsi="Consolas"/>
          <w:color w:val="1B2430"/>
          <w:sz w:val="17"/>
        </w:rPr>
        <w:t>DATA__PARQUET_ROOT=data/local/gold</w:t>
      </w:r>
    </w:p>
    <w:p>
      <w:pPr>
        <w:spacing w:after="0" w:before="0"/>
        <w:ind w:left="432"/>
        <w:shd w:fill="F4F6F9"/>
      </w:pPr>
      <w:r>
        <w:rPr>
          <w:rFonts w:ascii="Consolas" w:hAnsi="Consolas"/>
          <w:color w:val="1B2430"/>
          <w:sz w:val="17"/>
        </w:rPr>
        <w:t>ML__TRACKING_URI=sqlite:///data/local/mlflow.db</w:t>
      </w:r>
    </w:p>
    <w:p>
      <w:pPr>
        <w:spacing w:after="0" w:before="0"/>
        <w:ind w:left="432"/>
        <w:shd w:fill="F4F6F9"/>
      </w:pPr>
      <w:r>
        <w:rPr>
          <w:rFonts w:ascii="Consolas" w:hAnsi="Consolas"/>
          <w:color w:val="1B2430"/>
          <w:sz w:val="17"/>
        </w:rPr>
        <w:t>LLM__API_KEY=&lt;secret&gt;                   # never hard-coded, never logged</w:t>
      </w:r>
    </w:p>
    <w:p>
      <w:pPr>
        <w:spacing w:after="80"/>
      </w:pPr>
    </w:p>
    <w:p>
      <w:pPr>
        <w:pStyle w:val="Heading2"/>
        <w:spacing w:before="280" w:after="120"/>
      </w:pPr>
      <w:r>
        <w:rPr>
          <w:color w:val="1B4965"/>
        </w:rPr>
        <w:t>Databricks migration</w:t>
      </w:r>
    </w:p>
    <w:p>
      <w:pPr>
        <w:spacing w:after="120"/>
      </w:pPr>
      <w:r>
        <w:rPr>
          <w:b w:val="0"/>
          <w:sz w:val="21"/>
        </w:rPr>
        <w:t xml:space="preserve">Design only - nothing is implemented, per the project's staging rule. The full design lives in </w:t>
      </w:r>
      <w:r>
        <w:rPr>
          <w:rFonts w:ascii="Consolas" w:hAnsi="Consolas"/>
          <w:b w:val="0"/>
          <w:sz w:val="19"/>
        </w:rPr>
        <w:t>docs/databricks_migration.md</w:t>
      </w:r>
      <w:r>
        <w:rPr>
          <w:b w:val="0"/>
          <w:sz w:val="21"/>
        </w:rPr>
        <w:t xml:space="preserve"> and </w:t>
      </w:r>
      <w:r>
        <w:rPr>
          <w:rFonts w:ascii="Consolas" w:hAnsi="Consolas"/>
          <w:b w:val="0"/>
          <w:sz w:val="19"/>
        </w:rPr>
        <w:t>docs/forecasting_databricks_migration.md</w:t>
      </w:r>
      <w:r>
        <w:rPr>
          <w:b w:val="0"/>
          <w:sz w:val="21"/>
        </w:rPr>
        <w:t>.</w:t>
      </w:r>
    </w:p>
    <w:tbl>
      <w:tblPr>
        <w:tblStyle w:val="LightGrid-Accent1"/>
        <w:tblW w:type="auto" w:w="0"/>
        <w:jc w:val="center"/>
        <w:tblLook w:firstColumn="1" w:firstRow="1" w:lastColumn="0" w:lastRow="0" w:noHBand="0" w:noVBand="1" w:val="04A0"/>
      </w:tblPr>
      <w:tblGrid>
        <w:gridCol w:w="4824"/>
        <w:gridCol w:w="4824"/>
      </w:tblGrid>
      <w:tr>
        <w:tc>
          <w:tcPr>
            <w:tcW w:type="dxa" w:w="4320"/>
          </w:tcPr>
          <w:p>
            <w:r/>
            <w:r>
              <w:rPr>
                <w:b/>
                <w:sz w:val="18"/>
              </w:rPr>
              <w:t>Moves unchanged</w:t>
            </w:r>
          </w:p>
        </w:tc>
        <w:tc>
          <w:tcPr>
            <w:tcW w:type="dxa" w:w="4320"/>
          </w:tcPr>
          <w:p>
            <w:r/>
            <w:r>
              <w:rPr>
                <w:b/>
                <w:sz w:val="18"/>
              </w:rPr>
              <w:t>Genuinely changes</w:t>
            </w:r>
          </w:p>
        </w:tc>
      </w:tr>
      <w:tr>
        <w:tc>
          <w:tcPr>
            <w:tcW w:type="dxa" w:w="4320"/>
          </w:tcPr>
          <w:p>
            <w:r>
              <w:rPr>
                <w:sz w:val="18"/>
              </w:rPr>
            </w:r>
            <w:r>
              <w:rPr>
                <w:b w:val="0"/>
                <w:sz w:val="18"/>
              </w:rPr>
              <w:t>Config, splits, conformal, evaluation, estimators, schemas, the whole tool contract</w:t>
            </w:r>
          </w:p>
        </w:tc>
        <w:tc>
          <w:tcPr>
            <w:tcW w:type="dxa" w:w="4320"/>
          </w:tcPr>
          <w:p>
            <w:r>
              <w:rPr>
                <w:sz w:val="18"/>
              </w:rPr>
            </w:r>
            <w:r>
              <w:rPr>
                <w:b w:val="0"/>
                <w:sz w:val="18"/>
              </w:rPr>
              <w:t>Panel construction (pandas to PySpark), the horizon self-join (to a Delta join), the future scaffold, model loading (joblib to Unity Catalog), monitoring (to Lakehouse Monitoring)</w:t>
            </w:r>
          </w:p>
        </w:tc>
      </w:tr>
    </w:tbl>
    <w:p>
      <w:pPr>
        <w:spacing w:after="120"/>
      </w:pPr>
    </w:p>
    <w:p>
      <w:pPr>
        <w:spacing w:before="120" w:after="160"/>
        <w:ind w:left="360"/>
        <w:shd w:fill="F7F9FC"/>
      </w:pPr>
      <w:r>
        <w:rPr>
          <w:b/>
          <w:color w:val="1B4965"/>
          <w:sz w:val="19"/>
        </w:rPr>
        <w:t xml:space="preserve">What migration would not fix.  </w:t>
      </w:r>
      <w:r>
        <w:rPr>
          <w:b w:val="0"/>
          <w:sz w:val="20"/>
        </w:rPr>
        <w:t>The stockout-exclusion bias is a modelling decision, not a scale problem. The frozen competitor price is a data-availability fact. Distributing the statistical models faster would not make them appropriate at product-store grain. These travel unchanged and are named so the migration is not oversold.</w:t>
      </w:r>
    </w:p>
    <w:p>
      <w:r>
        <w:br w:type="page"/>
      </w:r>
    </w:p>
    <w:p>
      <w:pPr>
        <w:pStyle w:val="Heading1"/>
        <w:spacing w:before="280" w:after="120"/>
      </w:pPr>
      <w:r>
        <w:rPr>
          <w:color w:val="1B4965"/>
        </w:rPr>
        <w:t>Part VI  -  Retrospective</w:t>
      </w:r>
    </w:p>
    <w:p>
      <w:pPr>
        <w:pStyle w:val="Heading2"/>
        <w:spacing w:before="280" w:after="120"/>
      </w:pPr>
      <w:r>
        <w:rPr>
          <w:color w:val="1B4965"/>
        </w:rPr>
        <w:t>The defect catalogue</w:t>
      </w:r>
    </w:p>
    <w:p>
      <w:pPr>
        <w:spacing w:after="120"/>
      </w:pPr>
      <w:r>
        <w:rPr>
          <w:b w:val="0"/>
          <w:sz w:val="21"/>
        </w:rPr>
        <w:t>Every defect below was found by a test, a measurement, or a diagnostic that existed to be sceptical - not by code review. They are recorded because the pattern is more instructive than any individual bug.</w:t>
      </w:r>
    </w:p>
    <w:p>
      <w:pPr>
        <w:pStyle w:val="Heading3"/>
        <w:spacing w:before="200" w:after="120"/>
      </w:pPr>
      <w:r>
        <w:rPr>
          <w:color w:val="1B4965"/>
        </w:rPr>
        <w:t>Defects that produced wrong numbers silently</w:t>
      </w:r>
    </w:p>
    <w:tbl>
      <w:tblPr>
        <w:tblStyle w:val="LightGrid-Accent1"/>
        <w:tblW w:type="auto" w:w="0"/>
        <w:jc w:val="center"/>
        <w:tblLook w:firstColumn="1" w:firstRow="1" w:lastColumn="0" w:lastRow="0" w:noHBand="0" w:noVBand="1" w:val="04A0"/>
      </w:tblPr>
      <w:tblGrid>
        <w:gridCol w:w="4824"/>
        <w:gridCol w:w="4824"/>
      </w:tblGrid>
      <w:tr>
        <w:tc>
          <w:tcPr>
            <w:tcW w:type="dxa" w:w="4608"/>
          </w:tcPr>
          <w:p>
            <w:r/>
            <w:r>
              <w:rPr>
                <w:b/>
                <w:sz w:val="18"/>
              </w:rPr>
              <w:t>Defect</w:t>
            </w:r>
          </w:p>
        </w:tc>
        <w:tc>
          <w:tcPr>
            <w:tcW w:type="dxa" w:w="4032"/>
          </w:tcPr>
          <w:p>
            <w:r/>
            <w:r>
              <w:rPr>
                <w:b/>
                <w:sz w:val="18"/>
              </w:rPr>
              <w:t>How it surfaced</w:t>
            </w:r>
          </w:p>
        </w:tc>
      </w:tr>
      <w:tr>
        <w:tc>
          <w:tcPr>
            <w:tcW w:type="dxa" w:w="4608"/>
          </w:tcPr>
          <w:p>
            <w:r>
              <w:rPr>
                <w:sz w:val="18"/>
              </w:rPr>
            </w:r>
            <w:r>
              <w:rPr>
                <w:b w:val="0"/>
                <w:sz w:val="18"/>
              </w:rPr>
              <w:t>Inventory replenishment ordered against on-hand rather than inventory position, so stockouts were impossible</w:t>
            </w:r>
          </w:p>
        </w:tc>
        <w:tc>
          <w:tcPr>
            <w:tcW w:type="dxa" w:w="4032"/>
          </w:tcPr>
          <w:p>
            <w:r>
              <w:rPr>
                <w:sz w:val="18"/>
              </w:rPr>
            </w:r>
            <w:r>
              <w:rPr>
                <w:b w:val="0"/>
                <w:sz w:val="18"/>
              </w:rPr>
              <w:t>A dataset invariant test on days-of-cover</w:t>
            </w:r>
          </w:p>
        </w:tc>
      </w:tr>
      <w:tr>
        <w:tc>
          <w:tcPr>
            <w:tcW w:type="dxa" w:w="4608"/>
          </w:tcPr>
          <w:p>
            <w:r>
              <w:rPr>
                <w:sz w:val="18"/>
              </w:rPr>
            </w:r>
            <w:r>
              <w:rPr>
                <w:b w:val="0"/>
                <w:sz w:val="18"/>
              </w:rPr>
              <w:t>A query returned exactly 100,000 of 6.7M rows with no warning</w:t>
            </w:r>
          </w:p>
        </w:tc>
        <w:tc>
          <w:tcPr>
            <w:tcW w:type="dxa" w:w="4032"/>
          </w:tcPr>
          <w:p>
            <w:r>
              <w:rPr>
                <w:sz w:val="18"/>
              </w:rPr>
            </w:r>
            <w:r>
              <w:rPr>
                <w:b w:val="0"/>
                <w:sz w:val="18"/>
              </w:rPr>
              <w:t>A deliberate check that row counts matched expectations</w:t>
            </w:r>
          </w:p>
        </w:tc>
      </w:tr>
      <w:tr>
        <w:tc>
          <w:tcPr>
            <w:tcW w:type="dxa" w:w="4608"/>
          </w:tcPr>
          <w:p>
            <w:r>
              <w:rPr>
                <w:sz w:val="18"/>
              </w:rPr>
            </w:r>
            <w:r>
              <w:rPr>
                <w:rFonts w:ascii="Consolas" w:hAnsi="Consolas"/>
                <w:b w:val="0"/>
                <w:sz w:val="18"/>
              </w:rPr>
              <w:t>revenue</w:t>
            </w:r>
            <w:r>
              <w:rPr>
                <w:b w:val="0"/>
                <w:sz w:val="18"/>
              </w:rPr>
              <w:t xml:space="preserve"> reached the feature matrix, recovering the target exactly</w:t>
            </w:r>
          </w:p>
        </w:tc>
        <w:tc>
          <w:tcPr>
            <w:tcW w:type="dxa" w:w="4032"/>
          </w:tcPr>
          <w:p>
            <w:r>
              <w:rPr>
                <w:sz w:val="18"/>
              </w:rPr>
            </w:r>
            <w:r>
              <w:rPr>
                <w:b w:val="0"/>
                <w:sz w:val="18"/>
              </w:rPr>
              <w:t>A blanket correlation check against the target</w:t>
            </w:r>
          </w:p>
        </w:tc>
      </w:tr>
      <w:tr>
        <w:tc>
          <w:tcPr>
            <w:tcW w:type="dxa" w:w="4608"/>
          </w:tcPr>
          <w:p>
            <w:r>
              <w:rPr>
                <w:sz w:val="18"/>
              </w:rPr>
            </w:r>
            <w:r>
              <w:rPr>
                <w:b w:val="0"/>
                <w:sz w:val="18"/>
              </w:rPr>
              <w:t>Supply features taught the baseline that low stock predicts low demand</w:t>
            </w:r>
          </w:p>
        </w:tc>
        <w:tc>
          <w:tcPr>
            <w:tcW w:type="dxa" w:w="4032"/>
          </w:tcPr>
          <w:p>
            <w:r>
              <w:rPr>
                <w:sz w:val="18"/>
              </w:rPr>
            </w:r>
            <w:r>
              <w:rPr>
                <w:b w:val="0"/>
                <w:sz w:val="18"/>
              </w:rPr>
              <w:t>The stockout recovery diagnostic against latent demand</w:t>
            </w:r>
          </w:p>
        </w:tc>
      </w:tr>
      <w:tr>
        <w:tc>
          <w:tcPr>
            <w:tcW w:type="dxa" w:w="4608"/>
          </w:tcPr>
          <w:p>
            <w:r>
              <w:rPr>
                <w:sz w:val="18"/>
              </w:rPr>
            </w:r>
            <w:r>
              <w:rPr>
                <w:rFonts w:ascii="Consolas" w:hAnsi="Consolas"/>
                <w:b w:val="0"/>
                <w:sz w:val="18"/>
              </w:rPr>
              <w:t>sample_pairs=N</w:t>
            </w:r>
            <w:r>
              <w:rPr>
                <w:b w:val="0"/>
                <w:sz w:val="18"/>
              </w:rPr>
              <w:t xml:space="preserve"> loaded ~6.9x N series via an accidental cross product</w:t>
            </w:r>
          </w:p>
        </w:tc>
        <w:tc>
          <w:tcPr>
            <w:tcW w:type="dxa" w:w="4032"/>
          </w:tcPr>
          <w:p>
            <w:r>
              <w:rPr>
                <w:sz w:val="18"/>
              </w:rPr>
            </w:r>
            <w:r>
              <w:rPr>
                <w:b w:val="0"/>
                <w:sz w:val="18"/>
              </w:rPr>
              <w:t>Measuring the loaded series count against the request</w:t>
            </w:r>
          </w:p>
        </w:tc>
      </w:tr>
      <w:tr>
        <w:tc>
          <w:tcPr>
            <w:tcW w:type="dxa" w:w="4608"/>
          </w:tcPr>
          <w:p>
            <w:r>
              <w:rPr>
                <w:sz w:val="18"/>
              </w:rPr>
            </w:r>
            <w:r>
              <w:rPr>
                <w:b w:val="0"/>
                <w:sz w:val="18"/>
              </w:rPr>
              <w:t>Sampling was not reproducible - DuckDB returns GROUP BY rows unordered</w:t>
            </w:r>
          </w:p>
        </w:tc>
        <w:tc>
          <w:tcPr>
            <w:tcW w:type="dxa" w:w="4032"/>
          </w:tcPr>
          <w:p>
            <w:r>
              <w:rPr>
                <w:sz w:val="18"/>
              </w:rPr>
            </w:r>
            <w:r>
              <w:rPr>
                <w:b w:val="0"/>
                <w:sz w:val="18"/>
              </w:rPr>
              <w:t>A determinism test comparing two identical calls</w:t>
            </w:r>
          </w:p>
        </w:tc>
      </w:tr>
      <w:tr>
        <w:tc>
          <w:tcPr>
            <w:tcW w:type="dxa" w:w="4608"/>
          </w:tcPr>
          <w:p>
            <w:r>
              <w:rPr>
                <w:sz w:val="18"/>
              </w:rPr>
            </w:r>
            <w:r>
              <w:rPr>
                <w:b w:val="0"/>
                <w:sz w:val="18"/>
              </w:rPr>
              <w:t>Categorical dtypes inferred per frame gave inconsistent integer codes</w:t>
            </w:r>
          </w:p>
        </w:tc>
        <w:tc>
          <w:tcPr>
            <w:tcW w:type="dxa" w:w="4032"/>
          </w:tcPr>
          <w:p>
            <w:r>
              <w:rPr>
                <w:sz w:val="18"/>
              </w:rPr>
            </w:r>
            <w:r>
              <w:rPr>
                <w:b w:val="0"/>
                <w:sz w:val="18"/>
              </w:rPr>
              <w:t>XGBoost refused an unseen category; LightGBM had accepted it silently</w:t>
            </w:r>
          </w:p>
        </w:tc>
      </w:tr>
      <w:tr>
        <w:tc>
          <w:tcPr>
            <w:tcW w:type="dxa" w:w="4608"/>
          </w:tcPr>
          <w:p>
            <w:r>
              <w:rPr>
                <w:sz w:val="18"/>
              </w:rPr>
            </w:r>
            <w:r>
              <w:rPr>
                <w:b w:val="0"/>
                <w:sz w:val="18"/>
              </w:rPr>
              <w:t xml:space="preserve">XGBoost mis-regularised by 38x due to Hessian-scaled </w:t>
            </w:r>
            <w:r>
              <w:rPr>
                <w:rFonts w:ascii="Consolas" w:hAnsi="Consolas"/>
                <w:b w:val="0"/>
                <w:sz w:val="18"/>
              </w:rPr>
              <w:t>min_child_weight</w:t>
            </w:r>
          </w:p>
        </w:tc>
        <w:tc>
          <w:tcPr>
            <w:tcW w:type="dxa" w:w="4032"/>
          </w:tcPr>
          <w:p>
            <w:r>
              <w:rPr>
                <w:sz w:val="18"/>
              </w:rPr>
            </w:r>
            <w:r>
              <w:rPr>
                <w:b w:val="0"/>
                <w:sz w:val="18"/>
              </w:rPr>
              <w:t>A bias of +58% that could not be explained by overfitting</w:t>
            </w:r>
          </w:p>
        </w:tc>
      </w:tr>
    </w:tbl>
    <w:p>
      <w:pPr>
        <w:spacing w:after="120"/>
      </w:pPr>
    </w:p>
    <w:p>
      <w:pPr>
        <w:pStyle w:val="Heading3"/>
        <w:spacing w:before="200" w:after="120"/>
      </w:pPr>
      <w:r>
        <w:rPr>
          <w:color w:val="1B4965"/>
        </w:rPr>
        <w:t>Defects in the diagnostics themselves</w:t>
      </w:r>
    </w:p>
    <w:p>
      <w:pPr>
        <w:spacing w:after="120"/>
      </w:pPr>
      <w:r>
        <w:rPr>
          <w:b w:val="0"/>
          <w:sz w:val="21"/>
        </w:rPr>
        <w:t>Three cases where the measuring instrument was wrong rather than the model. These are the most dangerous kind, because they produce confident, incorrect verdicts.</w:t>
      </w:r>
    </w:p>
    <w:tbl>
      <w:tblPr>
        <w:tblStyle w:val="LightGrid-Accent1"/>
        <w:tblW w:type="auto" w:w="0"/>
        <w:jc w:val="center"/>
        <w:tblLook w:firstColumn="1" w:firstRow="1" w:lastColumn="0" w:lastRow="0" w:noHBand="0" w:noVBand="1" w:val="04A0"/>
      </w:tblPr>
      <w:tblGrid>
        <w:gridCol w:w="4824"/>
        <w:gridCol w:w="4824"/>
      </w:tblGrid>
      <w:tr>
        <w:tc>
          <w:tcPr>
            <w:tcW w:type="dxa" w:w="4608"/>
          </w:tcPr>
          <w:p>
            <w:r/>
            <w:r>
              <w:rPr>
                <w:b/>
                <w:sz w:val="18"/>
              </w:rPr>
              <w:t>Defect</w:t>
            </w:r>
          </w:p>
        </w:tc>
        <w:tc>
          <w:tcPr>
            <w:tcW w:type="dxa" w:w="4032"/>
          </w:tcPr>
          <w:p>
            <w:r/>
            <w:r>
              <w:rPr>
                <w:b/>
                <w:sz w:val="18"/>
              </w:rPr>
              <w:t>Consequence</w:t>
            </w:r>
          </w:p>
        </w:tc>
      </w:tr>
      <w:tr>
        <w:tc>
          <w:tcPr>
            <w:tcW w:type="dxa" w:w="4608"/>
          </w:tcPr>
          <w:p>
            <w:r>
              <w:rPr>
                <w:sz w:val="18"/>
              </w:rPr>
            </w:r>
            <w:r>
              <w:rPr>
                <w:b w:val="0"/>
                <w:sz w:val="18"/>
              </w:rPr>
              <w:t xml:space="preserve">The stockout criterion compared the baseline to </w:t>
            </w:r>
            <w:r>
              <w:rPr>
                <w:b/>
                <w:sz w:val="18"/>
              </w:rPr>
              <w:t>latent</w:t>
            </w:r>
            <w:r>
              <w:rPr>
                <w:b w:val="0"/>
                <w:sz w:val="18"/>
              </w:rPr>
              <w:t xml:space="preserve"> demand, ignoring that stockouts are endogenous and latent demand during one runs 1.57x normal</w:t>
            </w:r>
          </w:p>
        </w:tc>
        <w:tc>
          <w:tcPr>
            <w:tcW w:type="dxa" w:w="4032"/>
          </w:tcPr>
          <w:p>
            <w:r>
              <w:rPr>
                <w:sz w:val="18"/>
              </w:rPr>
            </w:r>
            <w:r>
              <w:rPr>
                <w:b w:val="0"/>
                <w:sz w:val="18"/>
              </w:rPr>
              <w:t>All six candidates were disqualified. The criterion, not the models, was wrong</w:t>
            </w:r>
          </w:p>
        </w:tc>
      </w:tr>
      <w:tr>
        <w:tc>
          <w:tcPr>
            <w:tcW w:type="dxa" w:w="4608"/>
          </w:tcPr>
          <w:p>
            <w:r>
              <w:rPr>
                <w:sz w:val="18"/>
              </w:rPr>
            </w:r>
            <w:r>
              <w:rPr>
                <w:rFonts w:ascii="Consolas" w:hAnsi="Consolas"/>
                <w:b w:val="0"/>
                <w:sz w:val="18"/>
              </w:rPr>
              <w:t>explain.py</w:t>
            </w:r>
            <w:r>
              <w:rPr>
                <w:b w:val="0"/>
                <w:sz w:val="18"/>
              </w:rPr>
              <w:t xml:space="preserve"> grouped the 364-day seasonal anchor with </w:t>
            </w:r>
            <w:r>
              <w:rPr>
                <w:rFonts w:ascii="Consolas" w:hAnsi="Consolas"/>
                <w:b w:val="0"/>
                <w:sz w:val="18"/>
              </w:rPr>
              <w:t>lag_1</w:t>
            </w:r>
            <w:r>
              <w:rPr>
                <w:b w:val="0"/>
                <w:sz w:val="18"/>
              </w:rPr>
              <w:t xml:space="preserve"> under one 'demand history' family</w:t>
            </w:r>
          </w:p>
        </w:tc>
        <w:tc>
          <w:tcPr>
            <w:tcW w:type="dxa" w:w="4032"/>
          </w:tcPr>
          <w:p>
            <w:r>
              <w:rPr>
                <w:sz w:val="18"/>
              </w:rPr>
            </w:r>
            <w:r>
              <w:rPr>
                <w:b w:val="0"/>
                <w:sz w:val="18"/>
              </w:rPr>
              <w:t>The combined share rose with horizon and looked exactly like the leakage alarm the function documents. Two features with opposite horizon profiles had been averaged into one diagnostic</w:t>
            </w:r>
          </w:p>
        </w:tc>
      </w:tr>
      <w:tr>
        <w:tc>
          <w:tcPr>
            <w:tcW w:type="dxa" w:w="4608"/>
          </w:tcPr>
          <w:p>
            <w:r>
              <w:rPr>
                <w:sz w:val="18"/>
              </w:rPr>
            </w:r>
            <w:r>
              <w:rPr>
                <w:b w:val="0"/>
                <w:sz w:val="18"/>
              </w:rPr>
              <w:t>The scalability claim said per-series ETS was 'hours per backtest fold'</w:t>
            </w:r>
          </w:p>
        </w:tc>
        <w:tc>
          <w:tcPr>
            <w:tcW w:type="dxa" w:w="4032"/>
          </w:tcPr>
          <w:p>
            <w:r>
              <w:rPr>
                <w:sz w:val="18"/>
              </w:rPr>
            </w:r>
            <w:r>
              <w:rPr>
                <w:b w:val="0"/>
                <w:sz w:val="18"/>
              </w:rPr>
              <w:t>Measurement showed 0.25s per fit - about 25 minutes for a full pass. Expensive, not infeasible. The claim was corrected and the argument moved to where the evidence supports it</w:t>
            </w:r>
          </w:p>
        </w:tc>
      </w:tr>
    </w:tbl>
    <w:p>
      <w:pPr>
        <w:spacing w:after="120"/>
      </w:pPr>
    </w:p>
    <w:p>
      <w:pPr>
        <w:pStyle w:val="Heading3"/>
        <w:spacing w:before="200" w:after="120"/>
      </w:pPr>
      <w:r>
        <w:rPr>
          <w:color w:val="1B4965"/>
        </w:rPr>
        <w:t>Process defects</w:t>
      </w:r>
    </w:p>
    <w:tbl>
      <w:tblPr>
        <w:tblStyle w:val="LightGrid-Accent1"/>
        <w:tblW w:type="auto" w:w="0"/>
        <w:jc w:val="center"/>
        <w:tblLook w:firstColumn="1" w:firstRow="1" w:lastColumn="0" w:lastRow="0" w:noHBand="0" w:noVBand="1" w:val="04A0"/>
      </w:tblPr>
      <w:tblGrid>
        <w:gridCol w:w="4824"/>
        <w:gridCol w:w="4824"/>
      </w:tblGrid>
      <w:tr>
        <w:tc>
          <w:tcPr>
            <w:tcW w:type="dxa" w:w="4608"/>
          </w:tcPr>
          <w:p>
            <w:r/>
            <w:r>
              <w:rPr>
                <w:b/>
                <w:sz w:val="18"/>
              </w:rPr>
              <w:t>Defect</w:t>
            </w:r>
          </w:p>
        </w:tc>
        <w:tc>
          <w:tcPr>
            <w:tcW w:type="dxa" w:w="4032"/>
          </w:tcPr>
          <w:p>
            <w:r/>
            <w:r>
              <w:rPr>
                <w:b/>
                <w:sz w:val="18"/>
              </w:rPr>
              <w:t>Rule now followed</w:t>
            </w:r>
          </w:p>
        </w:tc>
      </w:tr>
      <w:tr>
        <w:tc>
          <w:tcPr>
            <w:tcW w:type="dxa" w:w="4608"/>
          </w:tcPr>
          <w:p>
            <w:r>
              <w:rPr>
                <w:sz w:val="18"/>
              </w:rPr>
            </w:r>
            <w:r>
              <w:rPr>
                <w:b w:val="0"/>
                <w:sz w:val="18"/>
              </w:rPr>
              <w:t>A three-hour training run lost to an MLflow store rejection raised after training completed</w:t>
            </w:r>
          </w:p>
        </w:tc>
        <w:tc>
          <w:tcPr>
            <w:tcW w:type="dxa" w:w="4032"/>
          </w:tcPr>
          <w:p>
            <w:r>
              <w:rPr>
                <w:sz w:val="18"/>
              </w:rPr>
            </w:r>
            <w:r>
              <w:rPr>
                <w:b w:val="0"/>
                <w:sz w:val="18"/>
              </w:rPr>
              <w:t>Write the report before tracking; tracking failures never fail the run</w:t>
            </w:r>
          </w:p>
        </w:tc>
      </w:tr>
      <w:tr>
        <w:tc>
          <w:tcPr>
            <w:tcW w:type="dxa" w:w="4608"/>
          </w:tcPr>
          <w:p>
            <w:r>
              <w:rPr>
                <w:sz w:val="18"/>
              </w:rPr>
            </w:r>
            <w:r>
              <w:rPr>
                <w:b w:val="0"/>
                <w:sz w:val="18"/>
              </w:rPr>
              <w:t>A sampled verification run silently overwrote a full-panel model</w:t>
            </w:r>
          </w:p>
        </w:tc>
        <w:tc>
          <w:tcPr>
            <w:tcW w:type="dxa" w:w="4032"/>
          </w:tcPr>
          <w:p>
            <w:r>
              <w:rPr>
                <w:sz w:val="18"/>
              </w:rPr>
            </w:r>
            <w:r>
              <w:rPr>
                <w:b w:val="0"/>
                <w:sz w:val="18"/>
              </w:rPr>
              <w:t>Sampled runs write to their own directory</w:t>
            </w:r>
          </w:p>
        </w:tc>
      </w:tr>
      <w:tr>
        <w:tc>
          <w:tcPr>
            <w:tcW w:type="dxa" w:w="4608"/>
          </w:tcPr>
          <w:p>
            <w:r>
              <w:rPr>
                <w:sz w:val="18"/>
              </w:rPr>
            </w:r>
            <w:r>
              <w:rPr>
                <w:b w:val="0"/>
                <w:sz w:val="18"/>
              </w:rPr>
              <w:t>Regex patching of Python source deleted a method parameter</w:t>
            </w:r>
          </w:p>
        </w:tc>
        <w:tc>
          <w:tcPr>
            <w:tcW w:type="dxa" w:w="4032"/>
          </w:tcPr>
          <w:p>
            <w:r>
              <w:rPr>
                <w:sz w:val="18"/>
              </w:rPr>
            </w:r>
            <w:r>
              <w:rPr>
                <w:b w:val="0"/>
                <w:sz w:val="18"/>
              </w:rPr>
              <w:t>Never regex source code - use the editor</w:t>
            </w:r>
          </w:p>
        </w:tc>
      </w:tr>
      <w:tr>
        <w:tc>
          <w:tcPr>
            <w:tcW w:type="dxa" w:w="4608"/>
          </w:tcPr>
          <w:p>
            <w:r>
              <w:rPr>
                <w:sz w:val="18"/>
              </w:rPr>
            </w:r>
            <w:r>
              <w:rPr>
                <w:rFonts w:ascii="Consolas" w:hAnsi="Consolas"/>
                <w:b w:val="0"/>
                <w:sz w:val="18"/>
              </w:rPr>
              <w:t>New-Item -Force</w:t>
            </w:r>
            <w:r>
              <w:rPr>
                <w:b w:val="0"/>
                <w:sz w:val="18"/>
              </w:rPr>
              <w:t xml:space="preserve"> truncated existing </w:t>
            </w:r>
            <w:r>
              <w:rPr>
                <w:rFonts w:ascii="Consolas" w:hAnsi="Consolas"/>
                <w:b w:val="0"/>
                <w:sz w:val="18"/>
              </w:rPr>
              <w:t>__init__.py</w:t>
            </w:r>
            <w:r>
              <w:rPr>
                <w:b w:val="0"/>
                <w:sz w:val="18"/>
              </w:rPr>
              <w:t xml:space="preserve"> files</w:t>
            </w:r>
          </w:p>
        </w:tc>
        <w:tc>
          <w:tcPr>
            <w:tcW w:type="dxa" w:w="4032"/>
          </w:tcPr>
          <w:p>
            <w:r>
              <w:rPr>
                <w:sz w:val="18"/>
              </w:rPr>
            </w:r>
            <w:r>
              <w:rPr>
                <w:b w:val="0"/>
                <w:sz w:val="18"/>
              </w:rPr>
              <w:t>Check existence before creating</w:t>
            </w:r>
          </w:p>
        </w:tc>
      </w:tr>
      <w:tr>
        <w:tc>
          <w:tcPr>
            <w:tcW w:type="dxa" w:w="4608"/>
          </w:tcPr>
          <w:p>
            <w:r>
              <w:rPr>
                <w:sz w:val="18"/>
              </w:rPr>
            </w:r>
            <w:r>
              <w:rPr>
                <w:rFonts w:ascii="Consolas" w:hAnsi="Consolas"/>
                <w:b w:val="0"/>
                <w:sz w:val="18"/>
              </w:rPr>
              <w:t>Set-Content</w:t>
            </w:r>
            <w:r>
              <w:rPr>
                <w:b w:val="0"/>
                <w:sz w:val="18"/>
              </w:rPr>
              <w:t xml:space="preserve"> corrupted a UTF-8 notebook</w:t>
            </w:r>
          </w:p>
        </w:tc>
        <w:tc>
          <w:tcPr>
            <w:tcW w:type="dxa" w:w="4032"/>
          </w:tcPr>
          <w:p>
            <w:r>
              <w:rPr>
                <w:sz w:val="18"/>
              </w:rPr>
            </w:r>
            <w:r>
              <w:rPr>
                <w:b w:val="0"/>
                <w:sz w:val="18"/>
              </w:rPr>
              <w:t xml:space="preserve">Use the file-writing tools or Python for content, never </w:t>
            </w:r>
            <w:r>
              <w:rPr>
                <w:rFonts w:ascii="Consolas" w:hAnsi="Consolas"/>
                <w:b w:val="0"/>
                <w:sz w:val="18"/>
              </w:rPr>
              <w:t>Set-Content</w:t>
            </w:r>
          </w:p>
        </w:tc>
      </w:tr>
    </w:tbl>
    <w:p>
      <w:pPr>
        <w:spacing w:after="120"/>
      </w:pPr>
    </w:p>
    <w:p>
      <w:pPr>
        <w:pStyle w:val="Heading2"/>
        <w:spacing w:before="280" w:after="120"/>
      </w:pPr>
      <w:r>
        <w:rPr>
          <w:color w:val="1B4965"/>
        </w:rPr>
        <w:t>Known limitations</w:t>
      </w:r>
    </w:p>
    <w:tbl>
      <w:tblPr>
        <w:tblStyle w:val="LightGrid-Accent1"/>
        <w:tblW w:type="auto" w:w="0"/>
        <w:jc w:val="center"/>
        <w:tblLook w:firstColumn="1" w:firstRow="1" w:lastColumn="0" w:lastRow="0" w:noHBand="0" w:noVBand="1" w:val="04A0"/>
      </w:tblPr>
      <w:tblGrid>
        <w:gridCol w:w="4824"/>
        <w:gridCol w:w="4824"/>
      </w:tblGrid>
      <w:tr>
        <w:tc>
          <w:tcPr>
            <w:tcW w:type="dxa" w:w="3744"/>
          </w:tcPr>
          <w:p>
            <w:r/>
            <w:r>
              <w:rPr>
                <w:b/>
                <w:sz w:val="18"/>
              </w:rPr>
              <w:t>Limitation</w:t>
            </w:r>
          </w:p>
        </w:tc>
        <w:tc>
          <w:tcPr>
            <w:tcW w:type="dxa" w:w="4896"/>
          </w:tcPr>
          <w:p>
            <w:r/>
            <w:r>
              <w:rPr>
                <w:b/>
                <w:sz w:val="18"/>
              </w:rPr>
              <w:t>Consequence</w:t>
            </w:r>
          </w:p>
        </w:tc>
      </w:tr>
      <w:tr>
        <w:tc>
          <w:tcPr>
            <w:tcW w:type="dxa" w:w="3744"/>
          </w:tcPr>
          <w:p>
            <w:r>
              <w:rPr>
                <w:sz w:val="18"/>
              </w:rPr>
            </w:r>
            <w:r>
              <w:rPr>
                <w:b w:val="0"/>
                <w:sz w:val="18"/>
              </w:rPr>
              <w:t>Excluding stockout targets biases the forecast low</w:t>
            </w:r>
          </w:p>
        </w:tc>
        <w:tc>
          <w:tcPr>
            <w:tcW w:type="dxa" w:w="4896"/>
          </w:tcPr>
          <w:p>
            <w:r>
              <w:rPr>
                <w:sz w:val="18"/>
              </w:rPr>
            </w:r>
            <w:r>
              <w:rPr>
                <w:b w:val="0"/>
                <w:sz w:val="18"/>
              </w:rPr>
              <w:t>Stockouts are endogenous, so this removes part of the high-demand tail. Measured against latent demand and reported</w:t>
            </w:r>
          </w:p>
        </w:tc>
      </w:tr>
      <w:tr>
        <w:tc>
          <w:tcPr>
            <w:tcW w:type="dxa" w:w="3744"/>
          </w:tcPr>
          <w:p>
            <w:r>
              <w:rPr>
                <w:sz w:val="18"/>
              </w:rPr>
            </w:r>
            <w:r>
              <w:rPr>
                <w:b w:val="0"/>
                <w:sz w:val="18"/>
              </w:rPr>
              <w:t>No inventory signal in either model</w:t>
            </w:r>
          </w:p>
        </w:tc>
        <w:tc>
          <w:tcPr>
            <w:tcW w:type="dxa" w:w="4896"/>
          </w:tcPr>
          <w:p>
            <w:r>
              <w:rPr>
                <w:sz w:val="18"/>
              </w:rPr>
            </w:r>
            <w:r>
              <w:rPr>
                <w:b w:val="0"/>
                <w:sz w:val="18"/>
              </w:rPr>
              <w:t xml:space="preserve">Both forecast </w:t>
            </w:r>
            <w:r>
              <w:rPr>
                <w:b/>
                <w:sz w:val="18"/>
              </w:rPr>
              <w:t>demand</w:t>
            </w:r>
            <w:r>
              <w:rPr>
                <w:b w:val="0"/>
                <w:sz w:val="18"/>
              </w:rPr>
              <w:t>. A replenishment planner wants a different model</w:t>
            </w:r>
          </w:p>
        </w:tc>
      </w:tr>
      <w:tr>
        <w:tc>
          <w:tcPr>
            <w:tcW w:type="dxa" w:w="3744"/>
          </w:tcPr>
          <w:p>
            <w:r>
              <w:rPr>
                <w:sz w:val="18"/>
              </w:rPr>
            </w:r>
            <w:r>
              <w:rPr>
                <w:b w:val="0"/>
                <w:sz w:val="18"/>
              </w:rPr>
              <w:t>Competitor prices frozen at the forecast origin</w:t>
            </w:r>
          </w:p>
        </w:tc>
        <w:tc>
          <w:tcPr>
            <w:tcW w:type="dxa" w:w="4896"/>
          </w:tcPr>
          <w:p>
            <w:r>
              <w:rPr>
                <w:sz w:val="18"/>
              </w:rPr>
            </w:r>
            <w:r>
              <w:rPr>
                <w:b w:val="0"/>
                <w:sz w:val="18"/>
              </w:rPr>
              <w:t>A competitor move inside the horizon is invisible</w:t>
            </w:r>
          </w:p>
        </w:tc>
      </w:tr>
      <w:tr>
        <w:tc>
          <w:tcPr>
            <w:tcW w:type="dxa" w:w="3744"/>
          </w:tcPr>
          <w:p>
            <w:r>
              <w:rPr>
                <w:sz w:val="18"/>
              </w:rPr>
            </w:r>
            <w:r>
              <w:rPr>
                <w:b w:val="0"/>
                <w:sz w:val="18"/>
              </w:rPr>
              <w:t>No cannibalisation or halo modelling</w:t>
            </w:r>
          </w:p>
        </w:tc>
        <w:tc>
          <w:tcPr>
            <w:tcW w:type="dxa" w:w="4896"/>
          </w:tcPr>
          <w:p>
            <w:r>
              <w:rPr>
                <w:sz w:val="18"/>
              </w:rPr>
            </w:r>
            <w:r>
              <w:rPr>
                <w:b w:val="0"/>
                <w:sz w:val="18"/>
              </w:rPr>
              <w:t>A promotion on one SKU distorts its substitutes' numbers, unattributed</w:t>
            </w:r>
          </w:p>
        </w:tc>
      </w:tr>
      <w:tr>
        <w:tc>
          <w:tcPr>
            <w:tcW w:type="dxa" w:w="3744"/>
          </w:tcPr>
          <w:p>
            <w:r>
              <w:rPr>
                <w:sz w:val="18"/>
              </w:rPr>
            </w:r>
            <w:r>
              <w:rPr>
                <w:b w:val="0"/>
                <w:sz w:val="18"/>
              </w:rPr>
              <w:t>Promotional baseline cannot be point-validated</w:t>
            </w:r>
          </w:p>
        </w:tc>
        <w:tc>
          <w:tcPr>
            <w:tcW w:type="dxa" w:w="4896"/>
          </w:tcPr>
          <w:p>
            <w:r>
              <w:rPr>
                <w:sz w:val="18"/>
              </w:rPr>
            </w:r>
            <w:r>
              <w:rPr>
                <w:b w:val="0"/>
                <w:sz w:val="18"/>
              </w:rPr>
              <w:t>The store-level promo responsiveness multiplier is latent and unpublished, so validation there is directional only</w:t>
            </w:r>
          </w:p>
        </w:tc>
      </w:tr>
      <w:tr>
        <w:tc>
          <w:tcPr>
            <w:tcW w:type="dxa" w:w="3744"/>
          </w:tcPr>
          <w:p>
            <w:r>
              <w:rPr>
                <w:sz w:val="18"/>
              </w:rPr>
            </w:r>
            <w:r>
              <w:rPr>
                <w:b w:val="0"/>
                <w:sz w:val="18"/>
              </w:rPr>
              <w:t>Cannot forecast past 2025-12-31</w:t>
            </w:r>
          </w:p>
        </w:tc>
        <w:tc>
          <w:tcPr>
            <w:tcW w:type="dxa" w:w="4896"/>
          </w:tcPr>
          <w:p>
            <w:r>
              <w:rPr>
                <w:sz w:val="18"/>
              </w:rPr>
            </w:r>
            <w:r>
              <w:rPr>
                <w:b w:val="0"/>
                <w:sz w:val="18"/>
              </w:rPr>
              <w:t>A data limitation. Refused explicitly rather than faked</w:t>
            </w:r>
          </w:p>
        </w:tc>
      </w:tr>
      <w:tr>
        <w:tc>
          <w:tcPr>
            <w:tcW w:type="dxa" w:w="3744"/>
          </w:tcPr>
          <w:p>
            <w:r>
              <w:rPr>
                <w:sz w:val="18"/>
              </w:rPr>
            </w:r>
            <w:r>
              <w:rPr>
                <w:b w:val="0"/>
                <w:sz w:val="18"/>
              </w:rPr>
              <w:t>Conformal assumes exchangeability</w:t>
            </w:r>
          </w:p>
        </w:tc>
        <w:tc>
          <w:tcPr>
            <w:tcW w:type="dxa" w:w="4896"/>
          </w:tcPr>
          <w:p>
            <w:r>
              <w:rPr>
                <w:sz w:val="18"/>
              </w:rPr>
            </w:r>
            <w:r>
              <w:rPr>
                <w:b w:val="0"/>
                <w:sz w:val="18"/>
              </w:rPr>
              <w:t>A trend violates it mildly; coverage is measured per bucket so a shortfall surfaces</w:t>
            </w:r>
          </w:p>
        </w:tc>
      </w:tr>
      <w:tr>
        <w:tc>
          <w:tcPr>
            <w:tcW w:type="dxa" w:w="3744"/>
          </w:tcPr>
          <w:p>
            <w:r>
              <w:rPr>
                <w:sz w:val="18"/>
              </w:rPr>
            </w:r>
            <w:r>
              <w:rPr>
                <w:b w:val="0"/>
                <w:sz w:val="18"/>
              </w:rPr>
              <w:t>Trained on synthetic data</w:t>
            </w:r>
          </w:p>
        </w:tc>
        <w:tc>
          <w:tcPr>
            <w:tcW w:type="dxa" w:w="4896"/>
          </w:tcPr>
          <w:p>
            <w:r>
              <w:rPr>
                <w:sz w:val="18"/>
              </w:rPr>
            </w:r>
            <w:r>
              <w:rPr>
                <w:b w:val="0"/>
                <w:sz w:val="18"/>
              </w:rPr>
              <w:t>Real retail has structure this simulator does not reproduce</w:t>
            </w:r>
          </w:p>
        </w:tc>
      </w:tr>
    </w:tbl>
    <w:p>
      <w:pPr>
        <w:spacing w:after="120"/>
      </w:pPr>
    </w:p>
    <w:p>
      <w:pPr>
        <w:pStyle w:val="Heading2"/>
        <w:spacing w:before="280" w:after="120"/>
      </w:pPr>
      <w:r>
        <w:rPr>
          <w:color w:val="1B4965"/>
        </w:rPr>
        <w:t>Roadmap</w:t>
      </w:r>
    </w:p>
    <w:p>
      <w:pPr>
        <w:jc w:val="center"/>
      </w:pPr>
      <w:r>
        <w:drawing>
          <wp:inline xmlns:a="http://schemas.openxmlformats.org/drawingml/2006/main" xmlns:pic="http://schemas.openxmlformats.org/drawingml/2006/picture">
            <wp:extent cx="5760720" cy="2486500"/>
            <wp:docPr id="12" name="Picture 12"/>
            <wp:cNvGraphicFramePr>
              <a:graphicFrameLocks noChangeAspect="1"/>
            </wp:cNvGraphicFramePr>
            <a:graphic>
              <a:graphicData uri="http://schemas.openxmlformats.org/drawingml/2006/picture">
                <pic:pic>
                  <pic:nvPicPr>
                    <pic:cNvPr id="0" name="12_roadmap.png"/>
                    <pic:cNvPicPr/>
                  </pic:nvPicPr>
                  <pic:blipFill>
                    <a:blip r:embed="rId20"/>
                    <a:stretch>
                      <a:fillRect/>
                    </a:stretch>
                  </pic:blipFill>
                  <pic:spPr>
                    <a:xfrm>
                      <a:off x="0" y="0"/>
                      <a:ext cx="5760720" cy="2486500"/>
                    </a:xfrm>
                    <a:prstGeom prst="rect"/>
                  </pic:spPr>
                </pic:pic>
              </a:graphicData>
            </a:graphic>
          </wp:inline>
        </w:drawing>
      </w:r>
    </w:p>
    <w:p>
      <w:pPr>
        <w:spacing w:after="240"/>
        <w:jc w:val="center"/>
      </w:pPr>
      <w:r>
        <w:rPr>
          <w:i/>
          <w:color w:val="5A6472"/>
          <w:sz w:val="18"/>
        </w:rPr>
        <w:t>Figure 12  -  Each model becomes a tool; the agent layer arrives last.</w:t>
      </w:r>
    </w:p>
    <w:tbl>
      <w:tblPr>
        <w:tblStyle w:val="LightGrid-Accent1"/>
        <w:tblW w:type="auto" w:w="0"/>
        <w:jc w:val="center"/>
        <w:tblLook w:firstColumn="1" w:firstRow="1" w:lastColumn="0" w:lastRow="0" w:noHBand="0" w:noVBand="1" w:val="04A0"/>
      </w:tblPr>
      <w:tblGrid>
        <w:gridCol w:w="3216"/>
        <w:gridCol w:w="3216"/>
        <w:gridCol w:w="3216"/>
      </w:tblGrid>
      <w:tr>
        <w:tc>
          <w:tcPr>
            <w:tcW w:type="dxa" w:w="1296"/>
          </w:tcPr>
          <w:p>
            <w:r/>
            <w:r>
              <w:rPr>
                <w:b/>
                <w:sz w:val="18"/>
              </w:rPr>
              <w:t>Steps</w:t>
            </w:r>
          </w:p>
        </w:tc>
        <w:tc>
          <w:tcPr>
            <w:tcW w:type="dxa" w:w="4464"/>
          </w:tcPr>
          <w:p>
            <w:r/>
            <w:r>
              <w:rPr>
                <w:b/>
                <w:sz w:val="18"/>
              </w:rPr>
              <w:t>Capability</w:t>
            </w:r>
          </w:p>
        </w:tc>
        <w:tc>
          <w:tcPr>
            <w:tcW w:type="dxa" w:w="2880"/>
          </w:tcPr>
          <w:p>
            <w:r/>
            <w:r>
              <w:rPr>
                <w:b/>
                <w:sz w:val="18"/>
              </w:rPr>
              <w:t>Depends on</w:t>
            </w:r>
          </w:p>
        </w:tc>
      </w:tr>
      <w:tr>
        <w:tc>
          <w:tcPr>
            <w:tcW w:type="dxa" w:w="1296"/>
          </w:tcPr>
          <w:p>
            <w:r>
              <w:rPr>
                <w:sz w:val="18"/>
              </w:rPr>
            </w:r>
            <w:r>
              <w:rPr>
                <w:b w:val="0"/>
                <w:sz w:val="18"/>
              </w:rPr>
              <w:t>6</w:t>
            </w:r>
          </w:p>
        </w:tc>
        <w:tc>
          <w:tcPr>
            <w:tcW w:type="dxa" w:w="4464"/>
          </w:tcPr>
          <w:p>
            <w:r>
              <w:rPr>
                <w:sz w:val="18"/>
              </w:rPr>
            </w:r>
            <w:r>
              <w:rPr>
                <w:b w:val="0"/>
                <w:sz w:val="18"/>
              </w:rPr>
              <w:t>Promotion uplift - causal, not predictive</w:t>
            </w:r>
          </w:p>
        </w:tc>
        <w:tc>
          <w:tcPr>
            <w:tcW w:type="dxa" w:w="2880"/>
          </w:tcPr>
          <w:p>
            <w:r>
              <w:rPr>
                <w:sz w:val="18"/>
              </w:rPr>
            </w:r>
            <w:r>
              <w:rPr>
                <w:b w:val="0"/>
                <w:sz w:val="18"/>
              </w:rPr>
              <w:t>Step 4 baseline</w:t>
            </w:r>
          </w:p>
        </w:tc>
      </w:tr>
      <w:tr>
        <w:tc>
          <w:tcPr>
            <w:tcW w:type="dxa" w:w="1296"/>
          </w:tcPr>
          <w:p>
            <w:r>
              <w:rPr>
                <w:sz w:val="18"/>
              </w:rPr>
            </w:r>
            <w:r>
              <w:rPr>
                <w:b w:val="0"/>
                <w:sz w:val="18"/>
              </w:rPr>
              <w:t>7</w:t>
            </w:r>
          </w:p>
        </w:tc>
        <w:tc>
          <w:tcPr>
            <w:tcW w:type="dxa" w:w="4464"/>
          </w:tcPr>
          <w:p>
            <w:r>
              <w:rPr>
                <w:sz w:val="18"/>
              </w:rPr>
            </w:r>
            <w:r>
              <w:rPr>
                <w:b w:val="0"/>
                <w:sz w:val="18"/>
              </w:rPr>
              <w:t>Price elasticity - using the cost instrument</w:t>
            </w:r>
          </w:p>
        </w:tc>
        <w:tc>
          <w:tcPr>
            <w:tcW w:type="dxa" w:w="2880"/>
          </w:tcPr>
          <w:p>
            <w:r>
              <w:rPr>
                <w:sz w:val="18"/>
              </w:rPr>
            </w:r>
            <w:r>
              <w:rPr>
                <w:b w:val="0"/>
                <w:sz w:val="18"/>
              </w:rPr>
              <w:t>Steps 2-3</w:t>
            </w:r>
          </w:p>
        </w:tc>
      </w:tr>
      <w:tr>
        <w:tc>
          <w:tcPr>
            <w:tcW w:type="dxa" w:w="1296"/>
          </w:tcPr>
          <w:p>
            <w:r>
              <w:rPr>
                <w:sz w:val="18"/>
              </w:rPr>
            </w:r>
            <w:r>
              <w:rPr>
                <w:b w:val="0"/>
                <w:sz w:val="18"/>
              </w:rPr>
              <w:t>8</w:t>
            </w:r>
          </w:p>
        </w:tc>
        <w:tc>
          <w:tcPr>
            <w:tcW w:type="dxa" w:w="4464"/>
          </w:tcPr>
          <w:p>
            <w:r>
              <w:rPr>
                <w:sz w:val="18"/>
              </w:rPr>
            </w:r>
            <w:r>
              <w:rPr>
                <w:b w:val="0"/>
                <w:sz w:val="18"/>
              </w:rPr>
              <w:t>Cross-price elasticity and cannibalisation</w:t>
            </w:r>
          </w:p>
        </w:tc>
        <w:tc>
          <w:tcPr>
            <w:tcW w:type="dxa" w:w="2880"/>
          </w:tcPr>
          <w:p>
            <w:r>
              <w:rPr>
                <w:sz w:val="18"/>
              </w:rPr>
            </w:r>
            <w:r>
              <w:rPr>
                <w:b w:val="0"/>
                <w:sz w:val="18"/>
              </w:rPr>
              <w:t>Step 7</w:t>
            </w:r>
          </w:p>
        </w:tc>
      </w:tr>
      <w:tr>
        <w:tc>
          <w:tcPr>
            <w:tcW w:type="dxa" w:w="1296"/>
          </w:tcPr>
          <w:p>
            <w:r>
              <w:rPr>
                <w:sz w:val="18"/>
              </w:rPr>
            </w:r>
            <w:r>
              <w:rPr>
                <w:b w:val="0"/>
                <w:sz w:val="18"/>
              </w:rPr>
              <w:t>9-11</w:t>
            </w:r>
          </w:p>
        </w:tc>
        <w:tc>
          <w:tcPr>
            <w:tcW w:type="dxa" w:w="4464"/>
          </w:tcPr>
          <w:p>
            <w:r>
              <w:rPr>
                <w:sz w:val="18"/>
              </w:rPr>
            </w:r>
            <w:r>
              <w:rPr>
                <w:b w:val="0"/>
                <w:sz w:val="18"/>
              </w:rPr>
              <w:t>Price optimisation, trade promo optimisation, scenario simulation</w:t>
            </w:r>
          </w:p>
        </w:tc>
        <w:tc>
          <w:tcPr>
            <w:tcW w:type="dxa" w:w="2880"/>
          </w:tcPr>
          <w:p>
            <w:r>
              <w:rPr>
                <w:sz w:val="18"/>
              </w:rPr>
            </w:r>
            <w:r>
              <w:rPr>
                <w:b w:val="0"/>
                <w:sz w:val="18"/>
              </w:rPr>
              <w:t>Steps 5-8</w:t>
            </w:r>
          </w:p>
        </w:tc>
      </w:tr>
      <w:tr>
        <w:tc>
          <w:tcPr>
            <w:tcW w:type="dxa" w:w="1296"/>
          </w:tcPr>
          <w:p>
            <w:r>
              <w:rPr>
                <w:sz w:val="18"/>
              </w:rPr>
            </w:r>
            <w:r>
              <w:rPr>
                <w:b w:val="0"/>
                <w:sz w:val="18"/>
              </w:rPr>
              <w:t>12-15</w:t>
            </w:r>
          </w:p>
        </w:tc>
        <w:tc>
          <w:tcPr>
            <w:tcW w:type="dxa" w:w="4464"/>
          </w:tcPr>
          <w:p>
            <w:r>
              <w:rPr>
                <w:sz w:val="18"/>
              </w:rPr>
            </w:r>
            <w:r>
              <w:rPr>
                <w:b w:val="0"/>
                <w:sz w:val="18"/>
              </w:rPr>
              <w:t>Tool layer, prompts, memory, guardrails</w:t>
            </w:r>
          </w:p>
        </w:tc>
        <w:tc>
          <w:tcPr>
            <w:tcW w:type="dxa" w:w="2880"/>
          </w:tcPr>
          <w:p>
            <w:r>
              <w:rPr>
                <w:sz w:val="18"/>
              </w:rPr>
            </w:r>
            <w:r>
              <w:rPr>
                <w:b w:val="0"/>
                <w:sz w:val="18"/>
              </w:rPr>
              <w:t>All models</w:t>
            </w:r>
          </w:p>
        </w:tc>
      </w:tr>
      <w:tr>
        <w:tc>
          <w:tcPr>
            <w:tcW w:type="dxa" w:w="1296"/>
          </w:tcPr>
          <w:p>
            <w:r>
              <w:rPr>
                <w:sz w:val="18"/>
              </w:rPr>
            </w:r>
            <w:r>
              <w:rPr>
                <w:b w:val="0"/>
                <w:sz w:val="18"/>
              </w:rPr>
              <w:t>16-20</w:t>
            </w:r>
          </w:p>
        </w:tc>
        <w:tc>
          <w:tcPr>
            <w:tcW w:type="dxa" w:w="4464"/>
          </w:tcPr>
          <w:p>
            <w:r>
              <w:rPr>
                <w:sz w:val="18"/>
              </w:rPr>
            </w:r>
            <w:r>
              <w:rPr>
                <w:b w:val="0"/>
                <w:sz w:val="18"/>
              </w:rPr>
              <w:t>Supervisor, critic, LangGraph workflow, evaluation</w:t>
            </w:r>
          </w:p>
        </w:tc>
        <w:tc>
          <w:tcPr>
            <w:tcW w:type="dxa" w:w="2880"/>
          </w:tcPr>
          <w:p>
            <w:r>
              <w:rPr>
                <w:sz w:val="18"/>
              </w:rPr>
            </w:r>
            <w:r>
              <w:rPr>
                <w:b w:val="0"/>
                <w:sz w:val="18"/>
              </w:rPr>
              <w:t>Step 13+</w:t>
            </w:r>
          </w:p>
        </w:tc>
      </w:tr>
    </w:tbl>
    <w:p>
      <w:pPr>
        <w:spacing w:after="120"/>
      </w:pPr>
    </w:p>
    <w:p>
      <w:pPr>
        <w:pStyle w:val="Heading2"/>
        <w:spacing w:before="280" w:after="120"/>
      </w:pPr>
      <w:r>
        <w:rPr>
          <w:color w:val="1B4965"/>
        </w:rPr>
        <w:t>Talking points</w:t>
      </w:r>
    </w:p>
    <w:p>
      <w:pPr>
        <w:spacing w:after="120"/>
      </w:pPr>
      <w:r>
        <w:rPr>
          <w:b w:val="0"/>
          <w:sz w:val="21"/>
        </w:rPr>
        <w:t>The parts of this project worth discussing are rarely the model scores. They are the decisions where a plausible alternative was rejected for a stated reason.</w:t>
      </w:r>
    </w:p>
    <w:p>
      <w:pPr>
        <w:pStyle w:val="ListBullet"/>
        <w:spacing w:after="60"/>
      </w:pPr>
      <w:r>
        <w:rPr>
          <w:b/>
          <w:sz w:val="20"/>
        </w:rPr>
        <w:t>Why a structural causal model rather than sampled data.</w:t>
      </w:r>
      <w:r>
        <w:rPr>
          <w:b w:val="0"/>
          <w:sz w:val="20"/>
        </w:rPr>
        <w:t xml:space="preserve"> Because it makes every later claim checkable. Almost no real project can validate a demand model against true demand; this one can, and that is what caught the supply-feature defect.</w:t>
      </w:r>
    </w:p>
    <w:p>
      <w:pPr>
        <w:pStyle w:val="ListBullet"/>
        <w:spacing w:after="60"/>
      </w:pPr>
      <w:r>
        <w:rPr>
          <w:b/>
          <w:sz w:val="20"/>
        </w:rPr>
        <w:t>Why availability classes rather than a global as-of clamp.</w:t>
      </w:r>
      <w:r>
        <w:rPr>
          <w:b w:val="0"/>
          <w:sz w:val="20"/>
        </w:rPr>
        <w:t xml:space="preserve"> Because the naive rule is wrong in a way that looks safe. Clamping the promotion calendar would have made forecasting impossible while appearing more rigorous.</w:t>
      </w:r>
    </w:p>
    <w:p>
      <w:pPr>
        <w:pStyle w:val="ListBullet"/>
        <w:spacing w:after="60"/>
      </w:pPr>
      <w:r>
        <w:rPr>
          <w:b/>
          <w:sz w:val="20"/>
        </w:rPr>
        <w:t>Why the noise floor is reported alongside every accuracy figure.</w:t>
      </w:r>
      <w:r>
        <w:rPr>
          <w:b w:val="0"/>
          <w:sz w:val="20"/>
        </w:rPr>
        <w:t xml:space="preserve"> Because a bare WMAPE is uninterpretable. 40% reads as poor until you know 35% is unlearnable; then it reads as 1.15x optimal.</w:t>
      </w:r>
    </w:p>
    <w:p>
      <w:pPr>
        <w:pStyle w:val="ListBullet"/>
        <w:spacing w:after="60"/>
      </w:pPr>
      <w:r>
        <w:rPr>
          <w:b/>
          <w:sz w:val="20"/>
        </w:rPr>
        <w:t>Why the leakage suite plants a bug.</w:t>
      </w:r>
      <w:r>
        <w:rPr>
          <w:b w:val="0"/>
          <w:sz w:val="20"/>
        </w:rPr>
        <w:t xml:space="preserve"> Because a test that has never failed is indistinguishable from a test that does nothing.</w:t>
      </w:r>
    </w:p>
    <w:p>
      <w:pPr>
        <w:pStyle w:val="ListBullet"/>
        <w:spacing w:after="60"/>
      </w:pPr>
      <w:r>
        <w:rPr>
          <w:b/>
          <w:sz w:val="20"/>
        </w:rPr>
        <w:t>Why the forecaster refuses to forecast past the calendar.</w:t>
      </w:r>
      <w:r>
        <w:rPr>
          <w:b w:val="0"/>
          <w:sz w:val="20"/>
        </w:rPr>
        <w:t xml:space="preserve"> Because the alternative produces a number that is systematically low and looks exactly like a real forecast.</w:t>
      </w:r>
    </w:p>
    <w:p>
      <w:pPr>
        <w:pStyle w:val="ListBullet"/>
        <w:spacing w:after="60"/>
      </w:pPr>
      <w:r>
        <w:rPr>
          <w:b/>
          <w:sz w:val="20"/>
        </w:rPr>
        <w:t xml:space="preserve">Why </w:t>
      </w:r>
      <w:r>
        <w:rPr>
          <w:rFonts w:ascii="Consolas" w:hAnsi="Consolas"/>
          <w:b/>
          <w:sz w:val="18"/>
        </w:rPr>
        <w:t>confidence</w:t>
      </w:r>
      <w:r>
        <w:rPr>
          <w:b/>
          <w:sz w:val="20"/>
        </w:rPr>
        <w:t xml:space="preserve"> is measured coverage or absent.</w:t>
      </w:r>
      <w:r>
        <w:rPr>
          <w:b w:val="0"/>
          <w:sz w:val="20"/>
        </w:rPr>
        <w:t xml:space="preserve"> Because a fabricated confidence score is the easiest thing in the system to emit and the hardest for a downstream consumer to detect.</w:t>
      </w:r>
    </w:p>
    <w:p>
      <w:pPr>
        <w:pStyle w:val="ListBullet"/>
        <w:spacing w:after="60"/>
      </w:pPr>
      <w:r>
        <w:rPr>
          <w:b/>
          <w:sz w:val="20"/>
        </w:rPr>
        <w:t>Why XGBoost's first result was thrown out.</w:t>
      </w:r>
      <w:r>
        <w:rPr>
          <w:b w:val="0"/>
          <w:sz w:val="20"/>
        </w:rPr>
        <w:t xml:space="preserve"> Because a 38x regularisation difference is a configuration error, and reporting it as a model comparison would have been a confident falsehood.</w:t>
      </w:r>
    </w:p>
    <w:p>
      <w:pPr>
        <w:spacing w:before="120" w:after="160"/>
        <w:ind w:left="360"/>
        <w:shd w:fill="F7F9FC"/>
      </w:pPr>
      <w:r>
        <w:rPr>
          <w:b/>
          <w:color w:val="1B4965"/>
          <w:sz w:val="19"/>
        </w:rPr>
        <w:t xml:space="preserve">The through-line.  </w:t>
      </w:r>
      <w:r>
        <w:rPr>
          <w:b w:val="0"/>
          <w:sz w:val="20"/>
        </w:rPr>
        <w:t>Every mechanism in this platform exists because a specific plausible mistake would otherwise be invisible. That is the argument for the whole design: not that the models are accurate, but that when they are wrong, something says so.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