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2"/>
        </w:rPr>
        <w:t>eDataPay / AmpliPay</w:t>
      </w:r>
    </w:p>
    <w:p>
      <w:pPr>
        <w:pStyle w:val="Title"/>
        <w:jc w:val="center"/>
      </w:pPr>
      <w:r>
        <w:t>Merchant Application, Underwriting and Onboarding Factory</w:t>
      </w:r>
    </w:p>
    <w:p>
      <w:pPr>
        <w:pStyle w:val="Subtitle"/>
        <w:jc w:val="center"/>
      </w:pPr>
      <w:r>
        <w:t>AI-Assisted Development Instructions for Mohit and the Development Team</w:t>
      </w:r>
    </w:p>
    <w:tbl>
      <w:tblPr>
        <w:tblW w:type="auto" w:w="0"/>
        <w:jc w:val="center"/>
        <w:tblLayout w:type="fixed"/>
        <w:tblLook w:firstColumn="1" w:firstRow="1" w:lastColumn="0" w:lastRow="0" w:noHBand="0" w:noVBand="1" w:val="04A0"/>
      </w:tblPr>
      <w:tblGrid>
        <w:gridCol w:w="9994"/>
      </w:tblGrid>
      <w:tr>
        <w:tc>
          <w:tcPr>
            <w:tcW w:type="dxa" w:w="9504"/>
            <w:shd w:fill="D9EAF7"/>
            <w:tcMar>
              <w:top w:w="180" w:type="dxa"/>
              <w:start w:w="200" w:type="dxa"/>
              <w:bottom w:w="180" w:type="dxa"/>
              <w:end w:w="200" w:type="dxa"/>
            </w:tcMar>
          </w:tcPr>
          <w:p>
            <w:r>
              <w:rPr>
                <w:b/>
                <w:color w:val="1F4E79"/>
              </w:rPr>
              <w:t>Primary directive</w:t>
            </w:r>
          </w:p>
          <w:p>
            <w:pPr>
              <w:spacing w:after="0"/>
            </w:pPr>
            <w:r>
              <w:t>Enhance the systems already in place. Do not rebuild working CRM, application, document, task, reseller, commission, or merchant-management functions unless the repository assessment proves that replacement is necessary.</w:t>
            </w:r>
          </w:p>
        </w:tc>
      </w:tr>
    </w:tbl>
    <w:p>
      <w:pPr>
        <w:spacing w:after="0"/>
      </w:pPr>
    </w:p>
    <w:p>
      <w:pPr>
        <w:spacing w:before="480"/>
        <w:jc w:val="center"/>
      </w:pPr>
      <w:r>
        <w:rPr>
          <w:i/>
          <w:sz w:val="20"/>
        </w:rPr>
        <w:t>Prepared for immediate use with GitHub Copilot, Claude Code, ChatGPT/Codex, Cursor, Windsurf, Vibe coding tools, and GitHub pull-request workflows.</w:t>
      </w:r>
    </w:p>
    <w:p>
      <w:pPr>
        <w:spacing w:before="900"/>
        <w:jc w:val="center"/>
      </w:pPr>
      <w:r>
        <w:rPr>
          <w:b/>
        </w:rPr>
        <w:t>Version 1.0 | July 2026</w:t>
      </w:r>
    </w:p>
    <w:p>
      <w:r>
        <w:br w:type="page"/>
      </w:r>
    </w:p>
    <w:p>
      <w:pPr>
        <w:pStyle w:val="Heading1"/>
        <w:keepNext/>
      </w:pPr>
      <w:r>
        <w:t>Document Map</w:t>
      </w:r>
    </w:p>
    <w:p>
      <w:pPr>
        <w:pStyle w:val="ListBullet"/>
      </w:pPr>
      <w:r>
        <w:t>1. Executive directive and operating vision</w:t>
      </w:r>
    </w:p>
    <w:p>
      <w:pPr>
        <w:pStyle w:val="ListBullet"/>
      </w:pPr>
      <w:r>
        <w:t>2. What already exists and how AI must approach it</w:t>
      </w:r>
    </w:p>
    <w:p>
      <w:pPr>
        <w:pStyle w:val="ListBullet"/>
      </w:pPr>
      <w:r>
        <w:t>3. Target operating model: one controlled merchant factory</w:t>
      </w:r>
    </w:p>
    <w:p>
      <w:pPr>
        <w:pStyle w:val="ListBullet"/>
      </w:pPr>
      <w:r>
        <w:t>4. Architecture: shared core, U.S. domestic, international, and processor-specific layers</w:t>
      </w:r>
    </w:p>
    <w:p>
      <w:pPr>
        <w:pStyle w:val="ListBullet"/>
      </w:pPr>
      <w:r>
        <w:t>5. Development workstreams and AI-agent division of labor</w:t>
      </w:r>
    </w:p>
    <w:p>
      <w:pPr>
        <w:pStyle w:val="ListBullet"/>
      </w:pPr>
      <w:r>
        <w:t>6. Repository discovery and gap analysis</w:t>
      </w:r>
    </w:p>
    <w:p>
      <w:pPr>
        <w:pStyle w:val="ListBullet"/>
      </w:pPr>
      <w:r>
        <w:t>7. Canonical merchant data model</w:t>
      </w:r>
    </w:p>
    <w:p>
      <w:pPr>
        <w:pStyle w:val="ListBullet"/>
      </w:pPr>
      <w:r>
        <w:t>8. Workflow and stage-transition engine</w:t>
      </w:r>
    </w:p>
    <w:p>
      <w:pPr>
        <w:pStyle w:val="ListBullet"/>
      </w:pPr>
      <w:r>
        <w:t>9. U.S. domestic onboarding configuration</w:t>
      </w:r>
    </w:p>
    <w:p>
      <w:pPr>
        <w:pStyle w:val="ListBullet"/>
      </w:pPr>
      <w:r>
        <w:t>10. International onboarding configuration</w:t>
      </w:r>
    </w:p>
    <w:p>
      <w:pPr>
        <w:pStyle w:val="ListBullet"/>
      </w:pPr>
      <w:r>
        <w:t>11. Documents, KYC, KYB, AML, risk, and underwriting</w:t>
      </w:r>
    </w:p>
    <w:p>
      <w:pPr>
        <w:pStyle w:val="ListBullet"/>
      </w:pPr>
      <w:r>
        <w:t>12. Processor matching and submission management</w:t>
      </w:r>
    </w:p>
    <w:p>
      <w:pPr>
        <w:pStyle w:val="ListBullet"/>
      </w:pPr>
      <w:r>
        <w:t>13. Onboarding, equipment, integration, activation, and first funding</w:t>
      </w:r>
    </w:p>
    <w:p>
      <w:pPr>
        <w:pStyle w:val="ListBullet"/>
      </w:pPr>
      <w:r>
        <w:t>14. Future bank and processor API auto-population</w:t>
      </w:r>
    </w:p>
    <w:p>
      <w:pPr>
        <w:pStyle w:val="ListBullet"/>
      </w:pPr>
      <w:r>
        <w:t>15. AI-tool operating method</w:t>
      </w:r>
    </w:p>
    <w:p>
      <w:pPr>
        <w:pStyle w:val="ListBullet"/>
      </w:pPr>
      <w:r>
        <w:t>16. GitHub branching, pull requests, testing, and deployment controls</w:t>
      </w:r>
    </w:p>
    <w:p>
      <w:pPr>
        <w:pStyle w:val="ListBullet"/>
      </w:pPr>
      <w:r>
        <w:t>17. Security, privacy, auditability, and PCI-minded development</w:t>
      </w:r>
    </w:p>
    <w:p>
      <w:pPr>
        <w:pStyle w:val="ListBullet"/>
      </w:pPr>
      <w:r>
        <w:t>18. Delivery phases, acceptance criteria, and management reporting</w:t>
      </w:r>
    </w:p>
    <w:p>
      <w:pPr>
        <w:pStyle w:val="ListBullet"/>
      </w:pPr>
      <w:r>
        <w:t>19. Ready-to-use AI prompts</w:t>
      </w:r>
    </w:p>
    <w:p>
      <w:pPr>
        <w:pStyle w:val="ListBullet"/>
      </w:pPr>
      <w:r>
        <w:t>20. First 30-day execution plan</w:t>
      </w:r>
    </w:p>
    <w:tbl>
      <w:tblPr>
        <w:tblW w:type="auto" w:w="0"/>
        <w:jc w:val="center"/>
        <w:tblLayout w:type="fixed"/>
        <w:tblLook w:firstColumn="1" w:firstRow="1" w:lastColumn="0" w:lastRow="0" w:noHBand="0" w:noVBand="1" w:val="04A0"/>
      </w:tblPr>
      <w:tblGrid>
        <w:gridCol w:w="9994"/>
      </w:tblGrid>
      <w:tr>
        <w:tc>
          <w:tcPr>
            <w:tcW w:type="dxa" w:w="9504"/>
            <w:shd w:fill="FFF2CC"/>
            <w:tcMar>
              <w:top w:w="180" w:type="dxa"/>
              <w:start w:w="200" w:type="dxa"/>
              <w:bottom w:w="180" w:type="dxa"/>
              <w:end w:w="200" w:type="dxa"/>
            </w:tcMar>
          </w:tcPr>
          <w:p>
            <w:r>
              <w:rPr>
                <w:b/>
                <w:color w:val="1F4E79"/>
              </w:rPr>
              <w:t>How to use this document</w:t>
            </w:r>
          </w:p>
          <w:p>
            <w:pPr>
              <w:spacing w:after="0"/>
            </w:pPr>
            <w:r>
              <w:t>Mohit should place this document in the repository under /docs and give the relevant section to the AI assistant before each development task. The AI must inspect the repository and cite exact code paths before proposing changes.</w:t>
            </w:r>
          </w:p>
        </w:tc>
      </w:tr>
    </w:tbl>
    <w:p>
      <w:pPr>
        <w:spacing w:after="0"/>
      </w:pPr>
    </w:p>
    <w:p>
      <w:r>
        <w:br w:type="page"/>
      </w:r>
    </w:p>
    <w:p>
      <w:pPr>
        <w:pStyle w:val="Heading1"/>
        <w:keepNext/>
      </w:pPr>
      <w:r>
        <w:t>1. Executive Directive and Operating Vision</w:t>
      </w:r>
    </w:p>
    <w:p>
      <w:r>
        <w:t>The objective is to convert the current eDataPay and AmpliPay merchant application and CRM capabilities into a disciplined merchant onboarding factory. The system must move every merchant through a controlled, visible, auditable process from the first application through compliance, underwriting, processor submission, approval, technical boarding, activation, first transaction, first funding, and ongoing portfolio management.</w:t>
      </w:r>
    </w:p>
    <w:p>
      <w:r>
        <w:t>The value is not merely an online application or a visual pipeline. The value is operational discipline: clear ownership, required evidence, rules that prevent premature advancement, complete status history, defined service levels, and one reliable merchant record used by Sales, Risk, Compliance, Underwriting, Processor Relations, Onboarding, Equipment, Technology, Support, Finance, and Management.</w:t>
      </w:r>
    </w:p>
    <w:tbl>
      <w:tblPr>
        <w:tblW w:type="auto" w:w="0"/>
        <w:jc w:val="center"/>
        <w:tblLayout w:type="fixed"/>
        <w:tblLook w:firstColumn="1" w:firstRow="1" w:lastColumn="0" w:lastRow="0" w:noHBand="0" w:noVBand="1" w:val="04A0"/>
      </w:tblPr>
      <w:tblGrid>
        <w:gridCol w:w="9994"/>
      </w:tblGrid>
      <w:tr>
        <w:tc>
          <w:tcPr>
            <w:tcW w:type="dxa" w:w="9504"/>
            <w:shd w:fill="E2F0D9"/>
            <w:tcMar>
              <w:top w:w="180" w:type="dxa"/>
              <w:start w:w="200" w:type="dxa"/>
              <w:bottom w:w="180" w:type="dxa"/>
              <w:end w:w="200" w:type="dxa"/>
            </w:tcMar>
          </w:tcPr>
          <w:p>
            <w:r>
              <w:rPr>
                <w:b/>
                <w:color w:val="1F4E79"/>
              </w:rPr>
              <w:t>Build principle</w:t>
            </w:r>
          </w:p>
          <w:p>
            <w:pPr>
              <w:spacing w:after="0"/>
            </w:pPr>
            <w:r>
              <w:t>One merchant. One canonical record. One timeline. Multiple country and processor configurations. No disconnected departmental copies.</w:t>
            </w:r>
          </w:p>
        </w:tc>
      </w:tr>
    </w:tbl>
    <w:p>
      <w:pPr>
        <w:spacing w:after="0"/>
      </w:pPr>
    </w:p>
    <w:p>
      <w:pPr>
        <w:pStyle w:val="Heading2"/>
        <w:keepNext/>
      </w:pPr>
      <w:r>
        <w:t>1.1 Immediate business outcomes</w:t>
      </w:r>
    </w:p>
    <w:p>
      <w:pPr>
        <w:pStyle w:val="ListBullet"/>
      </w:pPr>
      <w:r>
        <w:t>Reduce lost applications and undocumented follow-ups.</w:t>
      </w:r>
    </w:p>
    <w:p>
      <w:pPr>
        <w:pStyle w:val="ListBullet"/>
      </w:pPr>
      <w:r>
        <w:t>Identify missing fields and documents automatically.</w:t>
      </w:r>
    </w:p>
    <w:p>
      <w:pPr>
        <w:pStyle w:val="ListBullet"/>
      </w:pPr>
      <w:r>
        <w:t>Separate U.S. domestic requirements from international requirements without duplicating the entire application.</w:t>
      </w:r>
    </w:p>
    <w:p>
      <w:pPr>
        <w:pStyle w:val="ListBullet"/>
      </w:pPr>
      <w:r>
        <w:t>Route merchants to the correct bank, acquirer, PSP, gateway, or processor.</w:t>
      </w:r>
    </w:p>
    <w:p>
      <w:pPr>
        <w:pStyle w:val="ListBullet"/>
      </w:pPr>
      <w:r>
        <w:t>Generate a complete underwriting package from the canonical merchant record.</w:t>
      </w:r>
    </w:p>
    <w:p>
      <w:pPr>
        <w:pStyle w:val="ListBullet"/>
      </w:pPr>
      <w:r>
        <w:t>Track every processor request, condition, approval, decline, MID, terminal, gateway, integration, test transaction, and first funding.</w:t>
      </w:r>
    </w:p>
    <w:p>
      <w:pPr>
        <w:pStyle w:val="ListBullet"/>
      </w:pPr>
      <w:r>
        <w:t>Prepare the data model and integration layer for future direct API boarding into bank and processor platforms.</w:t>
      </w:r>
    </w:p>
    <w:p>
      <w:pPr>
        <w:pStyle w:val="Heading1"/>
        <w:keepNext/>
      </w:pPr>
      <w:r>
        <w:t>2. What Already Exists and How AI Must Approach It</w:t>
      </w:r>
    </w:p>
    <w:p>
      <w:r>
        <w:t>The existing PHP/Laravel and CRM code is an asset. It already contains some merchant forms, pipeline functions, dashboards, document uploads, tasks, notes, reseller or agent records, commission information, and operational screens. AI tools must accelerate discovery, refactoring, extension, testing, documentation, and integration. They must not assume that the system is empty.</w:t>
      </w:r>
    </w:p>
    <w:p>
      <w:pPr>
        <w:pStyle w:val="Heading2"/>
        <w:keepNext/>
      </w:pPr>
      <w:r>
        <w:t>2.1 Mandatory repository-first method</w:t>
      </w:r>
    </w:p>
    <w:p>
      <w:pPr>
        <w:pStyle w:val="ListNumber"/>
      </w:pPr>
      <w:r>
        <w:t>Search the repository before creating any table, model, controller, route, screen, service, or permission.</w:t>
      </w:r>
    </w:p>
    <w:p>
      <w:pPr>
        <w:pStyle w:val="ListNumber"/>
      </w:pPr>
      <w:r>
        <w:t>Map existing merchant, application, document, task, user, reseller, commission, processor, status, and notification functions.</w:t>
      </w:r>
    </w:p>
    <w:p>
      <w:pPr>
        <w:pStyle w:val="ListNumber"/>
      </w:pPr>
      <w:r>
        <w:t>Identify the system of record for each data element.</w:t>
      </w:r>
    </w:p>
    <w:p>
      <w:pPr>
        <w:pStyle w:val="ListNumber"/>
      </w:pPr>
      <w:r>
        <w:t>Prefer adapters, services, migrations, and configuration layers over replacing stable production code.</w:t>
      </w:r>
    </w:p>
    <w:p>
      <w:pPr>
        <w:pStyle w:val="ListNumber"/>
      </w:pPr>
      <w:r>
        <w:t>Preserve legacy IDs, URLs, application numbers, and relationships.</w:t>
      </w:r>
    </w:p>
    <w:p>
      <w:pPr>
        <w:pStyle w:val="ListNumber"/>
      </w:pPr>
      <w:r>
        <w:t>Create a migration and rollback plan for every database change.</w:t>
      </w:r>
    </w:p>
    <w:p>
      <w:pPr>
        <w:pStyle w:val="ListNumber"/>
      </w:pPr>
      <w:r>
        <w:t>Never allow an AI tool to run destructive production commands or delete unknown code.</w:t>
      </w:r>
    </w:p>
    <w:p>
      <w:pPr>
        <w:pStyle w:val="Heading2"/>
        <w:keepNext/>
      </w:pPr>
      <w:r>
        <w:t>2.2 Classify every existing component</w:t>
      </w:r>
    </w:p>
    <w:tbl>
      <w:tblPr>
        <w:tblStyle w:val="TableGrid"/>
        <w:tblW w:type="auto" w:w="0"/>
        <w:jc w:val="center"/>
        <w:tblLook w:firstColumn="1" w:firstRow="1" w:lastColumn="0" w:lastRow="0" w:noHBand="0" w:noVBand="1" w:val="04A0"/>
      </w:tblPr>
      <w:tblGrid>
        <w:gridCol w:w="3331"/>
        <w:gridCol w:w="3331"/>
        <w:gridCol w:w="3331"/>
      </w:tblGrid>
      <w:tr>
        <w:tc>
          <w:tcPr>
            <w:tcW w:type="dxa" w:w="1440"/>
            <w:shd w:fill="1F4E79"/>
            <w:tcMar>
              <w:top w:w="110" w:type="dxa"/>
              <w:start w:w="120" w:type="dxa"/>
              <w:bottom w:w="110" w:type="dxa"/>
              <w:end w:w="120" w:type="dxa"/>
            </w:tcMar>
            <w:vAlign w:val="center"/>
          </w:tcPr>
          <w:p>
            <w:pPr>
              <w:jc w:val="center"/>
            </w:pPr>
            <w:r>
              <w:rPr>
                <w:b/>
                <w:color w:val="FFFFFF"/>
                <w:sz w:val="18"/>
              </w:rPr>
              <w:t>Classification</w:t>
            </w:r>
          </w:p>
        </w:tc>
        <w:tc>
          <w:tcPr>
            <w:tcW w:type="dxa" w:w="3744"/>
            <w:shd w:fill="1F4E79"/>
            <w:tcMar>
              <w:top w:w="110" w:type="dxa"/>
              <w:start w:w="120" w:type="dxa"/>
              <w:bottom w:w="110" w:type="dxa"/>
              <w:end w:w="120" w:type="dxa"/>
            </w:tcMar>
            <w:vAlign w:val="center"/>
          </w:tcPr>
          <w:p>
            <w:pPr>
              <w:jc w:val="center"/>
            </w:pPr>
            <w:r>
              <w:rPr>
                <w:b/>
                <w:color w:val="FFFFFF"/>
                <w:sz w:val="18"/>
              </w:rPr>
              <w:t>Meaning</w:t>
            </w:r>
          </w:p>
        </w:tc>
        <w:tc>
          <w:tcPr>
            <w:tcW w:type="dxa" w:w="4320"/>
            <w:shd w:fill="1F4E79"/>
            <w:tcMar>
              <w:top w:w="110" w:type="dxa"/>
              <w:start w:w="120" w:type="dxa"/>
              <w:bottom w:w="110" w:type="dxa"/>
              <w:end w:w="120" w:type="dxa"/>
            </w:tcMar>
            <w:vAlign w:val="center"/>
          </w:tcPr>
          <w:p>
            <w:pPr>
              <w:jc w:val="center"/>
            </w:pPr>
            <w:r>
              <w:rPr>
                <w:b/>
                <w:color w:val="FFFFFF"/>
                <w:sz w:val="18"/>
              </w:rPr>
              <w:t>Required action</w:t>
            </w:r>
          </w:p>
        </w:tc>
      </w:tr>
      <w:tr>
        <w:tc>
          <w:tcPr>
            <w:tcW w:type="dxa" w:w="1440"/>
            <w:tcMar>
              <w:top w:w="105" w:type="dxa"/>
              <w:start w:w="120" w:type="dxa"/>
              <w:bottom w:w="105" w:type="dxa"/>
              <w:end w:w="120" w:type="dxa"/>
            </w:tcMar>
            <w:vAlign w:val="center"/>
          </w:tcPr>
          <w:p>
            <w:pPr>
              <w:spacing w:after="0"/>
            </w:pPr>
            <w:r>
              <w:rPr>
                <w:sz w:val="18"/>
              </w:rPr>
              <w:t>Keep</w:t>
            </w:r>
          </w:p>
        </w:tc>
        <w:tc>
          <w:tcPr>
            <w:tcW w:type="dxa" w:w="3744"/>
            <w:tcMar>
              <w:top w:w="105" w:type="dxa"/>
              <w:start w:w="120" w:type="dxa"/>
              <w:bottom w:w="105" w:type="dxa"/>
              <w:end w:w="120" w:type="dxa"/>
            </w:tcMar>
            <w:vAlign w:val="center"/>
          </w:tcPr>
          <w:p>
            <w:pPr>
              <w:spacing w:after="0"/>
            </w:pPr>
            <w:r>
              <w:rPr>
                <w:sz w:val="18"/>
              </w:rPr>
              <w:t>Working, secure, and aligned with the target model</w:t>
            </w:r>
          </w:p>
        </w:tc>
        <w:tc>
          <w:tcPr>
            <w:tcW w:type="dxa" w:w="4320"/>
            <w:tcMar>
              <w:top w:w="105" w:type="dxa"/>
              <w:start w:w="120" w:type="dxa"/>
              <w:bottom w:w="105" w:type="dxa"/>
              <w:end w:w="120" w:type="dxa"/>
            </w:tcMar>
            <w:vAlign w:val="center"/>
          </w:tcPr>
          <w:p>
            <w:pPr>
              <w:spacing w:after="0"/>
            </w:pPr>
            <w:r>
              <w:rPr>
                <w:sz w:val="18"/>
              </w:rPr>
              <w:t>Reuse and add tests or documentation.</w:t>
            </w:r>
          </w:p>
        </w:tc>
      </w:tr>
      <w:tr>
        <w:tc>
          <w:tcPr>
            <w:tcW w:type="dxa" w:w="1440"/>
            <w:tcMar>
              <w:top w:w="105" w:type="dxa"/>
              <w:start w:w="120" w:type="dxa"/>
              <w:bottom w:w="105" w:type="dxa"/>
              <w:end w:w="120" w:type="dxa"/>
            </w:tcMar>
            <w:vAlign w:val="center"/>
          </w:tcPr>
          <w:p>
            <w:pPr>
              <w:spacing w:after="0"/>
            </w:pPr>
            <w:r>
              <w:rPr>
                <w:sz w:val="18"/>
              </w:rPr>
              <w:t>Extend</w:t>
            </w:r>
          </w:p>
        </w:tc>
        <w:tc>
          <w:tcPr>
            <w:tcW w:type="dxa" w:w="3744"/>
            <w:tcMar>
              <w:top w:w="105" w:type="dxa"/>
              <w:start w:w="120" w:type="dxa"/>
              <w:bottom w:w="105" w:type="dxa"/>
              <w:end w:w="120" w:type="dxa"/>
            </w:tcMar>
            <w:vAlign w:val="center"/>
          </w:tcPr>
          <w:p>
            <w:pPr>
              <w:spacing w:after="0"/>
            </w:pPr>
            <w:r>
              <w:rPr>
                <w:sz w:val="18"/>
              </w:rPr>
              <w:t>Working but missing fields, rules, events, or permissions</w:t>
            </w:r>
          </w:p>
        </w:tc>
        <w:tc>
          <w:tcPr>
            <w:tcW w:type="dxa" w:w="4320"/>
            <w:tcMar>
              <w:top w:w="105" w:type="dxa"/>
              <w:start w:w="120" w:type="dxa"/>
              <w:bottom w:w="105" w:type="dxa"/>
              <w:end w:w="120" w:type="dxa"/>
            </w:tcMar>
            <w:vAlign w:val="center"/>
          </w:tcPr>
          <w:p>
            <w:pPr>
              <w:spacing w:after="0"/>
            </w:pPr>
            <w:r>
              <w:rPr>
                <w:sz w:val="18"/>
              </w:rPr>
              <w:t>Add backward-compatible migrations and services.</w:t>
            </w:r>
          </w:p>
        </w:tc>
      </w:tr>
      <w:tr>
        <w:tc>
          <w:tcPr>
            <w:tcW w:type="dxa" w:w="1440"/>
            <w:tcMar>
              <w:top w:w="105" w:type="dxa"/>
              <w:start w:w="120" w:type="dxa"/>
              <w:bottom w:w="105" w:type="dxa"/>
              <w:end w:w="120" w:type="dxa"/>
            </w:tcMar>
            <w:vAlign w:val="center"/>
          </w:tcPr>
          <w:p>
            <w:pPr>
              <w:spacing w:after="0"/>
            </w:pPr>
            <w:r>
              <w:rPr>
                <w:sz w:val="18"/>
              </w:rPr>
              <w:t>Wrap</w:t>
            </w:r>
          </w:p>
        </w:tc>
        <w:tc>
          <w:tcPr>
            <w:tcW w:type="dxa" w:w="3744"/>
            <w:tcMar>
              <w:top w:w="105" w:type="dxa"/>
              <w:start w:w="120" w:type="dxa"/>
              <w:bottom w:w="105" w:type="dxa"/>
              <w:end w:w="120" w:type="dxa"/>
            </w:tcMar>
            <w:vAlign w:val="center"/>
          </w:tcPr>
          <w:p>
            <w:pPr>
              <w:spacing w:after="0"/>
            </w:pPr>
            <w:r>
              <w:rPr>
                <w:sz w:val="18"/>
              </w:rPr>
              <w:t>Legacy code must remain but should be accessed through a cleaner interface</w:t>
            </w:r>
          </w:p>
        </w:tc>
        <w:tc>
          <w:tcPr>
            <w:tcW w:type="dxa" w:w="4320"/>
            <w:tcMar>
              <w:top w:w="105" w:type="dxa"/>
              <w:start w:w="120" w:type="dxa"/>
              <w:bottom w:w="105" w:type="dxa"/>
              <w:end w:w="120" w:type="dxa"/>
            </w:tcMar>
            <w:vAlign w:val="center"/>
          </w:tcPr>
          <w:p>
            <w:pPr>
              <w:spacing w:after="0"/>
            </w:pPr>
            <w:r>
              <w:rPr>
                <w:sz w:val="18"/>
              </w:rPr>
              <w:t>Create an adapter, repository, or service layer.</w:t>
            </w:r>
          </w:p>
        </w:tc>
      </w:tr>
      <w:tr>
        <w:tc>
          <w:tcPr>
            <w:tcW w:type="dxa" w:w="1440"/>
            <w:tcMar>
              <w:top w:w="105" w:type="dxa"/>
              <w:start w:w="120" w:type="dxa"/>
              <w:bottom w:w="105" w:type="dxa"/>
              <w:end w:w="120" w:type="dxa"/>
            </w:tcMar>
            <w:vAlign w:val="center"/>
          </w:tcPr>
          <w:p>
            <w:pPr>
              <w:spacing w:after="0"/>
            </w:pPr>
            <w:r>
              <w:rPr>
                <w:sz w:val="18"/>
              </w:rPr>
              <w:t>Refactor</w:t>
            </w:r>
          </w:p>
        </w:tc>
        <w:tc>
          <w:tcPr>
            <w:tcW w:type="dxa" w:w="3744"/>
            <w:tcMar>
              <w:top w:w="105" w:type="dxa"/>
              <w:start w:w="120" w:type="dxa"/>
              <w:bottom w:w="105" w:type="dxa"/>
              <w:end w:w="120" w:type="dxa"/>
            </w:tcMar>
            <w:vAlign w:val="center"/>
          </w:tcPr>
          <w:p>
            <w:pPr>
              <w:spacing w:after="0"/>
            </w:pPr>
            <w:r>
              <w:rPr>
                <w:sz w:val="18"/>
              </w:rPr>
              <w:t>Duplicated, fragile, or tightly coupled code</w:t>
            </w:r>
          </w:p>
        </w:tc>
        <w:tc>
          <w:tcPr>
            <w:tcW w:type="dxa" w:w="4320"/>
            <w:tcMar>
              <w:top w:w="105" w:type="dxa"/>
              <w:start w:w="120" w:type="dxa"/>
              <w:bottom w:w="105" w:type="dxa"/>
              <w:end w:w="120" w:type="dxa"/>
            </w:tcMar>
            <w:vAlign w:val="center"/>
          </w:tcPr>
          <w:p>
            <w:pPr>
              <w:spacing w:after="0"/>
            </w:pPr>
            <w:r>
              <w:rPr>
                <w:sz w:val="18"/>
              </w:rPr>
              <w:t>Refactor incrementally with regression tests.</w:t>
            </w:r>
          </w:p>
        </w:tc>
      </w:tr>
      <w:tr>
        <w:tc>
          <w:tcPr>
            <w:tcW w:type="dxa" w:w="1440"/>
            <w:tcMar>
              <w:top w:w="105" w:type="dxa"/>
              <w:start w:w="120" w:type="dxa"/>
              <w:bottom w:w="105" w:type="dxa"/>
              <w:end w:w="120" w:type="dxa"/>
            </w:tcMar>
            <w:vAlign w:val="center"/>
          </w:tcPr>
          <w:p>
            <w:pPr>
              <w:spacing w:after="0"/>
            </w:pPr>
            <w:r>
              <w:rPr>
                <w:sz w:val="18"/>
              </w:rPr>
              <w:t>Replace</w:t>
            </w:r>
          </w:p>
        </w:tc>
        <w:tc>
          <w:tcPr>
            <w:tcW w:type="dxa" w:w="3744"/>
            <w:tcMar>
              <w:top w:w="105" w:type="dxa"/>
              <w:start w:w="120" w:type="dxa"/>
              <w:bottom w:w="105" w:type="dxa"/>
              <w:end w:w="120" w:type="dxa"/>
            </w:tcMar>
            <w:vAlign w:val="center"/>
          </w:tcPr>
          <w:p>
            <w:pPr>
              <w:spacing w:after="0"/>
            </w:pPr>
            <w:r>
              <w:rPr>
                <w:sz w:val="18"/>
              </w:rPr>
              <w:t>Unsafe or unable to support requirements</w:t>
            </w:r>
          </w:p>
        </w:tc>
        <w:tc>
          <w:tcPr>
            <w:tcW w:type="dxa" w:w="4320"/>
            <w:tcMar>
              <w:top w:w="105" w:type="dxa"/>
              <w:start w:w="120" w:type="dxa"/>
              <w:bottom w:w="105" w:type="dxa"/>
              <w:end w:w="120" w:type="dxa"/>
            </w:tcMar>
            <w:vAlign w:val="center"/>
          </w:tcPr>
          <w:p>
            <w:pPr>
              <w:spacing w:after="0"/>
            </w:pPr>
            <w:r>
              <w:rPr>
                <w:sz w:val="18"/>
              </w:rPr>
              <w:t>Replace only after written evidence, migration plan, and approval.</w:t>
            </w:r>
          </w:p>
        </w:tc>
      </w:tr>
      <w:tr>
        <w:tc>
          <w:tcPr>
            <w:tcW w:type="dxa" w:w="1440"/>
            <w:tcMar>
              <w:top w:w="105" w:type="dxa"/>
              <w:start w:w="120" w:type="dxa"/>
              <w:bottom w:w="105" w:type="dxa"/>
              <w:end w:w="120" w:type="dxa"/>
            </w:tcMar>
            <w:vAlign w:val="center"/>
          </w:tcPr>
          <w:p>
            <w:pPr>
              <w:spacing w:after="0"/>
            </w:pPr>
            <w:r>
              <w:rPr>
                <w:sz w:val="18"/>
              </w:rPr>
              <w:t>Retire later</w:t>
            </w:r>
          </w:p>
        </w:tc>
        <w:tc>
          <w:tcPr>
            <w:tcW w:type="dxa" w:w="3744"/>
            <w:tcMar>
              <w:top w:w="105" w:type="dxa"/>
              <w:start w:w="120" w:type="dxa"/>
              <w:bottom w:w="105" w:type="dxa"/>
              <w:end w:w="120" w:type="dxa"/>
            </w:tcMar>
            <w:vAlign w:val="center"/>
          </w:tcPr>
          <w:p>
            <w:pPr>
              <w:spacing w:after="0"/>
            </w:pPr>
            <w:r>
              <w:rPr>
                <w:sz w:val="18"/>
              </w:rPr>
              <w:t>Redundant legacy path still needed during transition</w:t>
            </w:r>
          </w:p>
        </w:tc>
        <w:tc>
          <w:tcPr>
            <w:tcW w:type="dxa" w:w="4320"/>
            <w:tcMar>
              <w:top w:w="105" w:type="dxa"/>
              <w:start w:w="120" w:type="dxa"/>
              <w:bottom w:w="105" w:type="dxa"/>
              <w:end w:w="120" w:type="dxa"/>
            </w:tcMar>
            <w:vAlign w:val="center"/>
          </w:tcPr>
          <w:p>
            <w:pPr>
              <w:spacing w:after="0"/>
            </w:pPr>
            <w:r>
              <w:rPr>
                <w:sz w:val="18"/>
              </w:rPr>
              <w:t>Mark deprecated and remove only in a separate approved release.</w:t>
            </w:r>
          </w:p>
        </w:tc>
      </w:tr>
    </w:tbl>
    <w:p>
      <w:pPr>
        <w:spacing w:after="0"/>
      </w:pPr>
    </w:p>
    <w:p>
      <w:pPr>
        <w:pStyle w:val="Heading1"/>
        <w:keepNext/>
      </w:pPr>
      <w:r>
        <w:t>3. Target Operating Model: One Controlled Merchant Factory</w:t>
      </w:r>
    </w:p>
    <w:p>
      <w:r>
        <w:t>The platform should support a standard merchant journey while allowing country, vertical, risk, processor, and product-specific variations. The shared journey is the operational spine; configuration determines the exact fields, documents, checks, approvers, and submission format required for each merchant.</w:t>
      </w:r>
    </w:p>
    <w:p>
      <w:pPr>
        <w:pStyle w:val="Heading2"/>
        <w:keepNext/>
      </w:pPr>
      <w:r>
        <w:t>3.1 Standard merchant lifecycle</w:t>
      </w:r>
    </w:p>
    <w:p>
      <w:pPr>
        <w:pStyle w:val="ListNumber"/>
      </w:pPr>
      <w:r>
        <w:t>1. Lead or referral</w:t>
      </w:r>
    </w:p>
    <w:p>
      <w:pPr>
        <w:pStyle w:val="ListNumber"/>
      </w:pPr>
      <w:r>
        <w:t>2. Qualified opportunity</w:t>
      </w:r>
    </w:p>
    <w:p>
      <w:pPr>
        <w:pStyle w:val="ListNumber"/>
      </w:pPr>
      <w:r>
        <w:t>3. Application invited</w:t>
      </w:r>
    </w:p>
    <w:p>
      <w:pPr>
        <w:pStyle w:val="ListNumber"/>
      </w:pPr>
      <w:r>
        <w:t>4. Application started</w:t>
      </w:r>
    </w:p>
    <w:p>
      <w:pPr>
        <w:pStyle w:val="ListNumber"/>
      </w:pPr>
      <w:r>
        <w:t>5. Application submitted</w:t>
      </w:r>
    </w:p>
    <w:p>
      <w:pPr>
        <w:pStyle w:val="ListNumber"/>
      </w:pPr>
      <w:r>
        <w:t>6. Document review</w:t>
      </w:r>
    </w:p>
    <w:p>
      <w:pPr>
        <w:pStyle w:val="ListNumber"/>
      </w:pPr>
      <w:r>
        <w:t>7. KYC/KYB/AML review</w:t>
      </w:r>
    </w:p>
    <w:p>
      <w:pPr>
        <w:pStyle w:val="ListNumber"/>
      </w:pPr>
      <w:r>
        <w:t>8. Risk and underwriting</w:t>
      </w:r>
    </w:p>
    <w:p>
      <w:pPr>
        <w:pStyle w:val="ListNumber"/>
      </w:pPr>
      <w:r>
        <w:t>9. Processor matching</w:t>
      </w:r>
    </w:p>
    <w:p>
      <w:pPr>
        <w:pStyle w:val="ListNumber"/>
      </w:pPr>
      <w:r>
        <w:t>10. Ready for submission</w:t>
      </w:r>
    </w:p>
    <w:p>
      <w:pPr>
        <w:pStyle w:val="ListNumber"/>
      </w:pPr>
      <w:r>
        <w:t>11. Submitted to processor</w:t>
      </w:r>
    </w:p>
    <w:p>
      <w:pPr>
        <w:pStyle w:val="ListNumber"/>
      </w:pPr>
      <w:r>
        <w:t>12. Additional information or conditions</w:t>
      </w:r>
    </w:p>
    <w:p>
      <w:pPr>
        <w:pStyle w:val="ListNumber"/>
      </w:pPr>
      <w:r>
        <w:t>13. Approved or declined</w:t>
      </w:r>
    </w:p>
    <w:p>
      <w:pPr>
        <w:pStyle w:val="ListNumber"/>
      </w:pPr>
      <w:r>
        <w:t>14. MID and gateway boarding</w:t>
      </w:r>
    </w:p>
    <w:p>
      <w:pPr>
        <w:pStyle w:val="ListNumber"/>
      </w:pPr>
      <w:r>
        <w:t>15. Equipment and integration</w:t>
      </w:r>
    </w:p>
    <w:p>
      <w:pPr>
        <w:pStyle w:val="ListNumber"/>
      </w:pPr>
      <w:r>
        <w:t>16. Testing and training</w:t>
      </w:r>
    </w:p>
    <w:p>
      <w:pPr>
        <w:pStyle w:val="ListNumber"/>
      </w:pPr>
      <w:r>
        <w:t>17. Activated</w:t>
      </w:r>
    </w:p>
    <w:p>
      <w:pPr>
        <w:pStyle w:val="ListNumber"/>
      </w:pPr>
      <w:r>
        <w:t>18. First transaction</w:t>
      </w:r>
    </w:p>
    <w:p>
      <w:pPr>
        <w:pStyle w:val="ListNumber"/>
      </w:pPr>
      <w:r>
        <w:t>19. First funding</w:t>
      </w:r>
    </w:p>
    <w:p>
      <w:pPr>
        <w:pStyle w:val="ListNumber"/>
      </w:pPr>
      <w:r>
        <w:t>20. Active monitoring and account management</w:t>
      </w:r>
    </w:p>
    <w:p>
      <w:pPr>
        <w:pStyle w:val="Heading2"/>
        <w:keepNext/>
      </w:pPr>
      <w:r>
        <w:t>3.2 Ownership at every stage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728"/>
            <w:shd w:fill="1F4E79"/>
            <w:tcMar>
              <w:top w:w="110" w:type="dxa"/>
              <w:start w:w="120" w:type="dxa"/>
              <w:bottom w:w="110" w:type="dxa"/>
              <w:end w:w="120" w:type="dxa"/>
            </w:tcMar>
            <w:vAlign w:val="center"/>
          </w:tcPr>
          <w:p>
            <w:pPr>
              <w:jc w:val="center"/>
            </w:pPr>
            <w:r>
              <w:rPr>
                <w:b/>
                <w:color w:val="FFFFFF"/>
                <w:sz w:val="18"/>
              </w:rPr>
              <w:t>Stage family</w:t>
            </w:r>
          </w:p>
        </w:tc>
        <w:tc>
          <w:tcPr>
            <w:tcW w:type="dxa" w:w="2016"/>
            <w:shd w:fill="1F4E79"/>
            <w:tcMar>
              <w:top w:w="110" w:type="dxa"/>
              <w:start w:w="120" w:type="dxa"/>
              <w:bottom w:w="110" w:type="dxa"/>
              <w:end w:w="120" w:type="dxa"/>
            </w:tcMar>
            <w:vAlign w:val="center"/>
          </w:tcPr>
          <w:p>
            <w:pPr>
              <w:jc w:val="center"/>
            </w:pPr>
            <w:r>
              <w:rPr>
                <w:b/>
                <w:color w:val="FFFFFF"/>
                <w:sz w:val="18"/>
              </w:rPr>
              <w:t>Primary owner</w:t>
            </w:r>
          </w:p>
        </w:tc>
        <w:tc>
          <w:tcPr>
            <w:tcW w:type="dxa" w:w="2880"/>
            <w:shd w:fill="1F4E79"/>
            <w:tcMar>
              <w:top w:w="110" w:type="dxa"/>
              <w:start w:w="120" w:type="dxa"/>
              <w:bottom w:w="110" w:type="dxa"/>
              <w:end w:w="120" w:type="dxa"/>
            </w:tcMar>
            <w:vAlign w:val="center"/>
          </w:tcPr>
          <w:p>
            <w:pPr>
              <w:jc w:val="center"/>
            </w:pPr>
            <w:r>
              <w:rPr>
                <w:b/>
                <w:color w:val="FFFFFF"/>
                <w:sz w:val="18"/>
              </w:rPr>
              <w:t>Supporting teams</w:t>
            </w:r>
          </w:p>
        </w:tc>
        <w:tc>
          <w:tcPr>
            <w:tcW w:type="dxa" w:w="2880"/>
            <w:shd w:fill="1F4E79"/>
            <w:tcMar>
              <w:top w:w="110" w:type="dxa"/>
              <w:start w:w="120" w:type="dxa"/>
              <w:bottom w:w="110" w:type="dxa"/>
              <w:end w:w="120" w:type="dxa"/>
            </w:tcMar>
            <w:vAlign w:val="center"/>
          </w:tcPr>
          <w:p>
            <w:pPr>
              <w:jc w:val="center"/>
            </w:pPr>
            <w:r>
              <w:rPr>
                <w:b/>
                <w:color w:val="FFFFFF"/>
                <w:sz w:val="18"/>
              </w:rPr>
              <w:t>Exit evidence</w:t>
            </w:r>
          </w:p>
        </w:tc>
      </w:tr>
      <w:tr>
        <w:tc>
          <w:tcPr>
            <w:tcW w:type="dxa" w:w="1728"/>
            <w:tcMar>
              <w:top w:w="105" w:type="dxa"/>
              <w:start w:w="120" w:type="dxa"/>
              <w:bottom w:w="105" w:type="dxa"/>
              <w:end w:w="120" w:type="dxa"/>
            </w:tcMar>
            <w:vAlign w:val="center"/>
          </w:tcPr>
          <w:p>
            <w:pPr>
              <w:spacing w:after="0"/>
            </w:pPr>
            <w:r>
              <w:rPr>
                <w:sz w:val="18"/>
              </w:rPr>
              <w:t>Sales / Application</w:t>
            </w:r>
          </w:p>
        </w:tc>
        <w:tc>
          <w:tcPr>
            <w:tcW w:type="dxa" w:w="2016"/>
            <w:tcMar>
              <w:top w:w="105" w:type="dxa"/>
              <w:start w:w="120" w:type="dxa"/>
              <w:bottom w:w="105" w:type="dxa"/>
              <w:end w:w="120" w:type="dxa"/>
            </w:tcMar>
            <w:vAlign w:val="center"/>
          </w:tcPr>
          <w:p>
            <w:pPr>
              <w:spacing w:after="0"/>
            </w:pPr>
            <w:r>
              <w:rPr>
                <w:sz w:val="18"/>
              </w:rPr>
              <w:t>Sales or partner owner</w:t>
            </w:r>
          </w:p>
        </w:tc>
        <w:tc>
          <w:tcPr>
            <w:tcW w:type="dxa" w:w="2880"/>
            <w:tcMar>
              <w:top w:w="105" w:type="dxa"/>
              <w:start w:w="120" w:type="dxa"/>
              <w:bottom w:w="105" w:type="dxa"/>
              <w:end w:w="120" w:type="dxa"/>
            </w:tcMar>
            <w:vAlign w:val="center"/>
          </w:tcPr>
          <w:p>
            <w:pPr>
              <w:spacing w:after="0"/>
            </w:pPr>
            <w:r>
              <w:rPr>
                <w:sz w:val="18"/>
              </w:rPr>
              <w:t>Sales manager, merchant support</w:t>
            </w:r>
          </w:p>
        </w:tc>
        <w:tc>
          <w:tcPr>
            <w:tcW w:type="dxa" w:w="2880"/>
            <w:tcMar>
              <w:top w:w="105" w:type="dxa"/>
              <w:start w:w="120" w:type="dxa"/>
              <w:bottom w:w="105" w:type="dxa"/>
              <w:end w:w="120" w:type="dxa"/>
            </w:tcMar>
            <w:vAlign w:val="center"/>
          </w:tcPr>
          <w:p>
            <w:pPr>
              <w:spacing w:after="0"/>
            </w:pPr>
            <w:r>
              <w:rPr>
                <w:sz w:val="18"/>
              </w:rPr>
              <w:t>Qualified merchant and completed application sections</w:t>
            </w:r>
          </w:p>
        </w:tc>
      </w:tr>
      <w:tr>
        <w:tc>
          <w:tcPr>
            <w:tcW w:type="dxa" w:w="1728"/>
            <w:tcMar>
              <w:top w:w="105" w:type="dxa"/>
              <w:start w:w="120" w:type="dxa"/>
              <w:bottom w:w="105" w:type="dxa"/>
              <w:end w:w="120" w:type="dxa"/>
            </w:tcMar>
            <w:vAlign w:val="center"/>
          </w:tcPr>
          <w:p>
            <w:pPr>
              <w:spacing w:after="0"/>
            </w:pPr>
            <w:r>
              <w:rPr>
                <w:sz w:val="18"/>
              </w:rPr>
              <w:t>Documents</w:t>
            </w:r>
          </w:p>
        </w:tc>
        <w:tc>
          <w:tcPr>
            <w:tcW w:type="dxa" w:w="2016"/>
            <w:tcMar>
              <w:top w:w="105" w:type="dxa"/>
              <w:start w:w="120" w:type="dxa"/>
              <w:bottom w:w="105" w:type="dxa"/>
              <w:end w:w="120" w:type="dxa"/>
            </w:tcMar>
            <w:vAlign w:val="center"/>
          </w:tcPr>
          <w:p>
            <w:pPr>
              <w:spacing w:after="0"/>
            </w:pPr>
            <w:r>
              <w:rPr>
                <w:sz w:val="18"/>
              </w:rPr>
              <w:t>Document reviewer</w:t>
            </w:r>
          </w:p>
        </w:tc>
        <w:tc>
          <w:tcPr>
            <w:tcW w:type="dxa" w:w="2880"/>
            <w:tcMar>
              <w:top w:w="105" w:type="dxa"/>
              <w:start w:w="120" w:type="dxa"/>
              <w:bottom w:w="105" w:type="dxa"/>
              <w:end w:w="120" w:type="dxa"/>
            </w:tcMar>
            <w:vAlign w:val="center"/>
          </w:tcPr>
          <w:p>
            <w:pPr>
              <w:spacing w:after="0"/>
            </w:pPr>
            <w:r>
              <w:rPr>
                <w:sz w:val="18"/>
              </w:rPr>
              <w:t>Merchant, sales, compliance</w:t>
            </w:r>
          </w:p>
        </w:tc>
        <w:tc>
          <w:tcPr>
            <w:tcW w:type="dxa" w:w="2880"/>
            <w:tcMar>
              <w:top w:w="105" w:type="dxa"/>
              <w:start w:w="120" w:type="dxa"/>
              <w:bottom w:w="105" w:type="dxa"/>
              <w:end w:w="120" w:type="dxa"/>
            </w:tcMar>
            <w:vAlign w:val="center"/>
          </w:tcPr>
          <w:p>
            <w:pPr>
              <w:spacing w:after="0"/>
            </w:pPr>
            <w:r>
              <w:rPr>
                <w:sz w:val="18"/>
              </w:rPr>
              <w:t>Required documents approved or formally waived</w:t>
            </w:r>
          </w:p>
        </w:tc>
      </w:tr>
      <w:tr>
        <w:tc>
          <w:tcPr>
            <w:tcW w:type="dxa" w:w="1728"/>
            <w:tcMar>
              <w:top w:w="105" w:type="dxa"/>
              <w:start w:w="120" w:type="dxa"/>
              <w:bottom w:w="105" w:type="dxa"/>
              <w:end w:w="120" w:type="dxa"/>
            </w:tcMar>
            <w:vAlign w:val="center"/>
          </w:tcPr>
          <w:p>
            <w:pPr>
              <w:spacing w:after="0"/>
            </w:pPr>
            <w:r>
              <w:rPr>
                <w:sz w:val="18"/>
              </w:rPr>
              <w:t>Compliance</w:t>
            </w:r>
          </w:p>
        </w:tc>
        <w:tc>
          <w:tcPr>
            <w:tcW w:type="dxa" w:w="2016"/>
            <w:tcMar>
              <w:top w:w="105" w:type="dxa"/>
              <w:start w:w="120" w:type="dxa"/>
              <w:bottom w:w="105" w:type="dxa"/>
              <w:end w:w="120" w:type="dxa"/>
            </w:tcMar>
            <w:vAlign w:val="center"/>
          </w:tcPr>
          <w:p>
            <w:pPr>
              <w:spacing w:after="0"/>
            </w:pPr>
            <w:r>
              <w:rPr>
                <w:sz w:val="18"/>
              </w:rPr>
              <w:t>Compliance analyst</w:t>
            </w:r>
          </w:p>
        </w:tc>
        <w:tc>
          <w:tcPr>
            <w:tcW w:type="dxa" w:w="2880"/>
            <w:tcMar>
              <w:top w:w="105" w:type="dxa"/>
              <w:start w:w="120" w:type="dxa"/>
              <w:bottom w:w="105" w:type="dxa"/>
              <w:end w:w="120" w:type="dxa"/>
            </w:tcMar>
            <w:vAlign w:val="center"/>
          </w:tcPr>
          <w:p>
            <w:pPr>
              <w:spacing w:after="0"/>
            </w:pPr>
            <w:r>
              <w:rPr>
                <w:sz w:val="18"/>
              </w:rPr>
              <w:t>Risk, external KYC/KYB providers</w:t>
            </w:r>
          </w:p>
        </w:tc>
        <w:tc>
          <w:tcPr>
            <w:tcW w:type="dxa" w:w="2880"/>
            <w:tcMar>
              <w:top w:w="105" w:type="dxa"/>
              <w:start w:w="120" w:type="dxa"/>
              <w:bottom w:w="105" w:type="dxa"/>
              <w:end w:w="120" w:type="dxa"/>
            </w:tcMar>
            <w:vAlign w:val="center"/>
          </w:tcPr>
          <w:p>
            <w:pPr>
              <w:spacing w:after="0"/>
            </w:pPr>
            <w:r>
              <w:rPr>
                <w:sz w:val="18"/>
              </w:rPr>
              <w:t>Resolved KYC, KYB, sanctions, PEP, and adverse-media results</w:t>
            </w:r>
          </w:p>
        </w:tc>
      </w:tr>
      <w:tr>
        <w:tc>
          <w:tcPr>
            <w:tcW w:type="dxa" w:w="1728"/>
            <w:tcMar>
              <w:top w:w="105" w:type="dxa"/>
              <w:start w:w="120" w:type="dxa"/>
              <w:bottom w:w="105" w:type="dxa"/>
              <w:end w:w="120" w:type="dxa"/>
            </w:tcMar>
            <w:vAlign w:val="center"/>
          </w:tcPr>
          <w:p>
            <w:pPr>
              <w:spacing w:after="0"/>
            </w:pPr>
            <w:r>
              <w:rPr>
                <w:sz w:val="18"/>
              </w:rPr>
              <w:t>Risk / Underwriting</w:t>
            </w:r>
          </w:p>
        </w:tc>
        <w:tc>
          <w:tcPr>
            <w:tcW w:type="dxa" w:w="2016"/>
            <w:tcMar>
              <w:top w:w="105" w:type="dxa"/>
              <w:start w:w="120" w:type="dxa"/>
              <w:bottom w:w="105" w:type="dxa"/>
              <w:end w:w="120" w:type="dxa"/>
            </w:tcMar>
            <w:vAlign w:val="center"/>
          </w:tcPr>
          <w:p>
            <w:pPr>
              <w:spacing w:after="0"/>
            </w:pPr>
            <w:r>
              <w:rPr>
                <w:sz w:val="18"/>
              </w:rPr>
              <w:t>Risk analyst or underwriter</w:t>
            </w:r>
          </w:p>
        </w:tc>
        <w:tc>
          <w:tcPr>
            <w:tcW w:type="dxa" w:w="2880"/>
            <w:tcMar>
              <w:top w:w="105" w:type="dxa"/>
              <w:start w:w="120" w:type="dxa"/>
              <w:bottom w:w="105" w:type="dxa"/>
              <w:end w:w="120" w:type="dxa"/>
            </w:tcMar>
            <w:vAlign w:val="center"/>
          </w:tcPr>
          <w:p>
            <w:pPr>
              <w:spacing w:after="0"/>
            </w:pPr>
            <w:r>
              <w:rPr>
                <w:sz w:val="18"/>
              </w:rPr>
              <w:t>Sales, compliance, processor relations</w:t>
            </w:r>
          </w:p>
        </w:tc>
        <w:tc>
          <w:tcPr>
            <w:tcW w:type="dxa" w:w="2880"/>
            <w:tcMar>
              <w:top w:w="105" w:type="dxa"/>
              <w:start w:w="120" w:type="dxa"/>
              <w:bottom w:w="105" w:type="dxa"/>
              <w:end w:w="120" w:type="dxa"/>
            </w:tcMar>
            <w:vAlign w:val="center"/>
          </w:tcPr>
          <w:p>
            <w:pPr>
              <w:spacing w:after="0"/>
            </w:pPr>
            <w:r>
              <w:rPr>
                <w:sz w:val="18"/>
              </w:rPr>
              <w:t>Recorded decision, conditions, limits, reserve, and rationale</w:t>
            </w:r>
          </w:p>
        </w:tc>
      </w:tr>
      <w:tr>
        <w:tc>
          <w:tcPr>
            <w:tcW w:type="dxa" w:w="1728"/>
            <w:tcMar>
              <w:top w:w="105" w:type="dxa"/>
              <w:start w:w="120" w:type="dxa"/>
              <w:bottom w:w="105" w:type="dxa"/>
              <w:end w:w="120" w:type="dxa"/>
            </w:tcMar>
            <w:vAlign w:val="center"/>
          </w:tcPr>
          <w:p>
            <w:pPr>
              <w:spacing w:after="0"/>
            </w:pPr>
            <w:r>
              <w:rPr>
                <w:sz w:val="18"/>
              </w:rPr>
              <w:t>Processor Submission</w:t>
            </w:r>
          </w:p>
        </w:tc>
        <w:tc>
          <w:tcPr>
            <w:tcW w:type="dxa" w:w="2016"/>
            <w:tcMar>
              <w:top w:w="105" w:type="dxa"/>
              <w:start w:w="120" w:type="dxa"/>
              <w:bottom w:w="105" w:type="dxa"/>
              <w:end w:w="120" w:type="dxa"/>
            </w:tcMar>
            <w:vAlign w:val="center"/>
          </w:tcPr>
          <w:p>
            <w:pPr>
              <w:spacing w:after="0"/>
            </w:pPr>
            <w:r>
              <w:rPr>
                <w:sz w:val="18"/>
              </w:rPr>
              <w:t>Processor relations</w:t>
            </w:r>
          </w:p>
        </w:tc>
        <w:tc>
          <w:tcPr>
            <w:tcW w:type="dxa" w:w="2880"/>
            <w:tcMar>
              <w:top w:w="105" w:type="dxa"/>
              <w:start w:w="120" w:type="dxa"/>
              <w:bottom w:w="105" w:type="dxa"/>
              <w:end w:w="120" w:type="dxa"/>
            </w:tcMar>
            <w:vAlign w:val="center"/>
          </w:tcPr>
          <w:p>
            <w:pPr>
              <w:spacing w:after="0"/>
            </w:pPr>
            <w:r>
              <w:rPr>
                <w:sz w:val="18"/>
              </w:rPr>
              <w:t>Underwriting, sales</w:t>
            </w:r>
          </w:p>
        </w:tc>
        <w:tc>
          <w:tcPr>
            <w:tcW w:type="dxa" w:w="2880"/>
            <w:tcMar>
              <w:top w:w="105" w:type="dxa"/>
              <w:start w:w="120" w:type="dxa"/>
              <w:bottom w:w="105" w:type="dxa"/>
              <w:end w:w="120" w:type="dxa"/>
            </w:tcMar>
            <w:vAlign w:val="center"/>
          </w:tcPr>
          <w:p>
            <w:pPr>
              <w:spacing w:after="0"/>
            </w:pPr>
            <w:r>
              <w:rPr>
                <w:sz w:val="18"/>
              </w:rPr>
              <w:t>Submission package, external reference, and response tracking</w:t>
            </w:r>
          </w:p>
        </w:tc>
      </w:tr>
      <w:tr>
        <w:tc>
          <w:tcPr>
            <w:tcW w:type="dxa" w:w="1728"/>
            <w:tcMar>
              <w:top w:w="105" w:type="dxa"/>
              <w:start w:w="120" w:type="dxa"/>
              <w:bottom w:w="105" w:type="dxa"/>
              <w:end w:w="120" w:type="dxa"/>
            </w:tcMar>
            <w:vAlign w:val="center"/>
          </w:tcPr>
          <w:p>
            <w:pPr>
              <w:spacing w:after="0"/>
            </w:pPr>
            <w:r>
              <w:rPr>
                <w:sz w:val="18"/>
              </w:rPr>
              <w:t>Onboarding</w:t>
            </w:r>
          </w:p>
        </w:tc>
        <w:tc>
          <w:tcPr>
            <w:tcW w:type="dxa" w:w="2016"/>
            <w:tcMar>
              <w:top w:w="105" w:type="dxa"/>
              <w:start w:w="120" w:type="dxa"/>
              <w:bottom w:w="105" w:type="dxa"/>
              <w:end w:w="120" w:type="dxa"/>
            </w:tcMar>
            <w:vAlign w:val="center"/>
          </w:tcPr>
          <w:p>
            <w:pPr>
              <w:spacing w:after="0"/>
            </w:pPr>
            <w:r>
              <w:rPr>
                <w:sz w:val="18"/>
              </w:rPr>
              <w:t>Onboarding specialist</w:t>
            </w:r>
          </w:p>
        </w:tc>
        <w:tc>
          <w:tcPr>
            <w:tcW w:type="dxa" w:w="2880"/>
            <w:tcMar>
              <w:top w:w="105" w:type="dxa"/>
              <w:start w:w="120" w:type="dxa"/>
              <w:bottom w:w="105" w:type="dxa"/>
              <w:end w:w="120" w:type="dxa"/>
            </w:tcMar>
            <w:vAlign w:val="center"/>
          </w:tcPr>
          <w:p>
            <w:pPr>
              <w:spacing w:after="0"/>
            </w:pPr>
            <w:r>
              <w:rPr>
                <w:sz w:val="18"/>
              </w:rPr>
              <w:t>Equipment, integration, support</w:t>
            </w:r>
          </w:p>
        </w:tc>
        <w:tc>
          <w:tcPr>
            <w:tcW w:type="dxa" w:w="2880"/>
            <w:tcMar>
              <w:top w:w="105" w:type="dxa"/>
              <w:start w:w="120" w:type="dxa"/>
              <w:bottom w:w="105" w:type="dxa"/>
              <w:end w:w="120" w:type="dxa"/>
            </w:tcMar>
            <w:vAlign w:val="center"/>
          </w:tcPr>
          <w:p>
            <w:pPr>
              <w:spacing w:after="0"/>
            </w:pPr>
            <w:r>
              <w:rPr>
                <w:sz w:val="18"/>
              </w:rPr>
              <w:t>MID, gateway, equipment, testing, training, activation</w:t>
            </w:r>
          </w:p>
        </w:tc>
      </w:tr>
      <w:tr>
        <w:tc>
          <w:tcPr>
            <w:tcW w:type="dxa" w:w="1728"/>
            <w:tcMar>
              <w:top w:w="105" w:type="dxa"/>
              <w:start w:w="120" w:type="dxa"/>
              <w:bottom w:w="105" w:type="dxa"/>
              <w:end w:w="120" w:type="dxa"/>
            </w:tcMar>
            <w:vAlign w:val="center"/>
          </w:tcPr>
          <w:p>
            <w:pPr>
              <w:spacing w:after="0"/>
            </w:pPr>
            <w:r>
              <w:rPr>
                <w:sz w:val="18"/>
              </w:rPr>
              <w:t>Portfolio</w:t>
            </w:r>
          </w:p>
        </w:tc>
        <w:tc>
          <w:tcPr>
            <w:tcW w:type="dxa" w:w="2016"/>
            <w:tcMar>
              <w:top w:w="105" w:type="dxa"/>
              <w:start w:w="120" w:type="dxa"/>
              <w:bottom w:w="105" w:type="dxa"/>
              <w:end w:w="120" w:type="dxa"/>
            </w:tcMar>
            <w:vAlign w:val="center"/>
          </w:tcPr>
          <w:p>
            <w:pPr>
              <w:spacing w:after="0"/>
            </w:pPr>
            <w:r>
              <w:rPr>
                <w:sz w:val="18"/>
              </w:rPr>
              <w:t>Account manager / risk monitoring</w:t>
            </w:r>
          </w:p>
        </w:tc>
        <w:tc>
          <w:tcPr>
            <w:tcW w:type="dxa" w:w="2880"/>
            <w:tcMar>
              <w:top w:w="105" w:type="dxa"/>
              <w:start w:w="120" w:type="dxa"/>
              <w:bottom w:w="105" w:type="dxa"/>
              <w:end w:w="120" w:type="dxa"/>
            </w:tcMar>
            <w:vAlign w:val="center"/>
          </w:tcPr>
          <w:p>
            <w:pPr>
              <w:spacing w:after="0"/>
            </w:pPr>
            <w:r>
              <w:rPr>
                <w:sz w:val="18"/>
              </w:rPr>
              <w:t>Support, finance, compliance</w:t>
            </w:r>
          </w:p>
        </w:tc>
        <w:tc>
          <w:tcPr>
            <w:tcW w:type="dxa" w:w="2880"/>
            <w:tcMar>
              <w:top w:w="105" w:type="dxa"/>
              <w:start w:w="120" w:type="dxa"/>
              <w:bottom w:w="105" w:type="dxa"/>
              <w:end w:w="120" w:type="dxa"/>
            </w:tcMar>
            <w:vAlign w:val="center"/>
          </w:tcPr>
          <w:p>
            <w:pPr>
              <w:spacing w:after="0"/>
            </w:pPr>
            <w:r>
              <w:rPr>
                <w:sz w:val="18"/>
              </w:rPr>
              <w:t>Ongoing volume, chargeback, funding, risk, and service monitoring</w:t>
            </w:r>
          </w:p>
        </w:tc>
      </w:tr>
    </w:tbl>
    <w:p>
      <w:pPr>
        <w:spacing w:after="0"/>
      </w:pPr>
    </w:p>
    <w:p>
      <w:pPr>
        <w:pStyle w:val="Heading1"/>
        <w:keepNext/>
      </w:pPr>
      <w:r>
        <w:t>4. Architecture: Shared Core, U.S. Domestic, International, and Processor-Specific Layers</w:t>
      </w:r>
    </w:p>
    <w:p>
      <w:r>
        <w:t>Do not create separate applications that become disconnected. Build one canonical merchant platform with configuration-driven layers.</w:t>
      </w:r>
    </w:p>
    <w:p>
      <w:pPr>
        <w:pStyle w:val="Heading2"/>
        <w:keepNext/>
      </w:pPr>
      <w:r>
        <w:t>4.1 Shared core used for every merchant</w:t>
      </w:r>
    </w:p>
    <w:p>
      <w:pPr>
        <w:pStyle w:val="ListBullet"/>
      </w:pPr>
      <w:r>
        <w:t>Merchant identity and legal entity</w:t>
      </w:r>
    </w:p>
    <w:p>
      <w:pPr>
        <w:pStyle w:val="ListBullet"/>
      </w:pPr>
      <w:r>
        <w:t>DBA and locations</w:t>
      </w:r>
    </w:p>
    <w:p>
      <w:pPr>
        <w:pStyle w:val="ListBullet"/>
      </w:pPr>
      <w:r>
        <w:t>Owners and beneficial owners</w:t>
      </w:r>
    </w:p>
    <w:p>
      <w:pPr>
        <w:pStyle w:val="ListBullet"/>
      </w:pPr>
      <w:r>
        <w:t>Contacts and authorized signers</w:t>
      </w:r>
    </w:p>
    <w:p>
      <w:pPr>
        <w:pStyle w:val="ListBullet"/>
      </w:pPr>
      <w:r>
        <w:t>Products, services, websites, channels, and expected processing</w:t>
      </w:r>
    </w:p>
    <w:p>
      <w:pPr>
        <w:pStyle w:val="ListBullet"/>
      </w:pPr>
      <w:r>
        <w:t>Bank accounts and settlement preferences</w:t>
      </w:r>
    </w:p>
    <w:p>
      <w:pPr>
        <w:pStyle w:val="ListBullet"/>
      </w:pPr>
      <w:r>
        <w:t>Documents and document-review history</w:t>
      </w:r>
    </w:p>
    <w:p>
      <w:pPr>
        <w:pStyle w:val="ListBullet"/>
      </w:pPr>
      <w:r>
        <w:t>Tasks, notes, communications, assignments, and service-level timers</w:t>
      </w:r>
    </w:p>
    <w:p>
      <w:pPr>
        <w:pStyle w:val="ListBullet"/>
      </w:pPr>
      <w:r>
        <w:t>Stage transitions, approvals, overrides, and audit logs</w:t>
      </w:r>
    </w:p>
    <w:p>
      <w:pPr>
        <w:pStyle w:val="ListBullet"/>
      </w:pPr>
      <w:r>
        <w:t>Processor submissions, decisions, MIDs, gateways, equipment, onboarding, and activation</w:t>
      </w:r>
    </w:p>
    <w:p>
      <w:pPr>
        <w:pStyle w:val="Heading2"/>
        <w:keepNext/>
      </w:pPr>
      <w:r>
        <w:t>4.2 U.S. domestic configuration layer</w:t>
      </w:r>
    </w:p>
    <w:p>
      <w:pPr>
        <w:pStyle w:val="ListBullet"/>
      </w:pPr>
      <w:r>
        <w:t>EIN and SS-4 validation</w:t>
      </w:r>
    </w:p>
    <w:p>
      <w:pPr>
        <w:pStyle w:val="ListBullet"/>
      </w:pPr>
      <w:r>
        <w:t>U.S. routing and account formats</w:t>
      </w:r>
    </w:p>
    <w:p>
      <w:pPr>
        <w:pStyle w:val="ListBullet"/>
      </w:pPr>
      <w:r>
        <w:t>State and ZIP validation</w:t>
      </w:r>
    </w:p>
    <w:p>
      <w:pPr>
        <w:pStyle w:val="ListBullet"/>
      </w:pPr>
      <w:r>
        <w:t>Driver license and Social Security data controls</w:t>
      </w:r>
    </w:p>
    <w:p>
      <w:pPr>
        <w:pStyle w:val="ListBullet"/>
      </w:pPr>
      <w:r>
        <w:t>Card-present retail, restaurant, eCommerce, recurring, and MOTO profiles</w:t>
      </w:r>
    </w:p>
    <w:p>
      <w:pPr>
        <w:pStyle w:val="ListBullet"/>
      </w:pPr>
      <w:r>
        <w:t>Elavon, U.S. Bank, Maverick, NMI, and other domestic processor requirements</w:t>
      </w:r>
    </w:p>
    <w:p>
      <w:pPr>
        <w:pStyle w:val="ListBullet"/>
      </w:pPr>
      <w:r>
        <w:t>Domestic surcharge, dual-pricing, equipment, and gateway workflows</w:t>
      </w:r>
    </w:p>
    <w:p>
      <w:pPr>
        <w:pStyle w:val="ListBullet"/>
      </w:pPr>
      <w:r>
        <w:t>U.S.-specific underwriting documents and bank-statement analysis</w:t>
      </w:r>
    </w:p>
    <w:p>
      <w:pPr>
        <w:pStyle w:val="Heading2"/>
        <w:keepNext/>
      </w:pPr>
      <w:r>
        <w:t>4.3 International configuration layer</w:t>
      </w:r>
    </w:p>
    <w:p>
      <w:pPr>
        <w:pStyle w:val="ListBullet"/>
      </w:pPr>
      <w:r>
        <w:t>Country of incorporation, operation, customers, and settlement</w:t>
      </w:r>
    </w:p>
    <w:p>
      <w:pPr>
        <w:pStyle w:val="ListBullet"/>
      </w:pPr>
      <w:r>
        <w:t>Local registration, tax, and licensing identifiers</w:t>
      </w:r>
    </w:p>
    <w:p>
      <w:pPr>
        <w:pStyle w:val="ListBullet"/>
      </w:pPr>
      <w:r>
        <w:t>Passport and national ID support</w:t>
      </w:r>
    </w:p>
    <w:p>
      <w:pPr>
        <w:pStyle w:val="ListBullet"/>
      </w:pPr>
      <w:r>
        <w:t>IBAN, SWIFT/BIC, local bank codes, and multiple settlement currencies</w:t>
      </w:r>
    </w:p>
    <w:p>
      <w:pPr>
        <w:pStyle w:val="ListBullet"/>
      </w:pPr>
      <w:r>
        <w:t>Translation, notarization, apostille, and document certification requirements</w:t>
      </w:r>
    </w:p>
    <w:p>
      <w:pPr>
        <w:pStyle w:val="ListBullet"/>
      </w:pPr>
      <w:r>
        <w:t>Source of funds, source of wealth, beneficial ownership, and country-risk controls</w:t>
      </w:r>
    </w:p>
    <w:p>
      <w:pPr>
        <w:pStyle w:val="ListBullet"/>
      </w:pPr>
      <w:r>
        <w:t>Gaming, sportsbook, crypto, travel, digital goods, and other regulated vertical configurations</w:t>
      </w:r>
    </w:p>
    <w:p>
      <w:pPr>
        <w:pStyle w:val="ListBullet"/>
      </w:pPr>
      <w:r>
        <w:t>Regional processor and acquirer availability for LATAM, EU/UK, Africa, and Asia</w:t>
      </w:r>
    </w:p>
    <w:p>
      <w:pPr>
        <w:pStyle w:val="Heading2"/>
        <w:keepNext/>
      </w:pPr>
      <w:r>
        <w:t>4.4 Processor-specific overlay</w:t>
      </w:r>
    </w:p>
    <w:p>
      <w:r>
        <w:t>Processor requirements must be configuration, not hard-coded form duplication. A processor overlay may require additional fields, documents, limits, pricing, reserve, signatures, or API mappings. It should inherit the shared and country layers and add only what is unique.</w:t>
      </w:r>
    </w:p>
    <w:tbl>
      <w:tblPr>
        <w:tblW w:type="auto" w:w="0"/>
        <w:jc w:val="center"/>
        <w:tblLayout w:type="fixed"/>
        <w:tblLook w:firstColumn="1" w:firstRow="1" w:lastColumn="0" w:lastRow="0" w:noHBand="0" w:noVBand="1" w:val="04A0"/>
      </w:tblPr>
      <w:tblGrid>
        <w:gridCol w:w="9994"/>
      </w:tblGrid>
      <w:tr>
        <w:tc>
          <w:tcPr>
            <w:tcW w:type="dxa" w:w="9504"/>
            <w:shd w:fill="D9EAD3"/>
            <w:tcMar>
              <w:top w:w="180" w:type="dxa"/>
              <w:start w:w="200" w:type="dxa"/>
              <w:bottom w:w="180" w:type="dxa"/>
              <w:end w:w="200" w:type="dxa"/>
            </w:tcMar>
          </w:tcPr>
          <w:p>
            <w:r>
              <w:rPr>
                <w:b/>
                <w:color w:val="1F4E79"/>
              </w:rPr>
              <w:t>Configuration hierarchy</w:t>
            </w:r>
          </w:p>
          <w:p>
            <w:pPr>
              <w:spacing w:after="0"/>
            </w:pPr>
            <w:r>
              <w:t>Shared core -&gt; country/region profile -&gt; vertical/risk profile -&gt; processor profile -&gt; merchant-specific exception.</w:t>
            </w:r>
          </w:p>
        </w:tc>
      </w:tr>
    </w:tbl>
    <w:p>
      <w:pPr>
        <w:spacing w:after="0"/>
      </w:pPr>
    </w:p>
    <w:p>
      <w:pPr>
        <w:pStyle w:val="Heading1"/>
        <w:keepNext/>
      </w:pPr>
      <w:r>
        <w:t>5. Development Workstreams and AI-Agent Division of Labor</w:t>
      </w:r>
    </w:p>
    <w:p>
      <w:r>
        <w:t>AI tools can accelerate development when tasks are isolated, contracts are explicit, and one human owns integration. Mohit remains the technical owner. AI agents may work in parallel only when their files and database responsibilities do not conflict.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440"/>
            <w:shd w:fill="1F4E79"/>
            <w:tcMar>
              <w:top w:w="110" w:type="dxa"/>
              <w:start w:w="120" w:type="dxa"/>
              <w:bottom w:w="110" w:type="dxa"/>
              <w:end w:w="120" w:type="dxa"/>
            </w:tcMar>
            <w:vAlign w:val="center"/>
          </w:tcPr>
          <w:p>
            <w:pPr>
              <w:jc w:val="center"/>
            </w:pPr>
            <w:r>
              <w:rPr>
                <w:b/>
                <w:color w:val="FFFFFF"/>
                <w:sz w:val="18"/>
              </w:rPr>
              <w:t>Workstream</w:t>
            </w:r>
          </w:p>
        </w:tc>
        <w:tc>
          <w:tcPr>
            <w:tcW w:type="dxa" w:w="2880"/>
            <w:shd w:fill="1F4E79"/>
            <w:tcMar>
              <w:top w:w="110" w:type="dxa"/>
              <w:start w:w="120" w:type="dxa"/>
              <w:bottom w:w="110" w:type="dxa"/>
              <w:end w:w="120" w:type="dxa"/>
            </w:tcMar>
            <w:vAlign w:val="center"/>
          </w:tcPr>
          <w:p>
            <w:pPr>
              <w:jc w:val="center"/>
            </w:pPr>
            <w:r>
              <w:rPr>
                <w:b/>
                <w:color w:val="FFFFFF"/>
                <w:sz w:val="18"/>
              </w:rPr>
              <w:t>Scope</w:t>
            </w:r>
          </w:p>
        </w:tc>
        <w:tc>
          <w:tcPr>
            <w:tcW w:type="dxa" w:w="3168"/>
            <w:shd w:fill="1F4E79"/>
            <w:tcMar>
              <w:top w:w="110" w:type="dxa"/>
              <w:start w:w="120" w:type="dxa"/>
              <w:bottom w:w="110" w:type="dxa"/>
              <w:end w:w="120" w:type="dxa"/>
            </w:tcMar>
            <w:vAlign w:val="center"/>
          </w:tcPr>
          <w:p>
            <w:pPr>
              <w:jc w:val="center"/>
            </w:pPr>
            <w:r>
              <w:rPr>
                <w:b/>
                <w:color w:val="FFFFFF"/>
                <w:sz w:val="18"/>
              </w:rPr>
              <w:t>Suggested AI usage</w:t>
            </w:r>
          </w:p>
        </w:tc>
        <w:tc>
          <w:tcPr>
            <w:tcW w:type="dxa" w:w="1728"/>
            <w:shd w:fill="1F4E79"/>
            <w:tcMar>
              <w:top w:w="110" w:type="dxa"/>
              <w:start w:w="120" w:type="dxa"/>
              <w:bottom w:w="110" w:type="dxa"/>
              <w:end w:w="120" w:type="dxa"/>
            </w:tcMar>
            <w:vAlign w:val="center"/>
          </w:tcPr>
          <w:p>
            <w:pPr>
              <w:jc w:val="center"/>
            </w:pPr>
            <w:r>
              <w:rPr>
                <w:b/>
                <w:color w:val="FFFFFF"/>
                <w:sz w:val="18"/>
              </w:rPr>
              <w:t>Human owner</w:t>
            </w:r>
          </w:p>
        </w:tc>
      </w:tr>
      <w:tr>
        <w:tc>
          <w:tcPr>
            <w:tcW w:type="dxa" w:w="1440"/>
            <w:tcMar>
              <w:top w:w="105" w:type="dxa"/>
              <w:start w:w="120" w:type="dxa"/>
              <w:bottom w:w="105" w:type="dxa"/>
              <w:end w:w="120" w:type="dxa"/>
            </w:tcMar>
            <w:vAlign w:val="center"/>
          </w:tcPr>
          <w:p>
            <w:pPr>
              <w:spacing w:after="0"/>
            </w:pPr>
            <w:r>
              <w:rPr>
                <w:sz w:val="18"/>
              </w:rPr>
              <w:t>A. Repository Discovery</w:t>
            </w:r>
          </w:p>
        </w:tc>
        <w:tc>
          <w:tcPr>
            <w:tcW w:type="dxa" w:w="2880"/>
            <w:tcMar>
              <w:top w:w="105" w:type="dxa"/>
              <w:start w:w="120" w:type="dxa"/>
              <w:bottom w:w="105" w:type="dxa"/>
              <w:end w:w="120" w:type="dxa"/>
            </w:tcMar>
            <w:vAlign w:val="center"/>
          </w:tcPr>
          <w:p>
            <w:pPr>
              <w:spacing w:after="0"/>
            </w:pPr>
            <w:r>
              <w:rPr>
                <w:sz w:val="18"/>
              </w:rPr>
              <w:t>Inventory, dependencies, data flow, risks, test coverage</w:t>
            </w:r>
          </w:p>
        </w:tc>
        <w:tc>
          <w:tcPr>
            <w:tcW w:type="dxa" w:w="3168"/>
            <w:tcMar>
              <w:top w:w="105" w:type="dxa"/>
              <w:start w:w="120" w:type="dxa"/>
              <w:bottom w:w="105" w:type="dxa"/>
              <w:end w:w="120" w:type="dxa"/>
            </w:tcMar>
            <w:vAlign w:val="center"/>
          </w:tcPr>
          <w:p>
            <w:pPr>
              <w:spacing w:after="0"/>
            </w:pPr>
            <w:r>
              <w:rPr>
                <w:sz w:val="18"/>
              </w:rPr>
              <w:t>Claude Code for broad analysis; Copilot for code navigation</w:t>
            </w:r>
          </w:p>
        </w:tc>
        <w:tc>
          <w:tcPr>
            <w:tcW w:type="dxa" w:w="1728"/>
            <w:tcMar>
              <w:top w:w="105" w:type="dxa"/>
              <w:start w:w="120" w:type="dxa"/>
              <w:bottom w:w="105" w:type="dxa"/>
              <w:end w:w="120" w:type="dxa"/>
            </w:tcMar>
            <w:vAlign w:val="center"/>
          </w:tcPr>
          <w:p>
            <w:pPr>
              <w:spacing w:after="0"/>
            </w:pPr>
            <w:r>
              <w:rPr>
                <w:sz w:val="18"/>
              </w:rPr>
              <w:t>Mohit</w:t>
            </w:r>
          </w:p>
        </w:tc>
      </w:tr>
      <w:tr>
        <w:tc>
          <w:tcPr>
            <w:tcW w:type="dxa" w:w="1440"/>
            <w:tcMar>
              <w:top w:w="105" w:type="dxa"/>
              <w:start w:w="120" w:type="dxa"/>
              <w:bottom w:w="105" w:type="dxa"/>
              <w:end w:w="120" w:type="dxa"/>
            </w:tcMar>
            <w:vAlign w:val="center"/>
          </w:tcPr>
          <w:p>
            <w:pPr>
              <w:spacing w:after="0"/>
            </w:pPr>
            <w:r>
              <w:rPr>
                <w:sz w:val="18"/>
              </w:rPr>
              <w:t>B. Shared Merchant Core</w:t>
            </w:r>
          </w:p>
        </w:tc>
        <w:tc>
          <w:tcPr>
            <w:tcW w:type="dxa" w:w="2880"/>
            <w:tcMar>
              <w:top w:w="105" w:type="dxa"/>
              <w:start w:w="120" w:type="dxa"/>
              <w:bottom w:w="105" w:type="dxa"/>
              <w:end w:w="120" w:type="dxa"/>
            </w:tcMar>
            <w:vAlign w:val="center"/>
          </w:tcPr>
          <w:p>
            <w:pPr>
              <w:spacing w:after="0"/>
            </w:pPr>
            <w:r>
              <w:rPr>
                <w:sz w:val="18"/>
              </w:rPr>
              <w:t>Canonical models, services, timeline, assignments, completion engine</w:t>
            </w:r>
          </w:p>
        </w:tc>
        <w:tc>
          <w:tcPr>
            <w:tcW w:type="dxa" w:w="3168"/>
            <w:tcMar>
              <w:top w:w="105" w:type="dxa"/>
              <w:start w:w="120" w:type="dxa"/>
              <w:bottom w:w="105" w:type="dxa"/>
              <w:end w:w="120" w:type="dxa"/>
            </w:tcMar>
            <w:vAlign w:val="center"/>
          </w:tcPr>
          <w:p>
            <w:pPr>
              <w:spacing w:after="0"/>
            </w:pPr>
            <w:r>
              <w:rPr>
                <w:sz w:val="18"/>
              </w:rPr>
              <w:t>Claude/Codex for architecture; Copilot for implementation</w:t>
            </w:r>
          </w:p>
        </w:tc>
        <w:tc>
          <w:tcPr>
            <w:tcW w:type="dxa" w:w="1728"/>
            <w:tcMar>
              <w:top w:w="105" w:type="dxa"/>
              <w:start w:w="120" w:type="dxa"/>
              <w:bottom w:w="105" w:type="dxa"/>
              <w:end w:w="120" w:type="dxa"/>
            </w:tcMar>
            <w:vAlign w:val="center"/>
          </w:tcPr>
          <w:p>
            <w:pPr>
              <w:spacing w:after="0"/>
            </w:pPr>
            <w:r>
              <w:rPr>
                <w:sz w:val="18"/>
              </w:rPr>
              <w:t>Mohit</w:t>
            </w:r>
          </w:p>
        </w:tc>
      </w:tr>
      <w:tr>
        <w:tc>
          <w:tcPr>
            <w:tcW w:type="dxa" w:w="1440"/>
            <w:tcMar>
              <w:top w:w="105" w:type="dxa"/>
              <w:start w:w="120" w:type="dxa"/>
              <w:bottom w:w="105" w:type="dxa"/>
              <w:end w:w="120" w:type="dxa"/>
            </w:tcMar>
            <w:vAlign w:val="center"/>
          </w:tcPr>
          <w:p>
            <w:pPr>
              <w:spacing w:after="0"/>
            </w:pPr>
            <w:r>
              <w:rPr>
                <w:sz w:val="18"/>
              </w:rPr>
              <w:t>C. U.S. Domestic</w:t>
            </w:r>
          </w:p>
        </w:tc>
        <w:tc>
          <w:tcPr>
            <w:tcW w:type="dxa" w:w="2880"/>
            <w:tcMar>
              <w:top w:w="105" w:type="dxa"/>
              <w:start w:w="120" w:type="dxa"/>
              <w:bottom w:w="105" w:type="dxa"/>
              <w:end w:w="120" w:type="dxa"/>
            </w:tcMar>
            <w:vAlign w:val="center"/>
          </w:tcPr>
          <w:p>
            <w:pPr>
              <w:spacing w:after="0"/>
            </w:pPr>
            <w:r>
              <w:rPr>
                <w:sz w:val="18"/>
              </w:rPr>
              <w:t>U.S. fields, document rules, underwriting and processor configurations</w:t>
            </w:r>
          </w:p>
        </w:tc>
        <w:tc>
          <w:tcPr>
            <w:tcW w:type="dxa" w:w="3168"/>
            <w:tcMar>
              <w:top w:w="105" w:type="dxa"/>
              <w:start w:w="120" w:type="dxa"/>
              <w:bottom w:w="105" w:type="dxa"/>
              <w:end w:w="120" w:type="dxa"/>
            </w:tcMar>
            <w:vAlign w:val="center"/>
          </w:tcPr>
          <w:p>
            <w:pPr>
              <w:spacing w:after="0"/>
            </w:pPr>
            <w:r>
              <w:rPr>
                <w:sz w:val="18"/>
              </w:rPr>
              <w:t>Dedicated feature branch and task prompt</w:t>
            </w:r>
          </w:p>
        </w:tc>
        <w:tc>
          <w:tcPr>
            <w:tcW w:type="dxa" w:w="1728"/>
            <w:tcMar>
              <w:top w:w="105" w:type="dxa"/>
              <w:start w:w="120" w:type="dxa"/>
              <w:bottom w:w="105" w:type="dxa"/>
              <w:end w:w="120" w:type="dxa"/>
            </w:tcMar>
            <w:vAlign w:val="center"/>
          </w:tcPr>
          <w:p>
            <w:pPr>
              <w:spacing w:after="0"/>
            </w:pPr>
            <w:r>
              <w:rPr>
                <w:sz w:val="18"/>
              </w:rPr>
              <w:t>Assigned developer + Mohit review</w:t>
            </w:r>
          </w:p>
        </w:tc>
      </w:tr>
      <w:tr>
        <w:tc>
          <w:tcPr>
            <w:tcW w:type="dxa" w:w="1440"/>
            <w:tcMar>
              <w:top w:w="105" w:type="dxa"/>
              <w:start w:w="120" w:type="dxa"/>
              <w:bottom w:w="105" w:type="dxa"/>
              <w:end w:w="120" w:type="dxa"/>
            </w:tcMar>
            <w:vAlign w:val="center"/>
          </w:tcPr>
          <w:p>
            <w:pPr>
              <w:spacing w:after="0"/>
            </w:pPr>
            <w:r>
              <w:rPr>
                <w:sz w:val="18"/>
              </w:rPr>
              <w:t>D. International</w:t>
            </w:r>
          </w:p>
        </w:tc>
        <w:tc>
          <w:tcPr>
            <w:tcW w:type="dxa" w:w="2880"/>
            <w:tcMar>
              <w:top w:w="105" w:type="dxa"/>
              <w:start w:w="120" w:type="dxa"/>
              <w:bottom w:w="105" w:type="dxa"/>
              <w:end w:w="120" w:type="dxa"/>
            </w:tcMar>
            <w:vAlign w:val="center"/>
          </w:tcPr>
          <w:p>
            <w:pPr>
              <w:spacing w:after="0"/>
            </w:pPr>
            <w:r>
              <w:rPr>
                <w:sz w:val="18"/>
              </w:rPr>
              <w:t>Country-aware data, banking, licensing, translations, international risk</w:t>
            </w:r>
          </w:p>
        </w:tc>
        <w:tc>
          <w:tcPr>
            <w:tcW w:type="dxa" w:w="3168"/>
            <w:tcMar>
              <w:top w:w="105" w:type="dxa"/>
              <w:start w:w="120" w:type="dxa"/>
              <w:bottom w:w="105" w:type="dxa"/>
              <w:end w:w="120" w:type="dxa"/>
            </w:tcMar>
            <w:vAlign w:val="center"/>
          </w:tcPr>
          <w:p>
            <w:pPr>
              <w:spacing w:after="0"/>
            </w:pPr>
            <w:r>
              <w:rPr>
                <w:sz w:val="18"/>
              </w:rPr>
              <w:t>Dedicated feature branch; AI generates rule/config scaffolding</w:t>
            </w:r>
          </w:p>
        </w:tc>
        <w:tc>
          <w:tcPr>
            <w:tcW w:type="dxa" w:w="1728"/>
            <w:tcMar>
              <w:top w:w="105" w:type="dxa"/>
              <w:start w:w="120" w:type="dxa"/>
              <w:bottom w:w="105" w:type="dxa"/>
              <w:end w:w="120" w:type="dxa"/>
            </w:tcMar>
            <w:vAlign w:val="center"/>
          </w:tcPr>
          <w:p>
            <w:pPr>
              <w:spacing w:after="0"/>
            </w:pPr>
            <w:r>
              <w:rPr>
                <w:sz w:val="18"/>
              </w:rPr>
              <w:t>Assigned developer + Biliana/risk review</w:t>
            </w:r>
          </w:p>
        </w:tc>
      </w:tr>
      <w:tr>
        <w:tc>
          <w:tcPr>
            <w:tcW w:type="dxa" w:w="1440"/>
            <w:tcMar>
              <w:top w:w="105" w:type="dxa"/>
              <w:start w:w="120" w:type="dxa"/>
              <w:bottom w:w="105" w:type="dxa"/>
              <w:end w:w="120" w:type="dxa"/>
            </w:tcMar>
            <w:vAlign w:val="center"/>
          </w:tcPr>
          <w:p>
            <w:pPr>
              <w:spacing w:after="0"/>
            </w:pPr>
            <w:r>
              <w:rPr>
                <w:sz w:val="18"/>
              </w:rPr>
              <w:t>E. Workflow Engine</w:t>
            </w:r>
          </w:p>
        </w:tc>
        <w:tc>
          <w:tcPr>
            <w:tcW w:type="dxa" w:w="2880"/>
            <w:tcMar>
              <w:top w:w="105" w:type="dxa"/>
              <w:start w:w="120" w:type="dxa"/>
              <w:bottom w:w="105" w:type="dxa"/>
              <w:end w:w="120" w:type="dxa"/>
            </w:tcMar>
            <w:vAlign w:val="center"/>
          </w:tcPr>
          <w:p>
            <w:pPr>
              <w:spacing w:after="0"/>
            </w:pPr>
            <w:r>
              <w:rPr>
                <w:sz w:val="18"/>
              </w:rPr>
              <w:t>Stages, transitions, guards, overrides, events, SLA timers</w:t>
            </w:r>
          </w:p>
        </w:tc>
        <w:tc>
          <w:tcPr>
            <w:tcW w:type="dxa" w:w="3168"/>
            <w:tcMar>
              <w:top w:w="105" w:type="dxa"/>
              <w:start w:w="120" w:type="dxa"/>
              <w:bottom w:w="105" w:type="dxa"/>
              <w:end w:w="120" w:type="dxa"/>
            </w:tcMar>
            <w:vAlign w:val="center"/>
          </w:tcPr>
          <w:p>
            <w:pPr>
              <w:spacing w:after="0"/>
            </w:pPr>
            <w:r>
              <w:rPr>
                <w:sz w:val="18"/>
              </w:rPr>
              <w:t>Claude/Codex design plus test generation</w:t>
            </w:r>
          </w:p>
        </w:tc>
        <w:tc>
          <w:tcPr>
            <w:tcW w:type="dxa" w:w="1728"/>
            <w:tcMar>
              <w:top w:w="105" w:type="dxa"/>
              <w:start w:w="120" w:type="dxa"/>
              <w:bottom w:w="105" w:type="dxa"/>
              <w:end w:w="120" w:type="dxa"/>
            </w:tcMar>
            <w:vAlign w:val="center"/>
          </w:tcPr>
          <w:p>
            <w:pPr>
              <w:spacing w:after="0"/>
            </w:pPr>
            <w:r>
              <w:rPr>
                <w:sz w:val="18"/>
              </w:rPr>
              <w:t>Mohit</w:t>
            </w:r>
          </w:p>
        </w:tc>
      </w:tr>
      <w:tr>
        <w:tc>
          <w:tcPr>
            <w:tcW w:type="dxa" w:w="1440"/>
            <w:tcMar>
              <w:top w:w="105" w:type="dxa"/>
              <w:start w:w="120" w:type="dxa"/>
              <w:bottom w:w="105" w:type="dxa"/>
              <w:end w:w="120" w:type="dxa"/>
            </w:tcMar>
            <w:vAlign w:val="center"/>
          </w:tcPr>
          <w:p>
            <w:pPr>
              <w:spacing w:after="0"/>
            </w:pPr>
            <w:r>
              <w:rPr>
                <w:sz w:val="18"/>
              </w:rPr>
              <w:t>F. Documents / Compliance</w:t>
            </w:r>
          </w:p>
        </w:tc>
        <w:tc>
          <w:tcPr>
            <w:tcW w:type="dxa" w:w="2880"/>
            <w:tcMar>
              <w:top w:w="105" w:type="dxa"/>
              <w:start w:w="120" w:type="dxa"/>
              <w:bottom w:w="105" w:type="dxa"/>
              <w:end w:w="120" w:type="dxa"/>
            </w:tcMar>
            <w:vAlign w:val="center"/>
          </w:tcPr>
          <w:p>
            <w:pPr>
              <w:spacing w:after="0"/>
            </w:pPr>
            <w:r>
              <w:rPr>
                <w:sz w:val="18"/>
              </w:rPr>
              <w:t>Requirements engine, review states, KYC/KYB/AML interfaces</w:t>
            </w:r>
          </w:p>
        </w:tc>
        <w:tc>
          <w:tcPr>
            <w:tcW w:type="dxa" w:w="3168"/>
            <w:tcMar>
              <w:top w:w="105" w:type="dxa"/>
              <w:start w:w="120" w:type="dxa"/>
              <w:bottom w:w="105" w:type="dxa"/>
              <w:end w:w="120" w:type="dxa"/>
            </w:tcMar>
            <w:vAlign w:val="center"/>
          </w:tcPr>
          <w:p>
            <w:pPr>
              <w:spacing w:after="0"/>
            </w:pPr>
            <w:r>
              <w:rPr>
                <w:sz w:val="18"/>
              </w:rPr>
              <w:t>AI assists adapters and test fixtures</w:t>
            </w:r>
          </w:p>
        </w:tc>
        <w:tc>
          <w:tcPr>
            <w:tcW w:type="dxa" w:w="1728"/>
            <w:tcMar>
              <w:top w:w="105" w:type="dxa"/>
              <w:start w:w="120" w:type="dxa"/>
              <w:bottom w:w="105" w:type="dxa"/>
              <w:end w:w="120" w:type="dxa"/>
            </w:tcMar>
            <w:vAlign w:val="center"/>
          </w:tcPr>
          <w:p>
            <w:pPr>
              <w:spacing w:after="0"/>
            </w:pPr>
            <w:r>
              <w:rPr>
                <w:sz w:val="18"/>
              </w:rPr>
              <w:t>Mohit + compliance owner</w:t>
            </w:r>
          </w:p>
        </w:tc>
      </w:tr>
      <w:tr>
        <w:tc>
          <w:tcPr>
            <w:tcW w:type="dxa" w:w="1440"/>
            <w:tcMar>
              <w:top w:w="105" w:type="dxa"/>
              <w:start w:w="120" w:type="dxa"/>
              <w:bottom w:w="105" w:type="dxa"/>
              <w:end w:w="120" w:type="dxa"/>
            </w:tcMar>
            <w:vAlign w:val="center"/>
          </w:tcPr>
          <w:p>
            <w:pPr>
              <w:spacing w:after="0"/>
            </w:pPr>
            <w:r>
              <w:rPr>
                <w:sz w:val="18"/>
              </w:rPr>
              <w:t>G. Processor Matching</w:t>
            </w:r>
          </w:p>
        </w:tc>
        <w:tc>
          <w:tcPr>
            <w:tcW w:type="dxa" w:w="2880"/>
            <w:tcMar>
              <w:top w:w="105" w:type="dxa"/>
              <w:start w:w="120" w:type="dxa"/>
              <w:bottom w:w="105" w:type="dxa"/>
              <w:end w:w="120" w:type="dxa"/>
            </w:tcMar>
            <w:vAlign w:val="center"/>
          </w:tcPr>
          <w:p>
            <w:pPr>
              <w:spacing w:after="0"/>
            </w:pPr>
            <w:r>
              <w:rPr>
                <w:sz w:val="18"/>
              </w:rPr>
              <w:t>Capabilities, restrictions, deterministic scoring and explanations</w:t>
            </w:r>
          </w:p>
        </w:tc>
        <w:tc>
          <w:tcPr>
            <w:tcW w:type="dxa" w:w="3168"/>
            <w:tcMar>
              <w:top w:w="105" w:type="dxa"/>
              <w:start w:w="120" w:type="dxa"/>
              <w:bottom w:w="105" w:type="dxa"/>
              <w:end w:w="120" w:type="dxa"/>
            </w:tcMar>
            <w:vAlign w:val="center"/>
          </w:tcPr>
          <w:p>
            <w:pPr>
              <w:spacing w:after="0"/>
            </w:pPr>
            <w:r>
              <w:rPr>
                <w:sz w:val="18"/>
              </w:rPr>
              <w:t>AI generates rules framework, never final approvals</w:t>
            </w:r>
          </w:p>
        </w:tc>
        <w:tc>
          <w:tcPr>
            <w:tcW w:type="dxa" w:w="1728"/>
            <w:tcMar>
              <w:top w:w="105" w:type="dxa"/>
              <w:start w:w="120" w:type="dxa"/>
              <w:bottom w:w="105" w:type="dxa"/>
              <w:end w:w="120" w:type="dxa"/>
            </w:tcMar>
            <w:vAlign w:val="center"/>
          </w:tcPr>
          <w:p>
            <w:pPr>
              <w:spacing w:after="0"/>
            </w:pPr>
            <w:r>
              <w:rPr>
                <w:sz w:val="18"/>
              </w:rPr>
              <w:t>Mohit + processor relations</w:t>
            </w:r>
          </w:p>
        </w:tc>
      </w:tr>
      <w:tr>
        <w:tc>
          <w:tcPr>
            <w:tcW w:type="dxa" w:w="1440"/>
            <w:tcMar>
              <w:top w:w="105" w:type="dxa"/>
              <w:start w:w="120" w:type="dxa"/>
              <w:bottom w:w="105" w:type="dxa"/>
              <w:end w:w="120" w:type="dxa"/>
            </w:tcMar>
            <w:vAlign w:val="center"/>
          </w:tcPr>
          <w:p>
            <w:pPr>
              <w:spacing w:after="0"/>
            </w:pPr>
            <w:r>
              <w:rPr>
                <w:sz w:val="18"/>
              </w:rPr>
              <w:t>H. API Boarding</w:t>
            </w:r>
          </w:p>
        </w:tc>
        <w:tc>
          <w:tcPr>
            <w:tcW w:type="dxa" w:w="2880"/>
            <w:tcMar>
              <w:top w:w="105" w:type="dxa"/>
              <w:start w:w="120" w:type="dxa"/>
              <w:bottom w:w="105" w:type="dxa"/>
              <w:end w:w="120" w:type="dxa"/>
            </w:tcMar>
            <w:vAlign w:val="center"/>
          </w:tcPr>
          <w:p>
            <w:pPr>
              <w:spacing w:after="0"/>
            </w:pPr>
            <w:r>
              <w:rPr>
                <w:sz w:val="18"/>
              </w:rPr>
              <w:t>Canonical payloads, connectors, webhooks, retries, reconciliation</w:t>
            </w:r>
          </w:p>
        </w:tc>
        <w:tc>
          <w:tcPr>
            <w:tcW w:type="dxa" w:w="3168"/>
            <w:tcMar>
              <w:top w:w="105" w:type="dxa"/>
              <w:start w:w="120" w:type="dxa"/>
              <w:bottom w:w="105" w:type="dxa"/>
              <w:end w:w="120" w:type="dxa"/>
            </w:tcMar>
            <w:vAlign w:val="center"/>
          </w:tcPr>
          <w:p>
            <w:pPr>
              <w:spacing w:after="0"/>
            </w:pPr>
            <w:r>
              <w:rPr>
                <w:sz w:val="18"/>
              </w:rPr>
              <w:t>AI creates connector templates and contract tests</w:t>
            </w:r>
          </w:p>
        </w:tc>
        <w:tc>
          <w:tcPr>
            <w:tcW w:type="dxa" w:w="1728"/>
            <w:tcMar>
              <w:top w:w="105" w:type="dxa"/>
              <w:start w:w="120" w:type="dxa"/>
              <w:bottom w:w="105" w:type="dxa"/>
              <w:end w:w="120" w:type="dxa"/>
            </w:tcMar>
            <w:vAlign w:val="center"/>
          </w:tcPr>
          <w:p>
            <w:pPr>
              <w:spacing w:after="0"/>
            </w:pPr>
            <w:r>
              <w:rPr>
                <w:sz w:val="18"/>
              </w:rPr>
              <w:t>Mohit + gateway developer</w:t>
            </w:r>
          </w:p>
        </w:tc>
      </w:tr>
      <w:tr>
        <w:tc>
          <w:tcPr>
            <w:tcW w:type="dxa" w:w="1440"/>
            <w:tcMar>
              <w:top w:w="105" w:type="dxa"/>
              <w:start w:w="120" w:type="dxa"/>
              <w:bottom w:w="105" w:type="dxa"/>
              <w:end w:w="120" w:type="dxa"/>
            </w:tcMar>
            <w:vAlign w:val="center"/>
          </w:tcPr>
          <w:p>
            <w:pPr>
              <w:spacing w:after="0"/>
            </w:pPr>
            <w:r>
              <w:rPr>
                <w:sz w:val="18"/>
              </w:rPr>
              <w:t>I. QA / Security</w:t>
            </w:r>
          </w:p>
        </w:tc>
        <w:tc>
          <w:tcPr>
            <w:tcW w:type="dxa" w:w="2880"/>
            <w:tcMar>
              <w:top w:w="105" w:type="dxa"/>
              <w:start w:w="120" w:type="dxa"/>
              <w:bottom w:w="105" w:type="dxa"/>
              <w:end w:w="120" w:type="dxa"/>
            </w:tcMar>
            <w:vAlign w:val="center"/>
          </w:tcPr>
          <w:p>
            <w:pPr>
              <w:spacing w:after="0"/>
            </w:pPr>
            <w:r>
              <w:rPr>
                <w:sz w:val="18"/>
              </w:rPr>
              <w:t>Regression tests, permission tests, static analysis, migration checks</w:t>
            </w:r>
          </w:p>
        </w:tc>
        <w:tc>
          <w:tcPr>
            <w:tcW w:type="dxa" w:w="3168"/>
            <w:tcMar>
              <w:top w:w="105" w:type="dxa"/>
              <w:start w:w="120" w:type="dxa"/>
              <w:bottom w:w="105" w:type="dxa"/>
              <w:end w:w="120" w:type="dxa"/>
            </w:tcMar>
            <w:vAlign w:val="center"/>
          </w:tcPr>
          <w:p>
            <w:pPr>
              <w:spacing w:after="0"/>
            </w:pPr>
            <w:r>
              <w:rPr>
                <w:sz w:val="18"/>
              </w:rPr>
              <w:t>Copilot/Claude review; automated CI gates</w:t>
            </w:r>
          </w:p>
        </w:tc>
        <w:tc>
          <w:tcPr>
            <w:tcW w:type="dxa" w:w="1728"/>
            <w:tcMar>
              <w:top w:w="105" w:type="dxa"/>
              <w:start w:w="120" w:type="dxa"/>
              <w:bottom w:w="105" w:type="dxa"/>
              <w:end w:w="120" w:type="dxa"/>
            </w:tcMar>
            <w:vAlign w:val="center"/>
          </w:tcPr>
          <w:p>
            <w:pPr>
              <w:spacing w:after="0"/>
            </w:pPr>
            <w:r>
              <w:rPr>
                <w:sz w:val="18"/>
              </w:rPr>
              <w:t>Mohit + sysadmin/security</w:t>
            </w:r>
          </w:p>
        </w:tc>
      </w:tr>
    </w:tbl>
    <w:p>
      <w:pPr>
        <w:spacing w:after="0"/>
      </w:pPr>
    </w:p>
    <w:p>
      <w:pPr>
        <w:pStyle w:val="Heading2"/>
        <w:keepNext/>
      </w:pPr>
      <w:r>
        <w:t>5.1 Parallel-work rules</w:t>
      </w:r>
    </w:p>
    <w:p>
      <w:pPr>
        <w:pStyle w:val="ListBullet"/>
      </w:pPr>
      <w:r>
        <w:t>Each workstream has a separate Git branch and written file ownership.</w:t>
      </w:r>
    </w:p>
    <w:p>
      <w:pPr>
        <w:pStyle w:val="ListBullet"/>
      </w:pPr>
      <w:r>
        <w:t>Two agents must not edit the same migration, model, or central route file simultaneously.</w:t>
      </w:r>
    </w:p>
    <w:p>
      <w:pPr>
        <w:pStyle w:val="ListBullet"/>
      </w:pPr>
      <w:r>
        <w:t>Shared interface contracts are agreed before parallel work begins.</w:t>
      </w:r>
    </w:p>
    <w:p>
      <w:pPr>
        <w:pStyle w:val="ListBullet"/>
      </w:pPr>
      <w:r>
        <w:t>Each branch includes tests and a migration rollback.</w:t>
      </w:r>
    </w:p>
    <w:p>
      <w:pPr>
        <w:pStyle w:val="ListBullet"/>
      </w:pPr>
      <w:r>
        <w:t>Mohit integrates branches in dependency order; AI does not merge autonomously.</w:t>
      </w:r>
    </w:p>
    <w:p>
      <w:pPr>
        <w:pStyle w:val="ListBullet"/>
      </w:pPr>
      <w:r>
        <w:t>A feature flag protects unfinished modules.</w:t>
      </w:r>
    </w:p>
    <w:p>
      <w:pPr>
        <w:pStyle w:val="Heading1"/>
        <w:keepNext/>
      </w:pPr>
      <w:r>
        <w:t>6. Repository Discovery and Gap Analysis</w:t>
      </w:r>
    </w:p>
    <w:p>
      <w:r>
        <w:t>The first AI assignment is discovery, not code generation. The output must be an evidence-based map citing exact paths, classes, methods, tables, columns, routes, permissions, jobs, events, and screens.</w:t>
      </w:r>
    </w:p>
    <w:p>
      <w:pPr>
        <w:pStyle w:val="Heading2"/>
        <w:keepNext/>
      </w:pPr>
      <w:r>
        <w:t>6.1 Required discovery report</w:t>
      </w:r>
    </w:p>
    <w:p>
      <w:pPr>
        <w:pStyle w:val="ListBullet"/>
      </w:pPr>
      <w:r>
        <w:t>Runtime versions and framework packages</w:t>
      </w:r>
    </w:p>
    <w:p>
      <w:pPr>
        <w:pStyle w:val="ListBullet"/>
      </w:pPr>
      <w:r>
        <w:t>Authentication, roles, gates, policies, and tenant boundaries</w:t>
      </w:r>
    </w:p>
    <w:p>
      <w:pPr>
        <w:pStyle w:val="ListBullet"/>
      </w:pPr>
      <w:r>
        <w:t>Merchant and application entities and relationships</w:t>
      </w:r>
    </w:p>
    <w:p>
      <w:pPr>
        <w:pStyle w:val="ListBullet"/>
      </w:pPr>
      <w:r>
        <w:t>Existing statuses, pipelines, and stage-change logic</w:t>
      </w:r>
    </w:p>
    <w:p>
      <w:pPr>
        <w:pStyle w:val="ListBullet"/>
      </w:pPr>
      <w:r>
        <w:t>Existing document storage, review, download, and deletion logic</w:t>
      </w:r>
    </w:p>
    <w:p>
      <w:pPr>
        <w:pStyle w:val="ListBullet"/>
      </w:pPr>
      <w:r>
        <w:t>Tasks, comments, notifications, email templates, cron jobs, and queues</w:t>
      </w:r>
    </w:p>
    <w:p>
      <w:pPr>
        <w:pStyle w:val="ListBullet"/>
      </w:pPr>
      <w:r>
        <w:t>Reseller, agent, ISO office, ownership, and commission relationships</w:t>
      </w:r>
    </w:p>
    <w:p>
      <w:pPr>
        <w:pStyle w:val="ListBullet"/>
      </w:pPr>
      <w:r>
        <w:t>Processor, MID, gateway, terminal, and onboarding records</w:t>
      </w:r>
    </w:p>
    <w:p>
      <w:pPr>
        <w:pStyle w:val="ListBullet"/>
      </w:pPr>
      <w:r>
        <w:t>Audit logs and sensitive-data handling</w:t>
      </w:r>
    </w:p>
    <w:p>
      <w:pPr>
        <w:pStyle w:val="ListBullet"/>
      </w:pPr>
      <w:r>
        <w:t>International fields and validation assumptions</w:t>
      </w:r>
    </w:p>
    <w:p>
      <w:pPr>
        <w:pStyle w:val="ListBullet"/>
      </w:pPr>
      <w:r>
        <w:t>Existing APIs, external providers, webhooks, and export formats</w:t>
      </w:r>
    </w:p>
    <w:p>
      <w:pPr>
        <w:pStyle w:val="ListBullet"/>
      </w:pPr>
      <w:r>
        <w:t>Performance, duplication, security, and data-integrity risks</w:t>
      </w:r>
    </w:p>
    <w:p>
      <w:pPr>
        <w:pStyle w:val="ListBullet"/>
      </w:pPr>
      <w:r>
        <w:t>Test coverage and missing regression tests</w:t>
      </w:r>
    </w:p>
    <w:p>
      <w:pPr>
        <w:pStyle w:val="Heading2"/>
        <w:keepNext/>
      </w:pPr>
      <w:r>
        <w:t>6.2 Deliverable format</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584"/>
            <w:shd w:fill="1F4E79"/>
            <w:tcMar>
              <w:top w:w="110" w:type="dxa"/>
              <w:start w:w="120" w:type="dxa"/>
              <w:bottom w:w="110" w:type="dxa"/>
              <w:end w:w="120" w:type="dxa"/>
            </w:tcMar>
            <w:vAlign w:val="center"/>
          </w:tcPr>
          <w:p>
            <w:pPr>
              <w:jc w:val="center"/>
            </w:pPr>
            <w:r>
              <w:rPr>
                <w:b/>
                <w:color w:val="FFFFFF"/>
                <w:sz w:val="18"/>
              </w:rPr>
              <w:t>Item</w:t>
            </w:r>
          </w:p>
        </w:tc>
        <w:tc>
          <w:tcPr>
            <w:tcW w:type="dxa" w:w="2160"/>
            <w:shd w:fill="1F4E79"/>
            <w:tcMar>
              <w:top w:w="110" w:type="dxa"/>
              <w:start w:w="120" w:type="dxa"/>
              <w:bottom w:w="110" w:type="dxa"/>
              <w:end w:w="120" w:type="dxa"/>
            </w:tcMar>
            <w:vAlign w:val="center"/>
          </w:tcPr>
          <w:p>
            <w:pPr>
              <w:jc w:val="center"/>
            </w:pPr>
            <w:r>
              <w:rPr>
                <w:b/>
                <w:color w:val="FFFFFF"/>
                <w:sz w:val="18"/>
              </w:rPr>
              <w:t>Existing implementation</w:t>
            </w:r>
          </w:p>
        </w:tc>
        <w:tc>
          <w:tcPr>
            <w:tcW w:type="dxa" w:w="1584"/>
            <w:shd w:fill="1F4E79"/>
            <w:tcMar>
              <w:top w:w="110" w:type="dxa"/>
              <w:start w:w="120" w:type="dxa"/>
              <w:bottom w:w="110" w:type="dxa"/>
              <w:end w:w="120" w:type="dxa"/>
            </w:tcMar>
            <w:vAlign w:val="center"/>
          </w:tcPr>
          <w:p>
            <w:pPr>
              <w:jc w:val="center"/>
            </w:pPr>
            <w:r>
              <w:rPr>
                <w:b/>
                <w:color w:val="FFFFFF"/>
                <w:sz w:val="18"/>
              </w:rPr>
              <w:t>Gap</w:t>
            </w:r>
          </w:p>
        </w:tc>
        <w:tc>
          <w:tcPr>
            <w:tcW w:type="dxa" w:w="2160"/>
            <w:shd w:fill="1F4E79"/>
            <w:tcMar>
              <w:top w:w="110" w:type="dxa"/>
              <w:start w:w="120" w:type="dxa"/>
              <w:bottom w:w="110" w:type="dxa"/>
              <w:end w:w="120" w:type="dxa"/>
            </w:tcMar>
            <w:vAlign w:val="center"/>
          </w:tcPr>
          <w:p>
            <w:pPr>
              <w:jc w:val="center"/>
            </w:pPr>
            <w:r>
              <w:rPr>
                <w:b/>
                <w:color w:val="FFFFFF"/>
                <w:sz w:val="18"/>
              </w:rPr>
              <w:t>Recommendation</w:t>
            </w:r>
          </w:p>
        </w:tc>
        <w:tc>
          <w:tcPr>
            <w:tcW w:type="dxa" w:w="2304"/>
            <w:shd w:fill="1F4E79"/>
            <w:tcMar>
              <w:top w:w="110" w:type="dxa"/>
              <w:start w:w="120" w:type="dxa"/>
              <w:bottom w:w="110" w:type="dxa"/>
              <w:end w:w="120" w:type="dxa"/>
            </w:tcMar>
            <w:vAlign w:val="center"/>
          </w:tcPr>
          <w:p>
            <w:pPr>
              <w:jc w:val="center"/>
            </w:pPr>
            <w:r>
              <w:rPr>
                <w:b/>
                <w:color w:val="FFFFFF"/>
                <w:sz w:val="18"/>
              </w:rPr>
              <w:t>Files / tables affected</w:t>
            </w:r>
          </w:p>
        </w:tc>
      </w:tr>
      <w:tr>
        <w:tc>
          <w:tcPr>
            <w:tcW w:type="dxa" w:w="1584"/>
            <w:tcMar>
              <w:top w:w="105" w:type="dxa"/>
              <w:start w:w="120" w:type="dxa"/>
              <w:bottom w:w="105" w:type="dxa"/>
              <w:end w:w="120" w:type="dxa"/>
            </w:tcMar>
            <w:vAlign w:val="center"/>
          </w:tcPr>
          <w:p>
            <w:pPr>
              <w:spacing w:after="0"/>
            </w:pPr>
            <w:r>
              <w:rPr>
                <w:sz w:val="18"/>
              </w:rPr>
              <w:t>Merchant stage changes</w:t>
            </w:r>
          </w:p>
        </w:tc>
        <w:tc>
          <w:tcPr>
            <w:tcW w:type="dxa" w:w="2160"/>
            <w:tcMar>
              <w:top w:w="105" w:type="dxa"/>
              <w:start w:w="120" w:type="dxa"/>
              <w:bottom w:w="105" w:type="dxa"/>
              <w:end w:w="120" w:type="dxa"/>
            </w:tcMar>
            <w:vAlign w:val="center"/>
          </w:tcPr>
          <w:p>
            <w:pPr>
              <w:spacing w:after="0"/>
            </w:pPr>
            <w:r>
              <w:rPr>
                <w:sz w:val="18"/>
              </w:rPr>
              <w:t>Exact current service/controller</w:t>
            </w:r>
          </w:p>
        </w:tc>
        <w:tc>
          <w:tcPr>
            <w:tcW w:type="dxa" w:w="1584"/>
            <w:tcMar>
              <w:top w:w="105" w:type="dxa"/>
              <w:start w:w="120" w:type="dxa"/>
              <w:bottom w:w="105" w:type="dxa"/>
              <w:end w:w="120" w:type="dxa"/>
            </w:tcMar>
            <w:vAlign w:val="center"/>
          </w:tcPr>
          <w:p>
            <w:pPr>
              <w:spacing w:after="0"/>
            </w:pPr>
            <w:r>
              <w:rPr>
                <w:sz w:val="18"/>
              </w:rPr>
              <w:t>What is missing</w:t>
            </w:r>
          </w:p>
        </w:tc>
        <w:tc>
          <w:tcPr>
            <w:tcW w:type="dxa" w:w="2160"/>
            <w:tcMar>
              <w:top w:w="105" w:type="dxa"/>
              <w:start w:w="120" w:type="dxa"/>
              <w:bottom w:w="105" w:type="dxa"/>
              <w:end w:w="120" w:type="dxa"/>
            </w:tcMar>
            <w:vAlign w:val="center"/>
          </w:tcPr>
          <w:p>
            <w:pPr>
              <w:spacing w:after="0"/>
            </w:pPr>
            <w:r>
              <w:rPr>
                <w:sz w:val="18"/>
              </w:rPr>
              <w:t>Keep, extend, wrap, refactor, or replace</w:t>
            </w:r>
          </w:p>
        </w:tc>
        <w:tc>
          <w:tcPr>
            <w:tcW w:type="dxa" w:w="2304"/>
            <w:tcMar>
              <w:top w:w="105" w:type="dxa"/>
              <w:start w:w="120" w:type="dxa"/>
              <w:bottom w:w="105" w:type="dxa"/>
              <w:end w:w="120" w:type="dxa"/>
            </w:tcMar>
            <w:vAlign w:val="center"/>
          </w:tcPr>
          <w:p>
            <w:pPr>
              <w:spacing w:after="0"/>
            </w:pPr>
            <w:r>
              <w:rPr>
                <w:sz w:val="18"/>
              </w:rPr>
              <w:t>Exact paths and schema</w:t>
            </w:r>
          </w:p>
        </w:tc>
      </w:tr>
      <w:tr>
        <w:tc>
          <w:tcPr>
            <w:tcW w:type="dxa" w:w="1584"/>
            <w:tcMar>
              <w:top w:w="105" w:type="dxa"/>
              <w:start w:w="120" w:type="dxa"/>
              <w:bottom w:w="105" w:type="dxa"/>
              <w:end w:w="120" w:type="dxa"/>
            </w:tcMar>
            <w:vAlign w:val="center"/>
          </w:tcPr>
          <w:p>
            <w:pPr>
              <w:spacing w:after="0"/>
            </w:pPr>
            <w:r>
              <w:rPr>
                <w:sz w:val="18"/>
              </w:rPr>
              <w:t>Documents</w:t>
            </w:r>
          </w:p>
        </w:tc>
        <w:tc>
          <w:tcPr>
            <w:tcW w:type="dxa" w:w="2160"/>
            <w:tcMar>
              <w:top w:w="105" w:type="dxa"/>
              <w:start w:w="120" w:type="dxa"/>
              <w:bottom w:w="105" w:type="dxa"/>
              <w:end w:w="120" w:type="dxa"/>
            </w:tcMar>
            <w:vAlign w:val="center"/>
          </w:tcPr>
          <w:p>
            <w:pPr>
              <w:spacing w:after="0"/>
            </w:pPr>
            <w:r>
              <w:rPr>
                <w:sz w:val="18"/>
              </w:rPr>
              <w:t>Exact upload/review code</w:t>
            </w:r>
          </w:p>
        </w:tc>
        <w:tc>
          <w:tcPr>
            <w:tcW w:type="dxa" w:w="1584"/>
            <w:tcMar>
              <w:top w:w="105" w:type="dxa"/>
              <w:start w:w="120" w:type="dxa"/>
              <w:bottom w:w="105" w:type="dxa"/>
              <w:end w:w="120" w:type="dxa"/>
            </w:tcMar>
            <w:vAlign w:val="center"/>
          </w:tcPr>
          <w:p>
            <w:pPr>
              <w:spacing w:after="0"/>
            </w:pPr>
            <w:r>
              <w:rPr>
                <w:sz w:val="18"/>
              </w:rPr>
              <w:t>Rules, statuses, security gaps</w:t>
            </w:r>
          </w:p>
        </w:tc>
        <w:tc>
          <w:tcPr>
            <w:tcW w:type="dxa" w:w="2160"/>
            <w:tcMar>
              <w:top w:w="105" w:type="dxa"/>
              <w:start w:w="120" w:type="dxa"/>
              <w:bottom w:w="105" w:type="dxa"/>
              <w:end w:w="120" w:type="dxa"/>
            </w:tcMar>
            <w:vAlign w:val="center"/>
          </w:tcPr>
          <w:p>
            <w:pPr>
              <w:spacing w:after="0"/>
            </w:pPr>
            <w:r>
              <w:rPr>
                <w:sz w:val="18"/>
              </w:rPr>
              <w:t>Proposed extension</w:t>
            </w:r>
          </w:p>
        </w:tc>
        <w:tc>
          <w:tcPr>
            <w:tcW w:type="dxa" w:w="2304"/>
            <w:tcMar>
              <w:top w:w="105" w:type="dxa"/>
              <w:start w:w="120" w:type="dxa"/>
              <w:bottom w:w="105" w:type="dxa"/>
              <w:end w:w="120" w:type="dxa"/>
            </w:tcMar>
            <w:vAlign w:val="center"/>
          </w:tcPr>
          <w:p>
            <w:pPr>
              <w:spacing w:after="0"/>
            </w:pPr>
            <w:r>
              <w:rPr>
                <w:sz w:val="18"/>
              </w:rPr>
              <w:t>Exact paths and schema</w:t>
            </w:r>
          </w:p>
        </w:tc>
      </w:tr>
      <w:tr>
        <w:tc>
          <w:tcPr>
            <w:tcW w:type="dxa" w:w="1584"/>
            <w:tcMar>
              <w:top w:w="105" w:type="dxa"/>
              <w:start w:w="120" w:type="dxa"/>
              <w:bottom w:w="105" w:type="dxa"/>
              <w:end w:w="120" w:type="dxa"/>
            </w:tcMar>
            <w:vAlign w:val="center"/>
          </w:tcPr>
          <w:p>
            <w:pPr>
              <w:spacing w:after="0"/>
            </w:pPr>
            <w:r>
              <w:rPr>
                <w:sz w:val="18"/>
              </w:rPr>
              <w:t>International support</w:t>
            </w:r>
          </w:p>
        </w:tc>
        <w:tc>
          <w:tcPr>
            <w:tcW w:type="dxa" w:w="2160"/>
            <w:tcMar>
              <w:top w:w="105" w:type="dxa"/>
              <w:start w:w="120" w:type="dxa"/>
              <w:bottom w:w="105" w:type="dxa"/>
              <w:end w:w="120" w:type="dxa"/>
            </w:tcMar>
            <w:vAlign w:val="center"/>
          </w:tcPr>
          <w:p>
            <w:pPr>
              <w:spacing w:after="0"/>
            </w:pPr>
            <w:r>
              <w:rPr>
                <w:sz w:val="18"/>
              </w:rPr>
              <w:t>Current fields and validators</w:t>
            </w:r>
          </w:p>
        </w:tc>
        <w:tc>
          <w:tcPr>
            <w:tcW w:type="dxa" w:w="1584"/>
            <w:tcMar>
              <w:top w:w="105" w:type="dxa"/>
              <w:start w:w="120" w:type="dxa"/>
              <w:bottom w:w="105" w:type="dxa"/>
              <w:end w:w="120" w:type="dxa"/>
            </w:tcMar>
            <w:vAlign w:val="center"/>
          </w:tcPr>
          <w:p>
            <w:pPr>
              <w:spacing w:after="0"/>
            </w:pPr>
            <w:r>
              <w:rPr>
                <w:sz w:val="18"/>
              </w:rPr>
              <w:t>U.S.-only assumptions</w:t>
            </w:r>
          </w:p>
        </w:tc>
        <w:tc>
          <w:tcPr>
            <w:tcW w:type="dxa" w:w="2160"/>
            <w:tcMar>
              <w:top w:w="105" w:type="dxa"/>
              <w:start w:w="120" w:type="dxa"/>
              <w:bottom w:w="105" w:type="dxa"/>
              <w:end w:w="120" w:type="dxa"/>
            </w:tcMar>
            <w:vAlign w:val="center"/>
          </w:tcPr>
          <w:p>
            <w:pPr>
              <w:spacing w:after="0"/>
            </w:pPr>
            <w:r>
              <w:rPr>
                <w:sz w:val="18"/>
              </w:rPr>
              <w:t>Country-aware configuration</w:t>
            </w:r>
          </w:p>
        </w:tc>
        <w:tc>
          <w:tcPr>
            <w:tcW w:type="dxa" w:w="2304"/>
            <w:tcMar>
              <w:top w:w="105" w:type="dxa"/>
              <w:start w:w="120" w:type="dxa"/>
              <w:bottom w:w="105" w:type="dxa"/>
              <w:end w:w="120" w:type="dxa"/>
            </w:tcMar>
            <w:vAlign w:val="center"/>
          </w:tcPr>
          <w:p>
            <w:pPr>
              <w:spacing w:after="0"/>
            </w:pPr>
            <w:r>
              <w:rPr>
                <w:sz w:val="18"/>
              </w:rPr>
              <w:t>Exact paths and schema</w:t>
            </w:r>
          </w:p>
        </w:tc>
      </w:tr>
    </w:tbl>
    <w:p>
      <w:pPr>
        <w:spacing w:after="0"/>
      </w:pPr>
    </w:p>
    <w:p>
      <w:pPr>
        <w:pStyle w:val="Heading1"/>
        <w:keepNext/>
      </w:pPr>
      <w:r>
        <w:t>7. Canonical Merchant Data Model</w:t>
      </w:r>
    </w:p>
    <w:p>
      <w:r>
        <w:t>Future processor APIs will only be reliable if the internal data is canonical, validated, versioned, and traceable. The UI may present different country forms, but all data must map to stable internal concepts.</w:t>
      </w:r>
    </w:p>
    <w:p>
      <w:pPr>
        <w:pStyle w:val="Heading2"/>
        <w:keepNext/>
      </w:pPr>
      <w:r>
        <w:t>7.1 Canonical domains</w:t>
      </w:r>
    </w:p>
    <w:p>
      <w:pPr>
        <w:pStyle w:val="ListBullet"/>
      </w:pPr>
      <w:r>
        <w:t>Merchant and legal entity</w:t>
      </w:r>
    </w:p>
    <w:p>
      <w:pPr>
        <w:pStyle w:val="ListBullet"/>
      </w:pPr>
      <w:r>
        <w:t>Locations and sales channels</w:t>
      </w:r>
    </w:p>
    <w:p>
      <w:pPr>
        <w:pStyle w:val="ListBullet"/>
      </w:pPr>
      <w:r>
        <w:t>Natural persons: owners, beneficial owners, officers, signers</w:t>
      </w:r>
    </w:p>
    <w:p>
      <w:pPr>
        <w:pStyle w:val="ListBullet"/>
      </w:pPr>
      <w:r>
        <w:t>Banking and settlement accounts</w:t>
      </w:r>
    </w:p>
    <w:p>
      <w:pPr>
        <w:pStyle w:val="ListBullet"/>
      </w:pPr>
      <w:r>
        <w:t>Processing profile and historical processing</w:t>
      </w:r>
    </w:p>
    <w:p>
      <w:pPr>
        <w:pStyle w:val="ListBullet"/>
      </w:pPr>
      <w:r>
        <w:t>Products, services, websites, fulfillment, policies, and suppliers</w:t>
      </w:r>
    </w:p>
    <w:p>
      <w:pPr>
        <w:pStyle w:val="ListBullet"/>
      </w:pPr>
      <w:r>
        <w:t>Licenses and registrations</w:t>
      </w:r>
    </w:p>
    <w:p>
      <w:pPr>
        <w:pStyle w:val="ListBullet"/>
      </w:pPr>
      <w:r>
        <w:t>Documents and extracted data</w:t>
      </w:r>
    </w:p>
    <w:p>
      <w:pPr>
        <w:pStyle w:val="ListBullet"/>
      </w:pPr>
      <w:r>
        <w:t>Compliance checks and case resolutions</w:t>
      </w:r>
    </w:p>
    <w:p>
      <w:pPr>
        <w:pStyle w:val="ListBullet"/>
      </w:pPr>
      <w:r>
        <w:t>Risk reviews and underwriting decisions</w:t>
      </w:r>
    </w:p>
    <w:p>
      <w:pPr>
        <w:pStyle w:val="ListBullet"/>
      </w:pPr>
      <w:r>
        <w:t>Pricing, reserve, limits, settlement, and fees</w:t>
      </w:r>
    </w:p>
    <w:p>
      <w:pPr>
        <w:pStyle w:val="ListBullet"/>
      </w:pPr>
      <w:r>
        <w:t>Processor submissions and processor-specific identifiers</w:t>
      </w:r>
    </w:p>
    <w:p>
      <w:pPr>
        <w:pStyle w:val="ListBullet"/>
      </w:pPr>
      <w:r>
        <w:t>MIDs, gateways, terminal IDs, equipment, credentials references, and integrations</w:t>
      </w:r>
    </w:p>
    <w:p>
      <w:pPr>
        <w:pStyle w:val="ListBullet"/>
      </w:pPr>
      <w:r>
        <w:t>Tasks, communications, timeline, assignments, and audit events</w:t>
      </w:r>
    </w:p>
    <w:p>
      <w:pPr>
        <w:pStyle w:val="Heading2"/>
        <w:keepNext/>
      </w:pPr>
      <w:r>
        <w:t>7.2 Data provenance</w:t>
      </w:r>
    </w:p>
    <w:p>
      <w:r>
        <w:t>Every important data value should record where it came from: merchant entry, staff entry, document extraction, external KYC provider, processor response, bank API, or system calculation. AI-extracted values must remain proposed until a human or approved deterministic validation accepts them.</w:t>
      </w:r>
    </w:p>
    <w:tbl>
      <w:tblPr>
        <w:tblStyle w:val="TableGrid"/>
        <w:tblW w:type="auto" w:w="0"/>
        <w:jc w:val="center"/>
        <w:tblLook w:firstColumn="1" w:firstRow="1" w:lastColumn="0" w:lastRow="0" w:noHBand="0" w:noVBand="1" w:val="04A0"/>
      </w:tblPr>
      <w:tblGrid>
        <w:gridCol w:w="4997"/>
        <w:gridCol w:w="4997"/>
      </w:tblGrid>
      <w:tr>
        <w:tc>
          <w:tcPr>
            <w:tcW w:type="dxa" w:w="2880"/>
            <w:shd w:fill="1F4E79"/>
            <w:tcMar>
              <w:top w:w="110" w:type="dxa"/>
              <w:start w:w="120" w:type="dxa"/>
              <w:bottom w:w="110" w:type="dxa"/>
              <w:end w:w="120" w:type="dxa"/>
            </w:tcMar>
            <w:vAlign w:val="center"/>
          </w:tcPr>
          <w:p>
            <w:pPr>
              <w:jc w:val="center"/>
            </w:pPr>
            <w:r>
              <w:rPr>
                <w:b/>
                <w:color w:val="FFFFFF"/>
                <w:sz w:val="18"/>
              </w:rPr>
              <w:t>Field metadata</w:t>
            </w:r>
          </w:p>
        </w:tc>
        <w:tc>
          <w:tcPr>
            <w:tcW w:type="dxa" w:w="6624"/>
            <w:shd w:fill="1F4E79"/>
            <w:tcMar>
              <w:top w:w="110" w:type="dxa"/>
              <w:start w:w="120" w:type="dxa"/>
              <w:bottom w:w="110" w:type="dxa"/>
              <w:end w:w="120" w:type="dxa"/>
            </w:tcMar>
            <w:vAlign w:val="center"/>
          </w:tcPr>
          <w:p>
            <w:pPr>
              <w:jc w:val="center"/>
            </w:pPr>
            <w:r>
              <w:rPr>
                <w:b/>
                <w:color w:val="FFFFFF"/>
                <w:sz w:val="18"/>
              </w:rPr>
              <w:t>Purpose</w:t>
            </w:r>
          </w:p>
        </w:tc>
      </w:tr>
      <w:tr>
        <w:tc>
          <w:tcPr>
            <w:tcW w:type="dxa" w:w="2880"/>
            <w:tcMar>
              <w:top w:w="105" w:type="dxa"/>
              <w:start w:w="120" w:type="dxa"/>
              <w:bottom w:w="105" w:type="dxa"/>
              <w:end w:w="120" w:type="dxa"/>
            </w:tcMar>
            <w:vAlign w:val="center"/>
          </w:tcPr>
          <w:p>
            <w:pPr>
              <w:spacing w:after="0"/>
            </w:pPr>
            <w:r>
              <w:rPr>
                <w:sz w:val="18"/>
              </w:rPr>
              <w:t>source_type / source_id</w:t>
            </w:r>
          </w:p>
        </w:tc>
        <w:tc>
          <w:tcPr>
            <w:tcW w:type="dxa" w:w="6624"/>
            <w:tcMar>
              <w:top w:w="105" w:type="dxa"/>
              <w:start w:w="120" w:type="dxa"/>
              <w:bottom w:w="105" w:type="dxa"/>
              <w:end w:w="120" w:type="dxa"/>
            </w:tcMar>
            <w:vAlign w:val="center"/>
          </w:tcPr>
          <w:p>
            <w:pPr>
              <w:spacing w:after="0"/>
            </w:pPr>
            <w:r>
              <w:rPr>
                <w:sz w:val="18"/>
              </w:rPr>
              <w:t>Identify application, document, API, or user that supplied the value.</w:t>
            </w:r>
          </w:p>
        </w:tc>
      </w:tr>
      <w:tr>
        <w:tc>
          <w:tcPr>
            <w:tcW w:type="dxa" w:w="2880"/>
            <w:tcMar>
              <w:top w:w="105" w:type="dxa"/>
              <w:start w:w="120" w:type="dxa"/>
              <w:bottom w:w="105" w:type="dxa"/>
              <w:end w:w="120" w:type="dxa"/>
            </w:tcMar>
            <w:vAlign w:val="center"/>
          </w:tcPr>
          <w:p>
            <w:pPr>
              <w:spacing w:after="0"/>
            </w:pPr>
            <w:r>
              <w:rPr>
                <w:sz w:val="18"/>
              </w:rPr>
              <w:t>verification_status</w:t>
            </w:r>
          </w:p>
        </w:tc>
        <w:tc>
          <w:tcPr>
            <w:tcW w:type="dxa" w:w="6624"/>
            <w:tcMar>
              <w:top w:w="105" w:type="dxa"/>
              <w:start w:w="120" w:type="dxa"/>
              <w:bottom w:w="105" w:type="dxa"/>
              <w:end w:w="120" w:type="dxa"/>
            </w:tcMar>
            <w:vAlign w:val="center"/>
          </w:tcPr>
          <w:p>
            <w:pPr>
              <w:spacing w:after="0"/>
            </w:pPr>
            <w:r>
              <w:rPr>
                <w:sz w:val="18"/>
              </w:rPr>
              <w:t>Unverified, system-validated, human-verified, externally verified, rejected.</w:t>
            </w:r>
          </w:p>
        </w:tc>
      </w:tr>
      <w:tr>
        <w:tc>
          <w:tcPr>
            <w:tcW w:type="dxa" w:w="2880"/>
            <w:tcMar>
              <w:top w:w="105" w:type="dxa"/>
              <w:start w:w="120" w:type="dxa"/>
              <w:bottom w:w="105" w:type="dxa"/>
              <w:end w:w="120" w:type="dxa"/>
            </w:tcMar>
            <w:vAlign w:val="center"/>
          </w:tcPr>
          <w:p>
            <w:pPr>
              <w:spacing w:after="0"/>
            </w:pPr>
            <w:r>
              <w:rPr>
                <w:sz w:val="18"/>
              </w:rPr>
              <w:t>verified_by / verified_at</w:t>
            </w:r>
          </w:p>
        </w:tc>
        <w:tc>
          <w:tcPr>
            <w:tcW w:type="dxa" w:w="6624"/>
            <w:tcMar>
              <w:top w:w="105" w:type="dxa"/>
              <w:start w:w="120" w:type="dxa"/>
              <w:bottom w:w="105" w:type="dxa"/>
              <w:end w:w="120" w:type="dxa"/>
            </w:tcMar>
            <w:vAlign w:val="center"/>
          </w:tcPr>
          <w:p>
            <w:pPr>
              <w:spacing w:after="0"/>
            </w:pPr>
            <w:r>
              <w:rPr>
                <w:sz w:val="18"/>
              </w:rPr>
              <w:t>Accountability and timing.</w:t>
            </w:r>
          </w:p>
        </w:tc>
      </w:tr>
      <w:tr>
        <w:tc>
          <w:tcPr>
            <w:tcW w:type="dxa" w:w="2880"/>
            <w:tcMar>
              <w:top w:w="105" w:type="dxa"/>
              <w:start w:w="120" w:type="dxa"/>
              <w:bottom w:w="105" w:type="dxa"/>
              <w:end w:w="120" w:type="dxa"/>
            </w:tcMar>
            <w:vAlign w:val="center"/>
          </w:tcPr>
          <w:p>
            <w:pPr>
              <w:spacing w:after="0"/>
            </w:pPr>
            <w:r>
              <w:rPr>
                <w:sz w:val="18"/>
              </w:rPr>
              <w:t>effective_from / effective_to</w:t>
            </w:r>
          </w:p>
        </w:tc>
        <w:tc>
          <w:tcPr>
            <w:tcW w:type="dxa" w:w="6624"/>
            <w:tcMar>
              <w:top w:w="105" w:type="dxa"/>
              <w:start w:w="120" w:type="dxa"/>
              <w:bottom w:w="105" w:type="dxa"/>
              <w:end w:w="120" w:type="dxa"/>
            </w:tcMar>
            <w:vAlign w:val="center"/>
          </w:tcPr>
          <w:p>
            <w:pPr>
              <w:spacing w:after="0"/>
            </w:pPr>
            <w:r>
              <w:rPr>
                <w:sz w:val="18"/>
              </w:rPr>
              <w:t>Maintain history when values change.</w:t>
            </w:r>
          </w:p>
        </w:tc>
      </w:tr>
      <w:tr>
        <w:tc>
          <w:tcPr>
            <w:tcW w:type="dxa" w:w="2880"/>
            <w:tcMar>
              <w:top w:w="105" w:type="dxa"/>
              <w:start w:w="120" w:type="dxa"/>
              <w:bottom w:w="105" w:type="dxa"/>
              <w:end w:w="120" w:type="dxa"/>
            </w:tcMar>
            <w:vAlign w:val="center"/>
          </w:tcPr>
          <w:p>
            <w:pPr>
              <w:spacing w:after="0"/>
            </w:pPr>
            <w:r>
              <w:rPr>
                <w:sz w:val="18"/>
              </w:rPr>
              <w:t>sensitivity_class</w:t>
            </w:r>
          </w:p>
        </w:tc>
        <w:tc>
          <w:tcPr>
            <w:tcW w:type="dxa" w:w="6624"/>
            <w:tcMar>
              <w:top w:w="105" w:type="dxa"/>
              <w:start w:w="120" w:type="dxa"/>
              <w:bottom w:w="105" w:type="dxa"/>
              <w:end w:w="120" w:type="dxa"/>
            </w:tcMar>
            <w:vAlign w:val="center"/>
          </w:tcPr>
          <w:p>
            <w:pPr>
              <w:spacing w:after="0"/>
            </w:pPr>
            <w:r>
              <w:rPr>
                <w:sz w:val="18"/>
              </w:rPr>
              <w:t>Control masking, access, export, and AI use.</w:t>
            </w:r>
          </w:p>
        </w:tc>
      </w:tr>
      <w:tr>
        <w:tc>
          <w:tcPr>
            <w:tcW w:type="dxa" w:w="2880"/>
            <w:tcMar>
              <w:top w:w="105" w:type="dxa"/>
              <w:start w:w="120" w:type="dxa"/>
              <w:bottom w:w="105" w:type="dxa"/>
              <w:end w:w="120" w:type="dxa"/>
            </w:tcMar>
            <w:vAlign w:val="center"/>
          </w:tcPr>
          <w:p>
            <w:pPr>
              <w:spacing w:after="0"/>
            </w:pPr>
            <w:r>
              <w:rPr>
                <w:sz w:val="18"/>
              </w:rPr>
              <w:t>external_mappings</w:t>
            </w:r>
          </w:p>
        </w:tc>
        <w:tc>
          <w:tcPr>
            <w:tcW w:type="dxa" w:w="6624"/>
            <w:tcMar>
              <w:top w:w="105" w:type="dxa"/>
              <w:start w:w="120" w:type="dxa"/>
              <w:bottom w:w="105" w:type="dxa"/>
              <w:end w:w="120" w:type="dxa"/>
            </w:tcMar>
            <w:vAlign w:val="center"/>
          </w:tcPr>
          <w:p>
            <w:pPr>
              <w:spacing w:after="0"/>
            </w:pPr>
            <w:r>
              <w:rPr>
                <w:sz w:val="18"/>
              </w:rPr>
              <w:t>Map canonical field to each processor API or portal field.</w:t>
            </w:r>
          </w:p>
        </w:tc>
      </w:tr>
    </w:tbl>
    <w:p>
      <w:pPr>
        <w:spacing w:after="0"/>
      </w:pPr>
    </w:p>
    <w:p>
      <w:pPr>
        <w:pStyle w:val="Heading1"/>
        <w:keepNext/>
      </w:pPr>
      <w:r>
        <w:t>8. Workflow and Stage-Transition Engine</w:t>
      </w:r>
    </w:p>
    <w:p>
      <w:r>
        <w:t>The workflow engine is the operational control center. A stage is not merely a label. It carries entry criteria, exit criteria, ownership, required tasks, service-level timing, notifications, and evidence.</w:t>
      </w:r>
    </w:p>
    <w:p>
      <w:pPr>
        <w:pStyle w:val="Heading2"/>
        <w:keepNext/>
      </w:pPr>
      <w:r>
        <w:t>8.1 Transition contract</w:t>
      </w:r>
    </w:p>
    <w:p>
      <w:pPr>
        <w:pStyle w:val="ListBullet"/>
      </w:pPr>
      <w:r>
        <w:t>Current stage and requested next stage</w:t>
      </w:r>
    </w:p>
    <w:p>
      <w:pPr>
        <w:pStyle w:val="ListBullet"/>
      </w:pPr>
      <w:r>
        <w:t>Permission required</w:t>
      </w:r>
    </w:p>
    <w:p>
      <w:pPr>
        <w:pStyle w:val="ListBullet"/>
      </w:pPr>
      <w:r>
        <w:t>Prerequisite rules and required evidence</w:t>
      </w:r>
    </w:p>
    <w:p>
      <w:pPr>
        <w:pStyle w:val="ListBullet"/>
      </w:pPr>
      <w:r>
        <w:t>Automatic tasks, notifications, and assignments</w:t>
      </w:r>
    </w:p>
    <w:p>
      <w:pPr>
        <w:pStyle w:val="ListBullet"/>
      </w:pPr>
      <w:r>
        <w:t>Events emitted for downstream modules</w:t>
      </w:r>
    </w:p>
    <w:p>
      <w:pPr>
        <w:pStyle w:val="ListBullet"/>
      </w:pPr>
      <w:r>
        <w:t>Reason and internal note</w:t>
      </w:r>
    </w:p>
    <w:p>
      <w:pPr>
        <w:pStyle w:val="ListBullet"/>
      </w:pPr>
      <w:r>
        <w:t>Override reason and approval when used</w:t>
      </w:r>
    </w:p>
    <w:p>
      <w:pPr>
        <w:pStyle w:val="ListBullet"/>
      </w:pPr>
      <w:r>
        <w:t>Immutable history record with user, timestamp, IP, and request ID</w:t>
      </w:r>
    </w:p>
    <w:p>
      <w:pPr>
        <w:pStyle w:val="Heading2"/>
        <w:keepNext/>
      </w:pPr>
      <w:r>
        <w:t>8.2 Example guard for ready for submission</w:t>
      </w:r>
    </w:p>
    <w:p>
      <w:pPr>
        <w:pStyle w:val="ListBullet"/>
      </w:pPr>
      <w:r>
        <w:t>Application completion threshold reached.</w:t>
      </w:r>
    </w:p>
    <w:p>
      <w:pPr>
        <w:pStyle w:val="ListBullet"/>
      </w:pPr>
      <w:r>
        <w:t>All processor-required fields available.</w:t>
      </w:r>
    </w:p>
    <w:p>
      <w:pPr>
        <w:pStyle w:val="ListBullet"/>
      </w:pPr>
      <w:r>
        <w:t>All mandatory documents approved or formally waived.</w:t>
      </w:r>
    </w:p>
    <w:p>
      <w:pPr>
        <w:pStyle w:val="ListBullet"/>
      </w:pPr>
      <w:r>
        <w:t>KYC, KYB, AML, sanctions, PEP, and adverse-media cases resolved to an acceptable state.</w:t>
      </w:r>
    </w:p>
    <w:p>
      <w:pPr>
        <w:pStyle w:val="ListBullet"/>
      </w:pPr>
      <w:r>
        <w:t>Risk and underwriting reviews recorded.</w:t>
      </w:r>
    </w:p>
    <w:p>
      <w:pPr>
        <w:pStyle w:val="ListBullet"/>
      </w:pPr>
      <w:r>
        <w:t>Processor selected and compatibility confirmed.</w:t>
      </w:r>
    </w:p>
    <w:p>
      <w:pPr>
        <w:pStyle w:val="ListBullet"/>
      </w:pPr>
      <w:r>
        <w:t>Pricing, reserve, limits, and settlement terms approved.</w:t>
      </w:r>
    </w:p>
    <w:p>
      <w:pPr>
        <w:pStyle w:val="ListBullet"/>
      </w:pPr>
      <w:r>
        <w:t>Underwriting package generated and reviewed.</w:t>
      </w:r>
    </w:p>
    <w:p>
      <w:pPr>
        <w:pStyle w:val="Heading2"/>
        <w:keepNext/>
      </w:pPr>
      <w:r>
        <w:t>8.3 Events, not tight coupling</w:t>
      </w:r>
    </w:p>
    <w:p>
      <w:r>
        <w:t>Stage transitions should emit domain events such as ApplicationSubmitted, DocumentsCompleted, ComplianceCleared, ProcessorSelected, ProcessorSubmitted, MerchantApproved, MidCreated, MerchantActivated, and FirstFundingConfirmed. Listeners create tasks, send notifications, produce exports, or call connectors. This makes future APIs easier to add without rewriting the workflow engine.</w:t>
      </w:r>
    </w:p>
    <w:p>
      <w:pPr>
        <w:pStyle w:val="Heading1"/>
        <w:keepNext/>
      </w:pPr>
      <w:r>
        <w:t>9. U.S. Domestic Onboarding Configuration</w:t>
      </w:r>
    </w:p>
    <w:p>
      <w:r>
        <w:t>The U.S. workstream should configure the shared platform for domestic merchants while reusing the same merchant, workflow, document, risk, processor, and onboarding services.</w:t>
      </w:r>
    </w:p>
    <w:p>
      <w:pPr>
        <w:pStyle w:val="Heading2"/>
        <w:keepNext/>
      </w:pPr>
      <w:r>
        <w:t>9.1 Initial domestic profiles</w:t>
      </w:r>
    </w:p>
    <w:tbl>
      <w:tblPr>
        <w:tblStyle w:val="TableGrid"/>
        <w:tblW w:type="auto" w:w="0"/>
        <w:jc w:val="center"/>
        <w:tblLook w:firstColumn="1" w:firstRow="1" w:lastColumn="0" w:lastRow="0" w:noHBand="0" w:noVBand="1" w:val="04A0"/>
      </w:tblPr>
      <w:tblGrid>
        <w:gridCol w:w="3331"/>
        <w:gridCol w:w="3331"/>
        <w:gridCol w:w="3331"/>
      </w:tblGrid>
      <w:tr>
        <w:tc>
          <w:tcPr>
            <w:tcW w:type="dxa" w:w="1728"/>
            <w:shd w:fill="1F4E79"/>
            <w:tcMar>
              <w:top w:w="110" w:type="dxa"/>
              <w:start w:w="120" w:type="dxa"/>
              <w:bottom w:w="110" w:type="dxa"/>
              <w:end w:w="120" w:type="dxa"/>
            </w:tcMar>
            <w:vAlign w:val="center"/>
          </w:tcPr>
          <w:p>
            <w:pPr>
              <w:jc w:val="center"/>
            </w:pPr>
            <w:r>
              <w:rPr>
                <w:b/>
                <w:color w:val="FFFFFF"/>
                <w:sz w:val="18"/>
              </w:rPr>
              <w:t>Profile</w:t>
            </w:r>
          </w:p>
        </w:tc>
        <w:tc>
          <w:tcPr>
            <w:tcW w:type="dxa" w:w="2304"/>
            <w:shd w:fill="1F4E79"/>
            <w:tcMar>
              <w:top w:w="110" w:type="dxa"/>
              <w:start w:w="120" w:type="dxa"/>
              <w:bottom w:w="110" w:type="dxa"/>
              <w:end w:w="120" w:type="dxa"/>
            </w:tcMar>
            <w:vAlign w:val="center"/>
          </w:tcPr>
          <w:p>
            <w:pPr>
              <w:jc w:val="center"/>
            </w:pPr>
            <w:r>
              <w:rPr>
                <w:b/>
                <w:color w:val="FFFFFF"/>
                <w:sz w:val="18"/>
              </w:rPr>
              <w:t>Typical channels</w:t>
            </w:r>
          </w:p>
        </w:tc>
        <w:tc>
          <w:tcPr>
            <w:tcW w:type="dxa" w:w="4896"/>
            <w:shd w:fill="1F4E79"/>
            <w:tcMar>
              <w:top w:w="110" w:type="dxa"/>
              <w:start w:w="120" w:type="dxa"/>
              <w:bottom w:w="110" w:type="dxa"/>
              <w:end w:w="120" w:type="dxa"/>
            </w:tcMar>
            <w:vAlign w:val="center"/>
          </w:tcPr>
          <w:p>
            <w:pPr>
              <w:jc w:val="center"/>
            </w:pPr>
            <w:r>
              <w:rPr>
                <w:b/>
                <w:color w:val="FFFFFF"/>
                <w:sz w:val="18"/>
              </w:rPr>
              <w:t>Key requirements</w:t>
            </w:r>
          </w:p>
        </w:tc>
      </w:tr>
      <w:tr>
        <w:tc>
          <w:tcPr>
            <w:tcW w:type="dxa" w:w="1728"/>
            <w:tcMar>
              <w:top w:w="105" w:type="dxa"/>
              <w:start w:w="120" w:type="dxa"/>
              <w:bottom w:w="105" w:type="dxa"/>
              <w:end w:w="120" w:type="dxa"/>
            </w:tcMar>
            <w:vAlign w:val="center"/>
          </w:tcPr>
          <w:p>
            <w:pPr>
              <w:spacing w:after="0"/>
            </w:pPr>
            <w:r>
              <w:rPr>
                <w:sz w:val="18"/>
              </w:rPr>
              <w:t>Retail / Convenience</w:t>
            </w:r>
          </w:p>
        </w:tc>
        <w:tc>
          <w:tcPr>
            <w:tcW w:type="dxa" w:w="2304"/>
            <w:tcMar>
              <w:top w:w="105" w:type="dxa"/>
              <w:start w:w="120" w:type="dxa"/>
              <w:bottom w:w="105" w:type="dxa"/>
              <w:end w:w="120" w:type="dxa"/>
            </w:tcMar>
            <w:vAlign w:val="center"/>
          </w:tcPr>
          <w:p>
            <w:pPr>
              <w:spacing w:after="0"/>
            </w:pPr>
            <w:r>
              <w:rPr>
                <w:sz w:val="18"/>
              </w:rPr>
              <w:t>Card present, terminals, POS</w:t>
            </w:r>
          </w:p>
        </w:tc>
        <w:tc>
          <w:tcPr>
            <w:tcW w:type="dxa" w:w="4896"/>
            <w:tcMar>
              <w:top w:w="105" w:type="dxa"/>
              <w:start w:w="120" w:type="dxa"/>
              <w:bottom w:w="105" w:type="dxa"/>
              <w:end w:w="120" w:type="dxa"/>
            </w:tcMar>
            <w:vAlign w:val="center"/>
          </w:tcPr>
          <w:p>
            <w:pPr>
              <w:spacing w:after="0"/>
            </w:pPr>
            <w:r>
              <w:rPr>
                <w:sz w:val="18"/>
              </w:rPr>
              <w:t>SS-4, DL, canceled check, statements, location photos, equipment and surcharge/dual-pricing configuration</w:t>
            </w:r>
          </w:p>
        </w:tc>
      </w:tr>
      <w:tr>
        <w:tc>
          <w:tcPr>
            <w:tcW w:type="dxa" w:w="1728"/>
            <w:tcMar>
              <w:top w:w="105" w:type="dxa"/>
              <w:start w:w="120" w:type="dxa"/>
              <w:bottom w:w="105" w:type="dxa"/>
              <w:end w:w="120" w:type="dxa"/>
            </w:tcMar>
            <w:vAlign w:val="center"/>
          </w:tcPr>
          <w:p>
            <w:pPr>
              <w:spacing w:after="0"/>
            </w:pPr>
            <w:r>
              <w:rPr>
                <w:sz w:val="18"/>
              </w:rPr>
              <w:t>Restaurant</w:t>
            </w:r>
          </w:p>
        </w:tc>
        <w:tc>
          <w:tcPr>
            <w:tcW w:type="dxa" w:w="2304"/>
            <w:tcMar>
              <w:top w:w="105" w:type="dxa"/>
              <w:start w:w="120" w:type="dxa"/>
              <w:bottom w:w="105" w:type="dxa"/>
              <w:end w:w="120" w:type="dxa"/>
            </w:tcMar>
            <w:vAlign w:val="center"/>
          </w:tcPr>
          <w:p>
            <w:pPr>
              <w:spacing w:after="0"/>
            </w:pPr>
            <w:r>
              <w:rPr>
                <w:sz w:val="18"/>
              </w:rPr>
              <w:t>POS, handhelds, online ordering</w:t>
            </w:r>
          </w:p>
        </w:tc>
        <w:tc>
          <w:tcPr>
            <w:tcW w:type="dxa" w:w="4896"/>
            <w:tcMar>
              <w:top w:w="105" w:type="dxa"/>
              <w:start w:w="120" w:type="dxa"/>
              <w:bottom w:w="105" w:type="dxa"/>
              <w:end w:w="120" w:type="dxa"/>
            </w:tcMar>
            <w:vAlign w:val="center"/>
          </w:tcPr>
          <w:p>
            <w:pPr>
              <w:spacing w:after="0"/>
            </w:pPr>
            <w:r>
              <w:rPr>
                <w:sz w:val="18"/>
              </w:rPr>
              <w:t>Ownership, bank, menu/site, location, POS hardware, tips and settlement settings</w:t>
            </w:r>
          </w:p>
        </w:tc>
      </w:tr>
      <w:tr>
        <w:tc>
          <w:tcPr>
            <w:tcW w:type="dxa" w:w="1728"/>
            <w:tcMar>
              <w:top w:w="105" w:type="dxa"/>
              <w:start w:w="120" w:type="dxa"/>
              <w:bottom w:w="105" w:type="dxa"/>
              <w:end w:w="120" w:type="dxa"/>
            </w:tcMar>
            <w:vAlign w:val="center"/>
          </w:tcPr>
          <w:p>
            <w:pPr>
              <w:spacing w:after="0"/>
            </w:pPr>
            <w:r>
              <w:rPr>
                <w:sz w:val="18"/>
              </w:rPr>
              <w:t>eCommerce</w:t>
            </w:r>
          </w:p>
        </w:tc>
        <w:tc>
          <w:tcPr>
            <w:tcW w:type="dxa" w:w="2304"/>
            <w:tcMar>
              <w:top w:w="105" w:type="dxa"/>
              <w:start w:w="120" w:type="dxa"/>
              <w:bottom w:w="105" w:type="dxa"/>
              <w:end w:w="120" w:type="dxa"/>
            </w:tcMar>
            <w:vAlign w:val="center"/>
          </w:tcPr>
          <w:p>
            <w:pPr>
              <w:spacing w:after="0"/>
            </w:pPr>
            <w:r>
              <w:rPr>
                <w:sz w:val="18"/>
              </w:rPr>
              <w:t>Gateway, WooCommerce, virtual terminal</w:t>
            </w:r>
          </w:p>
        </w:tc>
        <w:tc>
          <w:tcPr>
            <w:tcW w:type="dxa" w:w="4896"/>
            <w:tcMar>
              <w:top w:w="105" w:type="dxa"/>
              <w:start w:w="120" w:type="dxa"/>
              <w:bottom w:w="105" w:type="dxa"/>
              <w:end w:w="120" w:type="dxa"/>
            </w:tcMar>
            <w:vAlign w:val="center"/>
          </w:tcPr>
          <w:p>
            <w:pPr>
              <w:spacing w:after="0"/>
            </w:pPr>
            <w:r>
              <w:rPr>
                <w:sz w:val="18"/>
              </w:rPr>
              <w:t>Website ownership, policies, fulfillment, products, processing history, chargeback and fraud profile</w:t>
            </w:r>
          </w:p>
        </w:tc>
      </w:tr>
      <w:tr>
        <w:tc>
          <w:tcPr>
            <w:tcW w:type="dxa" w:w="1728"/>
            <w:tcMar>
              <w:top w:w="105" w:type="dxa"/>
              <w:start w:w="120" w:type="dxa"/>
              <w:bottom w:w="105" w:type="dxa"/>
              <w:end w:w="120" w:type="dxa"/>
            </w:tcMar>
            <w:vAlign w:val="center"/>
          </w:tcPr>
          <w:p>
            <w:pPr>
              <w:spacing w:after="0"/>
            </w:pPr>
            <w:r>
              <w:rPr>
                <w:sz w:val="18"/>
              </w:rPr>
              <w:t>Recurring / Subscription</w:t>
            </w:r>
          </w:p>
        </w:tc>
        <w:tc>
          <w:tcPr>
            <w:tcW w:type="dxa" w:w="2304"/>
            <w:tcMar>
              <w:top w:w="105" w:type="dxa"/>
              <w:start w:w="120" w:type="dxa"/>
              <w:bottom w:w="105" w:type="dxa"/>
              <w:end w:w="120" w:type="dxa"/>
            </w:tcMar>
            <w:vAlign w:val="center"/>
          </w:tcPr>
          <w:p>
            <w:pPr>
              <w:spacing w:after="0"/>
            </w:pPr>
            <w:r>
              <w:rPr>
                <w:sz w:val="18"/>
              </w:rPr>
              <w:t>CNP recurring</w:t>
            </w:r>
          </w:p>
        </w:tc>
        <w:tc>
          <w:tcPr>
            <w:tcW w:type="dxa" w:w="4896"/>
            <w:tcMar>
              <w:top w:w="105" w:type="dxa"/>
              <w:start w:w="120" w:type="dxa"/>
              <w:bottom w:w="105" w:type="dxa"/>
              <w:end w:w="120" w:type="dxa"/>
            </w:tcMar>
            <w:vAlign w:val="center"/>
          </w:tcPr>
          <w:p>
            <w:pPr>
              <w:spacing w:after="0"/>
            </w:pPr>
            <w:r>
              <w:rPr>
                <w:sz w:val="18"/>
              </w:rPr>
              <w:t>Terms, cancellation, rebill disclosure, customer support, decline and chargeback analysis</w:t>
            </w:r>
          </w:p>
        </w:tc>
      </w:tr>
      <w:tr>
        <w:tc>
          <w:tcPr>
            <w:tcW w:type="dxa" w:w="1728"/>
            <w:tcMar>
              <w:top w:w="105" w:type="dxa"/>
              <w:start w:w="120" w:type="dxa"/>
              <w:bottom w:w="105" w:type="dxa"/>
              <w:end w:w="120" w:type="dxa"/>
            </w:tcMar>
            <w:vAlign w:val="center"/>
          </w:tcPr>
          <w:p>
            <w:pPr>
              <w:spacing w:after="0"/>
            </w:pPr>
            <w:r>
              <w:rPr>
                <w:sz w:val="18"/>
              </w:rPr>
              <w:t>High Risk</w:t>
            </w:r>
          </w:p>
        </w:tc>
        <w:tc>
          <w:tcPr>
            <w:tcW w:type="dxa" w:w="2304"/>
            <w:tcMar>
              <w:top w:w="105" w:type="dxa"/>
              <w:start w:w="120" w:type="dxa"/>
              <w:bottom w:w="105" w:type="dxa"/>
              <w:end w:w="120" w:type="dxa"/>
            </w:tcMar>
            <w:vAlign w:val="center"/>
          </w:tcPr>
          <w:p>
            <w:pPr>
              <w:spacing w:after="0"/>
            </w:pPr>
            <w:r>
              <w:rPr>
                <w:sz w:val="18"/>
              </w:rPr>
              <w:t>CNP or mixed</w:t>
            </w:r>
          </w:p>
        </w:tc>
        <w:tc>
          <w:tcPr>
            <w:tcW w:type="dxa" w:w="4896"/>
            <w:tcMar>
              <w:top w:w="105" w:type="dxa"/>
              <w:start w:w="120" w:type="dxa"/>
              <w:bottom w:w="105" w:type="dxa"/>
              <w:end w:w="120" w:type="dxa"/>
            </w:tcMar>
            <w:vAlign w:val="center"/>
          </w:tcPr>
          <w:p>
            <w:pPr>
              <w:spacing w:after="0"/>
            </w:pPr>
            <w:r>
              <w:rPr>
                <w:sz w:val="18"/>
              </w:rPr>
              <w:t>Enhanced documents, reserves, supplier and fulfillment evidence, risk approval, processor-specific conditions</w:t>
            </w:r>
          </w:p>
        </w:tc>
      </w:tr>
    </w:tbl>
    <w:p>
      <w:pPr>
        <w:spacing w:after="0"/>
      </w:pPr>
    </w:p>
    <w:p>
      <w:pPr>
        <w:pStyle w:val="Heading2"/>
        <w:keepNext/>
      </w:pPr>
      <w:r>
        <w:t>9.2 Domestic configuration objects</w:t>
      </w:r>
    </w:p>
    <w:p>
      <w:pPr>
        <w:pStyle w:val="ListBullet"/>
      </w:pPr>
      <w:r>
        <w:t>CountryProfile: US</w:t>
      </w:r>
    </w:p>
    <w:p>
      <w:pPr>
        <w:pStyle w:val="ListBullet"/>
      </w:pPr>
      <w:r>
        <w:t>EntityTypeProfile: LLC, Corporation, Partnership, Sole Proprietor</w:t>
      </w:r>
    </w:p>
    <w:p>
      <w:pPr>
        <w:pStyle w:val="ListBullet"/>
      </w:pPr>
      <w:r>
        <w:t>DocumentRequirementProfile by vertical and business age</w:t>
      </w:r>
    </w:p>
    <w:p>
      <w:pPr>
        <w:pStyle w:val="ListBullet"/>
      </w:pPr>
      <w:r>
        <w:t>ProcessorProfile for each domestic bank/acquirer</w:t>
      </w:r>
    </w:p>
    <w:p>
      <w:pPr>
        <w:pStyle w:val="ListBullet"/>
      </w:pPr>
      <w:r>
        <w:t>PricingProfile for interchange-plus, surcharge, dual pricing, flat rate, and equipment</w:t>
      </w:r>
    </w:p>
    <w:p>
      <w:pPr>
        <w:pStyle w:val="ListBullet"/>
      </w:pPr>
      <w:r>
        <w:t>ValidationProfile for EIN, routing number, state, ZIP, phone, and tax fields</w:t>
      </w:r>
    </w:p>
    <w:p>
      <w:pPr>
        <w:pStyle w:val="Heading1"/>
        <w:keepNext/>
      </w:pPr>
      <w:r>
        <w:t>10. International Onboarding Configuration</w:t>
      </w:r>
    </w:p>
    <w:p>
      <w:r>
        <w:t>International merchants require a broader data and compliance model, not a separate disconnected CRM. The international layer must be configurable by country, region, vertical, processor, settlement currency, and regulatory status.</w:t>
      </w:r>
    </w:p>
    <w:p>
      <w:pPr>
        <w:pStyle w:val="Heading2"/>
        <w:keepNext/>
      </w:pPr>
      <w:r>
        <w:t>10.1 International application capabilities</w:t>
      </w:r>
    </w:p>
    <w:p>
      <w:pPr>
        <w:pStyle w:val="ListBullet"/>
      </w:pPr>
      <w:r>
        <w:t>Country-specific addresses and registration numbers</w:t>
      </w:r>
    </w:p>
    <w:p>
      <w:pPr>
        <w:pStyle w:val="ListBullet"/>
      </w:pPr>
      <w:r>
        <w:t>Local tax identifiers without forcing an EIN</w:t>
      </w:r>
    </w:p>
    <w:p>
      <w:pPr>
        <w:pStyle w:val="ListBullet"/>
      </w:pPr>
      <w:r>
        <w:t>Passport and national ID records</w:t>
      </w:r>
    </w:p>
    <w:p>
      <w:pPr>
        <w:pStyle w:val="ListBullet"/>
      </w:pPr>
      <w:r>
        <w:t>Multiple owners, citizenships, residences, and beneficial ownership percentages</w:t>
      </w:r>
    </w:p>
    <w:p>
      <w:pPr>
        <w:pStyle w:val="ListBullet"/>
      </w:pPr>
      <w:r>
        <w:t>International bank details including IBAN, SWIFT/BIC, local clearing codes, intermediary bank, and settlement currency</w:t>
      </w:r>
    </w:p>
    <w:p>
      <w:pPr>
        <w:pStyle w:val="ListBullet"/>
      </w:pPr>
      <w:r>
        <w:t>Operating, customer, fulfillment, and settlement countries</w:t>
      </w:r>
    </w:p>
    <w:p>
      <w:pPr>
        <w:pStyle w:val="ListBullet"/>
      </w:pPr>
      <w:r>
        <w:t>Local business and gaming licenses</w:t>
      </w:r>
    </w:p>
    <w:p>
      <w:pPr>
        <w:pStyle w:val="ListBullet"/>
      </w:pPr>
      <w:r>
        <w:t>Source of funds and source of wealth</w:t>
      </w:r>
    </w:p>
    <w:p>
      <w:pPr>
        <w:pStyle w:val="ListBullet"/>
      </w:pPr>
      <w:r>
        <w:t>Certified translation, notarization, and apostille status</w:t>
      </w:r>
    </w:p>
    <w:p>
      <w:pPr>
        <w:pStyle w:val="ListBullet"/>
      </w:pPr>
      <w:r>
        <w:t>Restricted-country screening and regional risk rating</w:t>
      </w:r>
    </w:p>
    <w:p>
      <w:pPr>
        <w:pStyle w:val="ListBullet"/>
      </w:pPr>
      <w:r>
        <w:t>Multiple websites, locations, currencies, and acquiring arrangements</w:t>
      </w:r>
    </w:p>
    <w:p>
      <w:pPr>
        <w:pStyle w:val="Heading2"/>
        <w:keepNext/>
      </w:pPr>
      <w:r>
        <w:t>10.2 Example: Dominican Republic licensed sportsbook location</w:t>
      </w:r>
    </w:p>
    <w:tbl>
      <w:tblPr>
        <w:tblStyle w:val="TableGrid"/>
        <w:tblW w:type="auto" w:w="0"/>
        <w:jc w:val="center"/>
        <w:tblLook w:firstColumn="1" w:firstRow="1" w:lastColumn="0" w:lastRow="0" w:noHBand="0" w:noVBand="1" w:val="04A0"/>
      </w:tblPr>
      <w:tblGrid>
        <w:gridCol w:w="4997"/>
        <w:gridCol w:w="4997"/>
      </w:tblGrid>
      <w:tr>
        <w:tc>
          <w:tcPr>
            <w:tcW w:type="dxa" w:w="1728"/>
            <w:shd w:fill="1F4E79"/>
            <w:tcMar>
              <w:top w:w="110" w:type="dxa"/>
              <w:start w:w="120" w:type="dxa"/>
              <w:bottom w:w="110" w:type="dxa"/>
              <w:end w:w="120" w:type="dxa"/>
            </w:tcMar>
            <w:vAlign w:val="center"/>
          </w:tcPr>
          <w:p>
            <w:pPr>
              <w:jc w:val="center"/>
            </w:pPr>
            <w:r>
              <w:rPr>
                <w:b/>
                <w:color w:val="FFFFFF"/>
                <w:sz w:val="18"/>
              </w:rPr>
              <w:t>Area</w:t>
            </w:r>
          </w:p>
        </w:tc>
        <w:tc>
          <w:tcPr>
            <w:tcW w:type="dxa" w:w="7776"/>
            <w:shd w:fill="1F4E79"/>
            <w:tcMar>
              <w:top w:w="110" w:type="dxa"/>
              <w:start w:w="120" w:type="dxa"/>
              <w:bottom w:w="110" w:type="dxa"/>
              <w:end w:w="120" w:type="dxa"/>
            </w:tcMar>
            <w:vAlign w:val="center"/>
          </w:tcPr>
          <w:p>
            <w:pPr>
              <w:jc w:val="center"/>
            </w:pPr>
            <w:r>
              <w:rPr>
                <w:b/>
                <w:color w:val="FFFFFF"/>
                <w:sz w:val="18"/>
              </w:rPr>
              <w:t>Required platform behavior</w:t>
            </w:r>
          </w:p>
        </w:tc>
      </w:tr>
      <w:tr>
        <w:tc>
          <w:tcPr>
            <w:tcW w:type="dxa" w:w="1728"/>
            <w:tcMar>
              <w:top w:w="105" w:type="dxa"/>
              <w:start w:w="120" w:type="dxa"/>
              <w:bottom w:w="105" w:type="dxa"/>
              <w:end w:w="120" w:type="dxa"/>
            </w:tcMar>
            <w:vAlign w:val="center"/>
          </w:tcPr>
          <w:p>
            <w:pPr>
              <w:spacing w:after="0"/>
            </w:pPr>
            <w:r>
              <w:rPr>
                <w:sz w:val="18"/>
              </w:rPr>
              <w:t>Entity</w:t>
            </w:r>
          </w:p>
        </w:tc>
        <w:tc>
          <w:tcPr>
            <w:tcW w:type="dxa" w:w="7776"/>
            <w:tcMar>
              <w:top w:w="105" w:type="dxa"/>
              <w:start w:w="120" w:type="dxa"/>
              <w:bottom w:w="105" w:type="dxa"/>
              <w:end w:w="120" w:type="dxa"/>
            </w:tcMar>
            <w:vAlign w:val="center"/>
          </w:tcPr>
          <w:p>
            <w:pPr>
              <w:spacing w:after="0"/>
            </w:pPr>
            <w:r>
              <w:rPr>
                <w:sz w:val="18"/>
              </w:rPr>
              <w:t>Capture local commercial registration, tax number, legal name, DBA, owners, and addresses.</w:t>
            </w:r>
          </w:p>
        </w:tc>
      </w:tr>
      <w:tr>
        <w:tc>
          <w:tcPr>
            <w:tcW w:type="dxa" w:w="1728"/>
            <w:tcMar>
              <w:top w:w="105" w:type="dxa"/>
              <w:start w:w="120" w:type="dxa"/>
              <w:bottom w:w="105" w:type="dxa"/>
              <w:end w:w="120" w:type="dxa"/>
            </w:tcMar>
            <w:vAlign w:val="center"/>
          </w:tcPr>
          <w:p>
            <w:pPr>
              <w:spacing w:after="0"/>
            </w:pPr>
            <w:r>
              <w:rPr>
                <w:sz w:val="18"/>
              </w:rPr>
              <w:t>License</w:t>
            </w:r>
          </w:p>
        </w:tc>
        <w:tc>
          <w:tcPr>
            <w:tcW w:type="dxa" w:w="7776"/>
            <w:tcMar>
              <w:top w:w="105" w:type="dxa"/>
              <w:start w:w="120" w:type="dxa"/>
              <w:bottom w:w="105" w:type="dxa"/>
              <w:end w:w="120" w:type="dxa"/>
            </w:tcMar>
            <w:vAlign w:val="center"/>
          </w:tcPr>
          <w:p>
            <w:pPr>
              <w:spacing w:after="0"/>
            </w:pPr>
            <w:r>
              <w:rPr>
                <w:sz w:val="18"/>
              </w:rPr>
              <w:t>Collect gaming or sportsbook license, issuer, license number, location coverage, issue date, and expiration.</w:t>
            </w:r>
          </w:p>
        </w:tc>
      </w:tr>
      <w:tr>
        <w:tc>
          <w:tcPr>
            <w:tcW w:type="dxa" w:w="1728"/>
            <w:tcMar>
              <w:top w:w="105" w:type="dxa"/>
              <w:start w:w="120" w:type="dxa"/>
              <w:bottom w:w="105" w:type="dxa"/>
              <w:end w:w="120" w:type="dxa"/>
            </w:tcMar>
            <w:vAlign w:val="center"/>
          </w:tcPr>
          <w:p>
            <w:pPr>
              <w:spacing w:after="0"/>
            </w:pPr>
            <w:r>
              <w:rPr>
                <w:sz w:val="18"/>
              </w:rPr>
              <w:t>Locations</w:t>
            </w:r>
          </w:p>
        </w:tc>
        <w:tc>
          <w:tcPr>
            <w:tcW w:type="dxa" w:w="7776"/>
            <w:tcMar>
              <w:top w:w="105" w:type="dxa"/>
              <w:start w:w="120" w:type="dxa"/>
              <w:bottom w:w="105" w:type="dxa"/>
              <w:end w:w="120" w:type="dxa"/>
            </w:tcMar>
            <w:vAlign w:val="center"/>
          </w:tcPr>
          <w:p>
            <w:pPr>
              <w:spacing w:after="0"/>
            </w:pPr>
            <w:r>
              <w:rPr>
                <w:sz w:val="18"/>
              </w:rPr>
              <w:t>Support many licensed stores with separate addresses, volumes, terminals, and MIDs.</w:t>
            </w:r>
          </w:p>
        </w:tc>
      </w:tr>
      <w:tr>
        <w:tc>
          <w:tcPr>
            <w:tcW w:type="dxa" w:w="1728"/>
            <w:tcMar>
              <w:top w:w="105" w:type="dxa"/>
              <w:start w:w="120" w:type="dxa"/>
              <w:bottom w:w="105" w:type="dxa"/>
              <w:end w:w="120" w:type="dxa"/>
            </w:tcMar>
            <w:vAlign w:val="center"/>
          </w:tcPr>
          <w:p>
            <w:pPr>
              <w:spacing w:after="0"/>
            </w:pPr>
            <w:r>
              <w:rPr>
                <w:sz w:val="18"/>
              </w:rPr>
              <w:t>Processing</w:t>
            </w:r>
          </w:p>
        </w:tc>
        <w:tc>
          <w:tcPr>
            <w:tcW w:type="dxa" w:w="7776"/>
            <w:tcMar>
              <w:top w:w="105" w:type="dxa"/>
              <w:start w:w="120" w:type="dxa"/>
              <w:bottom w:w="105" w:type="dxa"/>
              <w:end w:w="120" w:type="dxa"/>
            </w:tcMar>
            <w:vAlign w:val="center"/>
          </w:tcPr>
          <w:p>
            <w:pPr>
              <w:spacing w:after="0"/>
            </w:pPr>
            <w:r>
              <w:rPr>
                <w:sz w:val="18"/>
              </w:rPr>
              <w:t>Separate card-present retail activity from online or remote gaming activity.</w:t>
            </w:r>
          </w:p>
        </w:tc>
      </w:tr>
      <w:tr>
        <w:tc>
          <w:tcPr>
            <w:tcW w:type="dxa" w:w="1728"/>
            <w:tcMar>
              <w:top w:w="105" w:type="dxa"/>
              <w:start w:w="120" w:type="dxa"/>
              <w:bottom w:w="105" w:type="dxa"/>
              <w:end w:w="120" w:type="dxa"/>
            </w:tcMar>
            <w:vAlign w:val="center"/>
          </w:tcPr>
          <w:p>
            <w:pPr>
              <w:spacing w:after="0"/>
            </w:pPr>
            <w:r>
              <w:rPr>
                <w:sz w:val="18"/>
              </w:rPr>
              <w:t>Banking</w:t>
            </w:r>
          </w:p>
        </w:tc>
        <w:tc>
          <w:tcPr>
            <w:tcW w:type="dxa" w:w="7776"/>
            <w:tcMar>
              <w:top w:w="105" w:type="dxa"/>
              <w:start w:w="120" w:type="dxa"/>
              <w:bottom w:w="105" w:type="dxa"/>
              <w:end w:w="120" w:type="dxa"/>
            </w:tcMar>
            <w:vAlign w:val="center"/>
          </w:tcPr>
          <w:p>
            <w:pPr>
              <w:spacing w:after="0"/>
            </w:pPr>
            <w:r>
              <w:rPr>
                <w:sz w:val="18"/>
              </w:rPr>
              <w:t>Capture local or international settlement account and currency.</w:t>
            </w:r>
          </w:p>
        </w:tc>
      </w:tr>
      <w:tr>
        <w:tc>
          <w:tcPr>
            <w:tcW w:type="dxa" w:w="1728"/>
            <w:tcMar>
              <w:top w:w="105" w:type="dxa"/>
              <w:start w:w="120" w:type="dxa"/>
              <w:bottom w:w="105" w:type="dxa"/>
              <w:end w:w="120" w:type="dxa"/>
            </w:tcMar>
            <w:vAlign w:val="center"/>
          </w:tcPr>
          <w:p>
            <w:pPr>
              <w:spacing w:after="0"/>
            </w:pPr>
            <w:r>
              <w:rPr>
                <w:sz w:val="18"/>
              </w:rPr>
              <w:t>Risk</w:t>
            </w:r>
          </w:p>
        </w:tc>
        <w:tc>
          <w:tcPr>
            <w:tcW w:type="dxa" w:w="7776"/>
            <w:tcMar>
              <w:top w:w="105" w:type="dxa"/>
              <w:start w:w="120" w:type="dxa"/>
              <w:bottom w:w="105" w:type="dxa"/>
              <w:end w:w="120" w:type="dxa"/>
            </w:tcMar>
            <w:vAlign w:val="center"/>
          </w:tcPr>
          <w:p>
            <w:pPr>
              <w:spacing w:after="0"/>
            </w:pPr>
            <w:r>
              <w:rPr>
                <w:sz w:val="18"/>
              </w:rPr>
              <w:t>Apply gaming, country, sanctions, PEP, source-of-funds, and enhanced due-diligence rules.</w:t>
            </w:r>
          </w:p>
        </w:tc>
      </w:tr>
      <w:tr>
        <w:tc>
          <w:tcPr>
            <w:tcW w:type="dxa" w:w="1728"/>
            <w:tcMar>
              <w:top w:w="105" w:type="dxa"/>
              <w:start w:w="120" w:type="dxa"/>
              <w:bottom w:w="105" w:type="dxa"/>
              <w:end w:w="120" w:type="dxa"/>
            </w:tcMar>
            <w:vAlign w:val="center"/>
          </w:tcPr>
          <w:p>
            <w:pPr>
              <w:spacing w:after="0"/>
            </w:pPr>
            <w:r>
              <w:rPr>
                <w:sz w:val="18"/>
              </w:rPr>
              <w:t>Routing</w:t>
            </w:r>
          </w:p>
        </w:tc>
        <w:tc>
          <w:tcPr>
            <w:tcW w:type="dxa" w:w="7776"/>
            <w:tcMar>
              <w:top w:w="105" w:type="dxa"/>
              <w:start w:w="120" w:type="dxa"/>
              <w:bottom w:w="105" w:type="dxa"/>
              <w:end w:w="120" w:type="dxa"/>
            </w:tcMar>
            <w:vAlign w:val="center"/>
          </w:tcPr>
          <w:p>
            <w:pPr>
              <w:spacing w:after="0"/>
            </w:pPr>
            <w:r>
              <w:rPr>
                <w:sz w:val="18"/>
              </w:rPr>
              <w:t>Match only processors that support the country, licensed gaming, channel, currency, and expected volume.</w:t>
            </w:r>
          </w:p>
        </w:tc>
      </w:tr>
    </w:tbl>
    <w:p>
      <w:pPr>
        <w:spacing w:after="0"/>
      </w:pPr>
    </w:p>
    <w:p>
      <w:pPr>
        <w:pStyle w:val="Heading2"/>
        <w:keepNext/>
      </w:pPr>
      <w:r>
        <w:t>10.3 Translation architecture</w:t>
      </w:r>
    </w:p>
    <w:p>
      <w:r>
        <w:t>Store canonical values independently of display language. Use translation files for labels, statuses, instructions, and email templates. Store the original language and translated version of documents or notes where applicable. AI may draft translations, but legal, licensing, and underwriting documents should retain the original and a human-approved translation status.</w:t>
      </w:r>
    </w:p>
    <w:p>
      <w:pPr>
        <w:pStyle w:val="Heading1"/>
        <w:keepNext/>
      </w:pPr>
      <w:r>
        <w:t>11. Documents, KYC, KYB, AML, Risk, and Underwriting</w:t>
      </w:r>
    </w:p>
    <w:p>
      <w:pPr>
        <w:pStyle w:val="Heading2"/>
        <w:keepNext/>
      </w:pPr>
      <w:r>
        <w:t>11.1 Configurable document requirements</w:t>
      </w:r>
    </w:p>
    <w:p>
      <w:r>
        <w:t>A rules engine determines required documents from country, entity type, vertical, channel, business age, volume, risk, processor, and requested products. Each requirement must be traceable to the rule that created it.</w:t>
      </w:r>
    </w:p>
    <w:tbl>
      <w:tblPr>
        <w:tblStyle w:val="TableGrid"/>
        <w:tblW w:type="auto" w:w="0"/>
        <w:jc w:val="center"/>
        <w:tblLook w:firstColumn="1" w:firstRow="1" w:lastColumn="0" w:lastRow="0" w:noHBand="0" w:noVBand="1" w:val="04A0"/>
      </w:tblPr>
      <w:tblGrid>
        <w:gridCol w:w="4997"/>
        <w:gridCol w:w="4997"/>
      </w:tblGrid>
      <w:tr>
        <w:tc>
          <w:tcPr>
            <w:tcW w:type="dxa" w:w="2016"/>
            <w:shd w:fill="1F4E79"/>
            <w:tcMar>
              <w:top w:w="110" w:type="dxa"/>
              <w:start w:w="120" w:type="dxa"/>
              <w:bottom w:w="110" w:type="dxa"/>
              <w:end w:w="120" w:type="dxa"/>
            </w:tcMar>
            <w:vAlign w:val="center"/>
          </w:tcPr>
          <w:p>
            <w:pPr>
              <w:jc w:val="center"/>
            </w:pPr>
            <w:r>
              <w:rPr>
                <w:b/>
                <w:color w:val="FFFFFF"/>
                <w:sz w:val="18"/>
              </w:rPr>
              <w:t>Document state</w:t>
            </w:r>
          </w:p>
        </w:tc>
        <w:tc>
          <w:tcPr>
            <w:tcW w:type="dxa" w:w="7488"/>
            <w:shd w:fill="1F4E79"/>
            <w:tcMar>
              <w:top w:w="110" w:type="dxa"/>
              <w:start w:w="120" w:type="dxa"/>
              <w:bottom w:w="110" w:type="dxa"/>
              <w:end w:w="120" w:type="dxa"/>
            </w:tcMar>
            <w:vAlign w:val="center"/>
          </w:tcPr>
          <w:p>
            <w:pPr>
              <w:jc w:val="center"/>
            </w:pPr>
            <w:r>
              <w:rPr>
                <w:b/>
                <w:color w:val="FFFFFF"/>
                <w:sz w:val="18"/>
              </w:rPr>
              <w:t>Meaning</w:t>
            </w:r>
          </w:p>
        </w:tc>
      </w:tr>
      <w:tr>
        <w:tc>
          <w:tcPr>
            <w:tcW w:type="dxa" w:w="2016"/>
            <w:tcMar>
              <w:top w:w="105" w:type="dxa"/>
              <w:start w:w="120" w:type="dxa"/>
              <w:bottom w:w="105" w:type="dxa"/>
              <w:end w:w="120" w:type="dxa"/>
            </w:tcMar>
            <w:vAlign w:val="center"/>
          </w:tcPr>
          <w:p>
            <w:pPr>
              <w:spacing w:after="0"/>
            </w:pPr>
            <w:r>
              <w:rPr>
                <w:sz w:val="18"/>
              </w:rPr>
              <w:t>Missing</w:t>
            </w:r>
          </w:p>
        </w:tc>
        <w:tc>
          <w:tcPr>
            <w:tcW w:type="dxa" w:w="7488"/>
            <w:tcMar>
              <w:top w:w="105" w:type="dxa"/>
              <w:start w:w="120" w:type="dxa"/>
              <w:bottom w:w="105" w:type="dxa"/>
              <w:end w:w="120" w:type="dxa"/>
            </w:tcMar>
            <w:vAlign w:val="center"/>
          </w:tcPr>
          <w:p>
            <w:pPr>
              <w:spacing w:after="0"/>
            </w:pPr>
            <w:r>
              <w:rPr>
                <w:sz w:val="18"/>
              </w:rPr>
              <w:t>Required but not received.</w:t>
            </w:r>
          </w:p>
        </w:tc>
      </w:tr>
      <w:tr>
        <w:tc>
          <w:tcPr>
            <w:tcW w:type="dxa" w:w="2016"/>
            <w:tcMar>
              <w:top w:w="105" w:type="dxa"/>
              <w:start w:w="120" w:type="dxa"/>
              <w:bottom w:w="105" w:type="dxa"/>
              <w:end w:w="120" w:type="dxa"/>
            </w:tcMar>
            <w:vAlign w:val="center"/>
          </w:tcPr>
          <w:p>
            <w:pPr>
              <w:spacing w:after="0"/>
            </w:pPr>
            <w:r>
              <w:rPr>
                <w:sz w:val="18"/>
              </w:rPr>
              <w:t>Requested</w:t>
            </w:r>
          </w:p>
        </w:tc>
        <w:tc>
          <w:tcPr>
            <w:tcW w:type="dxa" w:w="7488"/>
            <w:tcMar>
              <w:top w:w="105" w:type="dxa"/>
              <w:start w:w="120" w:type="dxa"/>
              <w:bottom w:w="105" w:type="dxa"/>
              <w:end w:w="120" w:type="dxa"/>
            </w:tcMar>
            <w:vAlign w:val="center"/>
          </w:tcPr>
          <w:p>
            <w:pPr>
              <w:spacing w:after="0"/>
            </w:pPr>
            <w:r>
              <w:rPr>
                <w:sz w:val="18"/>
              </w:rPr>
              <w:t>Request sent to merchant with due date.</w:t>
            </w:r>
          </w:p>
        </w:tc>
      </w:tr>
      <w:tr>
        <w:tc>
          <w:tcPr>
            <w:tcW w:type="dxa" w:w="2016"/>
            <w:tcMar>
              <w:top w:w="105" w:type="dxa"/>
              <w:start w:w="120" w:type="dxa"/>
              <w:bottom w:w="105" w:type="dxa"/>
              <w:end w:w="120" w:type="dxa"/>
            </w:tcMar>
            <w:vAlign w:val="center"/>
          </w:tcPr>
          <w:p>
            <w:pPr>
              <w:spacing w:after="0"/>
            </w:pPr>
            <w:r>
              <w:rPr>
                <w:sz w:val="18"/>
              </w:rPr>
              <w:t>Uploaded</w:t>
            </w:r>
          </w:p>
        </w:tc>
        <w:tc>
          <w:tcPr>
            <w:tcW w:type="dxa" w:w="7488"/>
            <w:tcMar>
              <w:top w:w="105" w:type="dxa"/>
              <w:start w:w="120" w:type="dxa"/>
              <w:bottom w:w="105" w:type="dxa"/>
              <w:end w:w="120" w:type="dxa"/>
            </w:tcMar>
            <w:vAlign w:val="center"/>
          </w:tcPr>
          <w:p>
            <w:pPr>
              <w:spacing w:after="0"/>
            </w:pPr>
            <w:r>
              <w:rPr>
                <w:sz w:val="18"/>
              </w:rPr>
              <w:t>File received but not reviewed.</w:t>
            </w:r>
          </w:p>
        </w:tc>
      </w:tr>
      <w:tr>
        <w:tc>
          <w:tcPr>
            <w:tcW w:type="dxa" w:w="2016"/>
            <w:tcMar>
              <w:top w:w="105" w:type="dxa"/>
              <w:start w:w="120" w:type="dxa"/>
              <w:bottom w:w="105" w:type="dxa"/>
              <w:end w:w="120" w:type="dxa"/>
            </w:tcMar>
            <w:vAlign w:val="center"/>
          </w:tcPr>
          <w:p>
            <w:pPr>
              <w:spacing w:after="0"/>
            </w:pPr>
            <w:r>
              <w:rPr>
                <w:sz w:val="18"/>
              </w:rPr>
              <w:t>Under review</w:t>
            </w:r>
          </w:p>
        </w:tc>
        <w:tc>
          <w:tcPr>
            <w:tcW w:type="dxa" w:w="7488"/>
            <w:tcMar>
              <w:top w:w="105" w:type="dxa"/>
              <w:start w:w="120" w:type="dxa"/>
              <w:bottom w:w="105" w:type="dxa"/>
              <w:end w:w="120" w:type="dxa"/>
            </w:tcMar>
            <w:vAlign w:val="center"/>
          </w:tcPr>
          <w:p>
            <w:pPr>
              <w:spacing w:after="0"/>
            </w:pPr>
            <w:r>
              <w:rPr>
                <w:sz w:val="18"/>
              </w:rPr>
              <w:t>Assigned reviewer is evaluating it.</w:t>
            </w:r>
          </w:p>
        </w:tc>
      </w:tr>
      <w:tr>
        <w:tc>
          <w:tcPr>
            <w:tcW w:type="dxa" w:w="2016"/>
            <w:tcMar>
              <w:top w:w="105" w:type="dxa"/>
              <w:start w:w="120" w:type="dxa"/>
              <w:bottom w:w="105" w:type="dxa"/>
              <w:end w:w="120" w:type="dxa"/>
            </w:tcMar>
            <w:vAlign w:val="center"/>
          </w:tcPr>
          <w:p>
            <w:pPr>
              <w:spacing w:after="0"/>
            </w:pPr>
            <w:r>
              <w:rPr>
                <w:sz w:val="18"/>
              </w:rPr>
              <w:t>Approved</w:t>
            </w:r>
          </w:p>
        </w:tc>
        <w:tc>
          <w:tcPr>
            <w:tcW w:type="dxa" w:w="7488"/>
            <w:tcMar>
              <w:top w:w="105" w:type="dxa"/>
              <w:start w:w="120" w:type="dxa"/>
              <w:bottom w:w="105" w:type="dxa"/>
              <w:end w:w="120" w:type="dxa"/>
            </w:tcMar>
            <w:vAlign w:val="center"/>
          </w:tcPr>
          <w:p>
            <w:pPr>
              <w:spacing w:after="0"/>
            </w:pPr>
            <w:r>
              <w:rPr>
                <w:sz w:val="18"/>
              </w:rPr>
              <w:t>Accepted for the current requirement.</w:t>
            </w:r>
          </w:p>
        </w:tc>
      </w:tr>
      <w:tr>
        <w:tc>
          <w:tcPr>
            <w:tcW w:type="dxa" w:w="2016"/>
            <w:tcMar>
              <w:top w:w="105" w:type="dxa"/>
              <w:start w:w="120" w:type="dxa"/>
              <w:bottom w:w="105" w:type="dxa"/>
              <w:end w:w="120" w:type="dxa"/>
            </w:tcMar>
            <w:vAlign w:val="center"/>
          </w:tcPr>
          <w:p>
            <w:pPr>
              <w:spacing w:after="0"/>
            </w:pPr>
            <w:r>
              <w:rPr>
                <w:sz w:val="18"/>
              </w:rPr>
              <w:t>Rejected</w:t>
            </w:r>
          </w:p>
        </w:tc>
        <w:tc>
          <w:tcPr>
            <w:tcW w:type="dxa" w:w="7488"/>
            <w:tcMar>
              <w:top w:w="105" w:type="dxa"/>
              <w:start w:w="120" w:type="dxa"/>
              <w:bottom w:w="105" w:type="dxa"/>
              <w:end w:w="120" w:type="dxa"/>
            </w:tcMar>
            <w:vAlign w:val="center"/>
          </w:tcPr>
          <w:p>
            <w:pPr>
              <w:spacing w:after="0"/>
            </w:pPr>
            <w:r>
              <w:rPr>
                <w:sz w:val="18"/>
              </w:rPr>
              <w:t>Not accepted; rejection reason and replacement request required.</w:t>
            </w:r>
          </w:p>
        </w:tc>
      </w:tr>
      <w:tr>
        <w:tc>
          <w:tcPr>
            <w:tcW w:type="dxa" w:w="2016"/>
            <w:tcMar>
              <w:top w:w="105" w:type="dxa"/>
              <w:start w:w="120" w:type="dxa"/>
              <w:bottom w:w="105" w:type="dxa"/>
              <w:end w:w="120" w:type="dxa"/>
            </w:tcMar>
            <w:vAlign w:val="center"/>
          </w:tcPr>
          <w:p>
            <w:pPr>
              <w:spacing w:after="0"/>
            </w:pPr>
            <w:r>
              <w:rPr>
                <w:sz w:val="18"/>
              </w:rPr>
              <w:t>Expired</w:t>
            </w:r>
          </w:p>
        </w:tc>
        <w:tc>
          <w:tcPr>
            <w:tcW w:type="dxa" w:w="7488"/>
            <w:tcMar>
              <w:top w:w="105" w:type="dxa"/>
              <w:start w:w="120" w:type="dxa"/>
              <w:bottom w:w="105" w:type="dxa"/>
              <w:end w:w="120" w:type="dxa"/>
            </w:tcMar>
            <w:vAlign w:val="center"/>
          </w:tcPr>
          <w:p>
            <w:pPr>
              <w:spacing w:after="0"/>
            </w:pPr>
            <w:r>
              <w:rPr>
                <w:sz w:val="18"/>
              </w:rPr>
              <w:t>Document expiration passed.</w:t>
            </w:r>
          </w:p>
        </w:tc>
      </w:tr>
      <w:tr>
        <w:tc>
          <w:tcPr>
            <w:tcW w:type="dxa" w:w="2016"/>
            <w:tcMar>
              <w:top w:w="105" w:type="dxa"/>
              <w:start w:w="120" w:type="dxa"/>
              <w:bottom w:w="105" w:type="dxa"/>
              <w:end w:w="120" w:type="dxa"/>
            </w:tcMar>
            <w:vAlign w:val="center"/>
          </w:tcPr>
          <w:p>
            <w:pPr>
              <w:spacing w:after="0"/>
            </w:pPr>
            <w:r>
              <w:rPr>
                <w:sz w:val="18"/>
              </w:rPr>
              <w:t>Replaced</w:t>
            </w:r>
          </w:p>
        </w:tc>
        <w:tc>
          <w:tcPr>
            <w:tcW w:type="dxa" w:w="7488"/>
            <w:tcMar>
              <w:top w:w="105" w:type="dxa"/>
              <w:start w:w="120" w:type="dxa"/>
              <w:bottom w:w="105" w:type="dxa"/>
              <w:end w:w="120" w:type="dxa"/>
            </w:tcMar>
            <w:vAlign w:val="center"/>
          </w:tcPr>
          <w:p>
            <w:pPr>
              <w:spacing w:after="0"/>
            </w:pPr>
            <w:r>
              <w:rPr>
                <w:sz w:val="18"/>
              </w:rPr>
              <w:t>Superseded by a newer approved or pending version.</w:t>
            </w:r>
          </w:p>
        </w:tc>
      </w:tr>
      <w:tr>
        <w:tc>
          <w:tcPr>
            <w:tcW w:type="dxa" w:w="2016"/>
            <w:tcMar>
              <w:top w:w="105" w:type="dxa"/>
              <w:start w:w="120" w:type="dxa"/>
              <w:bottom w:w="105" w:type="dxa"/>
              <w:end w:w="120" w:type="dxa"/>
            </w:tcMar>
            <w:vAlign w:val="center"/>
          </w:tcPr>
          <w:p>
            <w:pPr>
              <w:spacing w:after="0"/>
            </w:pPr>
            <w:r>
              <w:rPr>
                <w:sz w:val="18"/>
              </w:rPr>
              <w:t>Waived</w:t>
            </w:r>
          </w:p>
        </w:tc>
        <w:tc>
          <w:tcPr>
            <w:tcW w:type="dxa" w:w="7488"/>
            <w:tcMar>
              <w:top w:w="105" w:type="dxa"/>
              <w:start w:w="120" w:type="dxa"/>
              <w:bottom w:w="105" w:type="dxa"/>
              <w:end w:w="120" w:type="dxa"/>
            </w:tcMar>
            <w:vAlign w:val="center"/>
          </w:tcPr>
          <w:p>
            <w:pPr>
              <w:spacing w:after="0"/>
            </w:pPr>
            <w:r>
              <w:rPr>
                <w:sz w:val="18"/>
              </w:rPr>
              <w:t>Authorized waiver with reason and approval.</w:t>
            </w:r>
          </w:p>
        </w:tc>
      </w:tr>
    </w:tbl>
    <w:p>
      <w:pPr>
        <w:spacing w:after="0"/>
      </w:pPr>
    </w:p>
    <w:p>
      <w:pPr>
        <w:pStyle w:val="Heading2"/>
        <w:keepNext/>
      </w:pPr>
      <w:r>
        <w:t>11.2 Compliance connector pattern</w:t>
      </w:r>
    </w:p>
    <w:p>
      <w:r>
        <w:t>KYC, KYB, AML, sanctions, PEP, adverse-media, registry, or document-verification vendors must be connected through provider adapters. The application should call an internal interface, not vendor-specific code scattered across controllers.</w:t>
      </w:r>
    </w:p>
    <w:p>
      <w:pPr>
        <w:pStyle w:val="ListBullet"/>
      </w:pPr>
      <w:r>
        <w:t>Provider-agnostic request and response models</w:t>
      </w:r>
    </w:p>
    <w:p>
      <w:pPr>
        <w:pStyle w:val="ListBullet"/>
      </w:pPr>
      <w:r>
        <w:t>Encrypted reference to provider case and subject IDs</w:t>
      </w:r>
    </w:p>
    <w:p>
      <w:pPr>
        <w:pStyle w:val="ListBullet"/>
      </w:pPr>
      <w:r>
        <w:t>Webhook signature verification</w:t>
      </w:r>
    </w:p>
    <w:p>
      <w:pPr>
        <w:pStyle w:val="ListBullet"/>
      </w:pPr>
      <w:r>
        <w:t>Idempotent webhook processing</w:t>
      </w:r>
    </w:p>
    <w:p>
      <w:pPr>
        <w:pStyle w:val="ListBullet"/>
      </w:pPr>
      <w:r>
        <w:t>Raw response retention subject to privacy policy</w:t>
      </w:r>
    </w:p>
    <w:p>
      <w:pPr>
        <w:pStyle w:val="ListBullet"/>
      </w:pPr>
      <w:r>
        <w:t>Normalized result and case status</w:t>
      </w:r>
    </w:p>
    <w:p>
      <w:pPr>
        <w:pStyle w:val="ListBullet"/>
      </w:pPr>
      <w:r>
        <w:t>Human resolution for possible matches</w:t>
      </w:r>
    </w:p>
    <w:p>
      <w:pPr>
        <w:pStyle w:val="ListBullet"/>
      </w:pPr>
      <w:r>
        <w:t>Retry and timeout handling</w:t>
      </w:r>
    </w:p>
    <w:p>
      <w:pPr>
        <w:pStyle w:val="ListBullet"/>
      </w:pPr>
      <w:r>
        <w:t>Audit trail for requests, responses, reviews, and overrides</w:t>
      </w:r>
    </w:p>
    <w:p>
      <w:pPr>
        <w:pStyle w:val="Heading2"/>
        <w:keepNext/>
      </w:pPr>
      <w:r>
        <w:t>11.3 Underwriting decision control</w:t>
      </w:r>
    </w:p>
    <w:tbl>
      <w:tblPr>
        <w:tblW w:type="auto" w:w="0"/>
        <w:jc w:val="center"/>
        <w:tblLayout w:type="fixed"/>
        <w:tblLook w:firstColumn="1" w:firstRow="1" w:lastColumn="0" w:lastRow="0" w:noHBand="0" w:noVBand="1" w:val="04A0"/>
      </w:tblPr>
      <w:tblGrid>
        <w:gridCol w:w="9994"/>
      </w:tblGrid>
      <w:tr>
        <w:tc>
          <w:tcPr>
            <w:tcW w:type="dxa" w:w="9504"/>
            <w:shd w:fill="FCE4D6"/>
            <w:tcMar>
              <w:top w:w="180" w:type="dxa"/>
              <w:start w:w="200" w:type="dxa"/>
              <w:bottom w:w="180" w:type="dxa"/>
              <w:end w:w="200" w:type="dxa"/>
            </w:tcMar>
          </w:tcPr>
          <w:p>
            <w:r>
              <w:rPr>
                <w:b/>
                <w:color w:val="1F4E79"/>
              </w:rPr>
              <w:t>Human decision required</w:t>
            </w:r>
          </w:p>
          <w:p>
            <w:pPr>
              <w:spacing w:after="0"/>
            </w:pPr>
            <w:r>
              <w:t>AI may summarize, detect inconsistencies, calculate deterministic scores, and recommend next steps. AI must not independently approve or decline a merchant, clear a sanctions match, waive a required document, or change bank information.</w:t>
            </w:r>
          </w:p>
        </w:tc>
      </w:tr>
    </w:tbl>
    <w:p>
      <w:pPr>
        <w:spacing w:after="0"/>
      </w:pPr>
    </w:p>
    <w:p>
      <w:pPr>
        <w:pStyle w:val="Heading1"/>
        <w:keepNext/>
      </w:pPr>
      <w:r>
        <w:t>12. Processor Matching and Submission Management</w:t>
      </w:r>
    </w:p>
    <w:p>
      <w:r>
        <w:t>Processor matching should begin as a deterministic rules and scoring system. It must explain why a processor qualifies, why another is disqualified, and what information is missing.</w:t>
      </w:r>
    </w:p>
    <w:p>
      <w:pPr>
        <w:pStyle w:val="Heading2"/>
        <w:keepNext/>
      </w:pPr>
      <w:r>
        <w:t>12.1 Processor capability profile</w:t>
      </w:r>
    </w:p>
    <w:p>
      <w:pPr>
        <w:pStyle w:val="ListBullet"/>
      </w:pPr>
      <w:r>
        <w:t>Supported and prohibited countries</w:t>
      </w:r>
    </w:p>
    <w:p>
      <w:pPr>
        <w:pStyle w:val="ListBullet"/>
      </w:pPr>
      <w:r>
        <w:t>Supported and prohibited MCCs or verticals</w:t>
      </w:r>
    </w:p>
    <w:p>
      <w:pPr>
        <w:pStyle w:val="ListBullet"/>
      </w:pPr>
      <w:r>
        <w:t>Card-present, CNP, MOTO, recurring, ACH, gaming, crypto, and alternative-payment support</w:t>
      </w:r>
    </w:p>
    <w:p>
      <w:pPr>
        <w:pStyle w:val="ListBullet"/>
      </w:pPr>
      <w:r>
        <w:t>Currencies and settlement options</w:t>
      </w:r>
    </w:p>
    <w:p>
      <w:pPr>
        <w:pStyle w:val="ListBullet"/>
      </w:pPr>
      <w:r>
        <w:t>Volume and ticket limits</w:t>
      </w:r>
    </w:p>
    <w:p>
      <w:pPr>
        <w:pStyle w:val="ListBullet"/>
      </w:pPr>
      <w:r>
        <w:t>Reserve ranges and settlement schedules</w:t>
      </w:r>
    </w:p>
    <w:p>
      <w:pPr>
        <w:pStyle w:val="ListBullet"/>
      </w:pPr>
      <w:r>
        <w:t>Required documents and licenses</w:t>
      </w:r>
    </w:p>
    <w:p>
      <w:pPr>
        <w:pStyle w:val="ListBullet"/>
      </w:pPr>
      <w:r>
        <w:t>Gateway, terminal, POS, and API support</w:t>
      </w:r>
    </w:p>
    <w:p>
      <w:pPr>
        <w:pStyle w:val="ListBullet"/>
      </w:pPr>
      <w:r>
        <w:t>Risk appetite, onboarding SLA, submission channel, and contacts</w:t>
      </w:r>
    </w:p>
    <w:p>
      <w:pPr>
        <w:pStyle w:val="Heading2"/>
        <w:keepNext/>
      </w:pPr>
      <w:r>
        <w:t>12.2 Submission as its own entity</w:t>
      </w:r>
    </w:p>
    <w:p>
      <w:r>
        <w:t>A merchant may have multiple processor submissions. Each submission must preserve the exact data, documents, pricing, reserve, MCC, requested volume, and external references sent at that time. Subsequent changes must not overwrite the historical submission package.</w:t>
      </w:r>
    </w:p>
    <w:p>
      <w:pPr>
        <w:pStyle w:val="Heading2"/>
        <w:keepNext/>
      </w:pPr>
      <w:r>
        <w:t>12.3 Underwriting package output</w:t>
      </w:r>
    </w:p>
    <w:p>
      <w:pPr>
        <w:pStyle w:val="ListBullet"/>
      </w:pPr>
      <w:r>
        <w:t>Executive merchant summary</w:t>
      </w:r>
    </w:p>
    <w:p>
      <w:pPr>
        <w:pStyle w:val="ListBullet"/>
      </w:pPr>
      <w:r>
        <w:t>Legal entity and ownership</w:t>
      </w:r>
    </w:p>
    <w:p>
      <w:pPr>
        <w:pStyle w:val="ListBullet"/>
      </w:pPr>
      <w:r>
        <w:t>Banking and settlement</w:t>
      </w:r>
    </w:p>
    <w:p>
      <w:pPr>
        <w:pStyle w:val="ListBullet"/>
      </w:pPr>
      <w:r>
        <w:t>Processing profile and history</w:t>
      </w:r>
    </w:p>
    <w:p>
      <w:pPr>
        <w:pStyle w:val="ListBullet"/>
      </w:pPr>
      <w:r>
        <w:t>Products, services, websites, fulfillment, and policies</w:t>
      </w:r>
    </w:p>
    <w:p>
      <w:pPr>
        <w:pStyle w:val="ListBullet"/>
      </w:pPr>
      <w:r>
        <w:t>Compliance and risk summary</w:t>
      </w:r>
    </w:p>
    <w:p>
      <w:pPr>
        <w:pStyle w:val="ListBullet"/>
      </w:pPr>
      <w:r>
        <w:t>Licenses and country-specific evidence</w:t>
      </w:r>
    </w:p>
    <w:p>
      <w:pPr>
        <w:pStyle w:val="ListBullet"/>
      </w:pPr>
      <w:r>
        <w:t>Pricing, reserve, limits, and requested products</w:t>
      </w:r>
    </w:p>
    <w:p>
      <w:pPr>
        <w:pStyle w:val="ListBullet"/>
      </w:pPr>
      <w:r>
        <w:t>Document index and selected attachments</w:t>
      </w:r>
    </w:p>
    <w:p>
      <w:pPr>
        <w:pStyle w:val="ListBullet"/>
      </w:pPr>
      <w:r>
        <w:t>External-safe notes only</w:t>
      </w:r>
    </w:p>
    <w:p>
      <w:pPr>
        <w:pStyle w:val="Heading1"/>
        <w:keepNext/>
      </w:pPr>
      <w:r>
        <w:t>13. Onboarding, Equipment, Integration, Activation, and First Funding</w:t>
      </w:r>
    </w:p>
    <w:p>
      <w:r>
        <w:t>Approval is not the end of the factory. The approved merchant becomes an onboarding project with dependencies, owners, due dates, and evidence.</w:t>
      </w:r>
    </w:p>
    <w:tbl>
      <w:tblPr>
        <w:tblStyle w:val="TableGrid"/>
        <w:tblW w:type="auto" w:w="0"/>
        <w:jc w:val="center"/>
        <w:tblLook w:firstColumn="1" w:firstRow="1" w:lastColumn="0" w:lastRow="0" w:noHBand="0" w:noVBand="1" w:val="04A0"/>
      </w:tblPr>
      <w:tblGrid>
        <w:gridCol w:w="4997"/>
        <w:gridCol w:w="4997"/>
      </w:tblGrid>
      <w:tr>
        <w:tc>
          <w:tcPr>
            <w:tcW w:type="dxa" w:w="1872"/>
            <w:shd w:fill="1F4E79"/>
            <w:tcMar>
              <w:top w:w="110" w:type="dxa"/>
              <w:start w:w="120" w:type="dxa"/>
              <w:bottom w:w="110" w:type="dxa"/>
              <w:end w:w="120" w:type="dxa"/>
            </w:tcMar>
            <w:vAlign w:val="center"/>
          </w:tcPr>
          <w:p>
            <w:pPr>
              <w:jc w:val="center"/>
            </w:pPr>
            <w:r>
              <w:rPr>
                <w:b/>
                <w:color w:val="FFFFFF"/>
                <w:sz w:val="18"/>
              </w:rPr>
              <w:t>Milestone</w:t>
            </w:r>
          </w:p>
        </w:tc>
        <w:tc>
          <w:tcPr>
            <w:tcW w:type="dxa" w:w="7632"/>
            <w:shd w:fill="1F4E79"/>
            <w:tcMar>
              <w:top w:w="110" w:type="dxa"/>
              <w:start w:w="120" w:type="dxa"/>
              <w:bottom w:w="110" w:type="dxa"/>
              <w:end w:w="120" w:type="dxa"/>
            </w:tcMar>
            <w:vAlign w:val="center"/>
          </w:tcPr>
          <w:p>
            <w:pPr>
              <w:jc w:val="center"/>
            </w:pPr>
            <w:r>
              <w:rPr>
                <w:b/>
                <w:color w:val="FFFFFF"/>
                <w:sz w:val="18"/>
              </w:rPr>
              <w:t>Required records</w:t>
            </w:r>
          </w:p>
        </w:tc>
      </w:tr>
      <w:tr>
        <w:tc>
          <w:tcPr>
            <w:tcW w:type="dxa" w:w="1872"/>
            <w:tcMar>
              <w:top w:w="105" w:type="dxa"/>
              <w:start w:w="120" w:type="dxa"/>
              <w:bottom w:w="105" w:type="dxa"/>
              <w:end w:w="120" w:type="dxa"/>
            </w:tcMar>
            <w:vAlign w:val="center"/>
          </w:tcPr>
          <w:p>
            <w:pPr>
              <w:spacing w:after="0"/>
            </w:pPr>
            <w:r>
              <w:rPr>
                <w:sz w:val="18"/>
              </w:rPr>
              <w:t>MID boarding</w:t>
            </w:r>
          </w:p>
        </w:tc>
        <w:tc>
          <w:tcPr>
            <w:tcW w:type="dxa" w:w="7632"/>
            <w:tcMar>
              <w:top w:w="105" w:type="dxa"/>
              <w:start w:w="120" w:type="dxa"/>
              <w:bottom w:w="105" w:type="dxa"/>
              <w:end w:w="120" w:type="dxa"/>
            </w:tcMar>
            <w:vAlign w:val="center"/>
          </w:tcPr>
          <w:p>
            <w:pPr>
              <w:spacing w:after="0"/>
            </w:pPr>
            <w:r>
              <w:rPr>
                <w:sz w:val="18"/>
              </w:rPr>
              <w:t>Processor, MID, merchant number, locations, MCC, limits, funding terms, effective date.</w:t>
            </w:r>
          </w:p>
        </w:tc>
      </w:tr>
      <w:tr>
        <w:tc>
          <w:tcPr>
            <w:tcW w:type="dxa" w:w="1872"/>
            <w:tcMar>
              <w:top w:w="105" w:type="dxa"/>
              <w:start w:w="120" w:type="dxa"/>
              <w:bottom w:w="105" w:type="dxa"/>
              <w:end w:w="120" w:type="dxa"/>
            </w:tcMar>
            <w:vAlign w:val="center"/>
          </w:tcPr>
          <w:p>
            <w:pPr>
              <w:spacing w:after="0"/>
            </w:pPr>
            <w:r>
              <w:rPr>
                <w:sz w:val="18"/>
              </w:rPr>
              <w:t>Gateway</w:t>
            </w:r>
          </w:p>
        </w:tc>
        <w:tc>
          <w:tcPr>
            <w:tcW w:type="dxa" w:w="7632"/>
            <w:tcMar>
              <w:top w:w="105" w:type="dxa"/>
              <w:start w:w="120" w:type="dxa"/>
              <w:bottom w:w="105" w:type="dxa"/>
              <w:end w:w="120" w:type="dxa"/>
            </w:tcMar>
            <w:vAlign w:val="center"/>
          </w:tcPr>
          <w:p>
            <w:pPr>
              <w:spacing w:after="0"/>
            </w:pPr>
            <w:r>
              <w:rPr>
                <w:sz w:val="18"/>
              </w:rPr>
              <w:t>Gateway provider, gateway merchant ID, tokenized credential reference, features, integration status.</w:t>
            </w:r>
          </w:p>
        </w:tc>
      </w:tr>
      <w:tr>
        <w:tc>
          <w:tcPr>
            <w:tcW w:type="dxa" w:w="1872"/>
            <w:tcMar>
              <w:top w:w="105" w:type="dxa"/>
              <w:start w:w="120" w:type="dxa"/>
              <w:bottom w:w="105" w:type="dxa"/>
              <w:end w:w="120" w:type="dxa"/>
            </w:tcMar>
            <w:vAlign w:val="center"/>
          </w:tcPr>
          <w:p>
            <w:pPr>
              <w:spacing w:after="0"/>
            </w:pPr>
            <w:r>
              <w:rPr>
                <w:sz w:val="18"/>
              </w:rPr>
              <w:t>Equipment</w:t>
            </w:r>
          </w:p>
        </w:tc>
        <w:tc>
          <w:tcPr>
            <w:tcW w:type="dxa" w:w="7632"/>
            <w:tcMar>
              <w:top w:w="105" w:type="dxa"/>
              <w:start w:w="120" w:type="dxa"/>
              <w:bottom w:w="105" w:type="dxa"/>
              <w:end w:w="120" w:type="dxa"/>
            </w:tcMar>
            <w:vAlign w:val="center"/>
          </w:tcPr>
          <w:p>
            <w:pPr>
              <w:spacing w:after="0"/>
            </w:pPr>
            <w:r>
              <w:rPr>
                <w:sz w:val="18"/>
              </w:rPr>
              <w:t>Model, serial, terminal ID, MID, location, order, shipping, delivery, installation, activation, return.</w:t>
            </w:r>
          </w:p>
        </w:tc>
      </w:tr>
      <w:tr>
        <w:tc>
          <w:tcPr>
            <w:tcW w:type="dxa" w:w="1872"/>
            <w:tcMar>
              <w:top w:w="105" w:type="dxa"/>
              <w:start w:w="120" w:type="dxa"/>
              <w:bottom w:w="105" w:type="dxa"/>
              <w:end w:w="120" w:type="dxa"/>
            </w:tcMar>
            <w:vAlign w:val="center"/>
          </w:tcPr>
          <w:p>
            <w:pPr>
              <w:spacing w:after="0"/>
            </w:pPr>
            <w:r>
              <w:rPr>
                <w:sz w:val="18"/>
              </w:rPr>
              <w:t>Integration</w:t>
            </w:r>
          </w:p>
        </w:tc>
        <w:tc>
          <w:tcPr>
            <w:tcW w:type="dxa" w:w="7632"/>
            <w:tcMar>
              <w:top w:w="105" w:type="dxa"/>
              <w:start w:w="120" w:type="dxa"/>
              <w:bottom w:w="105" w:type="dxa"/>
              <w:end w:w="120" w:type="dxa"/>
            </w:tcMar>
            <w:vAlign w:val="center"/>
          </w:tcPr>
          <w:p>
            <w:pPr>
              <w:spacing w:after="0"/>
            </w:pPr>
            <w:r>
              <w:rPr>
                <w:sz w:val="18"/>
              </w:rPr>
              <w:t>API or plugin, environment, credential reference, webhook URL, test results, production cutover.</w:t>
            </w:r>
          </w:p>
        </w:tc>
      </w:tr>
      <w:tr>
        <w:tc>
          <w:tcPr>
            <w:tcW w:type="dxa" w:w="1872"/>
            <w:tcMar>
              <w:top w:w="105" w:type="dxa"/>
              <w:start w:w="120" w:type="dxa"/>
              <w:bottom w:w="105" w:type="dxa"/>
              <w:end w:w="120" w:type="dxa"/>
            </w:tcMar>
            <w:vAlign w:val="center"/>
          </w:tcPr>
          <w:p>
            <w:pPr>
              <w:spacing w:after="0"/>
            </w:pPr>
            <w:r>
              <w:rPr>
                <w:sz w:val="18"/>
              </w:rPr>
              <w:t>Training</w:t>
            </w:r>
          </w:p>
        </w:tc>
        <w:tc>
          <w:tcPr>
            <w:tcW w:type="dxa" w:w="7632"/>
            <w:tcMar>
              <w:top w:w="105" w:type="dxa"/>
              <w:start w:w="120" w:type="dxa"/>
              <w:bottom w:w="105" w:type="dxa"/>
              <w:end w:w="120" w:type="dxa"/>
            </w:tcMar>
            <w:vAlign w:val="center"/>
          </w:tcPr>
          <w:p>
            <w:pPr>
              <w:spacing w:after="0"/>
            </w:pPr>
            <w:r>
              <w:rPr>
                <w:sz w:val="18"/>
              </w:rPr>
              <w:t>Users trained, date, materials, acknowledgment, unresolved questions.</w:t>
            </w:r>
          </w:p>
        </w:tc>
      </w:tr>
      <w:tr>
        <w:tc>
          <w:tcPr>
            <w:tcW w:type="dxa" w:w="1872"/>
            <w:tcMar>
              <w:top w:w="105" w:type="dxa"/>
              <w:start w:w="120" w:type="dxa"/>
              <w:bottom w:w="105" w:type="dxa"/>
              <w:end w:w="120" w:type="dxa"/>
            </w:tcMar>
            <w:vAlign w:val="center"/>
          </w:tcPr>
          <w:p>
            <w:pPr>
              <w:spacing w:after="0"/>
            </w:pPr>
            <w:r>
              <w:rPr>
                <w:sz w:val="18"/>
              </w:rPr>
              <w:t>Activation</w:t>
            </w:r>
          </w:p>
        </w:tc>
        <w:tc>
          <w:tcPr>
            <w:tcW w:type="dxa" w:w="7632"/>
            <w:tcMar>
              <w:top w:w="105" w:type="dxa"/>
              <w:start w:w="120" w:type="dxa"/>
              <w:bottom w:w="105" w:type="dxa"/>
              <w:end w:w="120" w:type="dxa"/>
            </w:tcMar>
            <w:vAlign w:val="center"/>
          </w:tcPr>
          <w:p>
            <w:pPr>
              <w:spacing w:after="0"/>
            </w:pPr>
            <w:r>
              <w:rPr>
                <w:sz w:val="18"/>
              </w:rPr>
              <w:t>Activation approval, first transaction, batch, settlement, first funding, exceptions.</w:t>
            </w:r>
          </w:p>
        </w:tc>
      </w:tr>
    </w:tbl>
    <w:p>
      <w:pPr>
        <w:spacing w:after="0"/>
      </w:pPr>
    </w:p>
    <w:p>
      <w:pPr>
        <w:pStyle w:val="Heading2"/>
        <w:keepNext/>
      </w:pPr>
      <w:r>
        <w:t>13.1 Definition of live</w:t>
      </w:r>
    </w:p>
    <w:p>
      <w:r>
        <w:t>A merchant should reach the live stage only after the processor confirms boarding, required terminals or gateway are active, a test or first transaction is successful, funding configuration is verified, and the responsible onboarding specialist records completion. First funding should be tracked separately because activation without successful settlement is incomplete.</w:t>
      </w:r>
    </w:p>
    <w:p>
      <w:pPr>
        <w:pStyle w:val="Heading1"/>
        <w:keepNext/>
      </w:pPr>
      <w:r>
        <w:t>14. Future Bank and Processor API Auto-Population</w:t>
      </w:r>
    </w:p>
    <w:p>
      <w:r>
        <w:t>The system must be designed now so that, later, approved merchant data can populate a bank or processor platform by API. Do not tightly couple the internal application to any single external schema.</w:t>
      </w:r>
    </w:p>
    <w:p>
      <w:pPr>
        <w:pStyle w:val="Heading2"/>
        <w:keepNext/>
      </w:pPr>
      <w:r>
        <w:t>14.1 Canonical payload architecture</w:t>
      </w:r>
    </w:p>
    <w:p>
      <w:r>
        <w:t>Create an internal versioned Merchant Boarding Payload. Each connector maps the canonical payload to the external bank or processor API. Portal-only processors may initially use generated CSV, JSON, PDF, or secure submission packages while preserving the same mapping structure.</w:t>
      </w:r>
    </w:p>
    <w:p>
      <w:r>
        <w:t>Example internal structure:</w:t>
      </w:r>
    </w:p>
    <w:p>
      <w:pPr>
        <w:pStyle w:val="CodeBlock"/>
      </w:pPr>
      <w:r>
        <w:t>merchant</w:t>
        <w:br/>
        <w:t xml:space="preserve">  legal_entity</w:t>
        <w:br/>
        <w:t xml:space="preserve">  locations[]</w:t>
        <w:br/>
        <w:t xml:space="preserve">  persons[]</w:t>
        <w:br/>
        <w:t xml:space="preserve">  banking[]</w:t>
        <w:br/>
        <w:t xml:space="preserve">  processing_profile</w:t>
        <w:br/>
        <w:t xml:space="preserve">  products_and_services</w:t>
        <w:br/>
        <w:t xml:space="preserve">  websites[]</w:t>
        <w:br/>
        <w:t xml:space="preserve">  licenses[]</w:t>
        <w:br/>
        <w:t xml:space="preserve">  compliance_summary</w:t>
        <w:br/>
        <w:t xml:space="preserve">  risk_and_underwriting</w:t>
        <w:br/>
        <w:t xml:space="preserve">  pricing_and_reserve</w:t>
        <w:br/>
        <w:t xml:space="preserve">  requested_products[]</w:t>
        <w:br/>
        <w:t xml:space="preserve">  documents[]</w:t>
        <w:br/>
        <w:t xml:space="preserve">  certifications_and_consents</w:t>
      </w:r>
    </w:p>
    <w:p>
      <w:pPr>
        <w:pStyle w:val="Heading2"/>
        <w:keepNext/>
      </w:pPr>
      <w:r>
        <w:t>14.2 Connector interface</w:t>
      </w:r>
    </w:p>
    <w:p>
      <w:pPr>
        <w:pStyle w:val="ListBullet"/>
      </w:pPr>
      <w:r>
        <w:t>validate(merchant, processor)</w:t>
      </w:r>
    </w:p>
    <w:p>
      <w:pPr>
        <w:pStyle w:val="ListBullet"/>
      </w:pPr>
      <w:r>
        <w:t>buildPayload(merchant, submission)</w:t>
      </w:r>
    </w:p>
    <w:p>
      <w:pPr>
        <w:pStyle w:val="ListBullet"/>
      </w:pPr>
      <w:r>
        <w:t>submit(payload, idempotencyKey)</w:t>
      </w:r>
    </w:p>
    <w:p>
      <w:pPr>
        <w:pStyle w:val="ListBullet"/>
      </w:pPr>
      <w:r>
        <w:t>getStatus(externalReference)</w:t>
      </w:r>
    </w:p>
    <w:p>
      <w:pPr>
        <w:pStyle w:val="ListBullet"/>
      </w:pPr>
      <w:r>
        <w:t>handleWebhook(request)</w:t>
      </w:r>
    </w:p>
    <w:p>
      <w:pPr>
        <w:pStyle w:val="ListBullet"/>
      </w:pPr>
      <w:r>
        <w:t>requestAdditionalInformation(case)</w:t>
      </w:r>
    </w:p>
    <w:p>
      <w:pPr>
        <w:pStyle w:val="ListBullet"/>
      </w:pPr>
      <w:r>
        <w:t>uploadDocument(document)</w:t>
      </w:r>
    </w:p>
    <w:p>
      <w:pPr>
        <w:pStyle w:val="ListBullet"/>
      </w:pPr>
      <w:r>
        <w:t>cancelOrWithdraw(submission)</w:t>
      </w:r>
    </w:p>
    <w:p>
      <w:pPr>
        <w:pStyle w:val="ListBullet"/>
      </w:pPr>
      <w:r>
        <w:t>reconcile(localSubmission, externalStatus)</w:t>
      </w:r>
    </w:p>
    <w:p>
      <w:pPr>
        <w:pStyle w:val="Heading2"/>
        <w:keepNext/>
      </w:pPr>
      <w:r>
        <w:t>14.3 API controls</w:t>
      </w:r>
    </w:p>
    <w:p>
      <w:pPr>
        <w:pStyle w:val="ListBullet"/>
      </w:pPr>
      <w:r>
        <w:t>Human approval before first submission unless an approved automation policy explicitly allows otherwise.</w:t>
      </w:r>
    </w:p>
    <w:p>
      <w:pPr>
        <w:pStyle w:val="ListBullet"/>
      </w:pPr>
      <w:r>
        <w:t>Idempotency keys to prevent duplicate applications.</w:t>
      </w:r>
    </w:p>
    <w:p>
      <w:pPr>
        <w:pStyle w:val="ListBullet"/>
      </w:pPr>
      <w:r>
        <w:t>Field-level validation before sending.</w:t>
      </w:r>
    </w:p>
    <w:p>
      <w:pPr>
        <w:pStyle w:val="ListBullet"/>
      </w:pPr>
      <w:r>
        <w:t>Encrypted secrets and OAuth/token lifecycle management.</w:t>
      </w:r>
    </w:p>
    <w:p>
      <w:pPr>
        <w:pStyle w:val="ListBullet"/>
      </w:pPr>
      <w:r>
        <w:t>Request and response logging with sensitive-value masking.</w:t>
      </w:r>
    </w:p>
    <w:p>
      <w:pPr>
        <w:pStyle w:val="ListBullet"/>
      </w:pPr>
      <w:r>
        <w:t>Retry with exponential backoff for transient failures.</w:t>
      </w:r>
    </w:p>
    <w:p>
      <w:pPr>
        <w:pStyle w:val="ListBullet"/>
      </w:pPr>
      <w:r>
        <w:t>Dead-letter or manual-review queue after repeated failures.</w:t>
      </w:r>
    </w:p>
    <w:p>
      <w:pPr>
        <w:pStyle w:val="ListBullet"/>
      </w:pPr>
      <w:r>
        <w:t>Webhook signature verification and replay protection.</w:t>
      </w:r>
    </w:p>
    <w:p>
      <w:pPr>
        <w:pStyle w:val="ListBullet"/>
      </w:pPr>
      <w:r>
        <w:t>Reconciliation jobs for pending applications.</w:t>
      </w:r>
    </w:p>
    <w:p>
      <w:pPr>
        <w:pStyle w:val="ListBullet"/>
      </w:pPr>
      <w:r>
        <w:t>Versioned mappings because processor APIs change.</w:t>
      </w:r>
    </w:p>
    <w:p>
      <w:pPr>
        <w:pStyle w:val="ListBullet"/>
      </w:pPr>
      <w:r>
        <w:t>Sandbox certification and contract tests before production.</w:t>
      </w:r>
    </w:p>
    <w:p>
      <w:pPr>
        <w:pStyle w:val="Heading2"/>
        <w:keepNext/>
      </w:pPr>
      <w:r>
        <w:t>14.4 Portal automation caution</w:t>
      </w:r>
    </w:p>
    <w:p>
      <w:r>
        <w:t>Where no API exists, prefer processor-approved import templates or assisted data-entry screens. Browser automation should be a last resort because it is fragile, may violate portal terms, and can mishandle sensitive information. Any such automation requires written approval, isolated credentials, MFA handling, screenshots or evidence, and human verification before submission.</w:t>
      </w:r>
    </w:p>
    <w:p>
      <w:pPr>
        <w:pStyle w:val="Heading1"/>
        <w:keepNext/>
      </w:pPr>
      <w:r>
        <w:t>15. AI-Tool Operating Method</w:t>
      </w:r>
    </w:p>
    <w:p>
      <w:r>
        <w:t>AI is most effective when used as a controlled engineering assistant, not as an autonomous developer with production access.</w:t>
      </w:r>
    </w:p>
    <w:p>
      <w:pPr>
        <w:pStyle w:val="Heading2"/>
        <w:keepNext/>
      </w:pPr>
      <w:r>
        <w:t>15.1 Best use of each tool</w:t>
      </w:r>
    </w:p>
    <w:tbl>
      <w:tblPr>
        <w:tblStyle w:val="TableGrid"/>
        <w:tblW w:type="auto" w:w="0"/>
        <w:jc w:val="center"/>
        <w:tblLook w:firstColumn="1" w:firstRow="1" w:lastColumn="0" w:lastRow="0" w:noHBand="0" w:noVBand="1" w:val="04A0"/>
      </w:tblPr>
      <w:tblGrid>
        <w:gridCol w:w="4997"/>
        <w:gridCol w:w="4997"/>
      </w:tblGrid>
      <w:tr>
        <w:tc>
          <w:tcPr>
            <w:tcW w:type="dxa" w:w="2592"/>
            <w:shd w:fill="1F4E79"/>
            <w:tcMar>
              <w:top w:w="110" w:type="dxa"/>
              <w:start w:w="120" w:type="dxa"/>
              <w:bottom w:w="110" w:type="dxa"/>
              <w:end w:w="120" w:type="dxa"/>
            </w:tcMar>
            <w:vAlign w:val="center"/>
          </w:tcPr>
          <w:p>
            <w:pPr>
              <w:jc w:val="center"/>
            </w:pPr>
            <w:r>
              <w:rPr>
                <w:b/>
                <w:color w:val="FFFFFF"/>
                <w:sz w:val="18"/>
              </w:rPr>
              <w:t>Tool type</w:t>
            </w:r>
          </w:p>
        </w:tc>
        <w:tc>
          <w:tcPr>
            <w:tcW w:type="dxa" w:w="6912"/>
            <w:shd w:fill="1F4E79"/>
            <w:tcMar>
              <w:top w:w="110" w:type="dxa"/>
              <w:start w:w="120" w:type="dxa"/>
              <w:bottom w:w="110" w:type="dxa"/>
              <w:end w:w="120" w:type="dxa"/>
            </w:tcMar>
            <w:vAlign w:val="center"/>
          </w:tcPr>
          <w:p>
            <w:pPr>
              <w:jc w:val="center"/>
            </w:pPr>
            <w:r>
              <w:rPr>
                <w:b/>
                <w:color w:val="FFFFFF"/>
                <w:sz w:val="18"/>
              </w:rPr>
              <w:t>Best use</w:t>
            </w:r>
          </w:p>
        </w:tc>
      </w:tr>
      <w:tr>
        <w:tc>
          <w:tcPr>
            <w:tcW w:type="dxa" w:w="2592"/>
            <w:tcMar>
              <w:top w:w="105" w:type="dxa"/>
              <w:start w:w="120" w:type="dxa"/>
              <w:bottom w:w="105" w:type="dxa"/>
              <w:end w:w="120" w:type="dxa"/>
            </w:tcMar>
            <w:vAlign w:val="center"/>
          </w:tcPr>
          <w:p>
            <w:pPr>
              <w:spacing w:after="0"/>
            </w:pPr>
            <w:r>
              <w:rPr>
                <w:sz w:val="18"/>
              </w:rPr>
              <w:t>Claude Code / large-context agent</w:t>
            </w:r>
          </w:p>
        </w:tc>
        <w:tc>
          <w:tcPr>
            <w:tcW w:type="dxa" w:w="6912"/>
            <w:tcMar>
              <w:top w:w="105" w:type="dxa"/>
              <w:start w:w="120" w:type="dxa"/>
              <w:bottom w:w="105" w:type="dxa"/>
              <w:end w:w="120" w:type="dxa"/>
            </w:tcMar>
            <w:vAlign w:val="center"/>
          </w:tcPr>
          <w:p>
            <w:pPr>
              <w:spacing w:after="0"/>
            </w:pPr>
            <w:r>
              <w:rPr>
                <w:sz w:val="18"/>
              </w:rPr>
              <w:t>Repository-wide discovery, architecture review, impact analysis, refactoring plans, broad code review.</w:t>
            </w:r>
          </w:p>
        </w:tc>
      </w:tr>
      <w:tr>
        <w:tc>
          <w:tcPr>
            <w:tcW w:type="dxa" w:w="2592"/>
            <w:tcMar>
              <w:top w:w="105" w:type="dxa"/>
              <w:start w:w="120" w:type="dxa"/>
              <w:bottom w:w="105" w:type="dxa"/>
              <w:end w:w="120" w:type="dxa"/>
            </w:tcMar>
            <w:vAlign w:val="center"/>
          </w:tcPr>
          <w:p>
            <w:pPr>
              <w:spacing w:after="0"/>
            </w:pPr>
            <w:r>
              <w:rPr>
                <w:sz w:val="18"/>
              </w:rPr>
              <w:t>GitHub Copilot</w:t>
            </w:r>
          </w:p>
        </w:tc>
        <w:tc>
          <w:tcPr>
            <w:tcW w:type="dxa" w:w="6912"/>
            <w:tcMar>
              <w:top w:w="105" w:type="dxa"/>
              <w:start w:w="120" w:type="dxa"/>
              <w:bottom w:w="105" w:type="dxa"/>
              <w:end w:w="120" w:type="dxa"/>
            </w:tcMar>
            <w:vAlign w:val="center"/>
          </w:tcPr>
          <w:p>
            <w:pPr>
              <w:spacing w:after="0"/>
            </w:pPr>
            <w:r>
              <w:rPr>
                <w:sz w:val="18"/>
              </w:rPr>
              <w:t>In-editor implementation, repetitive code, tests, migrations, DTOs, request validation, documentation.</w:t>
            </w:r>
          </w:p>
        </w:tc>
      </w:tr>
      <w:tr>
        <w:tc>
          <w:tcPr>
            <w:tcW w:type="dxa" w:w="2592"/>
            <w:tcMar>
              <w:top w:w="105" w:type="dxa"/>
              <w:start w:w="120" w:type="dxa"/>
              <w:bottom w:w="105" w:type="dxa"/>
              <w:end w:w="120" w:type="dxa"/>
            </w:tcMar>
            <w:vAlign w:val="center"/>
          </w:tcPr>
          <w:p>
            <w:pPr>
              <w:spacing w:after="0"/>
            </w:pPr>
            <w:r>
              <w:rPr>
                <w:sz w:val="18"/>
              </w:rPr>
              <w:t>ChatGPT/Codex or similar coding agent</w:t>
            </w:r>
          </w:p>
        </w:tc>
        <w:tc>
          <w:tcPr>
            <w:tcW w:type="dxa" w:w="6912"/>
            <w:tcMar>
              <w:top w:w="105" w:type="dxa"/>
              <w:start w:w="120" w:type="dxa"/>
              <w:bottom w:w="105" w:type="dxa"/>
              <w:end w:w="120" w:type="dxa"/>
            </w:tcMar>
            <w:vAlign w:val="center"/>
          </w:tcPr>
          <w:p>
            <w:pPr>
              <w:spacing w:after="0"/>
            </w:pPr>
            <w:r>
              <w:rPr>
                <w:sz w:val="18"/>
              </w:rPr>
              <w:t>Well-scoped feature implementation, test generation, debugging, PR review, connector scaffolding.</w:t>
            </w:r>
          </w:p>
        </w:tc>
      </w:tr>
      <w:tr>
        <w:tc>
          <w:tcPr>
            <w:tcW w:type="dxa" w:w="2592"/>
            <w:tcMar>
              <w:top w:w="105" w:type="dxa"/>
              <w:start w:w="120" w:type="dxa"/>
              <w:bottom w:w="105" w:type="dxa"/>
              <w:end w:w="120" w:type="dxa"/>
            </w:tcMar>
            <w:vAlign w:val="center"/>
          </w:tcPr>
          <w:p>
            <w:pPr>
              <w:spacing w:after="0"/>
            </w:pPr>
            <w:r>
              <w:rPr>
                <w:sz w:val="18"/>
              </w:rPr>
              <w:t>Vibe coding tools / Cursor / Windsurf</w:t>
            </w:r>
          </w:p>
        </w:tc>
        <w:tc>
          <w:tcPr>
            <w:tcW w:type="dxa" w:w="6912"/>
            <w:tcMar>
              <w:top w:w="105" w:type="dxa"/>
              <w:start w:w="120" w:type="dxa"/>
              <w:bottom w:w="105" w:type="dxa"/>
              <w:end w:w="120" w:type="dxa"/>
            </w:tcMar>
            <w:vAlign w:val="center"/>
          </w:tcPr>
          <w:p>
            <w:pPr>
              <w:spacing w:after="0"/>
            </w:pPr>
            <w:r>
              <w:rPr>
                <w:sz w:val="18"/>
              </w:rPr>
              <w:t>Fast UI and feature iteration in isolated branches with strict review and test gates.</w:t>
            </w:r>
          </w:p>
        </w:tc>
      </w:tr>
      <w:tr>
        <w:tc>
          <w:tcPr>
            <w:tcW w:type="dxa" w:w="2592"/>
            <w:tcMar>
              <w:top w:w="105" w:type="dxa"/>
              <w:start w:w="120" w:type="dxa"/>
              <w:bottom w:w="105" w:type="dxa"/>
              <w:end w:w="120" w:type="dxa"/>
            </w:tcMar>
            <w:vAlign w:val="center"/>
          </w:tcPr>
          <w:p>
            <w:pPr>
              <w:spacing w:after="0"/>
            </w:pPr>
            <w:r>
              <w:rPr>
                <w:sz w:val="18"/>
              </w:rPr>
              <w:t>CI tools</w:t>
            </w:r>
          </w:p>
        </w:tc>
        <w:tc>
          <w:tcPr>
            <w:tcW w:type="dxa" w:w="6912"/>
            <w:tcMar>
              <w:top w:w="105" w:type="dxa"/>
              <w:start w:w="120" w:type="dxa"/>
              <w:bottom w:w="105" w:type="dxa"/>
              <w:end w:w="120" w:type="dxa"/>
            </w:tcMar>
            <w:vAlign w:val="center"/>
          </w:tcPr>
          <w:p>
            <w:pPr>
              <w:spacing w:after="0"/>
            </w:pPr>
            <w:r>
              <w:rPr>
                <w:sz w:val="18"/>
              </w:rPr>
              <w:t>Static analysis, unit and feature tests, dependency scanning, formatting, migration checks.</w:t>
            </w:r>
          </w:p>
        </w:tc>
      </w:tr>
    </w:tbl>
    <w:p>
      <w:pPr>
        <w:spacing w:after="0"/>
      </w:pPr>
    </w:p>
    <w:p>
      <w:pPr>
        <w:pStyle w:val="Heading2"/>
        <w:keepNext/>
      </w:pPr>
      <w:r>
        <w:t>15.2 The five-step AI loop</w:t>
      </w:r>
    </w:p>
    <w:p>
      <w:pPr>
        <w:pStyle w:val="ListNumber"/>
      </w:pPr>
      <w:r>
        <w:t>Inspect: cite exact existing files, schema, and behavior.</w:t>
      </w:r>
    </w:p>
    <w:p>
      <w:pPr>
        <w:pStyle w:val="ListNumber"/>
      </w:pPr>
      <w:r>
        <w:t>Plan: list files to create or modify, interfaces, migrations, tests, risks, and rollback.</w:t>
      </w:r>
    </w:p>
    <w:p>
      <w:pPr>
        <w:pStyle w:val="ListNumber"/>
      </w:pPr>
      <w:r>
        <w:t>Implement: make one small reviewable feature.</w:t>
      </w:r>
    </w:p>
    <w:p>
      <w:pPr>
        <w:pStyle w:val="ListNumber"/>
      </w:pPr>
      <w:r>
        <w:t>Verify: run tests, static analysis, permission checks, migration up/down, and manual scenarios.</w:t>
      </w:r>
    </w:p>
    <w:p>
      <w:pPr>
        <w:pStyle w:val="ListNumber"/>
      </w:pPr>
      <w:r>
        <w:t>Report: summarize changes, evidence, limitations, and next task.</w:t>
      </w:r>
    </w:p>
    <w:p>
      <w:pPr>
        <w:pStyle w:val="Heading2"/>
        <w:keepNext/>
      </w:pPr>
      <w:r>
        <w:t>15.3 Context packet for every AI task</w:t>
      </w:r>
    </w:p>
    <w:p>
      <w:pPr>
        <w:pStyle w:val="ListBullet"/>
      </w:pPr>
      <w:r>
        <w:t>Business objective and user story</w:t>
      </w:r>
    </w:p>
    <w:p>
      <w:pPr>
        <w:pStyle w:val="ListBullet"/>
      </w:pPr>
      <w:r>
        <w:t>Relevant architecture section from this document</w:t>
      </w:r>
    </w:p>
    <w:p>
      <w:pPr>
        <w:pStyle w:val="ListBullet"/>
      </w:pPr>
      <w:r>
        <w:t>Exact repository paths and current implementation</w:t>
      </w:r>
    </w:p>
    <w:p>
      <w:pPr>
        <w:pStyle w:val="ListBullet"/>
      </w:pPr>
      <w:r>
        <w:t>Acceptance criteria and non-goals</w:t>
      </w:r>
    </w:p>
    <w:p>
      <w:pPr>
        <w:pStyle w:val="ListBullet"/>
      </w:pPr>
      <w:r>
        <w:t>Data and permission sensitivity</w:t>
      </w:r>
    </w:p>
    <w:p>
      <w:pPr>
        <w:pStyle w:val="ListBullet"/>
      </w:pPr>
      <w:r>
        <w:t>Files the agent may edit</w:t>
      </w:r>
    </w:p>
    <w:p>
      <w:pPr>
        <w:pStyle w:val="ListBullet"/>
      </w:pPr>
      <w:r>
        <w:t>Tests that must pass</w:t>
      </w:r>
    </w:p>
    <w:p>
      <w:pPr>
        <w:pStyle w:val="ListBullet"/>
      </w:pPr>
      <w:r>
        <w:t>Commands allowed and prohibited</w:t>
      </w:r>
    </w:p>
    <w:p>
      <w:pPr>
        <w:pStyle w:val="ListBullet"/>
      </w:pPr>
      <w:r>
        <w:t>Expected output: plan, patch, tests, migration, rollback, and PR summary</w:t>
      </w:r>
    </w:p>
    <w:p>
      <w:pPr>
        <w:pStyle w:val="Heading2"/>
        <w:keepNext/>
      </w:pPr>
      <w:r>
        <w:t>15.4 Prohibited AI behavior</w:t>
      </w:r>
    </w:p>
    <w:p>
      <w:pPr>
        <w:pStyle w:val="ListBullet"/>
      </w:pPr>
      <w:r>
        <w:t>Do not guess the current schema.</w:t>
      </w:r>
    </w:p>
    <w:p>
      <w:pPr>
        <w:pStyle w:val="ListBullet"/>
      </w:pPr>
      <w:r>
        <w:t>Do not create duplicate merchant or application tables without approval.</w:t>
      </w:r>
    </w:p>
    <w:p>
      <w:pPr>
        <w:pStyle w:val="ListBullet"/>
      </w:pPr>
      <w:r>
        <w:t>Do not alter production data or environment files.</w:t>
      </w:r>
    </w:p>
    <w:p>
      <w:pPr>
        <w:pStyle w:val="ListBullet"/>
      </w:pPr>
      <w:r>
        <w:t>Do not commit secrets or personal merchant data.</w:t>
      </w:r>
    </w:p>
    <w:p>
      <w:pPr>
        <w:pStyle w:val="ListBullet"/>
      </w:pPr>
      <w:r>
        <w:t>Do not bypass permissions to make tests pass.</w:t>
      </w:r>
    </w:p>
    <w:p>
      <w:pPr>
        <w:pStyle w:val="ListBullet"/>
      </w:pPr>
      <w:r>
        <w:t>Do not silently change existing statuses or URLs.</w:t>
      </w:r>
    </w:p>
    <w:p>
      <w:pPr>
        <w:pStyle w:val="ListBullet"/>
      </w:pPr>
      <w:r>
        <w:t>Do not approve or decline merchants.</w:t>
      </w:r>
    </w:p>
    <w:p>
      <w:pPr>
        <w:pStyle w:val="ListBullet"/>
      </w:pPr>
      <w:r>
        <w:t>Do not merge its own pull request.</w:t>
      </w:r>
    </w:p>
    <w:p>
      <w:pPr>
        <w:pStyle w:val="Heading1"/>
        <w:keepNext/>
      </w:pPr>
      <w:r>
        <w:t>16. GitHub, Testing, and Deployment Controls</w:t>
      </w:r>
    </w:p>
    <w:p>
      <w:pPr>
        <w:pStyle w:val="Heading2"/>
        <w:keepNext/>
      </w:pPr>
      <w:r>
        <w:t>16.1 Branch strategy</w:t>
      </w:r>
    </w:p>
    <w:p>
      <w:pPr>
        <w:pStyle w:val="ListBullet"/>
      </w:pPr>
      <w:r>
        <w:t>feature/shared-merchant-core</w:t>
      </w:r>
    </w:p>
    <w:p>
      <w:pPr>
        <w:pStyle w:val="ListBullet"/>
      </w:pPr>
      <w:r>
        <w:t>feature/workflow-engine</w:t>
      </w:r>
    </w:p>
    <w:p>
      <w:pPr>
        <w:pStyle w:val="ListBullet"/>
      </w:pPr>
      <w:r>
        <w:t>feature/us-domestic-profile</w:t>
      </w:r>
    </w:p>
    <w:p>
      <w:pPr>
        <w:pStyle w:val="ListBullet"/>
      </w:pPr>
      <w:r>
        <w:t>feature/international-profile</w:t>
      </w:r>
    </w:p>
    <w:p>
      <w:pPr>
        <w:pStyle w:val="ListBullet"/>
      </w:pPr>
      <w:r>
        <w:t>feature/document-requirements</w:t>
      </w:r>
    </w:p>
    <w:p>
      <w:pPr>
        <w:pStyle w:val="ListBullet"/>
      </w:pPr>
      <w:r>
        <w:t>feature/compliance-adapters</w:t>
      </w:r>
    </w:p>
    <w:p>
      <w:pPr>
        <w:pStyle w:val="ListBullet"/>
      </w:pPr>
      <w:r>
        <w:t>feature/processor-matching</w:t>
      </w:r>
    </w:p>
    <w:p>
      <w:pPr>
        <w:pStyle w:val="ListBullet"/>
      </w:pPr>
      <w:r>
        <w:t>feature/processor-submissions</w:t>
      </w:r>
    </w:p>
    <w:p>
      <w:pPr>
        <w:pStyle w:val="ListBullet"/>
      </w:pPr>
      <w:r>
        <w:t>feature/onboarding-projects</w:t>
      </w:r>
    </w:p>
    <w:p>
      <w:pPr>
        <w:pStyle w:val="ListBullet"/>
      </w:pPr>
      <w:r>
        <w:t>feature/processor-api-connectors</w:t>
      </w:r>
    </w:p>
    <w:p>
      <w:pPr>
        <w:pStyle w:val="Heading2"/>
        <w:keepNext/>
      </w:pPr>
      <w:r>
        <w:t>16.2 Pull-request evidence</w:t>
      </w:r>
    </w:p>
    <w:p>
      <w:pPr>
        <w:pStyle w:val="ListBullet"/>
      </w:pPr>
      <w:r>
        <w:t>Business purpose and scope</w:t>
      </w:r>
    </w:p>
    <w:p>
      <w:pPr>
        <w:pStyle w:val="ListBullet"/>
      </w:pPr>
      <w:r>
        <w:t>Before/after behavior</w:t>
      </w:r>
    </w:p>
    <w:p>
      <w:pPr>
        <w:pStyle w:val="ListBullet"/>
      </w:pPr>
      <w:r>
        <w:t>Files and tables changed</w:t>
      </w:r>
    </w:p>
    <w:p>
      <w:pPr>
        <w:pStyle w:val="ListBullet"/>
      </w:pPr>
      <w:r>
        <w:t>Migration and rollback instructions</w:t>
      </w:r>
    </w:p>
    <w:p>
      <w:pPr>
        <w:pStyle w:val="ListBullet"/>
      </w:pPr>
      <w:r>
        <w:t>Screenshots or API examples</w:t>
      </w:r>
    </w:p>
    <w:p>
      <w:pPr>
        <w:pStyle w:val="ListBullet"/>
      </w:pPr>
      <w:r>
        <w:t>Automated test results</w:t>
      </w:r>
    </w:p>
    <w:p>
      <w:pPr>
        <w:pStyle w:val="ListBullet"/>
      </w:pPr>
      <w:r>
        <w:t>Manual test scenarios</w:t>
      </w:r>
    </w:p>
    <w:p>
      <w:pPr>
        <w:pStyle w:val="ListBullet"/>
      </w:pPr>
      <w:r>
        <w:t>Security and permission review</w:t>
      </w:r>
    </w:p>
    <w:p>
      <w:pPr>
        <w:pStyle w:val="ListBullet"/>
      </w:pPr>
      <w:r>
        <w:t>Performance considerations</w:t>
      </w:r>
    </w:p>
    <w:p>
      <w:pPr>
        <w:pStyle w:val="ListBullet"/>
      </w:pPr>
      <w:r>
        <w:t>Known limitations and follow-up work</w:t>
      </w:r>
    </w:p>
    <w:p>
      <w:pPr>
        <w:pStyle w:val="Heading2"/>
        <w:keepNext/>
      </w:pPr>
      <w:r>
        <w:t>16.3 Minimum automated tests</w:t>
      </w:r>
    </w:p>
    <w:p>
      <w:pPr>
        <w:pStyle w:val="ListBullet"/>
      </w:pPr>
      <w:r>
        <w:t>Legacy merchant and application regression tests</w:t>
      </w:r>
    </w:p>
    <w:p>
      <w:pPr>
        <w:pStyle w:val="ListBullet"/>
      </w:pPr>
      <w:r>
        <w:t>Stage transition guards and overrides</w:t>
      </w:r>
    </w:p>
    <w:p>
      <w:pPr>
        <w:pStyle w:val="ListBullet"/>
      </w:pPr>
      <w:r>
        <w:t>Role and permission tests</w:t>
      </w:r>
    </w:p>
    <w:p>
      <w:pPr>
        <w:pStyle w:val="ListBullet"/>
      </w:pPr>
      <w:r>
        <w:t>Country-specific validation</w:t>
      </w:r>
    </w:p>
    <w:p>
      <w:pPr>
        <w:pStyle w:val="ListBullet"/>
      </w:pPr>
      <w:r>
        <w:t>Document requirement rules</w:t>
      </w:r>
    </w:p>
    <w:p>
      <w:pPr>
        <w:pStyle w:val="ListBullet"/>
      </w:pPr>
      <w:r>
        <w:t>Compliance adapter normalization and webhook idempotency</w:t>
      </w:r>
    </w:p>
    <w:p>
      <w:pPr>
        <w:pStyle w:val="ListBullet"/>
      </w:pPr>
      <w:r>
        <w:t>Processor matching qualification and disqualification</w:t>
      </w:r>
    </w:p>
    <w:p>
      <w:pPr>
        <w:pStyle w:val="ListBullet"/>
      </w:pPr>
      <w:r>
        <w:t>Submission snapshot integrity</w:t>
      </w:r>
    </w:p>
    <w:p>
      <w:pPr>
        <w:pStyle w:val="ListBullet"/>
      </w:pPr>
      <w:r>
        <w:t>Connector payload mapping and contract tests</w:t>
      </w:r>
    </w:p>
    <w:p>
      <w:pPr>
        <w:pStyle w:val="ListBullet"/>
      </w:pPr>
      <w:r>
        <w:t>Onboarding task dependencies</w:t>
      </w:r>
    </w:p>
    <w:p>
      <w:pPr>
        <w:pStyle w:val="ListBullet"/>
      </w:pPr>
      <w:r>
        <w:t>Audit logging and sensitive-data masking</w:t>
      </w:r>
    </w:p>
    <w:p>
      <w:pPr>
        <w:pStyle w:val="ListBullet"/>
      </w:pPr>
      <w:r>
        <w:t>Migration up and down on a production-like copy</w:t>
      </w:r>
    </w:p>
    <w:p>
      <w:pPr>
        <w:pStyle w:val="Heading2"/>
        <w:keepNext/>
      </w:pPr>
      <w:r>
        <w:t>16.4 Environments</w:t>
      </w:r>
    </w:p>
    <w:p>
      <w:r>
        <w:t>Use local development, shared development, staging, processor sandbox, and production environments. Production deployment must use reviewed migrations, backups, rollback instructions, feature flags, monitoring, and a post-deployment checklist. Never test new processor submissions with real merchants unless the processor and management approve the test.</w:t>
      </w:r>
    </w:p>
    <w:p>
      <w:pPr>
        <w:pStyle w:val="Heading1"/>
        <w:keepNext/>
      </w:pPr>
      <w:r>
        <w:t>17. Security, Privacy, Auditability, and PCI-Minded Development</w:t>
      </w:r>
    </w:p>
    <w:p>
      <w:pPr>
        <w:pStyle w:val="ListBullet"/>
      </w:pPr>
      <w:r>
        <w:t>Least-privilege roles and field-level masking</w:t>
      </w:r>
    </w:p>
    <w:p>
      <w:pPr>
        <w:pStyle w:val="ListBullet"/>
      </w:pPr>
      <w:r>
        <w:t>Encryption for sensitive fields and protected document storage</w:t>
      </w:r>
    </w:p>
    <w:p>
      <w:pPr>
        <w:pStyle w:val="ListBullet"/>
      </w:pPr>
      <w:r>
        <w:t>Signed and expiring document download URLs</w:t>
      </w:r>
    </w:p>
    <w:p>
      <w:pPr>
        <w:pStyle w:val="ListBullet"/>
      </w:pPr>
      <w:r>
        <w:t>MIME, extension, size, and malware-scanning controls</w:t>
      </w:r>
    </w:p>
    <w:p>
      <w:pPr>
        <w:pStyle w:val="ListBullet"/>
      </w:pPr>
      <w:r>
        <w:t>No raw credentials in code, tickets, logs, or AI prompts</w:t>
      </w:r>
    </w:p>
    <w:p>
      <w:pPr>
        <w:pStyle w:val="ListBullet"/>
      </w:pPr>
      <w:r>
        <w:t>CSRF, XSS, SQL injection, rate limiting, session security, and MFA capability</w:t>
      </w:r>
    </w:p>
    <w:p>
      <w:pPr>
        <w:pStyle w:val="ListBullet"/>
      </w:pPr>
      <w:r>
        <w:t>Immutable audit events for sensitive changes, exports, approvals, submissions, and overrides</w:t>
      </w:r>
    </w:p>
    <w:p>
      <w:pPr>
        <w:pStyle w:val="ListBullet"/>
      </w:pPr>
      <w:r>
        <w:t>Sensitive log masking and request correlation IDs</w:t>
      </w:r>
    </w:p>
    <w:p>
      <w:pPr>
        <w:pStyle w:val="ListBullet"/>
      </w:pPr>
      <w:r>
        <w:t>Retention and deletion policies by data class and jurisdiction</w:t>
      </w:r>
    </w:p>
    <w:p>
      <w:pPr>
        <w:pStyle w:val="ListBullet"/>
      </w:pPr>
      <w:r>
        <w:t>Backups, restore testing, monitoring, and incident response</w:t>
      </w:r>
    </w:p>
    <w:p>
      <w:pPr>
        <w:pStyle w:val="ListBullet"/>
      </w:pPr>
      <w:r>
        <w:t>PCI scope minimization: do not store prohibited card data; use tokens and approved providers</w:t>
      </w:r>
    </w:p>
    <w:tbl>
      <w:tblPr>
        <w:tblW w:type="auto" w:w="0"/>
        <w:jc w:val="center"/>
        <w:tblLayout w:type="fixed"/>
        <w:tblLook w:firstColumn="1" w:firstRow="1" w:lastColumn="0" w:lastRow="0" w:noHBand="0" w:noVBand="1" w:val="04A0"/>
      </w:tblPr>
      <w:tblGrid>
        <w:gridCol w:w="9994"/>
      </w:tblGrid>
      <w:tr>
        <w:tc>
          <w:tcPr>
            <w:tcW w:type="dxa" w:w="9504"/>
            <w:shd w:fill="FCE4D6"/>
            <w:tcMar>
              <w:top w:w="180" w:type="dxa"/>
              <w:start w:w="200" w:type="dxa"/>
              <w:bottom w:w="180" w:type="dxa"/>
              <w:end w:w="200" w:type="dxa"/>
            </w:tcMar>
          </w:tcPr>
          <w:p>
            <w:r>
              <w:rPr>
                <w:b/>
                <w:color w:val="1F4E79"/>
              </w:rPr>
              <w:t>AI data protection</w:t>
            </w:r>
          </w:p>
          <w:p>
            <w:pPr>
              <w:spacing w:after="0"/>
            </w:pPr>
            <w:r>
              <w:t>Do not send full SSNs, passport numbers, driver-license numbers, bank account numbers, API secrets, or unredacted identity documents to external AI services. Use synthetic fixtures or masked data for development and testing.</w:t>
            </w:r>
          </w:p>
        </w:tc>
      </w:tr>
    </w:tbl>
    <w:p>
      <w:pPr>
        <w:spacing w:after="0"/>
      </w:pPr>
    </w:p>
    <w:p>
      <w:pPr>
        <w:pStyle w:val="Heading1"/>
        <w:keepNext/>
      </w:pPr>
      <w:r>
        <w:t>18. Delivery Phases, Acceptance Criteria, and Management Reporting</w:t>
      </w:r>
    </w:p>
    <w:tbl>
      <w:tblPr>
        <w:tblStyle w:val="TableGrid"/>
        <w:tblW w:type="auto" w:w="0"/>
        <w:jc w:val="center"/>
        <w:tblLook w:firstColumn="1" w:firstRow="1" w:lastColumn="0" w:lastRow="0" w:noHBand="0" w:noVBand="1" w:val="04A0"/>
      </w:tblPr>
      <w:tblGrid>
        <w:gridCol w:w="3331"/>
        <w:gridCol w:w="3331"/>
        <w:gridCol w:w="3331"/>
      </w:tblGrid>
      <w:tr>
        <w:tc>
          <w:tcPr>
            <w:tcW w:type="dxa" w:w="1008"/>
            <w:shd w:fill="1F4E79"/>
            <w:tcMar>
              <w:top w:w="110" w:type="dxa"/>
              <w:start w:w="120" w:type="dxa"/>
              <w:bottom w:w="110" w:type="dxa"/>
              <w:end w:w="120" w:type="dxa"/>
            </w:tcMar>
            <w:vAlign w:val="center"/>
          </w:tcPr>
          <w:p>
            <w:pPr>
              <w:jc w:val="center"/>
            </w:pPr>
            <w:r>
              <w:rPr>
                <w:b/>
                <w:color w:val="FFFFFF"/>
                <w:sz w:val="18"/>
              </w:rPr>
              <w:t>Phase</w:t>
            </w:r>
          </w:p>
        </w:tc>
        <w:tc>
          <w:tcPr>
            <w:tcW w:type="dxa" w:w="3600"/>
            <w:shd w:fill="1F4E79"/>
            <w:tcMar>
              <w:top w:w="110" w:type="dxa"/>
              <w:start w:w="120" w:type="dxa"/>
              <w:bottom w:w="110" w:type="dxa"/>
              <w:end w:w="120" w:type="dxa"/>
            </w:tcMar>
            <w:vAlign w:val="center"/>
          </w:tcPr>
          <w:p>
            <w:pPr>
              <w:jc w:val="center"/>
            </w:pPr>
            <w:r>
              <w:rPr>
                <w:b/>
                <w:color w:val="FFFFFF"/>
                <w:sz w:val="18"/>
              </w:rPr>
              <w:t>Primary deliverable</w:t>
            </w:r>
          </w:p>
        </w:tc>
        <w:tc>
          <w:tcPr>
            <w:tcW w:type="dxa" w:w="4896"/>
            <w:shd w:fill="1F4E79"/>
            <w:tcMar>
              <w:top w:w="110" w:type="dxa"/>
              <w:start w:w="120" w:type="dxa"/>
              <w:bottom w:w="110" w:type="dxa"/>
              <w:end w:w="120" w:type="dxa"/>
            </w:tcMar>
            <w:vAlign w:val="center"/>
          </w:tcPr>
          <w:p>
            <w:pPr>
              <w:jc w:val="center"/>
            </w:pPr>
            <w:r>
              <w:rPr>
                <w:b/>
                <w:color w:val="FFFFFF"/>
                <w:sz w:val="18"/>
              </w:rPr>
              <w:t>Exit criteria</w:t>
            </w:r>
          </w:p>
        </w:tc>
      </w:tr>
      <w:tr>
        <w:tc>
          <w:tcPr>
            <w:tcW w:type="dxa" w:w="1008"/>
            <w:tcMar>
              <w:top w:w="105" w:type="dxa"/>
              <w:start w:w="120" w:type="dxa"/>
              <w:bottom w:w="105" w:type="dxa"/>
              <w:end w:w="120" w:type="dxa"/>
            </w:tcMar>
            <w:vAlign w:val="center"/>
          </w:tcPr>
          <w:p>
            <w:pPr>
              <w:spacing w:after="0"/>
            </w:pPr>
            <w:r>
              <w:rPr>
                <w:sz w:val="18"/>
              </w:rPr>
              <w:t>0. Discovery</w:t>
            </w:r>
          </w:p>
        </w:tc>
        <w:tc>
          <w:tcPr>
            <w:tcW w:type="dxa" w:w="3600"/>
            <w:tcMar>
              <w:top w:w="105" w:type="dxa"/>
              <w:start w:w="120" w:type="dxa"/>
              <w:bottom w:w="105" w:type="dxa"/>
              <w:end w:w="120" w:type="dxa"/>
            </w:tcMar>
            <w:vAlign w:val="center"/>
          </w:tcPr>
          <w:p>
            <w:pPr>
              <w:spacing w:after="0"/>
            </w:pPr>
            <w:r>
              <w:rPr>
                <w:sz w:val="18"/>
              </w:rPr>
              <w:t>Repository and schema map, gap report, risk list</w:t>
            </w:r>
          </w:p>
        </w:tc>
        <w:tc>
          <w:tcPr>
            <w:tcW w:type="dxa" w:w="4896"/>
            <w:tcMar>
              <w:top w:w="105" w:type="dxa"/>
              <w:start w:w="120" w:type="dxa"/>
              <w:bottom w:w="105" w:type="dxa"/>
              <w:end w:w="120" w:type="dxa"/>
            </w:tcMar>
            <w:vAlign w:val="center"/>
          </w:tcPr>
          <w:p>
            <w:pPr>
              <w:spacing w:after="0"/>
            </w:pPr>
            <w:r>
              <w:rPr>
                <w:sz w:val="18"/>
              </w:rPr>
              <w:t>Management approves keep/extend/wrap/refactor/replace decisions.</w:t>
            </w:r>
          </w:p>
        </w:tc>
      </w:tr>
      <w:tr>
        <w:tc>
          <w:tcPr>
            <w:tcW w:type="dxa" w:w="1008"/>
            <w:tcMar>
              <w:top w:w="105" w:type="dxa"/>
              <w:start w:w="120" w:type="dxa"/>
              <w:bottom w:w="105" w:type="dxa"/>
              <w:end w:w="120" w:type="dxa"/>
            </w:tcMar>
            <w:vAlign w:val="center"/>
          </w:tcPr>
          <w:p>
            <w:pPr>
              <w:spacing w:after="0"/>
            </w:pPr>
            <w:r>
              <w:rPr>
                <w:sz w:val="18"/>
              </w:rPr>
              <w:t>1. Shared Core</w:t>
            </w:r>
          </w:p>
        </w:tc>
        <w:tc>
          <w:tcPr>
            <w:tcW w:type="dxa" w:w="3600"/>
            <w:tcMar>
              <w:top w:w="105" w:type="dxa"/>
              <w:start w:w="120" w:type="dxa"/>
              <w:bottom w:w="105" w:type="dxa"/>
              <w:end w:w="120" w:type="dxa"/>
            </w:tcMar>
            <w:vAlign w:val="center"/>
          </w:tcPr>
          <w:p>
            <w:pPr>
              <w:spacing w:after="0"/>
            </w:pPr>
            <w:r>
              <w:rPr>
                <w:sz w:val="18"/>
              </w:rPr>
              <w:t>Canonical merchant service, timeline, assignments, completion</w:t>
            </w:r>
          </w:p>
        </w:tc>
        <w:tc>
          <w:tcPr>
            <w:tcW w:type="dxa" w:w="4896"/>
            <w:tcMar>
              <w:top w:w="105" w:type="dxa"/>
              <w:start w:w="120" w:type="dxa"/>
              <w:bottom w:w="105" w:type="dxa"/>
              <w:end w:w="120" w:type="dxa"/>
            </w:tcMar>
            <w:vAlign w:val="center"/>
          </w:tcPr>
          <w:p>
            <w:pPr>
              <w:spacing w:after="0"/>
            </w:pPr>
            <w:r>
              <w:rPr>
                <w:sz w:val="18"/>
              </w:rPr>
              <w:t>Legacy records work; tests and migration rollback pass.</w:t>
            </w:r>
          </w:p>
        </w:tc>
      </w:tr>
      <w:tr>
        <w:tc>
          <w:tcPr>
            <w:tcW w:type="dxa" w:w="1008"/>
            <w:tcMar>
              <w:top w:w="105" w:type="dxa"/>
              <w:start w:w="120" w:type="dxa"/>
              <w:bottom w:w="105" w:type="dxa"/>
              <w:end w:w="120" w:type="dxa"/>
            </w:tcMar>
            <w:vAlign w:val="center"/>
          </w:tcPr>
          <w:p>
            <w:pPr>
              <w:spacing w:after="0"/>
            </w:pPr>
            <w:r>
              <w:rPr>
                <w:sz w:val="18"/>
              </w:rPr>
              <w:t>2. Workflow</w:t>
            </w:r>
          </w:p>
        </w:tc>
        <w:tc>
          <w:tcPr>
            <w:tcW w:type="dxa" w:w="3600"/>
            <w:tcMar>
              <w:top w:w="105" w:type="dxa"/>
              <w:start w:w="120" w:type="dxa"/>
              <w:bottom w:w="105" w:type="dxa"/>
              <w:end w:w="120" w:type="dxa"/>
            </w:tcMar>
            <w:vAlign w:val="center"/>
          </w:tcPr>
          <w:p>
            <w:pPr>
              <w:spacing w:after="0"/>
            </w:pPr>
            <w:r>
              <w:rPr>
                <w:sz w:val="18"/>
              </w:rPr>
              <w:t>Stages, guards, history, tasks, SLA, notifications</w:t>
            </w:r>
          </w:p>
        </w:tc>
        <w:tc>
          <w:tcPr>
            <w:tcW w:type="dxa" w:w="4896"/>
            <w:tcMar>
              <w:top w:w="105" w:type="dxa"/>
              <w:start w:w="120" w:type="dxa"/>
              <w:bottom w:w="105" w:type="dxa"/>
              <w:end w:w="120" w:type="dxa"/>
            </w:tcMar>
            <w:vAlign w:val="center"/>
          </w:tcPr>
          <w:p>
            <w:pPr>
              <w:spacing w:after="0"/>
            </w:pPr>
            <w:r>
              <w:rPr>
                <w:sz w:val="18"/>
              </w:rPr>
              <w:t>Unauthorized and invalid transitions blocked; overrides audited.</w:t>
            </w:r>
          </w:p>
        </w:tc>
      </w:tr>
      <w:tr>
        <w:tc>
          <w:tcPr>
            <w:tcW w:type="dxa" w:w="1008"/>
            <w:tcMar>
              <w:top w:w="105" w:type="dxa"/>
              <w:start w:w="120" w:type="dxa"/>
              <w:bottom w:w="105" w:type="dxa"/>
              <w:end w:w="120" w:type="dxa"/>
            </w:tcMar>
            <w:vAlign w:val="center"/>
          </w:tcPr>
          <w:p>
            <w:pPr>
              <w:spacing w:after="0"/>
            </w:pPr>
            <w:r>
              <w:rPr>
                <w:sz w:val="18"/>
              </w:rPr>
              <w:t>3. U.S. Profile</w:t>
            </w:r>
          </w:p>
        </w:tc>
        <w:tc>
          <w:tcPr>
            <w:tcW w:type="dxa" w:w="3600"/>
            <w:tcMar>
              <w:top w:w="105" w:type="dxa"/>
              <w:start w:w="120" w:type="dxa"/>
              <w:bottom w:w="105" w:type="dxa"/>
              <w:end w:w="120" w:type="dxa"/>
            </w:tcMar>
            <w:vAlign w:val="center"/>
          </w:tcPr>
          <w:p>
            <w:pPr>
              <w:spacing w:after="0"/>
            </w:pPr>
            <w:r>
              <w:rPr>
                <w:sz w:val="18"/>
              </w:rPr>
              <w:t>Domestic fields, validation, docs, processor configurations</w:t>
            </w:r>
          </w:p>
        </w:tc>
        <w:tc>
          <w:tcPr>
            <w:tcW w:type="dxa" w:w="4896"/>
            <w:tcMar>
              <w:top w:w="105" w:type="dxa"/>
              <w:start w:w="120" w:type="dxa"/>
              <w:bottom w:w="105" w:type="dxa"/>
              <w:end w:w="120" w:type="dxa"/>
            </w:tcMar>
            <w:vAlign w:val="center"/>
          </w:tcPr>
          <w:p>
            <w:pPr>
              <w:spacing w:after="0"/>
            </w:pPr>
            <w:r>
              <w:rPr>
                <w:sz w:val="18"/>
              </w:rPr>
              <w:t>Selected U.S. merchant types complete end-to-end staging flow.</w:t>
            </w:r>
          </w:p>
        </w:tc>
      </w:tr>
      <w:tr>
        <w:tc>
          <w:tcPr>
            <w:tcW w:type="dxa" w:w="1008"/>
            <w:tcMar>
              <w:top w:w="105" w:type="dxa"/>
              <w:start w:w="120" w:type="dxa"/>
              <w:bottom w:w="105" w:type="dxa"/>
              <w:end w:w="120" w:type="dxa"/>
            </w:tcMar>
            <w:vAlign w:val="center"/>
          </w:tcPr>
          <w:p>
            <w:pPr>
              <w:spacing w:after="0"/>
            </w:pPr>
            <w:r>
              <w:rPr>
                <w:sz w:val="18"/>
              </w:rPr>
              <w:t>4. International Profile</w:t>
            </w:r>
          </w:p>
        </w:tc>
        <w:tc>
          <w:tcPr>
            <w:tcW w:type="dxa" w:w="3600"/>
            <w:tcMar>
              <w:top w:w="105" w:type="dxa"/>
              <w:start w:w="120" w:type="dxa"/>
              <w:bottom w:w="105" w:type="dxa"/>
              <w:end w:w="120" w:type="dxa"/>
            </w:tcMar>
            <w:vAlign w:val="center"/>
          </w:tcPr>
          <w:p>
            <w:pPr>
              <w:spacing w:after="0"/>
            </w:pPr>
            <w:r>
              <w:rPr>
                <w:sz w:val="18"/>
              </w:rPr>
              <w:t>Country-aware forms, banking, licensing, translation support</w:t>
            </w:r>
          </w:p>
        </w:tc>
        <w:tc>
          <w:tcPr>
            <w:tcW w:type="dxa" w:w="4896"/>
            <w:tcMar>
              <w:top w:w="105" w:type="dxa"/>
              <w:start w:w="120" w:type="dxa"/>
              <w:bottom w:w="105" w:type="dxa"/>
              <w:end w:w="120" w:type="dxa"/>
            </w:tcMar>
            <w:vAlign w:val="center"/>
          </w:tcPr>
          <w:p>
            <w:pPr>
              <w:spacing w:after="0"/>
            </w:pPr>
            <w:r>
              <w:rPr>
                <w:sz w:val="18"/>
              </w:rPr>
              <w:t>Selected DR/Colombia/Brazil examples complete end-to-end staging flow.</w:t>
            </w:r>
          </w:p>
        </w:tc>
      </w:tr>
      <w:tr>
        <w:tc>
          <w:tcPr>
            <w:tcW w:type="dxa" w:w="1008"/>
            <w:tcMar>
              <w:top w:w="105" w:type="dxa"/>
              <w:start w:w="120" w:type="dxa"/>
              <w:bottom w:w="105" w:type="dxa"/>
              <w:end w:w="120" w:type="dxa"/>
            </w:tcMar>
            <w:vAlign w:val="center"/>
          </w:tcPr>
          <w:p>
            <w:pPr>
              <w:spacing w:after="0"/>
            </w:pPr>
            <w:r>
              <w:rPr>
                <w:sz w:val="18"/>
              </w:rPr>
              <w:t>5. Compliance / Risk</w:t>
            </w:r>
          </w:p>
        </w:tc>
        <w:tc>
          <w:tcPr>
            <w:tcW w:type="dxa" w:w="3600"/>
            <w:tcMar>
              <w:top w:w="105" w:type="dxa"/>
              <w:start w:w="120" w:type="dxa"/>
              <w:bottom w:w="105" w:type="dxa"/>
              <w:end w:w="120" w:type="dxa"/>
            </w:tcMar>
            <w:vAlign w:val="center"/>
          </w:tcPr>
          <w:p>
            <w:pPr>
              <w:spacing w:after="0"/>
            </w:pPr>
            <w:r>
              <w:rPr>
                <w:sz w:val="18"/>
              </w:rPr>
              <w:t>Adapters, normalized cases, underwriting records</w:t>
            </w:r>
          </w:p>
        </w:tc>
        <w:tc>
          <w:tcPr>
            <w:tcW w:type="dxa" w:w="4896"/>
            <w:tcMar>
              <w:top w:w="105" w:type="dxa"/>
              <w:start w:w="120" w:type="dxa"/>
              <w:bottom w:w="105" w:type="dxa"/>
              <w:end w:w="120" w:type="dxa"/>
            </w:tcMar>
            <w:vAlign w:val="center"/>
          </w:tcPr>
          <w:p>
            <w:pPr>
              <w:spacing w:after="0"/>
            </w:pPr>
            <w:r>
              <w:rPr>
                <w:sz w:val="18"/>
              </w:rPr>
              <w:t>Human review and audit controls verified.</w:t>
            </w:r>
          </w:p>
        </w:tc>
      </w:tr>
      <w:tr>
        <w:tc>
          <w:tcPr>
            <w:tcW w:type="dxa" w:w="1008"/>
            <w:tcMar>
              <w:top w:w="105" w:type="dxa"/>
              <w:start w:w="120" w:type="dxa"/>
              <w:bottom w:w="105" w:type="dxa"/>
              <w:end w:w="120" w:type="dxa"/>
            </w:tcMar>
            <w:vAlign w:val="center"/>
          </w:tcPr>
          <w:p>
            <w:pPr>
              <w:spacing w:after="0"/>
            </w:pPr>
            <w:r>
              <w:rPr>
                <w:sz w:val="18"/>
              </w:rPr>
              <w:t>6. Processor Management</w:t>
            </w:r>
          </w:p>
        </w:tc>
        <w:tc>
          <w:tcPr>
            <w:tcW w:type="dxa" w:w="3600"/>
            <w:tcMar>
              <w:top w:w="105" w:type="dxa"/>
              <w:start w:w="120" w:type="dxa"/>
              <w:bottom w:w="105" w:type="dxa"/>
              <w:end w:w="120" w:type="dxa"/>
            </w:tcMar>
            <w:vAlign w:val="center"/>
          </w:tcPr>
          <w:p>
            <w:pPr>
              <w:spacing w:after="0"/>
            </w:pPr>
            <w:r>
              <w:rPr>
                <w:sz w:val="18"/>
              </w:rPr>
              <w:t>Profiles, matching, submissions, packages</w:t>
            </w:r>
          </w:p>
        </w:tc>
        <w:tc>
          <w:tcPr>
            <w:tcW w:type="dxa" w:w="4896"/>
            <w:tcMar>
              <w:top w:w="105" w:type="dxa"/>
              <w:start w:w="120" w:type="dxa"/>
              <w:bottom w:w="105" w:type="dxa"/>
              <w:end w:w="120" w:type="dxa"/>
            </w:tcMar>
            <w:vAlign w:val="center"/>
          </w:tcPr>
          <w:p>
            <w:pPr>
              <w:spacing w:after="0"/>
            </w:pPr>
            <w:r>
              <w:rPr>
                <w:sz w:val="18"/>
              </w:rPr>
              <w:t>Deterministic matching and historical submission snapshots pass.</w:t>
            </w:r>
          </w:p>
        </w:tc>
      </w:tr>
      <w:tr>
        <w:tc>
          <w:tcPr>
            <w:tcW w:type="dxa" w:w="1008"/>
            <w:tcMar>
              <w:top w:w="105" w:type="dxa"/>
              <w:start w:w="120" w:type="dxa"/>
              <w:bottom w:w="105" w:type="dxa"/>
              <w:end w:w="120" w:type="dxa"/>
            </w:tcMar>
            <w:vAlign w:val="center"/>
          </w:tcPr>
          <w:p>
            <w:pPr>
              <w:spacing w:after="0"/>
            </w:pPr>
            <w:r>
              <w:rPr>
                <w:sz w:val="18"/>
              </w:rPr>
              <w:t>7. Onboarding</w:t>
            </w:r>
          </w:p>
        </w:tc>
        <w:tc>
          <w:tcPr>
            <w:tcW w:type="dxa" w:w="3600"/>
            <w:tcMar>
              <w:top w:w="105" w:type="dxa"/>
              <w:start w:w="120" w:type="dxa"/>
              <w:bottom w:w="105" w:type="dxa"/>
              <w:end w:w="120" w:type="dxa"/>
            </w:tcMar>
            <w:vAlign w:val="center"/>
          </w:tcPr>
          <w:p>
            <w:pPr>
              <w:spacing w:after="0"/>
            </w:pPr>
            <w:r>
              <w:rPr>
                <w:sz w:val="18"/>
              </w:rPr>
              <w:t>MID, gateway, equipment, testing, activation, funding</w:t>
            </w:r>
          </w:p>
        </w:tc>
        <w:tc>
          <w:tcPr>
            <w:tcW w:type="dxa" w:w="4896"/>
            <w:tcMar>
              <w:top w:w="105" w:type="dxa"/>
              <w:start w:w="120" w:type="dxa"/>
              <w:bottom w:w="105" w:type="dxa"/>
              <w:end w:w="120" w:type="dxa"/>
            </w:tcMar>
            <w:vAlign w:val="center"/>
          </w:tcPr>
          <w:p>
            <w:pPr>
              <w:spacing w:after="0"/>
            </w:pPr>
            <w:r>
              <w:rPr>
                <w:sz w:val="18"/>
              </w:rPr>
              <w:t>Approved merchant reaches live with complete evidence.</w:t>
            </w:r>
          </w:p>
        </w:tc>
      </w:tr>
      <w:tr>
        <w:tc>
          <w:tcPr>
            <w:tcW w:type="dxa" w:w="1008"/>
            <w:tcMar>
              <w:top w:w="105" w:type="dxa"/>
              <w:start w:w="120" w:type="dxa"/>
              <w:bottom w:w="105" w:type="dxa"/>
              <w:end w:w="120" w:type="dxa"/>
            </w:tcMar>
            <w:vAlign w:val="center"/>
          </w:tcPr>
          <w:p>
            <w:pPr>
              <w:spacing w:after="0"/>
            </w:pPr>
            <w:r>
              <w:rPr>
                <w:sz w:val="18"/>
              </w:rPr>
              <w:t>8. API Readiness</w:t>
            </w:r>
          </w:p>
        </w:tc>
        <w:tc>
          <w:tcPr>
            <w:tcW w:type="dxa" w:w="3600"/>
            <w:tcMar>
              <w:top w:w="105" w:type="dxa"/>
              <w:start w:w="120" w:type="dxa"/>
              <w:bottom w:w="105" w:type="dxa"/>
              <w:end w:w="120" w:type="dxa"/>
            </w:tcMar>
            <w:vAlign w:val="center"/>
          </w:tcPr>
          <w:p>
            <w:pPr>
              <w:spacing w:after="0"/>
            </w:pPr>
            <w:r>
              <w:rPr>
                <w:sz w:val="18"/>
              </w:rPr>
              <w:t>Canonical boarding payload and connector framework</w:t>
            </w:r>
          </w:p>
        </w:tc>
        <w:tc>
          <w:tcPr>
            <w:tcW w:type="dxa" w:w="4896"/>
            <w:tcMar>
              <w:top w:w="105" w:type="dxa"/>
              <w:start w:w="120" w:type="dxa"/>
              <w:bottom w:w="105" w:type="dxa"/>
              <w:end w:w="120" w:type="dxa"/>
            </w:tcMar>
            <w:vAlign w:val="center"/>
          </w:tcPr>
          <w:p>
            <w:pPr>
              <w:spacing w:after="0"/>
            </w:pPr>
            <w:r>
              <w:rPr>
                <w:sz w:val="18"/>
              </w:rPr>
              <w:t>One sandbox connector or export adapter passes contract tests.</w:t>
            </w:r>
          </w:p>
        </w:tc>
      </w:tr>
    </w:tbl>
    <w:p>
      <w:pPr>
        <w:spacing w:after="0"/>
      </w:pPr>
    </w:p>
    <w:p>
      <w:pPr>
        <w:pStyle w:val="Heading2"/>
        <w:keepNext/>
      </w:pPr>
      <w:r>
        <w:t>18.1 Mohit daily report</w:t>
      </w:r>
    </w:p>
    <w:p>
      <w:pPr>
        <w:pStyle w:val="ListBullet"/>
      </w:pPr>
      <w:r>
        <w:t>Top priority worked on</w:t>
      </w:r>
    </w:p>
    <w:p>
      <w:pPr>
        <w:pStyle w:val="ListBullet"/>
      </w:pPr>
      <w:r>
        <w:t>Business function improved</w:t>
      </w:r>
    </w:p>
    <w:p>
      <w:pPr>
        <w:pStyle w:val="ListBullet"/>
      </w:pPr>
      <w:r>
        <w:t>Exact branch and commits</w:t>
      </w:r>
    </w:p>
    <w:p>
      <w:pPr>
        <w:pStyle w:val="ListBullet"/>
      </w:pPr>
      <w:r>
        <w:t>Files and migrations changed</w:t>
      </w:r>
    </w:p>
    <w:p>
      <w:pPr>
        <w:pStyle w:val="ListBullet"/>
      </w:pPr>
      <w:r>
        <w:t>Tests run and results</w:t>
      </w:r>
    </w:p>
    <w:p>
      <w:pPr>
        <w:pStyle w:val="ListBullet"/>
      </w:pPr>
      <w:r>
        <w:t>Screenshots or staging link</w:t>
      </w:r>
    </w:p>
    <w:p>
      <w:pPr>
        <w:pStyle w:val="ListBullet"/>
      </w:pPr>
      <w:r>
        <w:t>AI tool used and how its output was reviewed</w:t>
      </w:r>
    </w:p>
    <w:p>
      <w:pPr>
        <w:pStyle w:val="ListBullet"/>
      </w:pPr>
      <w:r>
        <w:t>Blockers or decisions needed</w:t>
      </w:r>
    </w:p>
    <w:p>
      <w:pPr>
        <w:pStyle w:val="ListBullet"/>
      </w:pPr>
      <w:r>
        <w:t>Plan for next work session</w:t>
      </w:r>
    </w:p>
    <w:p>
      <w:pPr>
        <w:pStyle w:val="Heading2"/>
        <w:keepNext/>
      </w:pPr>
      <w:r>
        <w:t>18.2 Weekly demonstration</w:t>
      </w:r>
    </w:p>
    <w:p>
      <w:r>
        <w:t>Demonstrate a complete merchant scenario, not isolated screens. Example: create an international licensed sportsbook, identify required documents, submit and review documents, complete compliance and risk, match a processor, generate a package, record a conditional approval, complete onboarding, and show the full timeline and audit record.</w:t>
      </w:r>
    </w:p>
    <w:p>
      <w:pPr>
        <w:pStyle w:val="Heading1"/>
        <w:keepNext/>
      </w:pPr>
      <w:r>
        <w:t>19. Ready-to-Use AI Prompts</w:t>
      </w:r>
    </w:p>
    <w:p>
      <w:pPr>
        <w:pStyle w:val="Heading2"/>
        <w:keepNext/>
      </w:pPr>
      <w:r>
        <w:t>19.1 Master repository analysis prompt</w:t>
      </w:r>
    </w:p>
    <w:p>
      <w:pPr>
        <w:pStyle w:val="CodeBlock"/>
      </w:pPr>
      <w:r>
        <w:t>You are assisting with an existing PHP/Laravel merchant CRM for eDataPay and AmpliPay. Do not write or modify code yet. Treat the current repository and database as valuable production assets.</w:t>
        <w:br/>
        <w:br/>
        <w:t>Inspect the repository and identify every component related to merchants, applications, owners, beneficial owners, locations, banking, processing profiles, statuses, pipeline stages, documents, tasks, comments, communications, permissions, agents, resellers, commissions, processors, underwriting, onboarding, equipment, gateways, MIDs, APIs, webhooks, jobs, notifications, and audit logs.</w:t>
        <w:br/>
        <w:br/>
        <w:t>Cite exact file paths, classes, methods, routes, tables, columns, relationships, events, queues, and views. Classify each component as KEEP, EXTEND, WRAP, REFACTOR, REPLACE, or RETIRE LATER, with evidence. Identify U.S.-only assumptions that prevent international onboarding. Identify duplicate data and conflicting sources of truth. Identify security, permission, performance, migration, and data-integrity risks.</w:t>
        <w:br/>
        <w:br/>
        <w:t>Produce: (1) architecture map, (2) data-flow map, (3) schema map, (4) feature inventory, (5) gap analysis, (6) recommended canonical merchant model, (7) phased implementation plan, (8) regression-test plan, and (9) list of exact files likely to be modified. Do not assume missing features and do not propose deleting production data.</w:t>
      </w:r>
    </w:p>
    <w:p>
      <w:pPr>
        <w:pStyle w:val="Heading2"/>
        <w:keepNext/>
      </w:pPr>
      <w:r>
        <w:t>19.2 Shared workflow feature prompt</w:t>
      </w:r>
    </w:p>
    <w:p>
      <w:pPr>
        <w:pStyle w:val="CodeBlock"/>
      </w:pPr>
      <w:r>
        <w:t>Using the approved repository analysis, implement one backward-compatible Merchant Workflow Foundation feature. Before coding, list the exact files to create or modify and explain why. Reuse existing merchant and application entities. Add configurable stages, permitted transitions, prerequisite guards, role permissions, required override reason, immutable stage history, domain events, timeline entries, tests, migration up/down, and rollback instructions. Preserve legacy IDs and map current statuses. Use transactions and audit logging. Do not modify production configuration, delete existing fields, or bypass permissions. Deliver a small reviewable pull request with test evidence.</w:t>
      </w:r>
    </w:p>
    <w:p>
      <w:pPr>
        <w:pStyle w:val="Heading2"/>
        <w:keepNext/>
      </w:pPr>
      <w:r>
        <w:t>19.3 U.S. domestic profile prompt</w:t>
      </w:r>
    </w:p>
    <w:p>
      <w:pPr>
        <w:pStyle w:val="CodeBlock"/>
      </w:pPr>
      <w:r>
        <w:t>Build the U.S. domestic onboarding configuration on top of the shared merchant core. Do not create a separate merchant application. Implement configuration for U.S. entity types, EIN/SS-4, addresses, routing and account validation, domestic owner data controls, selected merchant vertical document requirements, and processor overlays. Use rules/configuration rather than hard-coded controller branches. Include tests for required documents, validation, permissions, and legacy domestic merchants. First show the proposed configuration objects and exact files affected.</w:t>
      </w:r>
    </w:p>
    <w:p>
      <w:pPr>
        <w:pStyle w:val="Heading2"/>
        <w:keepNext/>
      </w:pPr>
      <w:r>
        <w:t>19.4 International profile prompt</w:t>
      </w:r>
    </w:p>
    <w:p>
      <w:pPr>
        <w:pStyle w:val="CodeBlock"/>
      </w:pPr>
      <w:r>
        <w:t>Build the international onboarding configuration on top of the shared merchant core. Do not duplicate the U.S. application. Add country-aware addresses, registration and tax identifiers, passports/national IDs, beneficial ownership, IBAN/SWIFT/local bank codes, multiple currencies, operating/customer/settlement countries, licenses, source of funds, source of wealth, translations, notarization/apostille status, and configurable country/vertical/processor document rules. Start with test fixtures for Dominican Republic, Colombia, and Brazil. Do not make legal or compliance decisions; create configurable fields, validations, workflows, and human review points. Include migrations, tests, rollback, and exact repository references.</w:t>
      </w:r>
    </w:p>
    <w:p>
      <w:pPr>
        <w:pStyle w:val="Heading2"/>
        <w:keepNext/>
      </w:pPr>
      <w:r>
        <w:t>19.5 Future processor API connector prompt</w:t>
      </w:r>
    </w:p>
    <w:p>
      <w:pPr>
        <w:pStyle w:val="CodeBlock"/>
      </w:pPr>
      <w:r>
        <w:t>Using the canonical Merchant Boarding Payload and existing processor submission records, create a provider-agnostic connector interface and one sandbox adapter. The adapter must validate required data, map internal fields to the external schema, use idempotency keys, store external references, mask sensitive logs, verify webhooks, retry transient failures, prevent duplicate submissions, reconcile pending cases, and preserve request/response audit evidence. Do not send a real merchant. Use synthetic fixtures and contract tests. Human approval must be required before submission. First list the interface, data mappings, secrets required, files affected, failure modes, and rollback plan.</w:t>
      </w:r>
    </w:p>
    <w:p>
      <w:pPr>
        <w:pStyle w:val="Heading2"/>
        <w:keepNext/>
      </w:pPr>
      <w:r>
        <w:t>19.6 AI pull-request review prompt</w:t>
      </w:r>
    </w:p>
    <w:p>
      <w:pPr>
        <w:pStyle w:val="CodeBlock"/>
      </w:pPr>
      <w:r>
        <w:t>Review this pull request as a senior Laravel engineer and payments onboarding architect. Compare it against the existing repository and the Merchant Onboarding Factory instructions. Check for duplicate sources of truth, broken backward compatibility, unsafe migrations, missing authorization, sensitive-data exposure, insufficient audit logging, hard-coded country or processor assumptions, race conditions, idempotency failures, N+1 queries, missing indexes, missing tests, and rollback risks. Cite exact lines/files. Separate blocking issues from improvements. Do not approve the pull request; provide evidence for Mohit's decision.</w:t>
      </w:r>
    </w:p>
    <w:p>
      <w:pPr>
        <w:pStyle w:val="Heading1"/>
        <w:keepNext/>
      </w:pPr>
      <w:r>
        <w:t>20. First 30-Day Execution Plan</w:t>
      </w:r>
    </w:p>
    <w:tbl>
      <w:tblPr>
        <w:tblStyle w:val="TableGrid"/>
        <w:tblW w:type="auto" w:w="0"/>
        <w:jc w:val="center"/>
        <w:tblLook w:firstColumn="1" w:firstRow="1" w:lastColumn="0" w:lastRow="0" w:noHBand="0" w:noVBand="1" w:val="04A0"/>
      </w:tblPr>
      <w:tblGrid>
        <w:gridCol w:w="3331"/>
        <w:gridCol w:w="3331"/>
        <w:gridCol w:w="3331"/>
      </w:tblGrid>
      <w:tr>
        <w:tc>
          <w:tcPr>
            <w:tcW w:type="dxa" w:w="1008"/>
            <w:shd w:fill="1F4E79"/>
            <w:tcMar>
              <w:top w:w="110" w:type="dxa"/>
              <w:start w:w="120" w:type="dxa"/>
              <w:bottom w:w="110" w:type="dxa"/>
              <w:end w:w="120" w:type="dxa"/>
            </w:tcMar>
            <w:vAlign w:val="center"/>
          </w:tcPr>
          <w:p>
            <w:pPr>
              <w:jc w:val="center"/>
            </w:pPr>
            <w:r>
              <w:rPr>
                <w:b/>
                <w:color w:val="FFFFFF"/>
                <w:sz w:val="18"/>
              </w:rPr>
              <w:t>Week</w:t>
            </w:r>
          </w:p>
        </w:tc>
        <w:tc>
          <w:tcPr>
            <w:tcW w:type="dxa" w:w="4320"/>
            <w:shd w:fill="1F4E79"/>
            <w:tcMar>
              <w:top w:w="110" w:type="dxa"/>
              <w:start w:w="120" w:type="dxa"/>
              <w:bottom w:w="110" w:type="dxa"/>
              <w:end w:w="120" w:type="dxa"/>
            </w:tcMar>
            <w:vAlign w:val="center"/>
          </w:tcPr>
          <w:p>
            <w:pPr>
              <w:jc w:val="center"/>
            </w:pPr>
            <w:r>
              <w:rPr>
                <w:b/>
                <w:color w:val="FFFFFF"/>
                <w:sz w:val="18"/>
              </w:rPr>
              <w:t>Development focus</w:t>
            </w:r>
          </w:p>
        </w:tc>
        <w:tc>
          <w:tcPr>
            <w:tcW w:type="dxa" w:w="4608"/>
            <w:shd w:fill="1F4E79"/>
            <w:tcMar>
              <w:top w:w="110" w:type="dxa"/>
              <w:start w:w="120" w:type="dxa"/>
              <w:bottom w:w="110" w:type="dxa"/>
              <w:end w:w="120" w:type="dxa"/>
            </w:tcMar>
            <w:vAlign w:val="center"/>
          </w:tcPr>
          <w:p>
            <w:pPr>
              <w:jc w:val="center"/>
            </w:pPr>
            <w:r>
              <w:rPr>
                <w:b/>
                <w:color w:val="FFFFFF"/>
                <w:sz w:val="18"/>
              </w:rPr>
              <w:t>Demonstrable outcome</w:t>
            </w:r>
          </w:p>
        </w:tc>
      </w:tr>
      <w:tr>
        <w:tc>
          <w:tcPr>
            <w:tcW w:type="dxa" w:w="1008"/>
            <w:tcMar>
              <w:top w:w="105" w:type="dxa"/>
              <w:start w:w="120" w:type="dxa"/>
              <w:bottom w:w="105" w:type="dxa"/>
              <w:end w:w="120" w:type="dxa"/>
            </w:tcMar>
            <w:vAlign w:val="center"/>
          </w:tcPr>
          <w:p>
            <w:pPr>
              <w:spacing w:after="0"/>
            </w:pPr>
            <w:r>
              <w:rPr>
                <w:sz w:val="18"/>
              </w:rPr>
              <w:t>1</w:t>
            </w:r>
          </w:p>
        </w:tc>
        <w:tc>
          <w:tcPr>
            <w:tcW w:type="dxa" w:w="4320"/>
            <w:tcMar>
              <w:top w:w="105" w:type="dxa"/>
              <w:start w:w="120" w:type="dxa"/>
              <w:bottom w:w="105" w:type="dxa"/>
              <w:end w:w="120" w:type="dxa"/>
            </w:tcMar>
            <w:vAlign w:val="center"/>
          </w:tcPr>
          <w:p>
            <w:pPr>
              <w:spacing w:after="0"/>
            </w:pPr>
            <w:r>
              <w:rPr>
                <w:sz w:val="18"/>
              </w:rPr>
              <w:t>Repository discovery, schema map, current-flow demonstration, keep/extend/refactor decisions</w:t>
            </w:r>
          </w:p>
        </w:tc>
        <w:tc>
          <w:tcPr>
            <w:tcW w:type="dxa" w:w="4608"/>
            <w:tcMar>
              <w:top w:w="105" w:type="dxa"/>
              <w:start w:w="120" w:type="dxa"/>
              <w:bottom w:w="105" w:type="dxa"/>
              <w:end w:w="120" w:type="dxa"/>
            </w:tcMar>
            <w:vAlign w:val="center"/>
          </w:tcPr>
          <w:p>
            <w:pPr>
              <w:spacing w:after="0"/>
            </w:pPr>
            <w:r>
              <w:rPr>
                <w:sz w:val="18"/>
              </w:rPr>
              <w:t>Approved technical assessment and prioritized backlog.</w:t>
            </w:r>
          </w:p>
        </w:tc>
      </w:tr>
      <w:tr>
        <w:tc>
          <w:tcPr>
            <w:tcW w:type="dxa" w:w="1008"/>
            <w:tcMar>
              <w:top w:w="105" w:type="dxa"/>
              <w:start w:w="120" w:type="dxa"/>
              <w:bottom w:w="105" w:type="dxa"/>
              <w:end w:w="120" w:type="dxa"/>
            </w:tcMar>
            <w:vAlign w:val="center"/>
          </w:tcPr>
          <w:p>
            <w:pPr>
              <w:spacing w:after="0"/>
            </w:pPr>
            <w:r>
              <w:rPr>
                <w:sz w:val="18"/>
              </w:rPr>
              <w:t>2</w:t>
            </w:r>
          </w:p>
        </w:tc>
        <w:tc>
          <w:tcPr>
            <w:tcW w:type="dxa" w:w="4320"/>
            <w:tcMar>
              <w:top w:w="105" w:type="dxa"/>
              <w:start w:w="120" w:type="dxa"/>
              <w:bottom w:w="105" w:type="dxa"/>
              <w:end w:w="120" w:type="dxa"/>
            </w:tcMar>
            <w:vAlign w:val="center"/>
          </w:tcPr>
          <w:p>
            <w:pPr>
              <w:spacing w:after="0"/>
            </w:pPr>
            <w:r>
              <w:rPr>
                <w:sz w:val="18"/>
              </w:rPr>
              <w:t>Canonical merchant service, timeline, stage history, and transition guards</w:t>
            </w:r>
          </w:p>
        </w:tc>
        <w:tc>
          <w:tcPr>
            <w:tcW w:type="dxa" w:w="4608"/>
            <w:tcMar>
              <w:top w:w="105" w:type="dxa"/>
              <w:start w:w="120" w:type="dxa"/>
              <w:bottom w:w="105" w:type="dxa"/>
              <w:end w:w="120" w:type="dxa"/>
            </w:tcMar>
            <w:vAlign w:val="center"/>
          </w:tcPr>
          <w:p>
            <w:pPr>
              <w:spacing w:after="0"/>
            </w:pPr>
            <w:r>
              <w:rPr>
                <w:sz w:val="18"/>
              </w:rPr>
              <w:t>One existing U.S. merchant moves through the new controlled workflow without losing legacy data.</w:t>
            </w:r>
          </w:p>
        </w:tc>
      </w:tr>
      <w:tr>
        <w:tc>
          <w:tcPr>
            <w:tcW w:type="dxa" w:w="1008"/>
            <w:tcMar>
              <w:top w:w="105" w:type="dxa"/>
              <w:start w:w="120" w:type="dxa"/>
              <w:bottom w:w="105" w:type="dxa"/>
              <w:end w:w="120" w:type="dxa"/>
            </w:tcMar>
            <w:vAlign w:val="center"/>
          </w:tcPr>
          <w:p>
            <w:pPr>
              <w:spacing w:after="0"/>
            </w:pPr>
            <w:r>
              <w:rPr>
                <w:sz w:val="18"/>
              </w:rPr>
              <w:t>3</w:t>
            </w:r>
          </w:p>
        </w:tc>
        <w:tc>
          <w:tcPr>
            <w:tcW w:type="dxa" w:w="4320"/>
            <w:tcMar>
              <w:top w:w="105" w:type="dxa"/>
              <w:start w:w="120" w:type="dxa"/>
              <w:bottom w:w="105" w:type="dxa"/>
              <w:end w:w="120" w:type="dxa"/>
            </w:tcMar>
            <w:vAlign w:val="center"/>
          </w:tcPr>
          <w:p>
            <w:pPr>
              <w:spacing w:after="0"/>
            </w:pPr>
            <w:r>
              <w:rPr>
                <w:sz w:val="18"/>
              </w:rPr>
              <w:t>Document requirements engine and U.S./international configuration scaffolding</w:t>
            </w:r>
          </w:p>
        </w:tc>
        <w:tc>
          <w:tcPr>
            <w:tcW w:type="dxa" w:w="4608"/>
            <w:tcMar>
              <w:top w:w="105" w:type="dxa"/>
              <w:start w:w="120" w:type="dxa"/>
              <w:bottom w:w="105" w:type="dxa"/>
              <w:end w:w="120" w:type="dxa"/>
            </w:tcMar>
            <w:vAlign w:val="center"/>
          </w:tcPr>
          <w:p>
            <w:pPr>
              <w:spacing w:after="0"/>
            </w:pPr>
            <w:r>
              <w:rPr>
                <w:sz w:val="18"/>
              </w:rPr>
              <w:t>Same shared platform produces different requirements for a U.S. retail merchant and a DR licensed gaming merchant.</w:t>
            </w:r>
          </w:p>
        </w:tc>
      </w:tr>
      <w:tr>
        <w:tc>
          <w:tcPr>
            <w:tcW w:type="dxa" w:w="1008"/>
            <w:tcMar>
              <w:top w:w="105" w:type="dxa"/>
              <w:start w:w="120" w:type="dxa"/>
              <w:bottom w:w="105" w:type="dxa"/>
              <w:end w:w="120" w:type="dxa"/>
            </w:tcMar>
            <w:vAlign w:val="center"/>
          </w:tcPr>
          <w:p>
            <w:pPr>
              <w:spacing w:after="0"/>
            </w:pPr>
            <w:r>
              <w:rPr>
                <w:sz w:val="18"/>
              </w:rPr>
              <w:t>4</w:t>
            </w:r>
          </w:p>
        </w:tc>
        <w:tc>
          <w:tcPr>
            <w:tcW w:type="dxa" w:w="4320"/>
            <w:tcMar>
              <w:top w:w="105" w:type="dxa"/>
              <w:start w:w="120" w:type="dxa"/>
              <w:bottom w:w="105" w:type="dxa"/>
              <w:end w:w="120" w:type="dxa"/>
            </w:tcMar>
            <w:vAlign w:val="center"/>
          </w:tcPr>
          <w:p>
            <w:pPr>
              <w:spacing w:after="0"/>
            </w:pPr>
            <w:r>
              <w:rPr>
                <w:sz w:val="18"/>
              </w:rPr>
              <w:t>Processor profiles, deterministic matching, submission snapshot, onboarding project skeleton</w:t>
            </w:r>
          </w:p>
        </w:tc>
        <w:tc>
          <w:tcPr>
            <w:tcW w:type="dxa" w:w="4608"/>
            <w:tcMar>
              <w:top w:w="105" w:type="dxa"/>
              <w:start w:w="120" w:type="dxa"/>
              <w:bottom w:w="105" w:type="dxa"/>
              <w:end w:w="120" w:type="dxa"/>
            </w:tcMar>
            <w:vAlign w:val="center"/>
          </w:tcPr>
          <w:p>
            <w:pPr>
              <w:spacing w:after="0"/>
            </w:pPr>
            <w:r>
              <w:rPr>
                <w:sz w:val="18"/>
              </w:rPr>
              <w:t>Merchant is matched, packaged, submitted in staging, approved manually, and converted into onboarding tasks.</w:t>
            </w:r>
          </w:p>
        </w:tc>
      </w:tr>
    </w:tbl>
    <w:p>
      <w:pPr>
        <w:spacing w:after="0"/>
      </w:pPr>
    </w:p>
    <w:p>
      <w:pPr>
        <w:pStyle w:val="Heading2"/>
        <w:keepNext/>
      </w:pPr>
      <w:r>
        <w:t>20.1 Immediate first assignment to Mohit</w:t>
      </w:r>
    </w:p>
    <w:p>
      <w:pPr>
        <w:pStyle w:val="ListNumber"/>
      </w:pPr>
      <w:r>
        <w:t>Place this document in the GitHub repository under /docs.</w:t>
      </w:r>
    </w:p>
    <w:p>
      <w:pPr>
        <w:pStyle w:val="ListNumber"/>
      </w:pPr>
      <w:r>
        <w:t>Create a discovery branch without changing production code.</w:t>
      </w:r>
    </w:p>
    <w:p>
      <w:pPr>
        <w:pStyle w:val="ListNumber"/>
      </w:pPr>
      <w:r>
        <w:t>Run the master repository analysis prompt using Claude Code or another large-context tool.</w:t>
      </w:r>
    </w:p>
    <w:p>
      <w:pPr>
        <w:pStyle w:val="ListNumber"/>
      </w:pPr>
      <w:r>
        <w:t>Verify every AI finding against the actual repository and database.</w:t>
      </w:r>
    </w:p>
    <w:p>
      <w:pPr>
        <w:pStyle w:val="ListNumber"/>
      </w:pPr>
      <w:r>
        <w:t>Produce the keep/extend/wrap/refactor/replace matrix.</w:t>
      </w:r>
    </w:p>
    <w:p>
      <w:pPr>
        <w:pStyle w:val="ListNumber"/>
      </w:pPr>
      <w:r>
        <w:t>Demonstrate the current merchant journey and identify where records, emails, and spreadsheets leave the CRM.</w:t>
      </w:r>
    </w:p>
    <w:p>
      <w:pPr>
        <w:pStyle w:val="ListNumber"/>
      </w:pPr>
      <w:r>
        <w:t>Propose the first small pull request: stage history and controlled transitions around the existing pipeline.</w:t>
      </w:r>
    </w:p>
    <w:tbl>
      <w:tblPr>
        <w:tblW w:type="auto" w:w="0"/>
        <w:jc w:val="center"/>
        <w:tblLayout w:type="fixed"/>
        <w:tblLook w:firstColumn="1" w:firstRow="1" w:lastColumn="0" w:lastRow="0" w:noHBand="0" w:noVBand="1" w:val="04A0"/>
      </w:tblPr>
      <w:tblGrid>
        <w:gridCol w:w="9994"/>
      </w:tblGrid>
      <w:tr>
        <w:tc>
          <w:tcPr>
            <w:tcW w:type="dxa" w:w="9504"/>
            <w:shd w:fill="D9EAD3"/>
            <w:tcMar>
              <w:top w:w="180" w:type="dxa"/>
              <w:start w:w="200" w:type="dxa"/>
              <w:bottom w:w="180" w:type="dxa"/>
              <w:end w:w="200" w:type="dxa"/>
            </w:tcMar>
          </w:tcPr>
          <w:p>
            <w:r>
              <w:rPr>
                <w:b/>
                <w:color w:val="1F4E79"/>
              </w:rPr>
              <w:t>Definition of success</w:t>
            </w:r>
          </w:p>
          <w:p>
            <w:pPr>
              <w:spacing w:after="0"/>
            </w:pPr>
            <w:r>
              <w:t>The system is successful when management can open one merchant record and see what was submitted, what is missing, who owns the next action, what compliance and underwriting concluded, which processor received the package, what the processor requested, how the merchant was boarded, whether the first funding succeeded, and a complete audit trail of every decision.</w:t>
            </w:r>
          </w:p>
        </w:tc>
      </w:tr>
    </w:tbl>
    <w:p>
      <w:pPr>
        <w:spacing w:after="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eDataPay / AmpliPay Merchant Onboarding Factory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Display" w:hAnsi="Aptos Display"/>
      <w:b w:val="0"/>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eDataPay / AmpliPay Merchant Application, Underwriting and Onboarding Factory</dc:title>
  <dc:subject>AI-assisted development instructions for enhancing the existing PHP/Laravel merchant CRM</dc:subject>
  <dc:creator>eDataPay / AmpliPay</dc:creator>
  <cp:keywords/>
  <dc:description>generated by python-docx</dc:description>
  <cp:lastModifiedBy/>
  <cp:revision>1</cp:revision>
  <dcterms:created xsi:type="dcterms:W3CDTF">2013-12-23T23:15:00Z</dcterms:created>
  <dcterms:modified xsi:type="dcterms:W3CDTF">2013-12-23T23:15:00Z</dcterms:modified>
  <cp:category/>
</cp:coreProperties>
</file>