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Phase 3 </w:t>
      </w:r>
      <w:r>
        <w:rPr>
          <w:rFonts w:ascii="Calibri" w:hAnsi="Calibri" w:cs="Calibri" w:eastAsia="Calibri"/>
          <w:b/>
          <w:color w:val="365F91"/>
          <w:spacing w:val="0"/>
          <w:position w:val="0"/>
          <w:sz w:val="28"/>
          <w:shd w:fill="auto" w:val="clear"/>
        </w:rPr>
        <w:t xml:space="preserve">–</w:t>
      </w:r>
      <w:r>
        <w:rPr>
          <w:rFonts w:ascii="Calibri" w:hAnsi="Calibri" w:cs="Calibri" w:eastAsia="Calibri"/>
          <w:b/>
          <w:color w:val="365F91"/>
          <w:spacing w:val="0"/>
          <w:position w:val="0"/>
          <w:sz w:val="28"/>
          <w:shd w:fill="auto" w:val="clear"/>
        </w:rPr>
        <w:t xml:space="preserve"> Development &amp; Implementation Documentation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Overview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Phase 3 focuses on advancing the CRM’s stability, data security, AI Agent integration, and structured document handling. The objective is to ensure scalability, security, and intelligent communication between the main eData24 CRM and the new AI Agent.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Database Duplication for AI Agent Integration</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Objective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 establish a synchronized connection between the existing eData24 CRM and the new AI Agent (Global database) that allows real-time or scheduled communication, enabling AI agents to interact and process merchant or customer data securely.</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Action Plan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Create a replica of the existing eData24 CRM database structure.</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Implement a read-only replication or API-based synchronization so the AI Agent can fetch data without modifying the original CRM.</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Restrict data access by roles so AI agents access only required modules.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Outcome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AI Agent CRM will function as a secondary layer capable of reading CRM data, analyzing it, and providing feedback or updates through approved API routes.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Recovery &amp; Data Backup Strategy</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Objective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 ensure complete recovery capability and system continuity in the event of a crash, data breach, or hacking incident.</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Action Plan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Schedule daily automatic backups of source code, database, and uploaded documents with FlexiBackup Module.</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Store backups with external secure cloud storage (AWS S3, Google Cloud, Dropbox etc.).</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Maintain a hot standby backup server for quick recovery.</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Perform weekly integrity checks and maintain a 30-day rolling backup history.</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File Upload Management (Individual Category Storage)</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Objective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 organize document uploads under specific, easy-to-retrieve categories for compliance and operational clarity.</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Action Plan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Each uploaded file must belong to a defined category (Driving License, Bank Statement, Passport, SS4, Utility Bill, Corporate Docs).</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Store files in structured directories like /uploads/merchant_files/{merchant_id}/{document_type}/.</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Add CRM interface to filter and view files by category.</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Use hash verification to prevent duplication or tampering.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Security Management Enhancements for Agent Login</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Objective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 strengthen login-level security tracking for agents and provide better session visibility.</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Action Plan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Capture and log every agent login IP address.</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Identify login devices (Android, iPhone, Desktop).</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Record browser type and version.</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Enable optional Trusted Device and login alert features.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 AI Agent Dropdown for Merchant Issue Identification</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Objective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 enable AI agents to categorize merchant issues accurately using predefined options.</w:t>
      </w:r>
    </w:p>
    <w:p>
      <w:pPr>
        <w:keepNext w:val="true"/>
        <w:keepLines w:val="true"/>
        <w:spacing w:before="200" w:after="0" w:line="276"/>
        <w:ind w:right="0" w:left="0" w:firstLine="0"/>
        <w:jc w:val="left"/>
        <w:rPr>
          <w:rFonts w:ascii="Calibri" w:hAnsi="Calibri" w:cs="Calibri" w:eastAsia="Calibri"/>
          <w:b/>
          <w:color w:val="4F81BD"/>
          <w:spacing w:val="0"/>
          <w:position w:val="0"/>
          <w:sz w:val="22"/>
          <w:shd w:fill="auto" w:val="clear"/>
        </w:rPr>
      </w:pPr>
      <w:r>
        <w:rPr>
          <w:rFonts w:ascii="Calibri" w:hAnsi="Calibri" w:cs="Calibri" w:eastAsia="Calibri"/>
          <w:b/>
          <w:color w:val="4F81BD"/>
          <w:spacing w:val="0"/>
          <w:position w:val="0"/>
          <w:sz w:val="22"/>
          <w:shd w:fill="auto" w:val="clear"/>
        </w:rPr>
        <w:t xml:space="preserve">Action Plan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Add a dropdown list for AI Agents during issue logging to classify merchant problems.</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Allow dynamic updates of issue categories by management.</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Use categorized data for AI-based pattern recognition and automated ticket routing.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Conclusion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Phase 3 focuses on making the CRM ecosystem intelligent, secure, and resilient. By implementing these tasks, AI Agents will have structured access to CRM data, security and data integrity will be reinforced, file management will become more compliant and efficient, and backup systems will ensure zero downtime.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