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E8A33D"/>
          <w:spacing w:val="60"/>
          <w:sz w:val="20"/>
          <w:szCs w:val="20"/>
        </w:rPr>
        <w:t xml:space="preserve">PROJECT DOCUMENTATION</w:t>
      </w:r>
    </w:p>
    <w:p>
      <w:pPr>
        <w:spacing w:after="0"/>
      </w:pPr>
      <w:r>
        <w:rPr>
          <w:rFonts w:ascii="Cambria" w:cs="Cambria" w:eastAsia="Cambria" w:hAnsi="Cambria"/>
          <w:b/>
          <w:bCs/>
          <w:color w:val="1E2761"/>
          <w:sz w:val="52"/>
          <w:szCs w:val="52"/>
        </w:rPr>
        <w:t xml:space="preserve">Retail Policy Intelligence &amp;</w:t>
      </w:r>
    </w:p>
    <w:p>
      <w:pPr>
        <w:pBdr>
          <w:bottom w:val="single" w:color="1E2761" w:sz="6" w:space="12"/>
        </w:pBdr>
        <w:spacing w:after="240"/>
      </w:pPr>
      <w:r>
        <w:rPr>
          <w:rFonts w:ascii="Cambria" w:cs="Cambria" w:eastAsia="Cambria" w:hAnsi="Cambria"/>
          <w:b/>
          <w:bCs/>
          <w:color w:val="1E2761"/>
          <w:sz w:val="52"/>
          <w:szCs w:val="52"/>
        </w:rPr>
        <w:t xml:space="preserve">Decision Support System</w:t>
      </w:r>
    </w:p>
    <w:p>
      <w:pPr>
        <w:spacing w:after="360" w:before="200" w:line="300"/>
      </w:pPr>
      <w:r>
        <w:rPr>
          <w:color w:val="5A6480"/>
          <w:sz w:val="21"/>
          <w:szCs w:val="21"/>
        </w:rPr>
        <w:t xml:space="preserve">An SLO-bound, multi-agent compliance question-answering platform built on FastAPI, LangGraph and LlamaIndex. This document describes the complete project — its architecture, agents, evidence paths, data model, security model, service-level objectives and evaluation.</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2800"/>
        <w:gridCol w:w="6226"/>
      </w:tblGrid>
      <w:tr>
        <w:tc>
          <w:tcPr>
            <w:tcW w:type="dxa" w:w="2800"/>
            <w:shd w:fill="1E2761" w:color="auto" w:val="clear"/>
            <w:tcMar>
              <w:top w:type="dxa" w:w="70"/>
              <w:left w:type="dxa" w:w="110"/>
              <w:bottom w:type="dxa" w:w="70"/>
              <w:right w:type="dxa" w:w="110"/>
            </w:tcMar>
          </w:tcPr>
          <w:p>
            <w:pPr>
              <w:spacing w:after="0" w:line="252"/>
            </w:pPr>
            <w:r>
              <w:rPr>
                <w:b/>
                <w:bCs/>
                <w:color w:val="FFFFFF"/>
                <w:sz w:val="18"/>
                <w:szCs w:val="18"/>
              </w:rPr>
              <w:t xml:space="preserve">Attribute</w:t>
            </w:r>
          </w:p>
        </w:tc>
        <w:tc>
          <w:tcPr>
            <w:tcW w:type="dxa" w:w="6226"/>
            <w:shd w:fill="1E2761" w:color="auto" w:val="clear"/>
            <w:tcMar>
              <w:top w:type="dxa" w:w="70"/>
              <w:left w:type="dxa" w:w="110"/>
              <w:bottom w:type="dxa" w:w="70"/>
              <w:right w:type="dxa" w:w="110"/>
            </w:tcMar>
          </w:tcPr>
          <w:p>
            <w:pPr>
              <w:spacing w:after="0" w:line="252"/>
            </w:pPr>
            <w:r>
              <w:rPr>
                <w:b/>
                <w:bCs/>
                <w:color w:val="FFFFFF"/>
                <w:sz w:val="18"/>
                <w:szCs w:val="18"/>
              </w:rPr>
              <w:t xml:space="preserve">Value</w:t>
            </w:r>
          </w:p>
        </w:tc>
      </w:tr>
      <w:tr>
        <w:tc>
          <w:tcPr>
            <w:tcW w:type="dxa" w:w="28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Project type</w:t>
            </w:r>
          </w:p>
        </w:tc>
        <w:tc>
          <w:tcPr>
            <w:tcW w:type="dxa" w:w="62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Capstone — Agentic AI (SLO-bound autonomous system)</w:t>
            </w:r>
          </w:p>
        </w:tc>
      </w:tr>
      <w:tr>
        <w:tc>
          <w:tcPr>
            <w:tcW w:type="dxa" w:w="28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Author</w:t>
            </w:r>
          </w:p>
        </w:tc>
        <w:tc>
          <w:tcPr>
            <w:tcW w:type="dxa" w:w="62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Mohit Madireddy</w:t>
            </w:r>
          </w:p>
        </w:tc>
      </w:tr>
      <w:tr>
        <w:tc>
          <w:tcPr>
            <w:tcW w:type="dxa" w:w="28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Date</w:t>
            </w:r>
          </w:p>
        </w:tc>
        <w:tc>
          <w:tcPr>
            <w:tcW w:type="dxa" w:w="62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September 2026</w:t>
            </w:r>
          </w:p>
        </w:tc>
      </w:tr>
      <w:tr>
        <w:tc>
          <w:tcPr>
            <w:tcW w:type="dxa" w:w="28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Runtime</w:t>
            </w:r>
          </w:p>
        </w:tc>
        <w:tc>
          <w:tcPr>
            <w:tcW w:type="dxa" w:w="62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Python 3.12, FastAPI, LangGraph, LlamaIndex</w:t>
            </w:r>
          </w:p>
        </w:tc>
      </w:tr>
      <w:tr>
        <w:tc>
          <w:tcPr>
            <w:tcW w:type="dxa" w:w="28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Models</w:t>
            </w:r>
          </w:p>
        </w:tc>
        <w:tc>
          <w:tcPr>
            <w:tcW w:type="dxa" w:w="62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Azure OpenAI gpt-4o (strong) + gpt-4o-mini (small)</w:t>
            </w:r>
          </w:p>
        </w:tc>
      </w:tr>
      <w:tr>
        <w:tc>
          <w:tcPr>
            <w:tcW w:type="dxa" w:w="28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Data</w:t>
            </w:r>
          </w:p>
        </w:tc>
        <w:tc>
          <w:tcPr>
            <w:tcW w:type="dxa" w:w="62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PostgreSQL + pgvector; 7 policy documents; 4 domain tables</w:t>
            </w:r>
          </w:p>
        </w:tc>
      </w:tr>
      <w:tr>
        <w:tc>
          <w:tcPr>
            <w:tcW w:type="dxa" w:w="28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Evidence paths</w:t>
            </w:r>
          </w:p>
        </w:tc>
        <w:tc>
          <w:tcPr>
            <w:tcW w:type="dxa" w:w="62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5 — RAG, NL2SQL, hybrid, agentic, high-risk panel</w:t>
            </w:r>
          </w:p>
        </w:tc>
      </w:tr>
      <w:tr>
        <w:tc>
          <w:tcPr>
            <w:tcW w:type="dxa" w:w="28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RBAC roles</w:t>
            </w:r>
          </w:p>
        </w:tc>
        <w:tc>
          <w:tcPr>
            <w:tcW w:type="dxa" w:w="62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5</w:t>
            </w:r>
          </w:p>
        </w:tc>
      </w:tr>
      <w:tr>
        <w:tc>
          <w:tcPr>
            <w:tcW w:type="dxa" w:w="28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Automated tests</w:t>
            </w:r>
          </w:p>
        </w:tc>
        <w:tc>
          <w:tcPr>
            <w:tcW w:type="dxa" w:w="62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730+ test functions · 53-query golden set</w:t>
            </w:r>
          </w:p>
        </w:tc>
      </w:tr>
    </w:tbl>
    <w:p>
      <w:pPr>
        <w:pageBreakBefore/>
        <w:spacing w:after="240"/>
      </w:pPr>
      <w:r>
        <w:rPr>
          <w:rFonts w:ascii="Cambria" w:cs="Cambria" w:eastAsia="Cambria" w:hAnsi="Cambria"/>
          <w:b/>
          <w:bCs/>
          <w:color w:val="1E2761"/>
          <w:sz w:val="30"/>
          <w:szCs w:val="30"/>
        </w:rPr>
        <w:t xml:space="preserve">Contents</w:t>
      </w:r>
    </w:p>
    <w:p>
      <w:pPr>
        <w:tabs>
          <w:tab w:val="right" w:pos="9026" w:leader="dot"/>
        </w:tabs>
        <w:spacing w:after="40" w:before="110"/>
        <w:ind w:left="0"/>
      </w:pPr>
      <w:r>
        <w:rPr>
          <w:b/>
          <w:bCs/>
          <w:color w:val="1E2761"/>
          <w:sz w:val="20"/>
          <w:szCs w:val="20"/>
        </w:rPr>
        <w:t xml:space="preserve">1.  Executive summary</w:t>
      </w:r>
      <w:r>
        <w:rPr>
          <w:color w:val="5A6480"/>
          <w:sz w:val="19"/>
          <w:szCs w:val="19"/>
        </w:rPr>
        <w:t xml:space="preserve">	4</w:t>
      </w:r>
    </w:p>
    <w:p>
      <w:pPr>
        <w:tabs>
          <w:tab w:val="right" w:pos="9026" w:leader="dot"/>
        </w:tabs>
        <w:spacing w:after="20" w:before="0"/>
        <w:ind w:left="400"/>
      </w:pPr>
      <w:r>
        <w:rPr>
          <w:b w:val="false"/>
          <w:bCs w:val="false"/>
          <w:color w:val="16203F"/>
          <w:sz w:val="19"/>
          <w:szCs w:val="19"/>
        </w:rPr>
        <w:t xml:space="preserve">1.1  Key takeaways</w:t>
      </w:r>
      <w:r>
        <w:rPr>
          <w:color w:val="5A6480"/>
          <w:sz w:val="19"/>
          <w:szCs w:val="19"/>
        </w:rPr>
        <w:t xml:space="preserve">	4</w:t>
      </w:r>
    </w:p>
    <w:p>
      <w:pPr>
        <w:tabs>
          <w:tab w:val="right" w:pos="9026" w:leader="dot"/>
        </w:tabs>
        <w:spacing w:after="20" w:before="0"/>
        <w:ind w:left="400"/>
      </w:pPr>
      <w:r>
        <w:rPr>
          <w:b w:val="false"/>
          <w:bCs w:val="false"/>
          <w:color w:val="16203F"/>
          <w:sz w:val="19"/>
          <w:szCs w:val="19"/>
        </w:rPr>
        <w:t xml:space="preserve">1.2  Documents in this set</w:t>
      </w:r>
      <w:r>
        <w:rPr>
          <w:color w:val="5A6480"/>
          <w:sz w:val="19"/>
          <w:szCs w:val="19"/>
        </w:rPr>
        <w:t xml:space="preserve">	4</w:t>
      </w:r>
    </w:p>
    <w:p>
      <w:pPr>
        <w:tabs>
          <w:tab w:val="right" w:pos="9026" w:leader="dot"/>
        </w:tabs>
        <w:spacing w:after="40" w:before="110"/>
        <w:ind w:left="0"/>
      </w:pPr>
      <w:r>
        <w:rPr>
          <w:b/>
          <w:bCs/>
          <w:color w:val="1E2761"/>
          <w:sz w:val="20"/>
          <w:szCs w:val="20"/>
        </w:rPr>
        <w:t xml:space="preserve">2.  Problem statement and objectives</w:t>
      </w:r>
      <w:r>
        <w:rPr>
          <w:color w:val="5A6480"/>
          <w:sz w:val="19"/>
          <w:szCs w:val="19"/>
        </w:rPr>
        <w:t xml:space="preserve">	5</w:t>
      </w:r>
    </w:p>
    <w:p>
      <w:pPr>
        <w:tabs>
          <w:tab w:val="right" w:pos="9026" w:leader="dot"/>
        </w:tabs>
        <w:spacing w:after="20" w:before="0"/>
        <w:ind w:left="400"/>
      </w:pPr>
      <w:r>
        <w:rPr>
          <w:b w:val="false"/>
          <w:bCs w:val="false"/>
          <w:color w:val="16203F"/>
          <w:sz w:val="19"/>
          <w:szCs w:val="19"/>
        </w:rPr>
        <w:t xml:space="preserve">2.1  Background</w:t>
      </w:r>
      <w:r>
        <w:rPr>
          <w:color w:val="5A6480"/>
          <w:sz w:val="19"/>
          <w:szCs w:val="19"/>
        </w:rPr>
        <w:t xml:space="preserve">	5</w:t>
      </w:r>
    </w:p>
    <w:p>
      <w:pPr>
        <w:tabs>
          <w:tab w:val="right" w:pos="9026" w:leader="dot"/>
        </w:tabs>
        <w:spacing w:after="20" w:before="0"/>
        <w:ind w:left="400"/>
      </w:pPr>
      <w:r>
        <w:rPr>
          <w:b w:val="false"/>
          <w:bCs w:val="false"/>
          <w:color w:val="16203F"/>
          <w:sz w:val="19"/>
          <w:szCs w:val="19"/>
        </w:rPr>
        <w:t xml:space="preserve">2.2  The problem</w:t>
      </w:r>
      <w:r>
        <w:rPr>
          <w:color w:val="5A6480"/>
          <w:sz w:val="19"/>
          <w:szCs w:val="19"/>
        </w:rPr>
        <w:t xml:space="preserve">	5</w:t>
      </w:r>
    </w:p>
    <w:p>
      <w:pPr>
        <w:tabs>
          <w:tab w:val="right" w:pos="9026" w:leader="dot"/>
        </w:tabs>
        <w:spacing w:after="20" w:before="0"/>
        <w:ind w:left="400"/>
      </w:pPr>
      <w:r>
        <w:rPr>
          <w:b w:val="false"/>
          <w:bCs w:val="false"/>
          <w:color w:val="16203F"/>
          <w:sz w:val="19"/>
          <w:szCs w:val="19"/>
        </w:rPr>
        <w:t xml:space="preserve">2.3  Objectives</w:t>
      </w:r>
      <w:r>
        <w:rPr>
          <w:color w:val="5A6480"/>
          <w:sz w:val="19"/>
          <w:szCs w:val="19"/>
        </w:rPr>
        <w:t xml:space="preserve">	5</w:t>
      </w:r>
    </w:p>
    <w:p>
      <w:pPr>
        <w:tabs>
          <w:tab w:val="right" w:pos="9026" w:leader="dot"/>
        </w:tabs>
        <w:spacing w:after="20" w:before="0"/>
        <w:ind w:left="400"/>
      </w:pPr>
      <w:r>
        <w:rPr>
          <w:b w:val="false"/>
          <w:bCs w:val="false"/>
          <w:color w:val="16203F"/>
          <w:sz w:val="19"/>
          <w:szCs w:val="19"/>
        </w:rPr>
        <w:t xml:space="preserve">2.4  Scope</w:t>
      </w:r>
      <w:r>
        <w:rPr>
          <w:color w:val="5A6480"/>
          <w:sz w:val="19"/>
          <w:szCs w:val="19"/>
        </w:rPr>
        <w:t xml:space="preserve">	5</w:t>
      </w:r>
    </w:p>
    <w:p>
      <w:pPr>
        <w:tabs>
          <w:tab w:val="right" w:pos="9026" w:leader="dot"/>
        </w:tabs>
        <w:spacing w:after="40" w:before="110"/>
        <w:ind w:left="0"/>
      </w:pPr>
      <w:r>
        <w:rPr>
          <w:b/>
          <w:bCs/>
          <w:color w:val="1E2761"/>
          <w:sz w:val="20"/>
          <w:szCs w:val="20"/>
        </w:rPr>
        <w:t xml:space="preserve">3.  System architecture</w:t>
      </w:r>
      <w:r>
        <w:rPr>
          <w:color w:val="5A6480"/>
          <w:sz w:val="19"/>
          <w:szCs w:val="19"/>
        </w:rPr>
        <w:t xml:space="preserve">	6</w:t>
      </w:r>
    </w:p>
    <w:p>
      <w:pPr>
        <w:tabs>
          <w:tab w:val="right" w:pos="9026" w:leader="dot"/>
        </w:tabs>
        <w:spacing w:after="20" w:before="0"/>
        <w:ind w:left="400"/>
      </w:pPr>
      <w:r>
        <w:rPr>
          <w:b w:val="false"/>
          <w:bCs w:val="false"/>
          <w:color w:val="16203F"/>
          <w:sz w:val="19"/>
          <w:szCs w:val="19"/>
        </w:rPr>
        <w:t xml:space="preserve">3.1  Layer responsibilities</w:t>
      </w:r>
      <w:r>
        <w:rPr>
          <w:color w:val="5A6480"/>
          <w:sz w:val="19"/>
          <w:szCs w:val="19"/>
        </w:rPr>
        <w:t xml:space="preserve">	6</w:t>
      </w:r>
    </w:p>
    <w:p>
      <w:pPr>
        <w:tabs>
          <w:tab w:val="right" w:pos="9026" w:leader="dot"/>
        </w:tabs>
        <w:spacing w:after="20" w:before="0"/>
        <w:ind w:left="400"/>
      </w:pPr>
      <w:r>
        <w:rPr>
          <w:b w:val="false"/>
          <w:bCs w:val="false"/>
          <w:color w:val="16203F"/>
          <w:sz w:val="19"/>
          <w:szCs w:val="19"/>
        </w:rPr>
        <w:t xml:space="preserve">3.2  Cross-cutting concerns</w:t>
      </w:r>
      <w:r>
        <w:rPr>
          <w:color w:val="5A6480"/>
          <w:sz w:val="19"/>
          <w:szCs w:val="19"/>
        </w:rPr>
        <w:t xml:space="preserve">	7</w:t>
      </w:r>
    </w:p>
    <w:p>
      <w:pPr>
        <w:tabs>
          <w:tab w:val="right" w:pos="9026" w:leader="dot"/>
        </w:tabs>
        <w:spacing w:after="20" w:before="0"/>
        <w:ind w:left="400"/>
      </w:pPr>
      <w:r>
        <w:rPr>
          <w:b w:val="false"/>
          <w:bCs w:val="false"/>
          <w:color w:val="16203F"/>
          <w:sz w:val="19"/>
          <w:szCs w:val="19"/>
        </w:rPr>
        <w:t xml:space="preserve">3.3  Design principles</w:t>
      </w:r>
      <w:r>
        <w:rPr>
          <w:color w:val="5A6480"/>
          <w:sz w:val="19"/>
          <w:szCs w:val="19"/>
        </w:rPr>
        <w:t xml:space="preserve">	7</w:t>
      </w:r>
    </w:p>
    <w:p>
      <w:pPr>
        <w:tabs>
          <w:tab w:val="right" w:pos="9026" w:leader="dot"/>
        </w:tabs>
        <w:spacing w:after="40" w:before="110"/>
        <w:ind w:left="0"/>
      </w:pPr>
      <w:r>
        <w:rPr>
          <w:b/>
          <w:bCs/>
          <w:color w:val="1E2761"/>
          <w:sz w:val="20"/>
          <w:szCs w:val="20"/>
        </w:rPr>
        <w:t xml:space="preserve">4.  End-to-end agent workflow</w:t>
      </w:r>
      <w:r>
        <w:rPr>
          <w:color w:val="5A6480"/>
          <w:sz w:val="19"/>
          <w:szCs w:val="19"/>
        </w:rPr>
        <w:t xml:space="preserve">	8</w:t>
      </w:r>
    </w:p>
    <w:p>
      <w:pPr>
        <w:tabs>
          <w:tab w:val="right" w:pos="9026" w:leader="dot"/>
        </w:tabs>
        <w:spacing w:after="20" w:before="0"/>
        <w:ind w:left="400"/>
      </w:pPr>
      <w:r>
        <w:rPr>
          <w:b w:val="false"/>
          <w:bCs w:val="false"/>
          <w:color w:val="16203F"/>
          <w:sz w:val="19"/>
          <w:szCs w:val="19"/>
        </w:rPr>
        <w:t xml:space="preserve">4.1  Request lifecycle</w:t>
      </w:r>
      <w:r>
        <w:rPr>
          <w:color w:val="5A6480"/>
          <w:sz w:val="19"/>
          <w:szCs w:val="19"/>
        </w:rPr>
        <w:t xml:space="preserve">	8</w:t>
      </w:r>
    </w:p>
    <w:p>
      <w:pPr>
        <w:tabs>
          <w:tab w:val="right" w:pos="9026" w:leader="dot"/>
        </w:tabs>
        <w:spacing w:after="20" w:before="0"/>
        <w:ind w:left="400"/>
      </w:pPr>
      <w:r>
        <w:rPr>
          <w:b w:val="false"/>
          <w:bCs w:val="false"/>
          <w:color w:val="16203F"/>
          <w:sz w:val="19"/>
          <w:szCs w:val="19"/>
        </w:rPr>
        <w:t xml:space="preserve">4.2  Terminal outcomes</w:t>
      </w:r>
      <w:r>
        <w:rPr>
          <w:color w:val="5A6480"/>
          <w:sz w:val="19"/>
          <w:szCs w:val="19"/>
        </w:rPr>
        <w:t xml:space="preserve">	9</w:t>
      </w:r>
    </w:p>
    <w:p>
      <w:pPr>
        <w:tabs>
          <w:tab w:val="right" w:pos="9026" w:leader="dot"/>
        </w:tabs>
        <w:spacing w:after="20" w:before="0"/>
        <w:ind w:left="400"/>
      </w:pPr>
      <w:r>
        <w:rPr>
          <w:b w:val="false"/>
          <w:bCs w:val="false"/>
          <w:color w:val="16203F"/>
          <w:sz w:val="19"/>
          <w:szCs w:val="19"/>
        </w:rPr>
        <w:t xml:space="preserve">4.3  SLO measurement points</w:t>
      </w:r>
      <w:r>
        <w:rPr>
          <w:color w:val="5A6480"/>
          <w:sz w:val="19"/>
          <w:szCs w:val="19"/>
        </w:rPr>
        <w:t xml:space="preserve">	9</w:t>
      </w:r>
    </w:p>
    <w:p>
      <w:pPr>
        <w:tabs>
          <w:tab w:val="right" w:pos="9026" w:leader="dot"/>
        </w:tabs>
        <w:spacing w:after="40" w:before="110"/>
        <w:ind w:left="0"/>
      </w:pPr>
      <w:r>
        <w:rPr>
          <w:b/>
          <w:bCs/>
          <w:color w:val="1E2761"/>
          <w:sz w:val="20"/>
          <w:szCs w:val="20"/>
        </w:rPr>
        <w:t xml:space="preserve">5.  Agent catalogue</w:t>
      </w:r>
      <w:r>
        <w:rPr>
          <w:color w:val="5A6480"/>
          <w:sz w:val="19"/>
          <w:szCs w:val="19"/>
        </w:rPr>
        <w:t xml:space="preserve">	10</w:t>
      </w:r>
    </w:p>
    <w:p>
      <w:pPr>
        <w:tabs>
          <w:tab w:val="right" w:pos="9026" w:leader="dot"/>
        </w:tabs>
        <w:spacing w:after="20" w:before="0"/>
        <w:ind w:left="400"/>
      </w:pPr>
      <w:r>
        <w:rPr>
          <w:b w:val="false"/>
          <w:bCs w:val="false"/>
          <w:color w:val="16203F"/>
          <w:sz w:val="19"/>
          <w:szCs w:val="19"/>
        </w:rPr>
        <w:t xml:space="preserve">5.1  Intent Classification Agent</w:t>
      </w:r>
      <w:r>
        <w:rPr>
          <w:color w:val="5A6480"/>
          <w:sz w:val="19"/>
          <w:szCs w:val="19"/>
        </w:rPr>
        <w:t xml:space="preserve">	10</w:t>
      </w:r>
    </w:p>
    <w:p>
      <w:pPr>
        <w:tabs>
          <w:tab w:val="right" w:pos="9026" w:leader="dot"/>
        </w:tabs>
        <w:spacing w:after="20" w:before="0"/>
        <w:ind w:left="400"/>
      </w:pPr>
      <w:r>
        <w:rPr>
          <w:b w:val="false"/>
          <w:bCs w:val="false"/>
          <w:color w:val="16203F"/>
          <w:sz w:val="19"/>
          <w:szCs w:val="19"/>
        </w:rPr>
        <w:t xml:space="preserve">5.2  Retrieval Agent</w:t>
      </w:r>
      <w:r>
        <w:rPr>
          <w:color w:val="5A6480"/>
          <w:sz w:val="19"/>
          <w:szCs w:val="19"/>
        </w:rPr>
        <w:t xml:space="preserve">	10</w:t>
      </w:r>
    </w:p>
    <w:p>
      <w:pPr>
        <w:tabs>
          <w:tab w:val="right" w:pos="9026" w:leader="dot"/>
        </w:tabs>
        <w:spacing w:after="20" w:before="0"/>
        <w:ind w:left="400"/>
      </w:pPr>
      <w:r>
        <w:rPr>
          <w:b w:val="false"/>
          <w:bCs w:val="false"/>
          <w:color w:val="16203F"/>
          <w:sz w:val="19"/>
          <w:szCs w:val="19"/>
        </w:rPr>
        <w:t xml:space="preserve">5.3  Risk Assessment Agent</w:t>
      </w:r>
      <w:r>
        <w:rPr>
          <w:color w:val="5A6480"/>
          <w:sz w:val="19"/>
          <w:szCs w:val="19"/>
        </w:rPr>
        <w:t xml:space="preserve">	10</w:t>
      </w:r>
    </w:p>
    <w:p>
      <w:pPr>
        <w:tabs>
          <w:tab w:val="right" w:pos="9026" w:leader="dot"/>
        </w:tabs>
        <w:spacing w:after="20" w:before="0"/>
        <w:ind w:left="400"/>
      </w:pPr>
      <w:r>
        <w:rPr>
          <w:b w:val="false"/>
          <w:bCs w:val="false"/>
          <w:color w:val="16203F"/>
          <w:sz w:val="19"/>
          <w:szCs w:val="19"/>
        </w:rPr>
        <w:t xml:space="preserve">5.4  Planner and Intelligent Router</w:t>
      </w:r>
      <w:r>
        <w:rPr>
          <w:color w:val="5A6480"/>
          <w:sz w:val="19"/>
          <w:szCs w:val="19"/>
        </w:rPr>
        <w:t xml:space="preserve">	10</w:t>
      </w:r>
    </w:p>
    <w:p>
      <w:pPr>
        <w:tabs>
          <w:tab w:val="right" w:pos="9026" w:leader="dot"/>
        </w:tabs>
        <w:spacing w:after="20" w:before="0"/>
        <w:ind w:left="400"/>
      </w:pPr>
      <w:r>
        <w:rPr>
          <w:b w:val="false"/>
          <w:bCs w:val="false"/>
          <w:color w:val="16203F"/>
          <w:sz w:val="19"/>
          <w:szCs w:val="19"/>
        </w:rPr>
        <w:t xml:space="preserve">5.5  Compliance Validation Agent</w:t>
      </w:r>
      <w:r>
        <w:rPr>
          <w:color w:val="5A6480"/>
          <w:sz w:val="19"/>
          <w:szCs w:val="19"/>
        </w:rPr>
        <w:t xml:space="preserve">	10</w:t>
      </w:r>
    </w:p>
    <w:p>
      <w:pPr>
        <w:tabs>
          <w:tab w:val="right" w:pos="9026" w:leader="dot"/>
        </w:tabs>
        <w:spacing w:after="20" w:before="0"/>
        <w:ind w:left="400"/>
      </w:pPr>
      <w:r>
        <w:rPr>
          <w:b w:val="false"/>
          <w:bCs w:val="false"/>
          <w:color w:val="16203F"/>
          <w:sz w:val="19"/>
          <w:szCs w:val="19"/>
        </w:rPr>
        <w:t xml:space="preserve">5.6  High-Risk Multi-Agent Panel</w:t>
      </w:r>
      <w:r>
        <w:rPr>
          <w:color w:val="5A6480"/>
          <w:sz w:val="19"/>
          <w:szCs w:val="19"/>
        </w:rPr>
        <w:t xml:space="preserve">	10</w:t>
      </w:r>
    </w:p>
    <w:p>
      <w:pPr>
        <w:tabs>
          <w:tab w:val="right" w:pos="9026" w:leader="dot"/>
        </w:tabs>
        <w:spacing w:after="20" w:before="0"/>
        <w:ind w:left="400"/>
      </w:pPr>
      <w:r>
        <w:rPr>
          <w:b w:val="false"/>
          <w:bCs w:val="false"/>
          <w:color w:val="16203F"/>
          <w:sz w:val="19"/>
          <w:szCs w:val="19"/>
        </w:rPr>
        <w:t xml:space="preserve">5.7  Escalation Manager Agent</w:t>
      </w:r>
      <w:r>
        <w:rPr>
          <w:color w:val="5A6480"/>
          <w:sz w:val="19"/>
          <w:szCs w:val="19"/>
        </w:rPr>
        <w:t xml:space="preserve">	11</w:t>
      </w:r>
    </w:p>
    <w:p>
      <w:pPr>
        <w:tabs>
          <w:tab w:val="right" w:pos="9026" w:leader="dot"/>
        </w:tabs>
        <w:spacing w:after="40" w:before="110"/>
        <w:ind w:left="0"/>
      </w:pPr>
      <w:r>
        <w:rPr>
          <w:b/>
          <w:bCs/>
          <w:color w:val="1E2761"/>
          <w:sz w:val="20"/>
          <w:szCs w:val="20"/>
        </w:rPr>
        <w:t xml:space="preserve">6.  Risk assessment</w:t>
      </w:r>
      <w:r>
        <w:rPr>
          <w:color w:val="5A6480"/>
          <w:sz w:val="19"/>
          <w:szCs w:val="19"/>
        </w:rPr>
        <w:t xml:space="preserve">	12</w:t>
      </w:r>
    </w:p>
    <w:p>
      <w:pPr>
        <w:tabs>
          <w:tab w:val="right" w:pos="9026" w:leader="dot"/>
        </w:tabs>
        <w:spacing w:after="20" w:before="0"/>
        <w:ind w:left="400"/>
      </w:pPr>
      <w:r>
        <w:rPr>
          <w:b w:val="false"/>
          <w:bCs w:val="false"/>
          <w:color w:val="16203F"/>
          <w:sz w:val="19"/>
          <w:szCs w:val="19"/>
        </w:rPr>
        <w:t xml:space="preserve">6.1  Three-layer fusion</w:t>
      </w:r>
      <w:r>
        <w:rPr>
          <w:color w:val="5A6480"/>
          <w:sz w:val="19"/>
          <w:szCs w:val="19"/>
        </w:rPr>
        <w:t xml:space="preserve">	12</w:t>
      </w:r>
    </w:p>
    <w:p>
      <w:pPr>
        <w:tabs>
          <w:tab w:val="right" w:pos="9026" w:leader="dot"/>
        </w:tabs>
        <w:spacing w:after="20" w:before="0"/>
        <w:ind w:left="400"/>
      </w:pPr>
      <w:r>
        <w:rPr>
          <w:b w:val="false"/>
          <w:bCs w:val="false"/>
          <w:color w:val="16203F"/>
          <w:sz w:val="19"/>
          <w:szCs w:val="19"/>
        </w:rPr>
        <w:t xml:space="preserve">6.2  Mandatory high-risk scenarios</w:t>
      </w:r>
      <w:r>
        <w:rPr>
          <w:color w:val="5A6480"/>
          <w:sz w:val="19"/>
          <w:szCs w:val="19"/>
        </w:rPr>
        <w:t xml:space="preserve">	12</w:t>
      </w:r>
    </w:p>
    <w:p>
      <w:pPr>
        <w:tabs>
          <w:tab w:val="right" w:pos="9026" w:leader="dot"/>
        </w:tabs>
        <w:spacing w:after="40" w:before="110"/>
        <w:ind w:left="0"/>
      </w:pPr>
      <w:r>
        <w:rPr>
          <w:b/>
          <w:bCs/>
          <w:color w:val="1E2761"/>
          <w:sz w:val="20"/>
          <w:szCs w:val="20"/>
        </w:rPr>
        <w:t xml:space="preserve">7.  Intelligent routing and evidence paths</w:t>
      </w:r>
      <w:r>
        <w:rPr>
          <w:color w:val="5A6480"/>
          <w:sz w:val="19"/>
          <w:szCs w:val="19"/>
        </w:rPr>
        <w:t xml:space="preserve">	13</w:t>
      </w:r>
    </w:p>
    <w:p>
      <w:pPr>
        <w:tabs>
          <w:tab w:val="right" w:pos="9026" w:leader="dot"/>
        </w:tabs>
        <w:spacing w:after="20" w:before="0"/>
        <w:ind w:left="400"/>
      </w:pPr>
      <w:r>
        <w:rPr>
          <w:b w:val="false"/>
          <w:bCs w:val="false"/>
          <w:color w:val="16203F"/>
          <w:sz w:val="19"/>
          <w:szCs w:val="19"/>
        </w:rPr>
        <w:t xml:space="preserve">7.1  The five evidence paths</w:t>
      </w:r>
      <w:r>
        <w:rPr>
          <w:color w:val="5A6480"/>
          <w:sz w:val="19"/>
          <w:szCs w:val="19"/>
        </w:rPr>
        <w:t xml:space="preserve">	13</w:t>
      </w:r>
    </w:p>
    <w:p>
      <w:pPr>
        <w:tabs>
          <w:tab w:val="right" w:pos="9026" w:leader="dot"/>
        </w:tabs>
        <w:spacing w:after="20" w:before="0"/>
        <w:ind w:left="400"/>
      </w:pPr>
      <w:r>
        <w:rPr>
          <w:b w:val="false"/>
          <w:bCs w:val="false"/>
          <w:color w:val="16203F"/>
          <w:sz w:val="19"/>
          <w:szCs w:val="19"/>
        </w:rPr>
        <w:t xml:space="preserve">7.2  Deterministic path policy</w:t>
      </w:r>
      <w:r>
        <w:rPr>
          <w:color w:val="5A6480"/>
          <w:sz w:val="19"/>
          <w:szCs w:val="19"/>
        </w:rPr>
        <w:t xml:space="preserve">	13</w:t>
      </w:r>
    </w:p>
    <w:p>
      <w:pPr>
        <w:tabs>
          <w:tab w:val="right" w:pos="9026" w:leader="dot"/>
        </w:tabs>
        <w:spacing w:after="20" w:before="0"/>
        <w:ind w:left="400"/>
      </w:pPr>
      <w:r>
        <w:rPr>
          <w:b w:val="false"/>
          <w:bCs w:val="false"/>
          <w:color w:val="16203F"/>
          <w:sz w:val="19"/>
          <w:szCs w:val="19"/>
        </w:rPr>
        <w:t xml:space="preserve">7.3  Evidence-preserving degradation</w:t>
      </w:r>
      <w:r>
        <w:rPr>
          <w:color w:val="5A6480"/>
          <w:sz w:val="19"/>
          <w:szCs w:val="19"/>
        </w:rPr>
        <w:t xml:space="preserve">	13</w:t>
      </w:r>
    </w:p>
    <w:p>
      <w:pPr>
        <w:tabs>
          <w:tab w:val="right" w:pos="9026" w:leader="dot"/>
        </w:tabs>
        <w:spacing w:after="40" w:before="110"/>
        <w:ind w:left="0"/>
      </w:pPr>
      <w:r>
        <w:rPr>
          <w:b/>
          <w:bCs/>
          <w:color w:val="1E2761"/>
          <w:sz w:val="20"/>
          <w:szCs w:val="20"/>
        </w:rPr>
        <w:t xml:space="preserve">8.  Knowledge layer: ingestion and retrieval</w:t>
      </w:r>
      <w:r>
        <w:rPr>
          <w:color w:val="5A6480"/>
          <w:sz w:val="19"/>
          <w:szCs w:val="19"/>
        </w:rPr>
        <w:t xml:space="preserve">	14</w:t>
      </w:r>
    </w:p>
    <w:p>
      <w:pPr>
        <w:tabs>
          <w:tab w:val="right" w:pos="9026" w:leader="dot"/>
        </w:tabs>
        <w:spacing w:after="20" w:before="0"/>
        <w:ind w:left="400"/>
      </w:pPr>
      <w:r>
        <w:rPr>
          <w:b w:val="false"/>
          <w:bCs w:val="false"/>
          <w:color w:val="16203F"/>
          <w:sz w:val="19"/>
          <w:szCs w:val="19"/>
        </w:rPr>
        <w:t xml:space="preserve">8.1  Policy corpus</w:t>
      </w:r>
      <w:r>
        <w:rPr>
          <w:color w:val="5A6480"/>
          <w:sz w:val="19"/>
          <w:szCs w:val="19"/>
        </w:rPr>
        <w:t xml:space="preserve">	14</w:t>
      </w:r>
    </w:p>
    <w:p>
      <w:pPr>
        <w:tabs>
          <w:tab w:val="right" w:pos="9026" w:leader="dot"/>
        </w:tabs>
        <w:spacing w:after="20" w:before="0"/>
        <w:ind w:left="400"/>
      </w:pPr>
      <w:r>
        <w:rPr>
          <w:b w:val="false"/>
          <w:bCs w:val="false"/>
          <w:color w:val="16203F"/>
          <w:sz w:val="19"/>
          <w:szCs w:val="19"/>
        </w:rPr>
        <w:t xml:space="preserve">8.2  Ingestion pipeline</w:t>
      </w:r>
      <w:r>
        <w:rPr>
          <w:color w:val="5A6480"/>
          <w:sz w:val="19"/>
          <w:szCs w:val="19"/>
        </w:rPr>
        <w:t xml:space="preserve">	14</w:t>
      </w:r>
    </w:p>
    <w:p>
      <w:pPr>
        <w:tabs>
          <w:tab w:val="right" w:pos="9026" w:leader="dot"/>
        </w:tabs>
        <w:spacing w:after="20" w:before="0"/>
        <w:ind w:left="400"/>
      </w:pPr>
      <w:r>
        <w:rPr>
          <w:b w:val="false"/>
          <w:bCs w:val="false"/>
          <w:color w:val="16203F"/>
          <w:sz w:val="19"/>
          <w:szCs w:val="19"/>
        </w:rPr>
        <w:t xml:space="preserve">8.3  Hybrid retrieval</w:t>
      </w:r>
      <w:r>
        <w:rPr>
          <w:color w:val="5A6480"/>
          <w:sz w:val="19"/>
          <w:szCs w:val="19"/>
        </w:rPr>
        <w:t xml:space="preserve">	14</w:t>
      </w:r>
    </w:p>
    <w:p>
      <w:pPr>
        <w:tabs>
          <w:tab w:val="right" w:pos="9026" w:leader="dot"/>
        </w:tabs>
        <w:spacing w:after="40" w:before="110"/>
        <w:ind w:left="0"/>
      </w:pPr>
      <w:r>
        <w:rPr>
          <w:b/>
          <w:bCs/>
          <w:color w:val="1E2761"/>
          <w:sz w:val="20"/>
          <w:szCs w:val="20"/>
        </w:rPr>
        <w:t xml:space="preserve">9.  Structured data and safe SQL</w:t>
      </w:r>
      <w:r>
        <w:rPr>
          <w:color w:val="5A6480"/>
          <w:sz w:val="19"/>
          <w:szCs w:val="19"/>
        </w:rPr>
        <w:t xml:space="preserve">	15</w:t>
      </w:r>
    </w:p>
    <w:p>
      <w:pPr>
        <w:tabs>
          <w:tab w:val="right" w:pos="9026" w:leader="dot"/>
        </w:tabs>
        <w:spacing w:after="20" w:before="0"/>
        <w:ind w:left="400"/>
      </w:pPr>
      <w:r>
        <w:rPr>
          <w:b w:val="false"/>
          <w:bCs w:val="false"/>
          <w:color w:val="16203F"/>
          <w:sz w:val="19"/>
          <w:szCs w:val="19"/>
        </w:rPr>
        <w:t xml:space="preserve">9.1  Data model</w:t>
      </w:r>
      <w:r>
        <w:rPr>
          <w:color w:val="5A6480"/>
          <w:sz w:val="19"/>
          <w:szCs w:val="19"/>
        </w:rPr>
        <w:t xml:space="preserve">	15</w:t>
      </w:r>
    </w:p>
    <w:p>
      <w:pPr>
        <w:tabs>
          <w:tab w:val="right" w:pos="9026" w:leader="dot"/>
        </w:tabs>
        <w:spacing w:after="20" w:before="0"/>
        <w:ind w:left="400"/>
      </w:pPr>
      <w:r>
        <w:rPr>
          <w:b w:val="false"/>
          <w:bCs w:val="false"/>
          <w:color w:val="16203F"/>
          <w:sz w:val="19"/>
          <w:szCs w:val="19"/>
        </w:rPr>
        <w:t xml:space="preserve">9.2  Two-tier SQL</w:t>
      </w:r>
      <w:r>
        <w:rPr>
          <w:color w:val="5A6480"/>
          <w:sz w:val="19"/>
          <w:szCs w:val="19"/>
        </w:rPr>
        <w:t xml:space="preserve">	15</w:t>
      </w:r>
    </w:p>
    <w:p>
      <w:pPr>
        <w:tabs>
          <w:tab w:val="right" w:pos="9026" w:leader="dot"/>
        </w:tabs>
        <w:spacing w:after="20" w:before="0"/>
        <w:ind w:left="400"/>
      </w:pPr>
      <w:r>
        <w:rPr>
          <w:b w:val="false"/>
          <w:bCs w:val="false"/>
          <w:color w:val="16203F"/>
          <w:sz w:val="19"/>
          <w:szCs w:val="19"/>
        </w:rPr>
        <w:t xml:space="preserve">9.3  Time is a literal</w:t>
      </w:r>
      <w:r>
        <w:rPr>
          <w:color w:val="5A6480"/>
          <w:sz w:val="19"/>
          <w:szCs w:val="19"/>
        </w:rPr>
        <w:t xml:space="preserve">	15</w:t>
      </w:r>
    </w:p>
    <w:p>
      <w:pPr>
        <w:tabs>
          <w:tab w:val="right" w:pos="9026" w:leader="dot"/>
        </w:tabs>
        <w:spacing w:after="40" w:before="110"/>
        <w:ind w:left="0"/>
      </w:pPr>
      <w:r>
        <w:rPr>
          <w:b/>
          <w:bCs/>
          <w:color w:val="1E2761"/>
          <w:sz w:val="20"/>
          <w:szCs w:val="20"/>
        </w:rPr>
        <w:t xml:space="preserve">10.  Validation, confidence and the release gate</w:t>
      </w:r>
      <w:r>
        <w:rPr>
          <w:color w:val="5A6480"/>
          <w:sz w:val="19"/>
          <w:szCs w:val="19"/>
        </w:rPr>
        <w:t xml:space="preserve">	16</w:t>
      </w:r>
    </w:p>
    <w:p>
      <w:pPr>
        <w:tabs>
          <w:tab w:val="right" w:pos="9026" w:leader="dot"/>
        </w:tabs>
        <w:spacing w:after="20" w:before="0"/>
        <w:ind w:left="400"/>
      </w:pPr>
      <w:r>
        <w:rPr>
          <w:b w:val="false"/>
          <w:bCs w:val="false"/>
          <w:color w:val="16203F"/>
          <w:sz w:val="19"/>
          <w:szCs w:val="19"/>
        </w:rPr>
        <w:t xml:space="preserve">10.1  Confidence scoring</w:t>
      </w:r>
      <w:r>
        <w:rPr>
          <w:color w:val="5A6480"/>
          <w:sz w:val="19"/>
          <w:szCs w:val="19"/>
        </w:rPr>
        <w:t xml:space="preserve">	16</w:t>
      </w:r>
    </w:p>
    <w:p>
      <w:pPr>
        <w:tabs>
          <w:tab w:val="right" w:pos="9026" w:leader="dot"/>
        </w:tabs>
        <w:spacing w:after="20" w:before="0"/>
        <w:ind w:left="400"/>
      </w:pPr>
      <w:r>
        <w:rPr>
          <w:b w:val="false"/>
          <w:bCs w:val="false"/>
          <w:color w:val="16203F"/>
          <w:sz w:val="19"/>
          <w:szCs w:val="19"/>
        </w:rPr>
        <w:t xml:space="preserve">10.2  Release gate</w:t>
      </w:r>
      <w:r>
        <w:rPr>
          <w:color w:val="5A6480"/>
          <w:sz w:val="19"/>
          <w:szCs w:val="19"/>
        </w:rPr>
        <w:t xml:space="preserve">	16</w:t>
      </w:r>
    </w:p>
    <w:p>
      <w:pPr>
        <w:tabs>
          <w:tab w:val="right" w:pos="9026" w:leader="dot"/>
        </w:tabs>
        <w:spacing w:after="40" w:before="110"/>
        <w:ind w:left="0"/>
      </w:pPr>
      <w:r>
        <w:rPr>
          <w:b/>
          <w:bCs/>
          <w:color w:val="1E2761"/>
          <w:sz w:val="20"/>
          <w:szCs w:val="20"/>
        </w:rPr>
        <w:t xml:space="preserve">11.  Human-in-the-loop</w:t>
      </w:r>
      <w:r>
        <w:rPr>
          <w:color w:val="5A6480"/>
          <w:sz w:val="19"/>
          <w:szCs w:val="19"/>
        </w:rPr>
        <w:t xml:space="preserve">	17</w:t>
      </w:r>
    </w:p>
    <w:p>
      <w:pPr>
        <w:tabs>
          <w:tab w:val="right" w:pos="9026" w:leader="dot"/>
        </w:tabs>
        <w:spacing w:after="20" w:before="0"/>
        <w:ind w:left="400"/>
      </w:pPr>
      <w:r>
        <w:rPr>
          <w:b w:val="false"/>
          <w:bCs w:val="false"/>
          <w:color w:val="16203F"/>
          <w:sz w:val="19"/>
          <w:szCs w:val="19"/>
        </w:rPr>
        <w:t xml:space="preserve">11.1  Escalation flow</w:t>
      </w:r>
      <w:r>
        <w:rPr>
          <w:color w:val="5A6480"/>
          <w:sz w:val="19"/>
          <w:szCs w:val="19"/>
        </w:rPr>
        <w:t xml:space="preserve">	17</w:t>
      </w:r>
    </w:p>
    <w:p>
      <w:pPr>
        <w:tabs>
          <w:tab w:val="right" w:pos="9026" w:leader="dot"/>
        </w:tabs>
        <w:spacing w:after="20" w:before="0"/>
        <w:ind w:left="400"/>
      </w:pPr>
      <w:r>
        <w:rPr>
          <w:b w:val="false"/>
          <w:bCs w:val="false"/>
          <w:color w:val="16203F"/>
          <w:sz w:val="19"/>
          <w:szCs w:val="19"/>
        </w:rPr>
        <w:t xml:space="preserve">11.2  Context package</w:t>
      </w:r>
      <w:r>
        <w:rPr>
          <w:color w:val="5A6480"/>
          <w:sz w:val="19"/>
          <w:szCs w:val="19"/>
        </w:rPr>
        <w:t xml:space="preserve">	17</w:t>
      </w:r>
    </w:p>
    <w:p>
      <w:pPr>
        <w:tabs>
          <w:tab w:val="right" w:pos="9026" w:leader="dot"/>
        </w:tabs>
        <w:spacing w:after="40" w:before="110"/>
        <w:ind w:left="0"/>
      </w:pPr>
      <w:r>
        <w:rPr>
          <w:b/>
          <w:bCs/>
          <w:color w:val="1E2761"/>
          <w:sz w:val="20"/>
          <w:szCs w:val="20"/>
        </w:rPr>
        <w:t xml:space="preserve">12.  Security and governance</w:t>
      </w:r>
      <w:r>
        <w:rPr>
          <w:color w:val="5A6480"/>
          <w:sz w:val="19"/>
          <w:szCs w:val="19"/>
        </w:rPr>
        <w:t xml:space="preserve">	18</w:t>
      </w:r>
    </w:p>
    <w:p>
      <w:pPr>
        <w:tabs>
          <w:tab w:val="right" w:pos="9026" w:leader="dot"/>
        </w:tabs>
        <w:spacing w:after="20" w:before="0"/>
        <w:ind w:left="400"/>
      </w:pPr>
      <w:r>
        <w:rPr>
          <w:b w:val="false"/>
          <w:bCs w:val="false"/>
          <w:color w:val="16203F"/>
          <w:sz w:val="19"/>
          <w:szCs w:val="19"/>
        </w:rPr>
        <w:t xml:space="preserve">12.1  Authentication and RBAC</w:t>
      </w:r>
      <w:r>
        <w:rPr>
          <w:color w:val="5A6480"/>
          <w:sz w:val="19"/>
          <w:szCs w:val="19"/>
        </w:rPr>
        <w:t xml:space="preserve">	18</w:t>
      </w:r>
    </w:p>
    <w:p>
      <w:pPr>
        <w:tabs>
          <w:tab w:val="right" w:pos="9026" w:leader="dot"/>
        </w:tabs>
        <w:spacing w:after="20" w:before="0"/>
        <w:ind w:left="400"/>
      </w:pPr>
      <w:r>
        <w:rPr>
          <w:b w:val="false"/>
          <w:bCs w:val="false"/>
          <w:color w:val="16203F"/>
          <w:sz w:val="19"/>
          <w:szCs w:val="19"/>
        </w:rPr>
        <w:t xml:space="preserve">12.2  Guardrails</w:t>
      </w:r>
      <w:r>
        <w:rPr>
          <w:color w:val="5A6480"/>
          <w:sz w:val="19"/>
          <w:szCs w:val="19"/>
        </w:rPr>
        <w:t xml:space="preserve">	18</w:t>
      </w:r>
    </w:p>
    <w:p>
      <w:pPr>
        <w:tabs>
          <w:tab w:val="right" w:pos="9026" w:leader="dot"/>
        </w:tabs>
        <w:spacing w:after="40" w:before="110"/>
        <w:ind w:left="0"/>
      </w:pPr>
      <w:r>
        <w:rPr>
          <w:b/>
          <w:bCs/>
          <w:color w:val="1E2761"/>
          <w:sz w:val="20"/>
          <w:szCs w:val="20"/>
        </w:rPr>
        <w:t xml:space="preserve">13.  SLOs, reliability and observability</w:t>
      </w:r>
      <w:r>
        <w:rPr>
          <w:color w:val="5A6480"/>
          <w:sz w:val="19"/>
          <w:szCs w:val="19"/>
        </w:rPr>
        <w:t xml:space="preserve">	19</w:t>
      </w:r>
    </w:p>
    <w:p>
      <w:pPr>
        <w:tabs>
          <w:tab w:val="right" w:pos="9026" w:leader="dot"/>
        </w:tabs>
        <w:spacing w:after="20" w:before="0"/>
        <w:ind w:left="400"/>
      </w:pPr>
      <w:r>
        <w:rPr>
          <w:b w:val="false"/>
          <w:bCs w:val="false"/>
          <w:color w:val="16203F"/>
          <w:sz w:val="19"/>
          <w:szCs w:val="19"/>
        </w:rPr>
        <w:t xml:space="preserve">13.1  Service-level objectives</w:t>
      </w:r>
      <w:r>
        <w:rPr>
          <w:color w:val="5A6480"/>
          <w:sz w:val="19"/>
          <w:szCs w:val="19"/>
        </w:rPr>
        <w:t xml:space="preserve">	19</w:t>
      </w:r>
    </w:p>
    <w:p>
      <w:pPr>
        <w:tabs>
          <w:tab w:val="right" w:pos="9026" w:leader="dot"/>
        </w:tabs>
        <w:spacing w:after="20" w:before="0"/>
        <w:ind w:left="400"/>
      </w:pPr>
      <w:r>
        <w:rPr>
          <w:b w:val="false"/>
          <w:bCs w:val="false"/>
          <w:color w:val="16203F"/>
          <w:sz w:val="19"/>
          <w:szCs w:val="19"/>
        </w:rPr>
        <w:t xml:space="preserve">13.2  Budgets and deadlines</w:t>
      </w:r>
      <w:r>
        <w:rPr>
          <w:color w:val="5A6480"/>
          <w:sz w:val="19"/>
          <w:szCs w:val="19"/>
        </w:rPr>
        <w:t xml:space="preserve">	19</w:t>
      </w:r>
    </w:p>
    <w:p>
      <w:pPr>
        <w:tabs>
          <w:tab w:val="right" w:pos="9026" w:leader="dot"/>
        </w:tabs>
        <w:spacing w:after="20" w:before="0"/>
        <w:ind w:left="400"/>
      </w:pPr>
      <w:r>
        <w:rPr>
          <w:b w:val="false"/>
          <w:bCs w:val="false"/>
          <w:color w:val="16203F"/>
          <w:sz w:val="19"/>
          <w:szCs w:val="19"/>
        </w:rPr>
        <w:t xml:space="preserve">13.3  Observability and audit</w:t>
      </w:r>
      <w:r>
        <w:rPr>
          <w:color w:val="5A6480"/>
          <w:sz w:val="19"/>
          <w:szCs w:val="19"/>
        </w:rPr>
        <w:t xml:space="preserve">	19</w:t>
      </w:r>
    </w:p>
    <w:p>
      <w:pPr>
        <w:tabs>
          <w:tab w:val="right" w:pos="9026" w:leader="dot"/>
        </w:tabs>
        <w:spacing w:after="40" w:before="110"/>
        <w:ind w:left="0"/>
      </w:pPr>
      <w:r>
        <w:rPr>
          <w:b/>
          <w:bCs/>
          <w:color w:val="1E2761"/>
          <w:sz w:val="20"/>
          <w:szCs w:val="20"/>
        </w:rPr>
        <w:t xml:space="preserve">14.  Cost and latency optimisation</w:t>
      </w:r>
      <w:r>
        <w:rPr>
          <w:color w:val="5A6480"/>
          <w:sz w:val="19"/>
          <w:szCs w:val="19"/>
        </w:rPr>
        <w:t xml:space="preserve">	20</w:t>
      </w:r>
    </w:p>
    <w:p>
      <w:pPr>
        <w:tabs>
          <w:tab w:val="right" w:pos="9026" w:leader="dot"/>
        </w:tabs>
        <w:spacing w:after="40" w:before="110"/>
        <w:ind w:left="0"/>
      </w:pPr>
      <w:r>
        <w:rPr>
          <w:b/>
          <w:bCs/>
          <w:color w:val="1E2761"/>
          <w:sz w:val="20"/>
          <w:szCs w:val="20"/>
        </w:rPr>
        <w:t xml:space="preserve">15.  Frontend console</w:t>
      </w:r>
      <w:r>
        <w:rPr>
          <w:color w:val="5A6480"/>
          <w:sz w:val="19"/>
          <w:szCs w:val="19"/>
        </w:rPr>
        <w:t xml:space="preserve">	21</w:t>
      </w:r>
    </w:p>
    <w:p>
      <w:pPr>
        <w:tabs>
          <w:tab w:val="right" w:pos="9026" w:leader="dot"/>
        </w:tabs>
        <w:spacing w:after="40" w:before="110"/>
        <w:ind w:left="0"/>
      </w:pPr>
      <w:r>
        <w:rPr>
          <w:b/>
          <w:bCs/>
          <w:color w:val="1E2761"/>
          <w:sz w:val="20"/>
          <w:szCs w:val="20"/>
        </w:rPr>
        <w:t xml:space="preserve">16.  Testing and evaluation</w:t>
      </w:r>
      <w:r>
        <w:rPr>
          <w:color w:val="5A6480"/>
          <w:sz w:val="19"/>
          <w:szCs w:val="19"/>
        </w:rPr>
        <w:t xml:space="preserve">	22</w:t>
      </w:r>
    </w:p>
    <w:p>
      <w:pPr>
        <w:tabs>
          <w:tab w:val="right" w:pos="9026" w:leader="dot"/>
        </w:tabs>
        <w:spacing w:after="20" w:before="0"/>
        <w:ind w:left="400"/>
      </w:pPr>
      <w:r>
        <w:rPr>
          <w:b w:val="false"/>
          <w:bCs w:val="false"/>
          <w:color w:val="16203F"/>
          <w:sz w:val="19"/>
          <w:szCs w:val="19"/>
        </w:rPr>
        <w:t xml:space="preserve">16.1  Automated tests</w:t>
      </w:r>
      <w:r>
        <w:rPr>
          <w:color w:val="5A6480"/>
          <w:sz w:val="19"/>
          <w:szCs w:val="19"/>
        </w:rPr>
        <w:t xml:space="preserve">	22</w:t>
      </w:r>
    </w:p>
    <w:p>
      <w:pPr>
        <w:tabs>
          <w:tab w:val="right" w:pos="9026" w:leader="dot"/>
        </w:tabs>
        <w:spacing w:after="20" w:before="0"/>
        <w:ind w:left="400"/>
      </w:pPr>
      <w:r>
        <w:rPr>
          <w:b w:val="false"/>
          <w:bCs w:val="false"/>
          <w:color w:val="16203F"/>
          <w:sz w:val="19"/>
          <w:szCs w:val="19"/>
        </w:rPr>
        <w:t xml:space="preserve">16.2  Golden-set evaluation</w:t>
      </w:r>
      <w:r>
        <w:rPr>
          <w:color w:val="5A6480"/>
          <w:sz w:val="19"/>
          <w:szCs w:val="19"/>
        </w:rPr>
        <w:t xml:space="preserve">	22</w:t>
      </w:r>
    </w:p>
    <w:p>
      <w:pPr>
        <w:tabs>
          <w:tab w:val="right" w:pos="9026" w:leader="dot"/>
        </w:tabs>
        <w:spacing w:after="40" w:before="110"/>
        <w:ind w:left="0"/>
      </w:pPr>
      <w:r>
        <w:rPr>
          <w:b/>
          <w:bCs/>
          <w:color w:val="1E2761"/>
          <w:sz w:val="20"/>
          <w:szCs w:val="20"/>
        </w:rPr>
        <w:t xml:space="preserve">17.  API reference</w:t>
      </w:r>
      <w:r>
        <w:rPr>
          <w:color w:val="5A6480"/>
          <w:sz w:val="19"/>
          <w:szCs w:val="19"/>
        </w:rPr>
        <w:t xml:space="preserve">	23</w:t>
      </w:r>
    </w:p>
    <w:p>
      <w:pPr>
        <w:tabs>
          <w:tab w:val="right" w:pos="9026" w:leader="dot"/>
        </w:tabs>
        <w:spacing w:after="40" w:before="110"/>
        <w:ind w:left="0"/>
      </w:pPr>
      <w:r>
        <w:rPr>
          <w:b/>
          <w:bCs/>
          <w:color w:val="1E2761"/>
          <w:sz w:val="20"/>
          <w:szCs w:val="20"/>
        </w:rPr>
        <w:t xml:space="preserve">18.  Technology stack and deployment</w:t>
      </w:r>
      <w:r>
        <w:rPr>
          <w:color w:val="5A6480"/>
          <w:sz w:val="19"/>
          <w:szCs w:val="19"/>
        </w:rPr>
        <w:t xml:space="preserve">	24</w:t>
      </w:r>
    </w:p>
    <w:p>
      <w:pPr>
        <w:tabs>
          <w:tab w:val="right" w:pos="9026" w:leader="dot"/>
        </w:tabs>
        <w:spacing w:after="40" w:before="110"/>
        <w:ind w:left="0"/>
      </w:pPr>
      <w:r>
        <w:rPr>
          <w:b/>
          <w:bCs/>
          <w:color w:val="1E2761"/>
          <w:sz w:val="20"/>
          <w:szCs w:val="20"/>
        </w:rPr>
        <w:t xml:space="preserve">19.  Limitations and roadmap</w:t>
      </w:r>
      <w:r>
        <w:rPr>
          <w:color w:val="5A6480"/>
          <w:sz w:val="19"/>
          <w:szCs w:val="19"/>
        </w:rPr>
        <w:t xml:space="preserve">	25</w:t>
      </w:r>
    </w:p>
    <w:p>
      <w:pPr>
        <w:tabs>
          <w:tab w:val="right" w:pos="9026" w:leader="dot"/>
        </w:tabs>
        <w:spacing w:after="40" w:before="110"/>
        <w:ind w:left="0"/>
      </w:pPr>
      <w:r>
        <w:rPr>
          <w:b/>
          <w:bCs/>
          <w:color w:val="1E2761"/>
          <w:sz w:val="20"/>
          <w:szCs w:val="20"/>
        </w:rPr>
        <w:t xml:space="preserve">20.  Conclusion</w:t>
      </w:r>
      <w:r>
        <w:rPr>
          <w:color w:val="5A6480"/>
          <w:sz w:val="19"/>
          <w:szCs w:val="19"/>
        </w:rPr>
        <w:t xml:space="preserve">	26</w:t>
      </w:r>
    </w:p>
    <w:p>
      <w:pPr>
        <w:tabs>
          <w:tab w:val="right" w:pos="9026" w:leader="dot"/>
        </w:tabs>
        <w:spacing w:after="40" w:before="110"/>
        <w:ind w:left="0"/>
      </w:pPr>
      <w:r>
        <w:rPr>
          <w:b/>
          <w:bCs/>
          <w:color w:val="1E2761"/>
          <w:sz w:val="20"/>
          <w:szCs w:val="20"/>
        </w:rPr>
        <w:t xml:space="preserve">Appendix A.  Repository map</w:t>
      </w:r>
      <w:r>
        <w:rPr>
          <w:color w:val="5A6480"/>
          <w:sz w:val="19"/>
          <w:szCs w:val="19"/>
        </w:rPr>
        <w:t xml:space="preserve">	27</w:t>
      </w:r>
    </w:p>
    <w:p>
      <w:pPr>
        <w:tabs>
          <w:tab w:val="right" w:pos="9026" w:leader="dot"/>
        </w:tabs>
        <w:spacing w:after="40" w:before="110"/>
        <w:ind w:left="0"/>
      </w:pPr>
      <w:r>
        <w:rPr>
          <w:b/>
          <w:bCs/>
          <w:color w:val="1E2761"/>
          <w:sz w:val="20"/>
          <w:szCs w:val="20"/>
        </w:rPr>
        <w:t xml:space="preserve">Appendix B.  Glossary</w:t>
      </w:r>
      <w:r>
        <w:rPr>
          <w:color w:val="5A6480"/>
          <w:sz w:val="19"/>
          <w:szCs w:val="19"/>
        </w:rPr>
        <w:t xml:space="preserve">	28</w:t>
      </w:r>
    </w:p>
    <w:p>
      <w:pPr>
        <w:pStyle w:val="Heading1"/>
        <w:pageBreakBefore/>
      </w:pPr>
      <w:r>
        <w:t xml:space="preserve">1.  Executive summary</w:t>
      </w:r>
    </w:p>
    <w:p>
      <w:pPr>
        <w:spacing w:after="140" w:line="288"/>
      </w:pPr>
      <w:r>
        <w:t xml:space="preserve">The Retail Policy Intelligence &amp; Decision Support System is an SLO-bound, multi-agent question-answering platform for retail policy and compliance. Employees ask questions such as “Can we still share customer emails with Vertex Marketing Partners?” The system locates the governing policy clause, checks the live operational record in the compliance database, reconciles the two, and releases an answer only when that answer can be certified. Anything it cannot certify is routed to a human reviewer — never hedged and never guessed.</w:t>
      </w:r>
    </w:p>
    <w:p>
      <w:pPr>
        <w:spacing w:after="140" w:line="288"/>
      </w:pPr>
      <w:r>
        <w:t xml:space="preserve">The backend is a FastAPI service orchestrated by a LangGraph state machine. A knowledge layer built on LlamaIndex and PostgreSQL with pgvector serves seven policy documents, and a structured compliance database holds vendors, audit findings, retention obligations and review history. Every request passes through guardrails, intent and risk analysis, an explicit evidence plan, one of five evidence paths, a validation and reflection cycle, signal-based confidence scoring and a release gate. A React 19 console authenticated through Auth0 provides the chat, reviewer, dashboard, SLO and corpus-administration screens.</w:t>
      </w:r>
    </w:p>
    <w:p>
      <w:pPr>
        <w:pStyle w:val="Heading2"/>
      </w:pPr>
      <w:r>
        <w:t xml:space="preserve">1.1  Key takeaways</w:t>
      </w:r>
    </w:p>
    <w:p>
      <w:pPr>
        <w:pStyle w:val="ListParagraph"/>
        <w:numPr>
          <w:ilvl w:val="0"/>
          <w:numId w:val="2"/>
        </w:numPr>
        <w:spacing w:after="80" w:line="276"/>
      </w:pPr>
      <w:r>
        <w:rPr>
          <w:b/>
          <w:bCs/>
        </w:rPr>
        <w:t xml:space="preserve">Certification, not fluency.</w:t>
      </w:r>
      <w:r>
        <w:t xml:space="preserve"> The release gate requires confidence ≥ 0.75, risk not High, and no unresolved conflict. Everything else escalates with its full context.</w:t>
      </w:r>
    </w:p>
    <w:p>
      <w:pPr>
        <w:pStyle w:val="ListParagraph"/>
        <w:numPr>
          <w:ilvl w:val="0"/>
          <w:numId w:val="2"/>
        </w:numPr>
        <w:spacing w:after="80" w:line="276"/>
      </w:pPr>
      <w:r>
        <w:rPr>
          <w:b/>
          <w:bCs/>
        </w:rPr>
        <w:t xml:space="preserve">Routing is deterministic.</w:t>
      </w:r>
      <w:r>
        <w:t xml:space="preserve"> Intent fixes the admissible set of evidence paths; the planner may only refine inside it. Every routing decision is logged.</w:t>
      </w:r>
    </w:p>
    <w:p>
      <w:pPr>
        <w:pStyle w:val="ListParagraph"/>
        <w:numPr>
          <w:ilvl w:val="0"/>
          <w:numId w:val="2"/>
        </w:numPr>
        <w:spacing w:after="80" w:line="276"/>
      </w:pPr>
      <w:r>
        <w:rPr>
          <w:b/>
          <w:bCs/>
        </w:rPr>
        <w:t xml:space="preserve">Risk is fused, not averaged.</w:t>
      </w:r>
      <w:r>
        <w:t xml:space="preserve"> A lexical floor, an LLM classifier and SQL reality probes are combined by </w:t>
      </w:r>
      <w:r>
        <w:rPr>
          <w:rFonts w:ascii="Courier New" w:cs="Courier New" w:eastAsia="Courier New" w:hAnsi="Courier New"/>
          <w:color w:val="1E2761"/>
          <w:sz w:val="18"/>
          <w:szCs w:val="18"/>
        </w:rPr>
        <w:t xml:space="preserve">max()</w:t>
      </w:r>
      <w:r>
        <w:t xml:space="preserve">, so a confirmed data probe always wins.</w:t>
      </w:r>
    </w:p>
    <w:p>
      <w:pPr>
        <w:pStyle w:val="ListParagraph"/>
        <w:numPr>
          <w:ilvl w:val="0"/>
          <w:numId w:val="2"/>
        </w:numPr>
        <w:spacing w:after="80" w:line="276"/>
      </w:pPr>
      <w:r>
        <w:rPr>
          <w:b/>
          <w:bCs/>
        </w:rPr>
        <w:t xml:space="preserve">Human review is part of the graph.</w:t>
      </w:r>
      <w:r>
        <w:t xml:space="preserve"> Escalation checkpoints the run; a reviewer decision resumes it through the same output guardrail a machine answer faces.</w:t>
      </w:r>
    </w:p>
    <w:p>
      <w:pPr>
        <w:pStyle w:val="ListParagraph"/>
        <w:numPr>
          <w:ilvl w:val="0"/>
          <w:numId w:val="2"/>
        </w:numPr>
        <w:spacing w:after="80" w:line="276"/>
      </w:pPr>
      <w:r>
        <w:rPr>
          <w:b/>
          <w:bCs/>
        </w:rPr>
        <w:t xml:space="preserve">Security is enforced in code and data.</w:t>
      </w:r>
      <w:r>
        <w:t xml:space="preserve"> RBAC is applied as vector-store metadata filters and SQL table grants, never as a prompt instruction. The audit log is append-only at the database level.</w:t>
      </w:r>
    </w:p>
    <w:p>
      <w:pPr>
        <w:pStyle w:val="ListParagraph"/>
        <w:numPr>
          <w:ilvl w:val="0"/>
          <w:numId w:val="2"/>
        </w:numPr>
        <w:spacing w:after="80" w:line="276"/>
      </w:pPr>
      <w:r>
        <w:rPr>
          <w:b/>
          <w:bCs/>
        </w:rPr>
        <w:t xml:space="preserve">Behaviour is asserted by tests.</w:t>
      </w:r>
      <w:r>
        <w:t xml:space="preserve"> More than 730 automated test functions across 37 modules, plus a 53-query golden evaluation set, cover routing, risk, SQL safety, confidence and guardrails.</w:t>
      </w:r>
    </w:p>
    <w:p>
      <w:pPr>
        <w:spacing w:after="60"/>
      </w:pPr>
    </w:p>
    <w:p>
      <w:pPr>
        <w:pStyle w:val="Heading2"/>
      </w:pPr>
      <w:r>
        <w:t xml:space="preserve">1.2  Documents in this set</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4200"/>
        <w:gridCol w:w="4826"/>
      </w:tblGrid>
      <w:tr>
        <w:trPr>
          <w:tblHeader/>
        </w:trPr>
        <w:tc>
          <w:tcPr>
            <w:tcW w:type="dxa" w:w="4200"/>
            <w:shd w:fill="1E2761" w:color="auto" w:val="clear"/>
            <w:tcMar>
              <w:top w:type="dxa" w:w="70"/>
              <w:left w:type="dxa" w:w="110"/>
              <w:bottom w:type="dxa" w:w="70"/>
              <w:right w:type="dxa" w:w="110"/>
            </w:tcMar>
          </w:tcPr>
          <w:p>
            <w:pPr>
              <w:spacing w:after="0" w:line="252"/>
            </w:pPr>
            <w:r>
              <w:rPr>
                <w:b/>
                <w:bCs/>
                <w:color w:val="FFFFFF"/>
                <w:sz w:val="18"/>
                <w:szCs w:val="18"/>
              </w:rPr>
              <w:t xml:space="preserve">Artefact</w:t>
            </w:r>
          </w:p>
        </w:tc>
        <w:tc>
          <w:tcPr>
            <w:tcW w:type="dxa" w:w="4826"/>
            <w:shd w:fill="1E2761" w:color="auto" w:val="clear"/>
            <w:tcMar>
              <w:top w:type="dxa" w:w="70"/>
              <w:left w:type="dxa" w:w="110"/>
              <w:bottom w:type="dxa" w:w="70"/>
              <w:right w:type="dxa" w:w="110"/>
            </w:tcMar>
          </w:tcPr>
          <w:p>
            <w:pPr>
              <w:spacing w:after="0" w:line="252"/>
            </w:pPr>
            <w:r>
              <w:rPr>
                <w:b/>
                <w:bCs/>
                <w:color w:val="FFFFFF"/>
                <w:sz w:val="18"/>
                <w:szCs w:val="18"/>
              </w:rPr>
              <w:t xml:space="preserve">Purpose</w:t>
            </w:r>
          </w:p>
        </w:tc>
      </w:tr>
      <w:tr>
        <w:trPr>
          <w:tblHeader w:val="false"/>
        </w:trPr>
        <w:tc>
          <w:tcPr>
            <w:tcW w:type="dxa" w:w="4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This document</w:t>
            </w:r>
          </w:p>
        </w:tc>
        <w:tc>
          <w:tcPr>
            <w:tcW w:type="dxa" w:w="48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Full project description — architecture, agents, data, security, SLOs and evaluation</w:t>
            </w:r>
          </w:p>
        </w:tc>
      </w:tr>
      <w:tr>
        <w:trPr>
          <w:tblHeader w:val="false"/>
        </w:trPr>
        <w:tc>
          <w:tcPr>
            <w:tcW w:type="dxa" w:w="42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Retail_Policy_Intelligence_Project_Presentation.pptx</w:t>
            </w:r>
          </w:p>
        </w:tc>
        <w:tc>
          <w:tcPr>
            <w:tcW w:type="dxa" w:w="48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20-slide project presentation</w:t>
            </w:r>
          </w:p>
        </w:tc>
      </w:tr>
      <w:tr>
        <w:trPr>
          <w:tblHeader w:val="false"/>
        </w:trPr>
        <w:tc>
          <w:tcPr>
            <w:tcW w:type="dxa" w:w="4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System Architecture v4 / End-to-End Agent Workflow v4</w:t>
            </w:r>
          </w:p>
        </w:tc>
        <w:tc>
          <w:tcPr>
            <w:tcW w:type="dxa" w:w="48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The two reference diagrams (reproduced in sections 3 and 4)</w:t>
            </w:r>
          </w:p>
        </w:tc>
      </w:tr>
      <w:tr>
        <w:trPr>
          <w:tblHeader w:val="false"/>
        </w:trPr>
        <w:tc>
          <w:tcPr>
            <w:tcW w:type="dxa" w:w="42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backend/README.md, docs/AGENT_WORKFLOW.md, DATABASE_DIAGRAM.md</w:t>
            </w:r>
          </w:p>
        </w:tc>
        <w:tc>
          <w:tcPr>
            <w:tcW w:type="dxa" w:w="48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Engineering reference, graph diagram and database design notes in the repository</w:t>
            </w:r>
          </w:p>
        </w:tc>
      </w:tr>
      <w:tr>
        <w:trPr>
          <w:tblHeader w:val="false"/>
        </w:trPr>
        <w:tc>
          <w:tcPr>
            <w:tcW w:type="dxa" w:w="4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Swagger runbook (PDF) and /docs</w:t>
            </w:r>
          </w:p>
        </w:tc>
        <w:tc>
          <w:tcPr>
            <w:tcW w:type="dxa" w:w="48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Step-by-step API walkthrough and live OpenAPI UI</w:t>
            </w:r>
          </w:p>
        </w:tc>
      </w:tr>
    </w:tbl>
    <w:p>
      <w:pPr>
        <w:spacing w:after="160"/>
      </w:pPr>
    </w:p>
    <w:p>
      <w:pPr>
        <w:pStyle w:val="Heading1"/>
        <w:pageBreakBefore/>
      </w:pPr>
      <w:r>
        <w:t xml:space="preserve">2.  Problem statement and objectives</w:t>
      </w:r>
    </w:p>
    <w:p>
      <w:pPr>
        <w:pStyle w:val="Heading2"/>
      </w:pPr>
      <w:r>
        <w:t xml:space="preserve">2.1  Background</w:t>
      </w:r>
    </w:p>
    <w:p>
      <w:pPr>
        <w:spacing w:after="140" w:line="288"/>
      </w:pPr>
      <w:r>
        <w:t xml:space="preserve">Retail employees face policy questions every day: whether customer data may be shared with a partner, how long a record type must be retained, whether a vendor can be onboarded, or whether a supplier's gift may be accepted. The answers live in two places that are rarely read together — a set of policy documents and regulations, and a live compliance database that records the actual state of vendors, findings and retention obligations.</w:t>
      </w:r>
    </w:p>
    <w:p>
      <w:pPr>
        <w:pStyle w:val="Heading2"/>
      </w:pPr>
      <w:r>
        <w:t xml:space="preserve">2.2  The problem</w:t>
      </w:r>
    </w:p>
    <w:p>
      <w:pPr>
        <w:spacing w:after="140" w:line="288"/>
      </w:pPr>
      <w:r>
        <w:t xml:space="preserve">Compliance answers fail in a specific way: a fluent, well-cited response that quotes the policy and never checks the record. A plain retrieval-augmented chatbot will answer confidently even when the operational data contradicts the clause, when a vendor is under an open critical finding, or when the question itself is high-risk. In this domain a wrong answer is not a user-experience defect; it is a regulatory, legal and financial exposure.</w:t>
      </w:r>
    </w:p>
    <w:p>
      <w:pPr>
        <w:pStyle w:val="Heading2"/>
      </w:pPr>
      <w:r>
        <w:t xml:space="preserve">2.3  Objectives</w:t>
      </w:r>
    </w:p>
    <w:p>
      <w:pPr>
        <w:pStyle w:val="ListParagraph"/>
        <w:numPr>
          <w:ilvl w:val="0"/>
          <w:numId w:val="3"/>
        </w:numPr>
        <w:spacing w:after="80" w:line="276"/>
      </w:pPr>
      <w:r>
        <w:t xml:space="preserve">Understand each question — intent, entities, multi-turn context and a Low / Medium / High risk classification.</w:t>
      </w:r>
    </w:p>
    <w:p>
      <w:pPr>
        <w:pStyle w:val="ListParagraph"/>
        <w:numPr>
          <w:ilvl w:val="0"/>
          <w:numId w:val="3"/>
        </w:numPr>
        <w:spacing w:after="80" w:line="276"/>
      </w:pPr>
      <w:r>
        <w:t xml:space="preserve">Route dynamically to the right evidence: policy retrieval, structured SQL, a hybrid of both, an agentic tool-using path, or a multi-agent panel for high-risk cases.</w:t>
      </w:r>
    </w:p>
    <w:p>
      <w:pPr>
        <w:pStyle w:val="ListParagraph"/>
        <w:numPr>
          <w:ilvl w:val="0"/>
          <w:numId w:val="3"/>
        </w:numPr>
        <w:spacing w:after="80" w:line="276"/>
      </w:pPr>
      <w:r>
        <w:t xml:space="preserve">Return every answer with citations, structured validation output, a confidence score, a risk classification and an uncertainty note.</w:t>
      </w:r>
    </w:p>
    <w:p>
      <w:pPr>
        <w:pStyle w:val="ListParagraph"/>
        <w:numPr>
          <w:ilvl w:val="0"/>
          <w:numId w:val="3"/>
        </w:numPr>
        <w:spacing w:after="80" w:line="276"/>
      </w:pPr>
      <w:r>
        <w:t xml:space="preserve">Escalate to a human reviewer on low confidence, high risk, clause conflict or an explicit legal request — with full context transferred.</w:t>
      </w:r>
    </w:p>
    <w:p>
      <w:pPr>
        <w:pStyle w:val="ListParagraph"/>
        <w:numPr>
          <w:ilvl w:val="0"/>
          <w:numId w:val="3"/>
        </w:numPr>
        <w:spacing w:after="80" w:line="276"/>
      </w:pPr>
      <w:r>
        <w:t xml:space="preserve">Operate inside defined service-level objectives for task success, latency, SQL correctness, PII leakage and cost per query.</w:t>
      </w:r>
    </w:p>
    <w:p>
      <w:pPr>
        <w:spacing w:after="60"/>
      </w:pPr>
    </w:p>
    <w:p>
      <w:pPr>
        <w:pStyle w:val="Heading2"/>
      </w:pPr>
      <w:r>
        <w:t xml:space="preserve">2.4  Scope</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4513"/>
        <w:gridCol w:w="4513"/>
      </w:tblGrid>
      <w:tr>
        <w:trPr>
          <w:tblHeader/>
        </w:trPr>
        <w:tc>
          <w:tcPr>
            <w:tcW w:type="dxa" w:w="4513"/>
            <w:shd w:fill="1E2761" w:color="auto" w:val="clear"/>
            <w:tcMar>
              <w:top w:type="dxa" w:w="70"/>
              <w:left w:type="dxa" w:w="110"/>
              <w:bottom w:type="dxa" w:w="70"/>
              <w:right w:type="dxa" w:w="110"/>
            </w:tcMar>
          </w:tcPr>
          <w:p>
            <w:pPr>
              <w:spacing w:after="0" w:line="252"/>
            </w:pPr>
            <w:r>
              <w:rPr>
                <w:b/>
                <w:bCs/>
                <w:color w:val="FFFFFF"/>
                <w:sz w:val="18"/>
                <w:szCs w:val="18"/>
              </w:rPr>
              <w:t xml:space="preserve">In scope</w:t>
            </w:r>
          </w:p>
        </w:tc>
        <w:tc>
          <w:tcPr>
            <w:tcW w:type="dxa" w:w="4513"/>
            <w:shd w:fill="1E2761" w:color="auto" w:val="clear"/>
            <w:tcMar>
              <w:top w:type="dxa" w:w="70"/>
              <w:left w:type="dxa" w:w="110"/>
              <w:bottom w:type="dxa" w:w="70"/>
              <w:right w:type="dxa" w:w="110"/>
            </w:tcMar>
          </w:tcPr>
          <w:p>
            <w:pPr>
              <w:spacing w:after="0" w:line="252"/>
            </w:pPr>
            <w:r>
              <w:rPr>
                <w:b/>
                <w:bCs/>
                <w:color w:val="FFFFFF"/>
                <w:sz w:val="18"/>
                <w:szCs w:val="18"/>
              </w:rPr>
              <w:t xml:space="preserve">Out of scope</w:t>
            </w:r>
          </w:p>
        </w:tc>
      </w:tr>
      <w:tr>
        <w:trPr>
          <w:tblHeader w:val="false"/>
        </w:trPr>
        <w:tc>
          <w:tcPr>
            <w:tcW w:type="dxa" w:w="4513"/>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Seven-document policy corpus and four-table compliance database</w:t>
            </w:r>
          </w:p>
        </w:tc>
        <w:tc>
          <w:tcPr>
            <w:tcW w:type="dxa" w:w="4513"/>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Proprietary or production customer data</w:t>
            </w:r>
          </w:p>
        </w:tc>
      </w:tr>
      <w:tr>
        <w:trPr>
          <w:tblHeader w:val="false"/>
        </w:trPr>
        <w:tc>
          <w:tcPr>
            <w:tcW w:type="dxa" w:w="4513"/>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Backend agents, orchestration, guardrails, SLO measurement</w:t>
            </w:r>
          </w:p>
        </w:tc>
        <w:tc>
          <w:tcPr>
            <w:tcW w:type="dxa" w:w="4513"/>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Automated legal decisions without human review</w:t>
            </w:r>
          </w:p>
        </w:tc>
      </w:tr>
      <w:tr>
        <w:trPr>
          <w:tblHeader w:val="false"/>
        </w:trPr>
        <w:tc>
          <w:tcPr>
            <w:tcW w:type="dxa" w:w="4513"/>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Reviewer workflow and enterprise web console</w:t>
            </w:r>
          </w:p>
        </w:tc>
        <w:tc>
          <w:tcPr>
            <w:tcW w:type="dxa" w:w="4513"/>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Native mobile clients</w:t>
            </w:r>
          </w:p>
        </w:tc>
      </w:tr>
      <w:tr>
        <w:trPr>
          <w:tblHeader w:val="false"/>
        </w:trPr>
        <w:tc>
          <w:tcPr>
            <w:tcW w:type="dxa" w:w="4513"/>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Deployment on Render with a PostgreSQL + pgvector database</w:t>
            </w:r>
          </w:p>
        </w:tc>
        <w:tc>
          <w:tcPr>
            <w:tcW w:type="dxa" w:w="4513"/>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Multi-region, multi-instance scaling</w:t>
            </w:r>
          </w:p>
        </w:tc>
      </w:tr>
    </w:tbl>
    <w:p>
      <w:pPr>
        <w:spacing w:after="160"/>
      </w:pPr>
    </w:p>
    <w:p>
      <w:pPr>
        <w:pStyle w:val="Heading1"/>
        <w:pageBreakBefore/>
      </w:pPr>
      <w:r>
        <w:t xml:space="preserve">3.  System architecture</w:t>
      </w:r>
    </w:p>
    <w:p>
      <w:pPr>
        <w:spacing w:after="140" w:line="288"/>
      </w:pPr>
      <w:r>
        <w:t xml:space="preserve">The architecture is organised into ten numbered layers, an offline ingestion pipeline, and four cross-cutting concerns. Layers 1–3 run before any LLM call; layers 4–9 are LangGraph nodes operating over one shared typed state; layer 10 always closes with an append-only audit record.</w:t>
      </w:r>
    </w:p>
    <w:p>
      <w:pPr>
        <w:spacing w:after="60" w:before="120"/>
        <w:jc w:val="center"/>
      </w:pPr>
      <w:r>
        <w:drawing>
          <wp:inline distT="0" distB="0" distL="0" distR="0">
            <wp:extent cx="5715000" cy="4829175"/>
            <wp:effectExtent t="0" r="0" b="0" l="0"/>
            <wp:docPr id="1" name="arch.png" descr="Figure 1 — System Architecture v4" title="Figure 1 — System Architecture 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829175"/>
                    </a:xfrm>
                    <a:prstGeom prst="rect">
                      <a:avLst/>
                    </a:prstGeom>
                  </pic:spPr>
                </pic:pic>
              </a:graphicData>
            </a:graphic>
          </wp:inline>
        </w:drawing>
      </w:r>
    </w:p>
    <w:p>
      <w:pPr>
        <w:spacing w:after="200"/>
        <w:jc w:val="center"/>
      </w:pPr>
      <w:r>
        <w:rPr>
          <w:i/>
          <w:iCs/>
          <w:color w:val="5A6480"/>
          <w:sz w:val="17"/>
          <w:szCs w:val="17"/>
        </w:rPr>
        <w:t xml:space="preserve">Figure 1 — System Architecture v4</w:t>
      </w:r>
    </w:p>
    <w:p>
      <w:pPr>
        <w:pStyle w:val="Heading2"/>
      </w:pPr>
      <w:r>
        <w:t xml:space="preserve">3.1  Layer responsibilities</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500"/>
        <w:gridCol w:w="2600"/>
        <w:gridCol w:w="5926"/>
      </w:tblGrid>
      <w:tr>
        <w:trPr>
          <w:tblHeader/>
        </w:trPr>
        <w:tc>
          <w:tcPr>
            <w:tcW w:type="dxa" w:w="500"/>
            <w:shd w:fill="1E2761" w:color="auto" w:val="clear"/>
            <w:tcMar>
              <w:top w:type="dxa" w:w="70"/>
              <w:left w:type="dxa" w:w="110"/>
              <w:bottom w:type="dxa" w:w="70"/>
              <w:right w:type="dxa" w:w="110"/>
            </w:tcMar>
          </w:tcPr>
          <w:p>
            <w:pPr>
              <w:spacing w:after="0" w:line="252"/>
            </w:pPr>
            <w:r>
              <w:rPr>
                <w:b/>
                <w:bCs/>
                <w:color w:val="FFFFFF"/>
                <w:sz w:val="18"/>
                <w:szCs w:val="18"/>
              </w:rPr>
              <w:t xml:space="preserve">#</w:t>
            </w:r>
          </w:p>
        </w:tc>
        <w:tc>
          <w:tcPr>
            <w:tcW w:type="dxa" w:w="2600"/>
            <w:shd w:fill="1E2761" w:color="auto" w:val="clear"/>
            <w:tcMar>
              <w:top w:type="dxa" w:w="70"/>
              <w:left w:type="dxa" w:w="110"/>
              <w:bottom w:type="dxa" w:w="70"/>
              <w:right w:type="dxa" w:w="110"/>
            </w:tcMar>
          </w:tcPr>
          <w:p>
            <w:pPr>
              <w:spacing w:after="0" w:line="252"/>
            </w:pPr>
            <w:r>
              <w:rPr>
                <w:b/>
                <w:bCs/>
                <w:color w:val="FFFFFF"/>
                <w:sz w:val="18"/>
                <w:szCs w:val="18"/>
              </w:rPr>
              <w:t xml:space="preserve">Layer</w:t>
            </w:r>
          </w:p>
        </w:tc>
        <w:tc>
          <w:tcPr>
            <w:tcW w:type="dxa" w:w="5926"/>
            <w:shd w:fill="1E2761" w:color="auto" w:val="clear"/>
            <w:tcMar>
              <w:top w:type="dxa" w:w="70"/>
              <w:left w:type="dxa" w:w="110"/>
              <w:bottom w:type="dxa" w:w="70"/>
              <w:right w:type="dxa" w:w="110"/>
            </w:tcMar>
          </w:tcPr>
          <w:p>
            <w:pPr>
              <w:spacing w:after="0" w:line="252"/>
            </w:pPr>
            <w:r>
              <w:rPr>
                <w:b/>
                <w:bCs/>
                <w:color w:val="FFFFFF"/>
                <w:sz w:val="18"/>
                <w:szCs w:val="18"/>
              </w:rPr>
              <w:t xml:space="preserve">Responsibility</w:t>
            </w:r>
          </w:p>
        </w:tc>
      </w:tr>
      <w:tr>
        <w:trPr>
          <w:tblHeader w:val="false"/>
        </w:trPr>
        <w:tc>
          <w:tcPr>
            <w:tcW w:type="dxa" w:w="5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1</w:t>
            </w:r>
          </w:p>
        </w:tc>
        <w:tc>
          <w:tcPr>
            <w:tcW w:type="dxa" w:w="26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Client &amp; Channel</w:t>
            </w:r>
          </w:p>
        </w:tc>
        <w:tc>
          <w:tcPr>
            <w:tcW w:type="dxa" w:w="59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Web chat (multi-turn thread, inline citations, risk badge, pending state) and the reviewer console</w:t>
            </w:r>
          </w:p>
        </w:tc>
      </w:tr>
      <w:tr>
        <w:trPr>
          <w:tblHeader w:val="false"/>
        </w:trPr>
        <w:tc>
          <w:tcPr>
            <w:tcW w:type="dxa" w:w="5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2</w:t>
            </w:r>
          </w:p>
        </w:tc>
        <w:tc>
          <w:tcPr>
            <w:tcW w:type="dxa" w:w="26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API &amp; Access (FastAPI)</w:t>
            </w:r>
          </w:p>
        </w:tc>
        <w:tc>
          <w:tcPr>
            <w:tcW w:type="dxa" w:w="59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Auth0 JWT with five-role RBAC, Pydantic contracts, rate limit and cost guard, idempotency and session</w:t>
            </w:r>
          </w:p>
        </w:tc>
      </w:tr>
      <w:tr>
        <w:trPr>
          <w:tblHeader w:val="false"/>
        </w:trPr>
        <w:tc>
          <w:tcPr>
            <w:tcW w:type="dxa" w:w="5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3</w:t>
            </w:r>
          </w:p>
        </w:tc>
        <w:tc>
          <w:tcPr>
            <w:tcW w:type="dxa" w:w="26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Input Guardrail</w:t>
            </w:r>
          </w:p>
        </w:tc>
        <w:tc>
          <w:tcPr>
            <w:tcW w:type="dxa" w:w="59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PII detection and redaction, prompt-injection filter, scope check, deterministic keyword pre-flags</w:t>
            </w:r>
          </w:p>
        </w:tc>
      </w:tr>
      <w:tr>
        <w:trPr>
          <w:tblHeader w:val="false"/>
        </w:trPr>
        <w:tc>
          <w:tcPr>
            <w:tcW w:type="dxa" w:w="5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4</w:t>
            </w:r>
          </w:p>
        </w:tc>
        <w:tc>
          <w:tcPr>
            <w:tcW w:type="dxa" w:w="26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Orchestration (LangGraph)</w:t>
            </w:r>
          </w:p>
        </w:tc>
        <w:tc>
          <w:tcPr>
            <w:tcW w:type="dxa" w:w="59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Typed shared state, checkpointer, conditional edges, small/strong model tiering</w:t>
            </w:r>
          </w:p>
        </w:tc>
      </w:tr>
      <w:tr>
        <w:trPr>
          <w:tblHeader w:val="false"/>
        </w:trPr>
        <w:tc>
          <w:tcPr>
            <w:tcW w:type="dxa" w:w="5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5</w:t>
            </w:r>
          </w:p>
        </w:tc>
        <w:tc>
          <w:tcPr>
            <w:tcW w:type="dxa" w:w="26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Reasoning, Planning &amp; Routing</w:t>
            </w:r>
          </w:p>
        </w:tc>
        <w:tc>
          <w:tcPr>
            <w:tcW w:type="dxa" w:w="59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Query rewrite, intent classification, entity resolution, risk assessment, planner, router</w:t>
            </w:r>
          </w:p>
        </w:tc>
      </w:tr>
      <w:tr>
        <w:trPr>
          <w:tblHeader w:val="false"/>
        </w:trPr>
        <w:tc>
          <w:tcPr>
            <w:tcW w:type="dxa" w:w="5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6</w:t>
            </w:r>
          </w:p>
        </w:tc>
        <w:tc>
          <w:tcPr>
            <w:tcW w:type="dxa" w:w="26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Execution Paths</w:t>
            </w:r>
          </w:p>
        </w:tc>
        <w:tc>
          <w:tcPr>
            <w:tcW w:type="dxa" w:w="59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RAG, NL2SQL, hybrid, agentic ReAct and the high-risk multi-agent panel</w:t>
            </w:r>
          </w:p>
        </w:tc>
      </w:tr>
      <w:tr>
        <w:trPr>
          <w:tblHeader w:val="false"/>
        </w:trPr>
        <w:tc>
          <w:tcPr>
            <w:tcW w:type="dxa" w:w="5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7</w:t>
            </w:r>
          </w:p>
        </w:tc>
        <w:tc>
          <w:tcPr>
            <w:tcW w:type="dxa" w:w="26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Knowledge, Data &amp; Tools</w:t>
            </w:r>
          </w:p>
        </w:tc>
        <w:tc>
          <w:tcPr>
            <w:tcW w:type="dxa" w:w="59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pgvector policy KB, PostgreSQL compliance database, MCP tools (additive only)</w:t>
            </w:r>
          </w:p>
        </w:tc>
      </w:tr>
      <w:tr>
        <w:trPr>
          <w:tblHeader w:val="false"/>
        </w:trPr>
        <w:tc>
          <w:tcPr>
            <w:tcW w:type="dxa" w:w="5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8</w:t>
            </w:r>
          </w:p>
        </w:tc>
        <w:tc>
          <w:tcPr>
            <w:tcW w:type="dxa" w:w="26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Compliance Validation</w:t>
            </w:r>
          </w:p>
        </w:tc>
        <w:tc>
          <w:tcPr>
            <w:tcW w:type="dxa" w:w="59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Evidence grounding, conflict detection, bounded reflection and self-correction</w:t>
            </w:r>
          </w:p>
        </w:tc>
      </w:tr>
      <w:tr>
        <w:trPr>
          <w:tblHeader w:val="false"/>
        </w:trPr>
        <w:tc>
          <w:tcPr>
            <w:tcW w:type="dxa" w:w="5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9</w:t>
            </w:r>
          </w:p>
        </w:tc>
        <w:tc>
          <w:tcPr>
            <w:tcW w:type="dxa" w:w="26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Confidence, Risk Gate &amp; Output</w:t>
            </w:r>
          </w:p>
        </w:tc>
        <w:tc>
          <w:tcPr>
            <w:tcW w:type="dxa" w:w="59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Signal-based confidence, risk gate, egress PII scrub and citation enforcement</w:t>
            </w:r>
          </w:p>
        </w:tc>
      </w:tr>
      <w:tr>
        <w:trPr>
          <w:tblHeader w:val="false"/>
        </w:trPr>
        <w:tc>
          <w:tcPr>
            <w:tcW w:type="dxa" w:w="5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10</w:t>
            </w:r>
          </w:p>
        </w:tc>
        <w:tc>
          <w:tcPr>
            <w:tcW w:type="dxa" w:w="26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Response</w:t>
            </w:r>
          </w:p>
        </w:tc>
        <w:tc>
          <w:tcPr>
            <w:tcW w:type="dxa" w:w="59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200 final response or 202 pending_review, via the escalation manager</w:t>
            </w:r>
          </w:p>
        </w:tc>
      </w:tr>
    </w:tbl>
    <w:p>
      <w:pPr>
        <w:spacing w:after="160"/>
      </w:pPr>
    </w:p>
    <w:p>
      <w:pPr>
        <w:pStyle w:val="Heading2"/>
      </w:pPr>
      <w:r>
        <w:t xml:space="preserve">3.2  Cross-cutting concerns</w:t>
      </w:r>
    </w:p>
    <w:p>
      <w:pPr>
        <w:pStyle w:val="ListParagraph"/>
        <w:numPr>
          <w:ilvl w:val="0"/>
          <w:numId w:val="4"/>
        </w:numPr>
        <w:spacing w:after="80" w:line="276"/>
      </w:pPr>
      <w:r>
        <w:rPr>
          <w:b/>
          <w:bCs/>
        </w:rPr>
        <w:t xml:space="preserve">Observability &amp; evaluation</w:t>
      </w:r>
      <w:r>
        <w:t xml:space="preserve"> — Langfuse traces, per-node latency, routing accuracy, RAG faithfulness, confidence calibration, golden set, CI gate.</w:t>
      </w:r>
    </w:p>
    <w:p>
      <w:pPr>
        <w:pStyle w:val="ListParagraph"/>
        <w:numPr>
          <w:ilvl w:val="0"/>
          <w:numId w:val="4"/>
        </w:numPr>
        <w:spacing w:after="80" w:line="276"/>
      </w:pPr>
      <w:r>
        <w:rPr>
          <w:b/>
          <w:bCs/>
        </w:rPr>
        <w:t xml:space="preserve">Human-in-the-loop</w:t>
      </w:r>
      <w:r>
        <w:t xml:space="preserve"> — escalation queue, reviewer console, context package, asynchronous 202 with answer on resume.</w:t>
      </w:r>
    </w:p>
    <w:p>
      <w:pPr>
        <w:pStyle w:val="ListParagraph"/>
        <w:numPr>
          <w:ilvl w:val="0"/>
          <w:numId w:val="4"/>
        </w:numPr>
        <w:spacing w:after="80" w:line="276"/>
      </w:pPr>
      <w:r>
        <w:rPr>
          <w:b/>
          <w:bCs/>
        </w:rPr>
        <w:t xml:space="preserve">Security &amp; governance</w:t>
      </w:r>
      <w:r>
        <w:t xml:space="preserve"> — RBAC at row and document level, PII scrub in and out, immutable audit log, secrets outside code.</w:t>
      </w:r>
    </w:p>
    <w:p>
      <w:pPr>
        <w:pStyle w:val="ListParagraph"/>
        <w:numPr>
          <w:ilvl w:val="0"/>
          <w:numId w:val="4"/>
        </w:numPr>
        <w:spacing w:after="80" w:line="276"/>
      </w:pPr>
      <w:r>
        <w:rPr>
          <w:b/>
          <w:bCs/>
        </w:rPr>
        <w:t xml:space="preserve">Service-level objectives</w:t>
      </w:r>
      <w:r>
        <w:t xml:space="preserve"> — per-path latency, correctness, zero PII leakage and cost per query (section 13).</w:t>
      </w:r>
    </w:p>
    <w:p>
      <w:pPr>
        <w:spacing w:after="60"/>
      </w:pPr>
    </w:p>
    <w:p>
      <w:pPr>
        <w:pStyle w:val="Heading2"/>
      </w:pPr>
      <w:r>
        <w:t xml:space="preserve">3.3  Design principles</w:t>
      </w:r>
    </w:p>
    <w:p>
      <w:pPr>
        <w:pStyle w:val="ListParagraph"/>
        <w:numPr>
          <w:ilvl w:val="0"/>
          <w:numId w:val="5"/>
        </w:numPr>
        <w:spacing w:after="80" w:line="276"/>
      </w:pPr>
      <w:r>
        <w:rPr>
          <w:b/>
          <w:bCs/>
        </w:rPr>
        <w:t xml:space="preserve">Risk does not choose the path; intent does.</w:t>
      </w:r>
      <w:r>
        <w:t xml:space="preserve"> Only High risk forces a path (the panel).</w:t>
      </w:r>
    </w:p>
    <w:p>
      <w:pPr>
        <w:pStyle w:val="ListParagraph"/>
        <w:numPr>
          <w:ilvl w:val="0"/>
          <w:numId w:val="5"/>
        </w:numPr>
        <w:spacing w:after="80" w:line="276"/>
      </w:pPr>
      <w:r>
        <w:rPr>
          <w:b/>
          <w:bCs/>
        </w:rPr>
        <w:t xml:space="preserve">The model proposes; the code disposes.</w:t>
      </w:r>
      <w:r>
        <w:t xml:space="preserve"> Every hard rule is enforced in code after the model returns.</w:t>
      </w:r>
    </w:p>
    <w:p>
      <w:pPr>
        <w:pStyle w:val="ListParagraph"/>
        <w:numPr>
          <w:ilvl w:val="0"/>
          <w:numId w:val="5"/>
        </w:numPr>
        <w:spacing w:after="80" w:line="276"/>
      </w:pPr>
      <w:r>
        <w:rPr>
          <w:b/>
          <w:bCs/>
        </w:rPr>
        <w:t xml:space="preserve">Escalation is a node, not a return code.</w:t>
      </w:r>
      <w:r>
        <w:t xml:space="preserve"> It writes a durable review-queue row before the graph checkpoints.</w:t>
      </w:r>
    </w:p>
    <w:p>
      <w:pPr>
        <w:pStyle w:val="ListParagraph"/>
        <w:numPr>
          <w:ilvl w:val="0"/>
          <w:numId w:val="5"/>
        </w:numPr>
        <w:spacing w:after="80" w:line="276"/>
      </w:pPr>
      <w:r>
        <w:rPr>
          <w:b/>
          <w:bCs/>
        </w:rPr>
        <w:t xml:space="preserve">Degradation never bypasses escalation.</w:t>
      </w:r>
      <w:r>
        <w:t xml:space="preserve"> Under budget pressure the system produces a worse answer or no answer — never an uncertified one.</w:t>
      </w:r>
    </w:p>
    <w:p>
      <w:pPr>
        <w:pStyle w:val="ListParagraph"/>
        <w:numPr>
          <w:ilvl w:val="0"/>
          <w:numId w:val="5"/>
        </w:numPr>
        <w:spacing w:after="80" w:line="276"/>
      </w:pPr>
      <w:r>
        <w:rPr>
          <w:b/>
          <w:bCs/>
        </w:rPr>
        <w:t xml:space="preserve">Retrieved text is data, never instruction.</w:t>
      </w:r>
      <w:r>
        <w:t xml:space="preserve"> Chunks are neutralised and delimited; MCP output is clamped.</w:t>
      </w:r>
    </w:p>
    <w:p>
      <w:pPr>
        <w:pStyle w:val="ListParagraph"/>
        <w:numPr>
          <w:ilvl w:val="0"/>
          <w:numId w:val="5"/>
        </w:numPr>
        <w:spacing w:after="80" w:line="276"/>
      </w:pPr>
      <w:r>
        <w:rPr>
          <w:b/>
          <w:bCs/>
        </w:rPr>
        <w:t xml:space="preserve">Nothing reads the wall clock.</w:t>
      </w:r>
      <w:r>
        <w:t xml:space="preserve"> Retrieval and SQL use a pinned as-of date so every answer is reproducible.</w:t>
      </w:r>
    </w:p>
    <w:p>
      <w:pPr>
        <w:spacing w:after="60"/>
      </w:pPr>
    </w:p>
    <w:p>
      <w:pPr>
        <w:pStyle w:val="Heading1"/>
        <w:pageBreakBefore/>
      </w:pPr>
      <w:r>
        <w:t xml:space="preserve">4.  End-to-end agent workflow</w:t>
      </w:r>
    </w:p>
    <w:p>
      <w:pPr>
        <w:spacing w:after="140" w:line="288"/>
      </w:pPr>
      <w:r>
        <w:t xml:space="preserve">Every request follows the same sequence: Query → Guardrail → Rewrite → Intent → Entity → Risk → Plan → Route → Evidence → Validate → Reflect → Confidence → Respond or Escalate. The diagram below is the v4 workflow the implementation follows.</w:t>
      </w:r>
    </w:p>
    <w:p>
      <w:pPr>
        <w:spacing w:after="60" w:before="120"/>
        <w:jc w:val="center"/>
      </w:pPr>
      <w:r>
        <w:drawing>
          <wp:inline distT="0" distB="0" distL="0" distR="0">
            <wp:extent cx="4191000" cy="5638800"/>
            <wp:effectExtent t="0" r="0" b="0" l="0"/>
            <wp:docPr id="1" name="flow.png" descr="Figure 2 — End-to-End Agent Workflow v4" title="Figure 2 — End-to-End Agent Workflow 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5638800"/>
                    </a:xfrm>
                    <a:prstGeom prst="rect">
                      <a:avLst/>
                    </a:prstGeom>
                  </pic:spPr>
                </pic:pic>
              </a:graphicData>
            </a:graphic>
          </wp:inline>
        </w:drawing>
      </w:r>
    </w:p>
    <w:p>
      <w:pPr>
        <w:spacing w:after="200"/>
        <w:jc w:val="center"/>
      </w:pPr>
      <w:r>
        <w:rPr>
          <w:i/>
          <w:iCs/>
          <w:color w:val="5A6480"/>
          <w:sz w:val="17"/>
          <w:szCs w:val="17"/>
        </w:rPr>
        <w:t xml:space="preserve">Figure 2 — End-to-End Agent Workflow v4</w:t>
      </w:r>
    </w:p>
    <w:p>
      <w:pPr>
        <w:pStyle w:val="Heading2"/>
      </w:pPr>
      <w:r>
        <w:t xml:space="preserve">4.1  Request lifecycle</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450"/>
        <w:gridCol w:w="2150"/>
        <w:gridCol w:w="2800"/>
        <w:gridCol w:w="3626"/>
      </w:tblGrid>
      <w:tr>
        <w:trPr>
          <w:tblHeader/>
        </w:trPr>
        <w:tc>
          <w:tcPr>
            <w:tcW w:type="dxa" w:w="450"/>
            <w:shd w:fill="1E2761" w:color="auto" w:val="clear"/>
            <w:tcMar>
              <w:top w:type="dxa" w:w="70"/>
              <w:left w:type="dxa" w:w="110"/>
              <w:bottom w:type="dxa" w:w="70"/>
              <w:right w:type="dxa" w:w="110"/>
            </w:tcMar>
          </w:tcPr>
          <w:p>
            <w:pPr>
              <w:spacing w:after="0" w:line="252"/>
            </w:pPr>
            <w:r>
              <w:rPr>
                <w:b/>
                <w:bCs/>
                <w:color w:val="FFFFFF"/>
                <w:sz w:val="18"/>
                <w:szCs w:val="18"/>
              </w:rPr>
              <w:t xml:space="preserve">#</w:t>
            </w:r>
          </w:p>
        </w:tc>
        <w:tc>
          <w:tcPr>
            <w:tcW w:type="dxa" w:w="2150"/>
            <w:shd w:fill="1E2761" w:color="auto" w:val="clear"/>
            <w:tcMar>
              <w:top w:type="dxa" w:w="70"/>
              <w:left w:type="dxa" w:w="110"/>
              <w:bottom w:type="dxa" w:w="70"/>
              <w:right w:type="dxa" w:w="110"/>
            </w:tcMar>
          </w:tcPr>
          <w:p>
            <w:pPr>
              <w:spacing w:after="0" w:line="252"/>
            </w:pPr>
            <w:r>
              <w:rPr>
                <w:b/>
                <w:bCs/>
                <w:color w:val="FFFFFF"/>
                <w:sz w:val="18"/>
                <w:szCs w:val="18"/>
              </w:rPr>
              <w:t xml:space="preserve">Stage</w:t>
            </w:r>
          </w:p>
        </w:tc>
        <w:tc>
          <w:tcPr>
            <w:tcW w:type="dxa" w:w="2800"/>
            <w:shd w:fill="1E2761" w:color="auto" w:val="clear"/>
            <w:tcMar>
              <w:top w:type="dxa" w:w="70"/>
              <w:left w:type="dxa" w:w="110"/>
              <w:bottom w:type="dxa" w:w="70"/>
              <w:right w:type="dxa" w:w="110"/>
            </w:tcMar>
          </w:tcPr>
          <w:p>
            <w:pPr>
              <w:spacing w:after="0" w:line="252"/>
            </w:pPr>
            <w:r>
              <w:rPr>
                <w:b/>
                <w:bCs/>
                <w:color w:val="FFFFFF"/>
                <w:sz w:val="18"/>
                <w:szCs w:val="18"/>
              </w:rPr>
              <w:t xml:space="preserve">Component</w:t>
            </w:r>
          </w:p>
        </w:tc>
        <w:tc>
          <w:tcPr>
            <w:tcW w:type="dxa" w:w="3626"/>
            <w:shd w:fill="1E2761" w:color="auto" w:val="clear"/>
            <w:tcMar>
              <w:top w:type="dxa" w:w="70"/>
              <w:left w:type="dxa" w:w="110"/>
              <w:bottom w:type="dxa" w:w="70"/>
              <w:right w:type="dxa" w:w="110"/>
            </w:tcMar>
          </w:tcPr>
          <w:p>
            <w:pPr>
              <w:spacing w:after="0" w:line="252"/>
            </w:pPr>
            <w:r>
              <w:rPr>
                <w:b/>
                <w:bCs/>
                <w:color w:val="FFFFFF"/>
                <w:sz w:val="18"/>
                <w:szCs w:val="18"/>
              </w:rPr>
              <w:t xml:space="preserve">Outcome</w:t>
            </w:r>
          </w:p>
        </w:tc>
      </w:tr>
      <w:tr>
        <w:trPr>
          <w:tblHeader w:val="false"/>
        </w:trPr>
        <w:tc>
          <w:tcPr>
            <w:tcW w:type="dxa" w:w="45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1</w:t>
            </w:r>
          </w:p>
        </w:tc>
        <w:tc>
          <w:tcPr>
            <w:tcW w:type="dxa" w:w="215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Authenticate and validate</w:t>
            </w:r>
          </w:p>
        </w:tc>
        <w:tc>
          <w:tcPr>
            <w:tcW w:type="dxa" w:w="28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FastAPI, Auth0, Pydantic</w:t>
            </w:r>
          </w:p>
        </w:tc>
        <w:tc>
          <w:tcPr>
            <w:tcW w:type="dxa" w:w="36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Role, access scopes, deadline and token budget stamped</w:t>
            </w:r>
          </w:p>
        </w:tc>
      </w:tr>
      <w:tr>
        <w:trPr>
          <w:tblHeader w:val="false"/>
        </w:trPr>
        <w:tc>
          <w:tcPr>
            <w:tcW w:type="dxa" w:w="45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2</w:t>
            </w:r>
          </w:p>
        </w:tc>
        <w:tc>
          <w:tcPr>
            <w:tcW w:type="dxa" w:w="215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Input guardrail</w:t>
            </w:r>
          </w:p>
        </w:tc>
        <w:tc>
          <w:tcPr>
            <w:tcW w:type="dxa" w:w="28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guardrail node</w:t>
            </w:r>
          </w:p>
        </w:tc>
        <w:tc>
          <w:tcPr>
            <w:tcW w:type="dxa" w:w="36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Blocked → safe refusal with audit row</w:t>
            </w:r>
          </w:p>
        </w:tc>
      </w:tr>
      <w:tr>
        <w:trPr>
          <w:tblHeader w:val="false"/>
        </w:trPr>
        <w:tc>
          <w:tcPr>
            <w:tcW w:type="dxa" w:w="45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3</w:t>
            </w:r>
          </w:p>
        </w:tc>
        <w:tc>
          <w:tcPr>
            <w:tcW w:type="dxa" w:w="215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Multi-turn rewrite</w:t>
            </w:r>
          </w:p>
        </w:tc>
        <w:tc>
          <w:tcPr>
            <w:tcW w:type="dxa" w:w="28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query_rewrite</w:t>
            </w:r>
          </w:p>
        </w:tc>
        <w:tc>
          <w:tcPr>
            <w:tcW w:type="dxa" w:w="36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Standalone question from last 5 turns + summary</w:t>
            </w:r>
          </w:p>
        </w:tc>
      </w:tr>
      <w:tr>
        <w:trPr>
          <w:tblHeader w:val="false"/>
        </w:trPr>
        <w:tc>
          <w:tcPr>
            <w:tcW w:type="dxa" w:w="45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4</w:t>
            </w:r>
          </w:p>
        </w:tc>
        <w:tc>
          <w:tcPr>
            <w:tcW w:type="dxa" w:w="215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Intent classification</w:t>
            </w:r>
          </w:p>
        </w:tc>
        <w:tc>
          <w:tcPr>
            <w:tcW w:type="dxa" w:w="28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intent_classification</w:t>
            </w:r>
          </w:p>
        </w:tc>
        <w:tc>
          <w:tcPr>
            <w:tcW w:type="dxa" w:w="36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Intent, entity spans, document scope</w:t>
            </w:r>
          </w:p>
        </w:tc>
      </w:tr>
      <w:tr>
        <w:trPr>
          <w:tblHeader w:val="false"/>
        </w:trPr>
        <w:tc>
          <w:tcPr>
            <w:tcW w:type="dxa" w:w="45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5</w:t>
            </w:r>
          </w:p>
        </w:tc>
        <w:tc>
          <w:tcPr>
            <w:tcW w:type="dxa" w:w="215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Entity resolution</w:t>
            </w:r>
          </w:p>
        </w:tc>
        <w:tc>
          <w:tcPr>
            <w:tcW w:type="dxa" w:w="28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entity_resolution</w:t>
            </w:r>
          </w:p>
        </w:tc>
        <w:tc>
          <w:tcPr>
            <w:tcW w:type="dxa" w:w="36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0 or many hits → clarifying question</w:t>
            </w:r>
          </w:p>
        </w:tc>
      </w:tr>
      <w:tr>
        <w:trPr>
          <w:tblHeader w:val="false"/>
        </w:trPr>
        <w:tc>
          <w:tcPr>
            <w:tcW w:type="dxa" w:w="45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6</w:t>
            </w:r>
          </w:p>
        </w:tc>
        <w:tc>
          <w:tcPr>
            <w:tcW w:type="dxa" w:w="215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Risk assessment</w:t>
            </w:r>
          </w:p>
        </w:tc>
        <w:tc>
          <w:tcPr>
            <w:tcW w:type="dxa" w:w="28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risk_assessment</w:t>
            </w:r>
          </w:p>
        </w:tc>
        <w:tc>
          <w:tcPr>
            <w:tcW w:type="dxa" w:w="36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Fused Low / Medium / High with scenario</w:t>
            </w:r>
          </w:p>
        </w:tc>
      </w:tr>
      <w:tr>
        <w:trPr>
          <w:tblHeader w:val="false"/>
        </w:trPr>
        <w:tc>
          <w:tcPr>
            <w:tcW w:type="dxa" w:w="45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7</w:t>
            </w:r>
          </w:p>
        </w:tc>
        <w:tc>
          <w:tcPr>
            <w:tcW w:type="dxa" w:w="215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Plan and route</w:t>
            </w:r>
          </w:p>
        </w:tc>
        <w:tc>
          <w:tcPr>
            <w:tcW w:type="dxa" w:w="28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planner + path policy</w:t>
            </w:r>
          </w:p>
        </w:tc>
        <w:tc>
          <w:tcPr>
            <w:tcW w:type="dxa" w:w="36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Evidence plan and one admissible path</w:t>
            </w:r>
          </w:p>
        </w:tc>
      </w:tr>
      <w:tr>
        <w:trPr>
          <w:tblHeader w:val="false"/>
        </w:trPr>
        <w:tc>
          <w:tcPr>
            <w:tcW w:type="dxa" w:w="45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8</w:t>
            </w:r>
          </w:p>
        </w:tc>
        <w:tc>
          <w:tcPr>
            <w:tcW w:type="dxa" w:w="215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Gather evidence</w:t>
            </w:r>
          </w:p>
        </w:tc>
        <w:tc>
          <w:tcPr>
            <w:tcW w:type="dxa" w:w="28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rag / nl2sql / hybrid / agentic / panel</w:t>
            </w:r>
          </w:p>
        </w:tc>
        <w:tc>
          <w:tcPr>
            <w:tcW w:type="dxa" w:w="36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Chunks, SQL evidence, draft answer</w:t>
            </w:r>
          </w:p>
        </w:tc>
      </w:tr>
      <w:tr>
        <w:trPr>
          <w:tblHeader w:val="false"/>
        </w:trPr>
        <w:tc>
          <w:tcPr>
            <w:tcW w:type="dxa" w:w="45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9</w:t>
            </w:r>
          </w:p>
        </w:tc>
        <w:tc>
          <w:tcPr>
            <w:tcW w:type="dxa" w:w="215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Validate</w:t>
            </w:r>
          </w:p>
        </w:tc>
        <w:tc>
          <w:tcPr>
            <w:tcW w:type="dxa" w:w="28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validation</w:t>
            </w:r>
          </w:p>
        </w:tc>
        <w:tc>
          <w:tcPr>
            <w:tcW w:type="dxa" w:w="36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Defect list; reflection returns to planner (≤ 2)</w:t>
            </w:r>
          </w:p>
        </w:tc>
      </w:tr>
      <w:tr>
        <w:trPr>
          <w:tblHeader w:val="false"/>
        </w:trPr>
        <w:tc>
          <w:tcPr>
            <w:tcW w:type="dxa" w:w="45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10</w:t>
            </w:r>
          </w:p>
        </w:tc>
        <w:tc>
          <w:tcPr>
            <w:tcW w:type="dxa" w:w="215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Score and gate</w:t>
            </w:r>
          </w:p>
        </w:tc>
        <w:tc>
          <w:tcPr>
            <w:tcW w:type="dxa" w:w="28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confidence + release gate</w:t>
            </w:r>
          </w:p>
        </w:tc>
        <w:tc>
          <w:tcPr>
            <w:tcW w:type="dxa" w:w="36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Release or escalate</w:t>
            </w:r>
          </w:p>
        </w:tc>
      </w:tr>
      <w:tr>
        <w:trPr>
          <w:tblHeader w:val="false"/>
        </w:trPr>
        <w:tc>
          <w:tcPr>
            <w:tcW w:type="dxa" w:w="45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11</w:t>
            </w:r>
          </w:p>
        </w:tc>
        <w:tc>
          <w:tcPr>
            <w:tcW w:type="dxa" w:w="215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Respond</w:t>
            </w:r>
          </w:p>
        </w:tc>
        <w:tc>
          <w:tcPr>
            <w:tcW w:type="dxa" w:w="28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output guardrail / escalation</w:t>
            </w:r>
          </w:p>
        </w:tc>
        <w:tc>
          <w:tcPr>
            <w:tcW w:type="dxa" w:w="36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200 answered or 202 pending_review</w:t>
            </w:r>
          </w:p>
        </w:tc>
      </w:tr>
    </w:tbl>
    <w:p>
      <w:pPr>
        <w:spacing w:after="160"/>
      </w:pPr>
    </w:p>
    <w:p>
      <w:pPr>
        <w:pStyle w:val="Heading2"/>
      </w:pPr>
      <w:r>
        <w:t xml:space="preserve">4.2  Terminal outcomes</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2650"/>
        <w:gridCol w:w="650"/>
        <w:gridCol w:w="2850"/>
        <w:gridCol w:w="2876"/>
      </w:tblGrid>
      <w:tr>
        <w:trPr>
          <w:tblHeader/>
        </w:trPr>
        <w:tc>
          <w:tcPr>
            <w:tcW w:type="dxa" w:w="2650"/>
            <w:shd w:fill="1E2761" w:color="auto" w:val="clear"/>
            <w:tcMar>
              <w:top w:type="dxa" w:w="70"/>
              <w:left w:type="dxa" w:w="110"/>
              <w:bottom w:type="dxa" w:w="70"/>
              <w:right w:type="dxa" w:w="110"/>
            </w:tcMar>
          </w:tcPr>
          <w:p>
            <w:pPr>
              <w:spacing w:after="0" w:line="252"/>
            </w:pPr>
            <w:r>
              <w:rPr>
                <w:b/>
                <w:bCs/>
                <w:color w:val="FFFFFF"/>
                <w:sz w:val="18"/>
                <w:szCs w:val="18"/>
              </w:rPr>
              <w:t xml:space="preserve">Outcome</w:t>
            </w:r>
          </w:p>
        </w:tc>
        <w:tc>
          <w:tcPr>
            <w:tcW w:type="dxa" w:w="650"/>
            <w:shd w:fill="1E2761" w:color="auto" w:val="clear"/>
            <w:tcMar>
              <w:top w:type="dxa" w:w="70"/>
              <w:left w:type="dxa" w:w="110"/>
              <w:bottom w:type="dxa" w:w="70"/>
              <w:right w:type="dxa" w:w="110"/>
            </w:tcMar>
          </w:tcPr>
          <w:p>
            <w:pPr>
              <w:spacing w:after="0" w:line="252"/>
            </w:pPr>
            <w:r>
              <w:rPr>
                <w:b/>
                <w:bCs/>
                <w:color w:val="FFFFFF"/>
                <w:sz w:val="18"/>
                <w:szCs w:val="18"/>
              </w:rPr>
              <w:t xml:space="preserve">HTTP</w:t>
            </w:r>
          </w:p>
        </w:tc>
        <w:tc>
          <w:tcPr>
            <w:tcW w:type="dxa" w:w="2850"/>
            <w:shd w:fill="1E2761" w:color="auto" w:val="clear"/>
            <w:tcMar>
              <w:top w:type="dxa" w:w="70"/>
              <w:left w:type="dxa" w:w="110"/>
              <w:bottom w:type="dxa" w:w="70"/>
              <w:right w:type="dxa" w:w="110"/>
            </w:tcMar>
          </w:tcPr>
          <w:p>
            <w:pPr>
              <w:spacing w:after="0" w:line="252"/>
            </w:pPr>
            <w:r>
              <w:rPr>
                <w:b/>
                <w:bCs/>
                <w:color w:val="FFFFFF"/>
                <w:sz w:val="18"/>
                <w:szCs w:val="18"/>
              </w:rPr>
              <w:t xml:space="preserve">When</w:t>
            </w:r>
          </w:p>
        </w:tc>
        <w:tc>
          <w:tcPr>
            <w:tcW w:type="dxa" w:w="2876"/>
            <w:shd w:fill="1E2761" w:color="auto" w:val="clear"/>
            <w:tcMar>
              <w:top w:type="dxa" w:w="70"/>
              <w:left w:type="dxa" w:w="110"/>
              <w:bottom w:type="dxa" w:w="70"/>
              <w:right w:type="dxa" w:w="110"/>
            </w:tcMar>
          </w:tcPr>
          <w:p>
            <w:pPr>
              <w:spacing w:after="0" w:line="252"/>
            </w:pPr>
            <w:r>
              <w:rPr>
                <w:b/>
                <w:bCs/>
                <w:color w:val="FFFFFF"/>
                <w:sz w:val="18"/>
                <w:szCs w:val="18"/>
              </w:rPr>
              <w:t xml:space="preserve">Caller receives</w:t>
            </w:r>
          </w:p>
        </w:tc>
      </w:tr>
      <w:tr>
        <w:trPr>
          <w:tblHeader w:val="false"/>
        </w:trPr>
        <w:tc>
          <w:tcPr>
            <w:tcW w:type="dxa" w:w="2650"/>
            <w:shd w:fill="FFFFFF" w:color="auto" w:val="clear"/>
            <w:tcMar>
              <w:top w:type="dxa" w:w="70"/>
              <w:left w:type="dxa" w:w="110"/>
              <w:bottom w:type="dxa" w:w="70"/>
              <w:right w:type="dxa" w:w="110"/>
            </w:tcMar>
          </w:tcPr>
          <w:p>
            <w:pPr>
              <w:spacing w:after="0" w:line="252"/>
            </w:pPr>
            <w:r>
              <w:rPr>
                <w:rFonts w:ascii="Courier New" w:cs="Courier New" w:eastAsia="Courier New" w:hAnsi="Courier New"/>
                <w:sz w:val="18"/>
                <w:szCs w:val="18"/>
              </w:rPr>
              <w:t xml:space="preserve">answered</w:t>
            </w:r>
          </w:p>
        </w:tc>
        <w:tc>
          <w:tcPr>
            <w:tcW w:type="dxa" w:w="65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200</w:t>
            </w:r>
          </w:p>
        </w:tc>
        <w:tc>
          <w:tcPr>
            <w:tcW w:type="dxa" w:w="285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Evidence verified, confidence ≥ 0.75, risk not High</w:t>
            </w:r>
          </w:p>
        </w:tc>
        <w:tc>
          <w:tcPr>
            <w:tcW w:type="dxa" w:w="287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Answer, cited clauses, SQL executed, confidence, risk, timings</w:t>
            </w:r>
          </w:p>
        </w:tc>
      </w:tr>
      <w:tr>
        <w:trPr>
          <w:tblHeader w:val="false"/>
        </w:trPr>
        <w:tc>
          <w:tcPr>
            <w:tcW w:type="dxa" w:w="2650"/>
            <w:shd w:fill="F4F7FD" w:color="auto" w:val="clear"/>
            <w:tcMar>
              <w:top w:type="dxa" w:w="70"/>
              <w:left w:type="dxa" w:w="110"/>
              <w:bottom w:type="dxa" w:w="70"/>
              <w:right w:type="dxa" w:w="110"/>
            </w:tcMar>
          </w:tcPr>
          <w:p>
            <w:pPr>
              <w:spacing w:after="0" w:line="252"/>
            </w:pPr>
            <w:r>
              <w:rPr>
                <w:rFonts w:ascii="Courier New" w:cs="Courier New" w:eastAsia="Courier New" w:hAnsi="Courier New"/>
                <w:sz w:val="18"/>
                <w:szCs w:val="18"/>
              </w:rPr>
              <w:t xml:space="preserve">pending_review</w:t>
            </w:r>
          </w:p>
        </w:tc>
        <w:tc>
          <w:tcPr>
            <w:tcW w:type="dxa" w:w="65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202</w:t>
            </w:r>
          </w:p>
        </w:tc>
        <w:tc>
          <w:tcPr>
            <w:tcW w:type="dxa" w:w="285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High risk, failed validation, low confidence or conflict</w:t>
            </w:r>
          </w:p>
        </w:tc>
        <w:tc>
          <w:tcPr>
            <w:tcW w:type="dxa" w:w="287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request_id and poll URL — no draft answer</w:t>
            </w:r>
          </w:p>
        </w:tc>
      </w:tr>
      <w:tr>
        <w:trPr>
          <w:tblHeader w:val="false"/>
        </w:trPr>
        <w:tc>
          <w:tcPr>
            <w:tcW w:type="dxa" w:w="2650"/>
            <w:shd w:fill="FFFFFF" w:color="auto" w:val="clear"/>
            <w:tcMar>
              <w:top w:type="dxa" w:w="70"/>
              <w:left w:type="dxa" w:w="110"/>
              <w:bottom w:type="dxa" w:w="70"/>
              <w:right w:type="dxa" w:w="110"/>
            </w:tcMar>
          </w:tcPr>
          <w:p>
            <w:pPr>
              <w:spacing w:after="0" w:line="252"/>
            </w:pPr>
            <w:r>
              <w:rPr>
                <w:rFonts w:ascii="Courier New" w:cs="Courier New" w:eastAsia="Courier New" w:hAnsi="Courier New"/>
                <w:sz w:val="18"/>
                <w:szCs w:val="18"/>
              </w:rPr>
              <w:t xml:space="preserve">refused</w:t>
            </w:r>
          </w:p>
        </w:tc>
        <w:tc>
          <w:tcPr>
            <w:tcW w:type="dxa" w:w="65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200</w:t>
            </w:r>
          </w:p>
        </w:tc>
        <w:tc>
          <w:tcPr>
            <w:tcW w:type="dxa" w:w="285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Blocked by guardrail or out of scope</w:t>
            </w:r>
          </w:p>
        </w:tc>
        <w:tc>
          <w:tcPr>
            <w:tcW w:type="dxa" w:w="287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Reason</w:t>
            </w:r>
          </w:p>
        </w:tc>
      </w:tr>
      <w:tr>
        <w:trPr>
          <w:tblHeader w:val="false"/>
        </w:trPr>
        <w:tc>
          <w:tcPr>
            <w:tcW w:type="dxa" w:w="2650"/>
            <w:shd w:fill="F4F7FD" w:color="auto" w:val="clear"/>
            <w:tcMar>
              <w:top w:type="dxa" w:w="70"/>
              <w:left w:type="dxa" w:w="110"/>
              <w:bottom w:type="dxa" w:w="70"/>
              <w:right w:type="dxa" w:w="110"/>
            </w:tcMar>
          </w:tcPr>
          <w:p>
            <w:pPr>
              <w:spacing w:after="0" w:line="252"/>
            </w:pPr>
            <w:r>
              <w:rPr>
                <w:rFonts w:ascii="Courier New" w:cs="Courier New" w:eastAsia="Courier New" w:hAnsi="Courier New"/>
                <w:sz w:val="18"/>
                <w:szCs w:val="18"/>
              </w:rPr>
              <w:t xml:space="preserve">clarification_required</w:t>
            </w:r>
          </w:p>
        </w:tc>
        <w:tc>
          <w:tcPr>
            <w:tcW w:type="dxa" w:w="65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200</w:t>
            </w:r>
          </w:p>
        </w:tc>
        <w:tc>
          <w:tcPr>
            <w:tcW w:type="dxa" w:w="285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Entity could not be resolved</w:t>
            </w:r>
          </w:p>
        </w:tc>
        <w:tc>
          <w:tcPr>
            <w:tcW w:type="dxa" w:w="287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The question that must be answered first</w:t>
            </w:r>
          </w:p>
        </w:tc>
      </w:tr>
      <w:tr>
        <w:trPr>
          <w:tblHeader w:val="false"/>
        </w:trPr>
        <w:tc>
          <w:tcPr>
            <w:tcW w:type="dxa" w:w="2650"/>
            <w:shd w:fill="FFFFFF" w:color="auto" w:val="clear"/>
            <w:tcMar>
              <w:top w:type="dxa" w:w="70"/>
              <w:left w:type="dxa" w:w="110"/>
              <w:bottom w:type="dxa" w:w="70"/>
              <w:right w:type="dxa" w:w="110"/>
            </w:tcMar>
          </w:tcPr>
          <w:p>
            <w:pPr>
              <w:spacing w:after="0" w:line="252"/>
            </w:pPr>
            <w:r>
              <w:rPr>
                <w:rFonts w:ascii="Courier New" w:cs="Courier New" w:eastAsia="Courier New" w:hAnsi="Courier New"/>
                <w:sz w:val="18"/>
                <w:szCs w:val="18"/>
              </w:rPr>
              <w:t xml:space="preserve">not_found</w:t>
            </w:r>
          </w:p>
        </w:tc>
        <w:tc>
          <w:tcPr>
            <w:tcW w:type="dxa" w:w="65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200</w:t>
            </w:r>
          </w:p>
        </w:tc>
        <w:tc>
          <w:tcPr>
            <w:tcW w:type="dxa" w:w="285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Evidence does not contain the answer</w:t>
            </w:r>
          </w:p>
        </w:tc>
        <w:tc>
          <w:tcPr>
            <w:tcW w:type="dxa" w:w="287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An honest “I don’t know”</w:t>
            </w:r>
          </w:p>
        </w:tc>
      </w:tr>
    </w:tbl>
    <w:p>
      <w:pPr>
        <w:spacing w:after="160"/>
      </w:pPr>
    </w:p>
    <w:p>
      <w:pPr>
        <w:pStyle w:val="Heading2"/>
      </w:pPr>
      <w:r>
        <w:t xml:space="preserve">4.3  SLO measurement points</w:t>
      </w:r>
    </w:p>
    <w:p>
      <w:pPr>
        <w:spacing w:after="140" w:line="288"/>
      </w:pPr>
      <w:r>
        <w:t xml:space="preserve">Each node stamps a cumulative mark: </w:t>
      </w:r>
      <w:r>
        <w:rPr>
          <w:b/>
          <w:bCs/>
        </w:rPr>
        <w:t xml:space="preserve">t0</w:t>
      </w:r>
      <w:r>
        <w:t xml:space="preserve"> request accepted (after auth and guardrail), </w:t>
      </w:r>
      <w:r>
        <w:rPr>
          <w:b/>
          <w:bCs/>
        </w:rPr>
        <w:t xml:space="preserve">t1</w:t>
      </w:r>
      <w:r>
        <w:t xml:space="preserve"> route decided, </w:t>
      </w:r>
      <w:r>
        <w:rPr>
          <w:b/>
          <w:bCs/>
        </w:rPr>
        <w:t xml:space="preserve">t2</w:t>
      </w:r>
      <w:r>
        <w:t xml:space="preserve"> evidence retrieved, </w:t>
      </w:r>
      <w:r>
        <w:rPr>
          <w:b/>
          <w:bCs/>
        </w:rPr>
        <w:t xml:space="preserve">t3</w:t>
      </w:r>
      <w:r>
        <w:t xml:space="preserve"> validation and confidence complete, </w:t>
      </w:r>
      <w:r>
        <w:rPr>
          <w:b/>
          <w:bCs/>
        </w:rPr>
        <w:t xml:space="preserve">t4</w:t>
      </w:r>
      <w:r>
        <w:t xml:space="preserve"> response emitted. P95 latency is t4 − t0, reported separately for each evidence path.</w:t>
      </w:r>
    </w:p>
    <w:p>
      <w:pPr>
        <w:pStyle w:val="Heading1"/>
        <w:pageBreakBefore/>
      </w:pPr>
      <w:r>
        <w:t xml:space="preserve">5.  Agent catalogue</w:t>
      </w:r>
    </w:p>
    <w:p>
      <w:pPr>
        <w:spacing w:after="140" w:line="288"/>
      </w:pPr>
      <w:r>
        <w:t xml:space="preserve">The brief requires five agents. Each is implemented as one or more LangGraph nodes in </w:t>
      </w:r>
      <w:r>
        <w:rPr>
          <w:rFonts w:ascii="Courier New" w:cs="Courier New" w:eastAsia="Courier New" w:hAnsi="Courier New"/>
          <w:color w:val="1E2761"/>
          <w:sz w:val="18"/>
          <w:szCs w:val="18"/>
        </w:rPr>
        <w:t xml:space="preserve">src/nodes/</w:t>
      </w:r>
      <w:r>
        <w:t xml:space="preserve">, with prompts held separately in </w:t>
      </w:r>
      <w:r>
        <w:rPr>
          <w:rFonts w:ascii="Courier New" w:cs="Courier New" w:eastAsia="Courier New" w:hAnsi="Courier New"/>
          <w:color w:val="1E2761"/>
          <w:sz w:val="18"/>
          <w:szCs w:val="18"/>
        </w:rPr>
        <w:t xml:space="preserve">src/prompts/</w:t>
      </w:r>
      <w:r>
        <w:t xml:space="preserve">. Agency is concentrated in four places — the planner, the router, reflection and the multi-agent panel. Everything else is a deterministic pipeline with LLM calls inside it, which is what keeps the SLOs enforceable.</w:t>
      </w:r>
    </w:p>
    <w:p>
      <w:pPr>
        <w:pStyle w:val="Heading2"/>
      </w:pPr>
      <w:r>
        <w:t xml:space="preserve">5.1  Intent Classification Agent</w:t>
      </w:r>
    </w:p>
    <w:p>
      <w:pPr>
        <w:spacing w:after="120"/>
      </w:pPr>
      <w:r>
        <w:rPr>
          <w:b/>
          <w:bCs/>
          <w:color w:val="1E2761"/>
        </w:rPr>
        <w:t xml:space="preserve">Nodes:  </w:t>
      </w:r>
      <w:r>
        <w:rPr>
          <w:rFonts w:ascii="Courier New" w:cs="Courier New" w:eastAsia="Courier New" w:hAnsi="Courier New"/>
          <w:color w:val="5A6480"/>
          <w:sz w:val="18"/>
          <w:szCs w:val="18"/>
        </w:rPr>
        <w:t xml:space="preserve">query_rewrite</w:t>
      </w:r>
      <w:r>
        <w:rPr>
          <w:color w:val="5A6480"/>
        </w:rPr>
        <w:t xml:space="preserve"> → </w:t>
      </w:r>
      <w:r>
        <w:rPr>
          <w:rFonts w:ascii="Courier New" w:cs="Courier New" w:eastAsia="Courier New" w:hAnsi="Courier New"/>
          <w:color w:val="5A6480"/>
          <w:sz w:val="18"/>
          <w:szCs w:val="18"/>
        </w:rPr>
        <w:t xml:space="preserve">intent_classification</w:t>
      </w:r>
      <w:r>
        <w:rPr>
          <w:color w:val="5A6480"/>
        </w:rPr>
        <w:t xml:space="preserve"> → </w:t>
      </w:r>
      <w:r>
        <w:rPr>
          <w:rFonts w:ascii="Courier New" w:cs="Courier New" w:eastAsia="Courier New" w:hAnsi="Courier New"/>
          <w:color w:val="5A6480"/>
          <w:sz w:val="18"/>
          <w:szCs w:val="18"/>
        </w:rPr>
        <w:t xml:space="preserve">entity_resolution</w:t>
      </w:r>
    </w:p>
    <w:p>
      <w:pPr>
        <w:spacing w:after="140" w:line="288"/>
      </w:pPr>
      <w:r>
        <w:t xml:space="preserve">The query rewrite runs first so that a short follow-up (“what about for Vertex?”) inherits the thread's context and cannot reset risk to Low. Intent classification returns the intent, entity spans and document scope. Entity resolution maps a vendor name to its </w:t>
      </w:r>
      <w:r>
        <w:rPr>
          <w:rFonts w:ascii="Courier New" w:cs="Courier New" w:eastAsia="Courier New" w:hAnsi="Courier New"/>
          <w:color w:val="1E2761"/>
          <w:sz w:val="18"/>
          <w:szCs w:val="18"/>
        </w:rPr>
        <w:t xml:space="preserve">vendor_id</w:t>
      </w:r>
      <w:r>
        <w:t xml:space="preserve"> through exact, then trigram-fuzzy matching; zero or many hits produce a clarifying question and floor the risk at Medium.</w:t>
      </w:r>
    </w:p>
    <w:p>
      <w:pPr>
        <w:pStyle w:val="Heading2"/>
      </w:pPr>
      <w:r>
        <w:t xml:space="preserve">5.2  Retrieval Agent</w:t>
      </w:r>
    </w:p>
    <w:p>
      <w:pPr>
        <w:spacing w:after="120"/>
      </w:pPr>
      <w:r>
        <w:rPr>
          <w:b/>
          <w:bCs/>
          <w:color w:val="1E2761"/>
        </w:rPr>
        <w:t xml:space="preserve">Nodes:  </w:t>
      </w:r>
      <w:r>
        <w:rPr>
          <w:rFonts w:ascii="Courier New" w:cs="Courier New" w:eastAsia="Courier New" w:hAnsi="Courier New"/>
          <w:color w:val="5A6480"/>
          <w:sz w:val="18"/>
          <w:szCs w:val="18"/>
        </w:rPr>
        <w:t xml:space="preserve">rag_path</w:t>
      </w:r>
      <w:r>
        <w:rPr>
          <w:color w:val="5A6480"/>
        </w:rPr>
        <w:t xml:space="preserve">, </w:t>
      </w:r>
      <w:r>
        <w:rPr>
          <w:rFonts w:ascii="Courier New" w:cs="Courier New" w:eastAsia="Courier New" w:hAnsi="Courier New"/>
          <w:color w:val="5A6480"/>
          <w:sz w:val="18"/>
          <w:szCs w:val="18"/>
        </w:rPr>
        <w:t xml:space="preserve">nl2sql_path</w:t>
      </w:r>
      <w:r>
        <w:rPr>
          <w:color w:val="5A6480"/>
        </w:rPr>
        <w:t xml:space="preserve">, </w:t>
      </w:r>
      <w:r>
        <w:rPr>
          <w:rFonts w:ascii="Courier New" w:cs="Courier New" w:eastAsia="Courier New" w:hAnsi="Courier New"/>
          <w:color w:val="5A6480"/>
          <w:sz w:val="18"/>
          <w:szCs w:val="18"/>
        </w:rPr>
        <w:t xml:space="preserve">hybrid_path</w:t>
      </w:r>
      <w:r>
        <w:rPr>
          <w:color w:val="5A6480"/>
        </w:rPr>
        <w:t xml:space="preserve">, </w:t>
      </w:r>
      <w:r>
        <w:rPr>
          <w:rFonts w:ascii="Courier New" w:cs="Courier New" w:eastAsia="Courier New" w:hAnsi="Courier New"/>
          <w:color w:val="5A6480"/>
          <w:sz w:val="18"/>
          <w:szCs w:val="18"/>
        </w:rPr>
        <w:t xml:space="preserve">agentic_rag</w:t>
      </w:r>
    </w:p>
    <w:p>
      <w:pPr>
        <w:spacing w:after="140" w:line="288"/>
      </w:pPr>
      <w:r>
        <w:t xml:space="preserve">Executes the evidence path selected by the planner under the caller's access scope. RAG cites by clause or article number; SQL returns rows with disclosures; hybrid runs both in parallel and flags clause-versus-record mismatches; the agentic path is a LlamaIndex ReAct agent with policy, SQL and MCP tools for questions whose evidence cannot be named up front.</w:t>
      </w:r>
    </w:p>
    <w:p>
      <w:pPr>
        <w:pStyle w:val="Heading2"/>
      </w:pPr>
      <w:r>
        <w:t xml:space="preserve">5.3  Risk Assessment Agent</w:t>
      </w:r>
    </w:p>
    <w:p>
      <w:pPr>
        <w:spacing w:after="120"/>
      </w:pPr>
      <w:r>
        <w:rPr>
          <w:b/>
          <w:bCs/>
          <w:color w:val="1E2761"/>
        </w:rPr>
        <w:t xml:space="preserve">Node:  </w:t>
      </w:r>
      <w:r>
        <w:rPr>
          <w:rFonts w:ascii="Courier New" w:cs="Courier New" w:eastAsia="Courier New" w:hAnsi="Courier New"/>
          <w:color w:val="5A6480"/>
          <w:sz w:val="18"/>
          <w:szCs w:val="18"/>
        </w:rPr>
        <w:t xml:space="preserve">risk_assessment</w:t>
      </w:r>
      <w:r>
        <w:rPr>
          <w:color w:val="5A6480"/>
        </w:rPr>
        <w:t xml:space="preserve"> — L1 · L2 · L3 fusion (section 6)</w:t>
      </w:r>
    </w:p>
    <w:p>
      <w:pPr>
        <w:spacing w:after="140" w:line="288"/>
      </w:pPr>
      <w:r>
        <w:t xml:space="preserve">Combines a lexical floor, a constrained LLM classifier and SQL reality probes into a single risk level and scenario identifier.</w:t>
      </w:r>
    </w:p>
    <w:p>
      <w:pPr>
        <w:pStyle w:val="Heading2"/>
      </w:pPr>
      <w:r>
        <w:t xml:space="preserve">5.4  Planner and Intelligent Router</w:t>
      </w:r>
    </w:p>
    <w:p>
      <w:pPr>
        <w:spacing w:after="120"/>
      </w:pPr>
      <w:r>
        <w:rPr>
          <w:b/>
          <w:bCs/>
          <w:color w:val="1E2761"/>
        </w:rPr>
        <w:t xml:space="preserve">Nodes:  </w:t>
      </w:r>
      <w:r>
        <w:rPr>
          <w:rFonts w:ascii="Courier New" w:cs="Courier New" w:eastAsia="Courier New" w:hAnsi="Courier New"/>
          <w:color w:val="5A6480"/>
          <w:sz w:val="18"/>
          <w:szCs w:val="18"/>
        </w:rPr>
        <w:t xml:space="preserve">planner</w:t>
      </w:r>
      <w:r>
        <w:rPr>
          <w:color w:val="5A6480"/>
        </w:rPr>
        <w:t xml:space="preserve"> with </w:t>
      </w:r>
      <w:r>
        <w:rPr>
          <w:rFonts w:ascii="Courier New" w:cs="Courier New" w:eastAsia="Courier New" w:hAnsi="Courier New"/>
          <w:color w:val="5A6480"/>
          <w:sz w:val="18"/>
          <w:szCs w:val="18"/>
        </w:rPr>
        <w:t xml:space="preserve">path_policy.py</w:t>
      </w:r>
      <w:r>
        <w:rPr>
          <w:color w:val="5A6480"/>
        </w:rPr>
        <w:t xml:space="preserve">, </w:t>
      </w:r>
      <w:r>
        <w:rPr>
          <w:rFonts w:ascii="Courier New" w:cs="Courier New" w:eastAsia="Courier New" w:hAnsi="Courier New"/>
          <w:color w:val="5A6480"/>
          <w:sz w:val="18"/>
          <w:szCs w:val="18"/>
        </w:rPr>
        <w:t xml:space="preserve">route_evidence_path</w:t>
      </w:r>
    </w:p>
    <w:p>
      <w:pPr>
        <w:spacing w:after="140" w:line="288"/>
      </w:pPr>
      <w:r>
        <w:t xml:space="preserve">The planner emits an explicit evidence plan — which sources, in what order, and what must be proved — that the validator can later judge. The path it proposes is clamped into the admissible set for the intent; substitutions are recorded in </w:t>
      </w:r>
      <w:r>
        <w:rPr>
          <w:rFonts w:ascii="Courier New" w:cs="Courier New" w:eastAsia="Courier New" w:hAnsi="Courier New"/>
          <w:color w:val="1E2761"/>
          <w:sz w:val="18"/>
          <w:szCs w:val="18"/>
        </w:rPr>
        <w:t xml:space="preserve">path_decision</w:t>
      </w:r>
      <w:r>
        <w:t xml:space="preserve"> and logged.</w:t>
      </w:r>
    </w:p>
    <w:p>
      <w:pPr>
        <w:pStyle w:val="Heading2"/>
      </w:pPr>
      <w:r>
        <w:t xml:space="preserve">5.5  Compliance Validation Agent</w:t>
      </w:r>
    </w:p>
    <w:p>
      <w:pPr>
        <w:spacing w:after="120"/>
      </w:pPr>
      <w:r>
        <w:rPr>
          <w:b/>
          <w:bCs/>
          <w:color w:val="1E2761"/>
        </w:rPr>
        <w:t xml:space="preserve">Nodes:  </w:t>
      </w:r>
      <w:r>
        <w:rPr>
          <w:rFonts w:ascii="Courier New" w:cs="Courier New" w:eastAsia="Courier New" w:hAnsi="Courier New"/>
          <w:color w:val="5A6480"/>
          <w:sz w:val="18"/>
          <w:szCs w:val="18"/>
        </w:rPr>
        <w:t xml:space="preserve">validation</w:t>
      </w:r>
      <w:r>
        <w:rPr>
          <w:color w:val="5A6480"/>
        </w:rPr>
        <w:t xml:space="preserve"> → </w:t>
      </w:r>
      <w:r>
        <w:rPr>
          <w:rFonts w:ascii="Courier New" w:cs="Courier New" w:eastAsia="Courier New" w:hAnsi="Courier New"/>
          <w:color w:val="5A6480"/>
          <w:sz w:val="18"/>
          <w:szCs w:val="18"/>
        </w:rPr>
        <w:t xml:space="preserve">reflection</w:t>
      </w:r>
    </w:p>
    <w:p>
      <w:pPr>
        <w:spacing w:after="140" w:line="288"/>
      </w:pPr>
      <w:r>
        <w:t xml:space="preserve">Checks claim-to-evidence grounding, citation set membership, SQL result sanity and cross-department clause conflicts. It produces a structured defect list and never rewrites the answer, because a critic that can edit patches claims instead of reporting missing evidence. Reflection turns defects into a revised plan (widen retrieval, re-route, re-probe) and returns to the planner, bounded at two retries.</w:t>
      </w:r>
    </w:p>
    <w:p>
      <w:pPr>
        <w:pStyle w:val="Heading2"/>
      </w:pPr>
      <w:r>
        <w:t xml:space="preserve">5.6  High-Risk Multi-Agent Panel</w:t>
      </w:r>
    </w:p>
    <w:p>
      <w:pPr>
        <w:spacing w:after="120"/>
      </w:pPr>
      <w:r>
        <w:rPr>
          <w:b/>
          <w:bCs/>
          <w:color w:val="1E2761"/>
        </w:rPr>
        <w:t xml:space="preserve">Node:  </w:t>
      </w:r>
      <w:r>
        <w:rPr>
          <w:rFonts w:ascii="Courier New" w:cs="Courier New" w:eastAsia="Courier New" w:hAnsi="Courier New"/>
          <w:color w:val="5A6480"/>
          <w:sz w:val="18"/>
          <w:szCs w:val="18"/>
        </w:rPr>
        <w:t xml:space="preserve">multi_agent_panel</w:t>
      </w:r>
      <w:r>
        <w:rPr>
          <w:color w:val="5A6480"/>
        </w:rPr>
        <w:t xml:space="preserve"> — strong model tier, mandatory when risk is High</w:t>
      </w:r>
    </w:p>
    <w:p>
      <w:pPr>
        <w:spacing w:after="140" w:line="288"/>
      </w:pPr>
      <w:r>
        <w:t xml:space="preserve">Three agents with distinct system prompts run in parallel: a Policy Interpreter, a Data Verifier and an adversarially instructed Challenger. Their consensus and any dissent are recorded; one repair pass is allowed.</w:t>
      </w:r>
    </w:p>
    <w:p>
      <w:pPr>
        <w:pStyle w:val="Heading2"/>
      </w:pPr>
      <w:r>
        <w:t xml:space="preserve">5.7  Escalation Manager Agent</w:t>
      </w:r>
    </w:p>
    <w:p>
      <w:pPr>
        <w:spacing w:after="120"/>
      </w:pPr>
      <w:r>
        <w:rPr>
          <w:b/>
          <w:bCs/>
          <w:color w:val="1E2761"/>
        </w:rPr>
        <w:t xml:space="preserve">Node:  </w:t>
      </w:r>
      <w:r>
        <w:rPr>
          <w:rFonts w:ascii="Courier New" w:cs="Courier New" w:eastAsia="Courier New" w:hAnsi="Courier New"/>
          <w:color w:val="5A6480"/>
          <w:sz w:val="18"/>
          <w:szCs w:val="18"/>
        </w:rPr>
        <w:t xml:space="preserve">escalation</w:t>
      </w:r>
      <w:r>
        <w:rPr>
          <w:color w:val="5A6480"/>
        </w:rPr>
        <w:t xml:space="preserve"> — gate + LangGraph interrupt</w:t>
      </w:r>
    </w:p>
    <w:p>
      <w:pPr>
        <w:spacing w:after="140" w:line="288"/>
      </w:pPr>
      <w:r>
        <w:t xml:space="preserve">Builds the context package, writes the review-queue row, interrupts the graph at a checkpoint and returns 202. A reviewer's decision resumes the graph (section 11).</w:t>
      </w:r>
    </w:p>
    <w:p>
      <w:pPr>
        <w:pStyle w:val="Heading1"/>
        <w:pageBreakBefore/>
      </w:pPr>
      <w:r>
        <w:t xml:space="preserve">6.  Risk assessment</w:t>
      </w:r>
    </w:p>
    <w:p>
      <w:pPr>
        <w:pStyle w:val="Heading2"/>
      </w:pPr>
      <w:r>
        <w:t xml:space="preserve">6.1  Three-layer fusion</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2200"/>
        <w:gridCol w:w="3900"/>
        <w:gridCol w:w="2926"/>
      </w:tblGrid>
      <w:tr>
        <w:trPr>
          <w:tblHeader/>
        </w:trPr>
        <w:tc>
          <w:tcPr>
            <w:tcW w:type="dxa" w:w="2200"/>
            <w:shd w:fill="1E2761" w:color="auto" w:val="clear"/>
            <w:tcMar>
              <w:top w:type="dxa" w:w="70"/>
              <w:left w:type="dxa" w:w="110"/>
              <w:bottom w:type="dxa" w:w="70"/>
              <w:right w:type="dxa" w:w="110"/>
            </w:tcMar>
          </w:tcPr>
          <w:p>
            <w:pPr>
              <w:spacing w:after="0" w:line="252"/>
            </w:pPr>
            <w:r>
              <w:rPr>
                <w:b/>
                <w:bCs/>
                <w:color w:val="FFFFFF"/>
                <w:sz w:val="18"/>
                <w:szCs w:val="18"/>
              </w:rPr>
              <w:t xml:space="preserve">Layer</w:t>
            </w:r>
          </w:p>
        </w:tc>
        <w:tc>
          <w:tcPr>
            <w:tcW w:type="dxa" w:w="3900"/>
            <w:shd w:fill="1E2761" w:color="auto" w:val="clear"/>
            <w:tcMar>
              <w:top w:type="dxa" w:w="70"/>
              <w:left w:type="dxa" w:w="110"/>
              <w:bottom w:type="dxa" w:w="70"/>
              <w:right w:type="dxa" w:w="110"/>
            </w:tcMar>
          </w:tcPr>
          <w:p>
            <w:pPr>
              <w:spacing w:after="0" w:line="252"/>
            </w:pPr>
            <w:r>
              <w:rPr>
                <w:b/>
                <w:bCs/>
                <w:color w:val="FFFFFF"/>
                <w:sz w:val="18"/>
                <w:szCs w:val="18"/>
              </w:rPr>
              <w:t xml:space="preserve">Mechanism</w:t>
            </w:r>
          </w:p>
        </w:tc>
        <w:tc>
          <w:tcPr>
            <w:tcW w:type="dxa" w:w="2926"/>
            <w:shd w:fill="1E2761" w:color="auto" w:val="clear"/>
            <w:tcMar>
              <w:top w:type="dxa" w:w="70"/>
              <w:left w:type="dxa" w:w="110"/>
              <w:bottom w:type="dxa" w:w="70"/>
              <w:right w:type="dxa" w:w="110"/>
            </w:tcMar>
          </w:tcPr>
          <w:p>
            <w:pPr>
              <w:spacing w:after="0" w:line="252"/>
            </w:pPr>
            <w:r>
              <w:rPr>
                <w:b/>
                <w:bCs/>
                <w:color w:val="FFFFFF"/>
                <w:sz w:val="18"/>
                <w:szCs w:val="18"/>
              </w:rPr>
              <w:t xml:space="preserve">Role</w:t>
            </w:r>
          </w:p>
        </w:tc>
      </w:tr>
      <w:tr>
        <w:trPr>
          <w:tblHeader w:val="false"/>
        </w:trPr>
        <w:tc>
          <w:tcPr>
            <w:tcW w:type="dxa" w:w="2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L1 — Lexical floor</w:t>
            </w:r>
          </w:p>
        </w:tc>
        <w:tc>
          <w:tcPr>
            <w:tcW w:type="dxa" w:w="39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Keyword triggers (gift, hospitality, cross-border, legal hold, …)</w:t>
            </w:r>
          </w:p>
        </w:tc>
        <w:tc>
          <w:tcPr>
            <w:tcW w:type="dxa" w:w="29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Sets a minimum level and candidate scenarios</w:t>
            </w:r>
          </w:p>
        </w:tc>
      </w:tr>
      <w:tr>
        <w:trPr>
          <w:tblHeader w:val="false"/>
        </w:trPr>
        <w:tc>
          <w:tcPr>
            <w:tcW w:type="dxa" w:w="22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L2 — LLM classifier</w:t>
            </w:r>
          </w:p>
        </w:tc>
        <w:tc>
          <w:tcPr>
            <w:tcW w:type="dxa" w:w="39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Constrained structured output: risk level + scenario_id</w:t>
            </w:r>
          </w:p>
        </w:tc>
        <w:tc>
          <w:tcPr>
            <w:tcW w:type="dxa" w:w="29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May raise above the floor, never lower it</w:t>
            </w:r>
          </w:p>
        </w:tc>
      </w:tr>
      <w:tr>
        <w:trPr>
          <w:tblHeader w:val="false"/>
        </w:trPr>
        <w:tc>
          <w:tcPr>
            <w:tcW w:type="dxa" w:w="2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L3 — SQL probe</w:t>
            </w:r>
          </w:p>
        </w:tc>
        <w:tc>
          <w:tcPr>
            <w:tcW w:type="dxa" w:w="39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Queries the compliance DB at the pinned as-of date</w:t>
            </w:r>
          </w:p>
        </w:tc>
        <w:tc>
          <w:tcPr>
            <w:tcW w:type="dxa" w:w="29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Proof against the data; a confirmed probe forces High</w:t>
            </w:r>
          </w:p>
        </w:tc>
      </w:tr>
    </w:tbl>
    <w:p>
      <w:pPr>
        <w:spacing w:after="160"/>
      </w:pPr>
    </w:p>
    <w:p>
      <w:pPr>
        <w:shd w:fill="F4F7FD" w:color="auto" w:val="clear"/>
        <w:spacing w:after="0" w:before="80" w:line="252"/>
        <w:ind w:left="200" w:right="200"/>
      </w:pPr>
      <w:r>
        <w:rPr>
          <w:rFonts w:ascii="Courier New" w:cs="Courier New" w:eastAsia="Courier New" w:hAnsi="Courier New"/>
          <w:color w:val="16203F"/>
          <w:sz w:val="17"/>
          <w:szCs w:val="17"/>
        </w:rPr>
        <w:t xml:space="preserve">final = max(L1_floor, L2_classifier, L3_probe)</w:t>
      </w:r>
    </w:p>
    <w:p>
      <w:pPr>
        <w:shd w:fill="F4F7FD" w:color="auto" w:val="clear"/>
        <w:spacing w:after="0" w:before="0" w:line="252"/>
        <w:ind w:left="200" w:right="200"/>
      </w:pPr>
      <w:r>
        <w:rPr>
          <w:rFonts w:ascii="Courier New" w:cs="Courier New" w:eastAsia="Courier New" w:hAnsi="Courier New"/>
          <w:color w:val="16203F"/>
          <w:sz w:val="17"/>
          <w:szCs w:val="17"/>
        </w:rPr>
        <w:t xml:space="preserve"> </w:t>
      </w:r>
    </w:p>
    <w:p>
      <w:pPr>
        <w:shd w:fill="F4F7FD" w:color="auto" w:val="clear"/>
        <w:spacing w:after="0" w:before="0" w:line="252"/>
        <w:ind w:left="200" w:right="200"/>
      </w:pPr>
      <w:r>
        <w:rPr>
          <w:rFonts w:ascii="Courier New" w:cs="Courier New" w:eastAsia="Courier New" w:hAnsi="Courier New"/>
          <w:color w:val="16203F"/>
          <w:sz w:val="17"/>
          <w:szCs w:val="17"/>
        </w:rPr>
        <w:t xml:space="preserve">unresolved entity        -&gt; floor Medium, never Low</w:t>
      </w:r>
    </w:p>
    <w:p>
      <w:pPr>
        <w:shd w:fill="F4F7FD" w:color="auto" w:val="clear"/>
        <w:spacing w:after="0" w:before="0" w:line="252"/>
        <w:ind w:left="200" w:right="200"/>
      </w:pPr>
      <w:r>
        <w:rPr>
          <w:rFonts w:ascii="Courier New" w:cs="Courier New" w:eastAsia="Courier New" w:hAnsi="Courier New"/>
          <w:color w:val="16203F"/>
          <w:sz w:val="17"/>
          <w:szCs w:val="17"/>
        </w:rPr>
        <w:t xml:space="preserve">L2 vs L3 disagreement    -&gt; escalate and log</w:t>
      </w:r>
    </w:p>
    <w:p>
      <w:pPr>
        <w:shd w:fill="F4F7FD" w:color="auto" w:val="clear"/>
        <w:spacing w:after="0" w:before="0" w:line="252"/>
        <w:ind w:left="200" w:right="200"/>
      </w:pPr>
      <w:r>
        <w:rPr>
          <w:rFonts w:ascii="Courier New" w:cs="Courier New" w:eastAsia="Courier New" w:hAnsi="Courier New"/>
          <w:color w:val="16203F"/>
          <w:sz w:val="17"/>
          <w:szCs w:val="17"/>
        </w:rPr>
        <w:t xml:space="preserve">probes take :as_of       -&gt; never CURRENT_DATE</w:t>
      </w:r>
    </w:p>
    <w:p>
      <w:pPr>
        <w:spacing w:after="180" w:before="40"/>
      </w:pPr>
      <w:r>
        <w:rPr>
          <w:i/>
          <w:iCs/>
          <w:color w:val="5A6480"/>
          <w:sz w:val="16"/>
          <w:szCs w:val="16"/>
        </w:rPr>
        <w:t xml:space="preserve">src/nodes/risk_assessment.py — fuse()</w:t>
      </w:r>
    </w:p>
    <w:p>
      <w:pPr>
        <w:spacing w:after="140" w:line="288"/>
      </w:pPr>
      <w:r>
        <w:t xml:space="preserve">The three layers fail in different directions — the lexicon over-triggers, the classifier can be talked down, the probe only sees what the data records. Averaging them would let those failures cancel, so the fusion is a maximum with no weighting.</w:t>
      </w:r>
    </w:p>
    <w:p>
      <w:pPr>
        <w:pStyle w:val="Heading2"/>
      </w:pPr>
      <w:r>
        <w:t xml:space="preserve">6.2  Mandatory high-risk scenarios</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3700"/>
        <w:gridCol w:w="5326"/>
      </w:tblGrid>
      <w:tr>
        <w:trPr>
          <w:tblHeader/>
        </w:trPr>
        <w:tc>
          <w:tcPr>
            <w:tcW w:type="dxa" w:w="3700"/>
            <w:shd w:fill="1E2761" w:color="auto" w:val="clear"/>
            <w:tcMar>
              <w:top w:type="dxa" w:w="70"/>
              <w:left w:type="dxa" w:w="110"/>
              <w:bottom w:type="dxa" w:w="70"/>
              <w:right w:type="dxa" w:w="110"/>
            </w:tcMar>
          </w:tcPr>
          <w:p>
            <w:pPr>
              <w:spacing w:after="0" w:line="252"/>
            </w:pPr>
            <w:r>
              <w:rPr>
                <w:b/>
                <w:bCs/>
                <w:color w:val="FFFFFF"/>
                <w:sz w:val="18"/>
                <w:szCs w:val="18"/>
              </w:rPr>
              <w:t xml:space="preserve">Scenario</w:t>
            </w:r>
          </w:p>
        </w:tc>
        <w:tc>
          <w:tcPr>
            <w:tcW w:type="dxa" w:w="5326"/>
            <w:shd w:fill="1E2761" w:color="auto" w:val="clear"/>
            <w:tcMar>
              <w:top w:type="dxa" w:w="70"/>
              <w:left w:type="dxa" w:w="110"/>
              <w:bottom w:type="dxa" w:w="70"/>
              <w:right w:type="dxa" w:w="110"/>
            </w:tcMar>
          </w:tcPr>
          <w:p>
            <w:pPr>
              <w:spacing w:after="0" w:line="252"/>
            </w:pPr>
            <w:r>
              <w:rPr>
                <w:b/>
                <w:bCs/>
                <w:color w:val="FFFFFF"/>
                <w:sz w:val="18"/>
                <w:szCs w:val="18"/>
              </w:rPr>
              <w:t xml:space="preserve">Where it is caught</w:t>
            </w:r>
          </w:p>
        </w:tc>
      </w:tr>
      <w:tr>
        <w:trPr>
          <w:tblHeader w:val="false"/>
        </w:trPr>
        <w:tc>
          <w:tcPr>
            <w:tcW w:type="dxa" w:w="37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Cross-border transfer to a restricted jurisdiction</w:t>
            </w:r>
          </w:p>
        </w:tc>
        <w:tc>
          <w:tcPr>
            <w:tcW w:type="dxa" w:w="53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Lexical trigger → L1 floor; L2 vendor_data_sharing; high-risk-band and escalated-finding probes</w:t>
            </w:r>
          </w:p>
        </w:tc>
      </w:tr>
      <w:tr>
        <w:trPr>
          <w:tblHeader w:val="false"/>
        </w:trPr>
        <w:tc>
          <w:tcPr>
            <w:tcW w:type="dxa" w:w="37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Deletion request under active legal hold</w:t>
            </w:r>
          </w:p>
        </w:tc>
        <w:tc>
          <w:tcPr>
            <w:tcW w:type="dxa" w:w="53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L2 data_erasure; legal_hold_present probe; legal_hold_flag disclosure</w:t>
            </w:r>
          </w:p>
        </w:tc>
      </w:tr>
      <w:tr>
        <w:trPr>
          <w:tblHeader w:val="false"/>
        </w:trPr>
        <w:tc>
          <w:tcPr>
            <w:tcW w:type="dxa" w:w="37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Approval override for a Critical-risk vendor</w:t>
            </w:r>
          </w:p>
        </w:tc>
        <w:tc>
          <w:tcPr>
            <w:tcW w:type="dxa" w:w="53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L2 vendor_engagement; not-approved, high-risk-band and severe-open-finding probes</w:t>
            </w:r>
          </w:p>
        </w:tc>
      </w:tr>
      <w:tr>
        <w:trPr>
          <w:tblHeader w:val="false"/>
        </w:trPr>
        <w:tc>
          <w:tcPr>
            <w:tcW w:type="dxa" w:w="37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Gifts / hospitality involving overseas suppliers</w:t>
            </w:r>
          </w:p>
        </w:tc>
        <w:tc>
          <w:tcPr>
            <w:tcW w:type="dxa" w:w="53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Lexical triggers (gift, hospitality, brib, overseas) → High floor</w:t>
            </w:r>
          </w:p>
        </w:tc>
      </w:tr>
      <w:tr>
        <w:trPr>
          <w:tblHeader w:val="false"/>
        </w:trPr>
        <w:tc>
          <w:tcPr>
            <w:tcW w:type="dxa" w:w="37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Audit findings overdue beyond target date</w:t>
            </w:r>
          </w:p>
        </w:tc>
        <w:tc>
          <w:tcPr>
            <w:tcW w:type="dxa" w:w="53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L2 audit_finding; vendor_overdue_remediation probe</w:t>
            </w:r>
          </w:p>
        </w:tc>
      </w:tr>
      <w:tr>
        <w:trPr>
          <w:tblHeader w:val="false"/>
        </w:trPr>
        <w:tc>
          <w:tcPr>
            <w:tcW w:type="dxa" w:w="37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Conflicting policy clauses across departments</w:t>
            </w:r>
          </w:p>
        </w:tc>
        <w:tc>
          <w:tcPr>
            <w:tcW w:type="dxa" w:w="53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Validation CLAUSE_CONFLICT defect → escalate</w:t>
            </w:r>
          </w:p>
        </w:tc>
      </w:tr>
      <w:tr>
        <w:trPr>
          <w:tblHeader w:val="false"/>
        </w:trPr>
        <w:tc>
          <w:tcPr>
            <w:tcW w:type="dxa" w:w="37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Vendor onboarding with unresolved findings</w:t>
            </w:r>
          </w:p>
        </w:tc>
        <w:tc>
          <w:tcPr>
            <w:tcW w:type="dxa" w:w="53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L2 vendor_engagement; severe-open-finding probe</w:t>
            </w:r>
          </w:p>
        </w:tc>
      </w:tr>
      <w:tr>
        <w:trPr>
          <w:tblHeader w:val="false"/>
        </w:trPr>
        <w:tc>
          <w:tcPr>
            <w:tcW w:type="dxa" w:w="37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High-severity issue marked Closed without evidence</w:t>
            </w:r>
          </w:p>
        </w:tc>
        <w:tc>
          <w:tcPr>
            <w:tcW w:type="dxa" w:w="53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Remediation-status probes; panel Data Verifier lists what the data is silent on</w:t>
            </w:r>
          </w:p>
        </w:tc>
      </w:tr>
    </w:tbl>
    <w:p>
      <w:pPr>
        <w:spacing w:after="160"/>
      </w:pPr>
    </w:p>
    <w:tbl>
      <w:tblPr>
        <w:tblW w:type="dxa" w:w="9026"/>
        <w:tblBorders>
          <w:top w:val="single" w:color="1E2761" w:sz="4"/>
          <w:left w:val="single" w:color="1E2761" w:sz="4"/>
          <w:bottom w:val="single" w:color="1E2761" w:sz="4"/>
          <w:right w:val="single" w:color="1E2761" w:sz="4"/>
          <w:insideH w:val="single" w:color="1E2761" w:sz="4"/>
          <w:insideV w:val="single" w:color="1E2761" w:sz="4"/>
        </w:tblBorders>
      </w:tblPr>
      <w:tblGrid>
        <w:gridCol w:w="9026"/>
      </w:tblGrid>
      <w:tr>
        <w:tc>
          <w:tcPr>
            <w:tcW w:type="dxa" w:w="9026"/>
            <w:shd w:fill="1E2761" w:color="auto" w:val="clear"/>
            <w:tcMar>
              <w:top w:type="dxa" w:w="140"/>
              <w:left w:type="dxa" w:w="200"/>
              <w:bottom w:type="dxa" w:w="140"/>
              <w:right w:type="dxa" w:w="200"/>
            </w:tcMar>
          </w:tcPr>
          <w:p>
            <w:pPr>
              <w:spacing w:after="60"/>
            </w:pPr>
            <w:r>
              <w:rPr>
                <w:b/>
                <w:bCs/>
                <w:color w:val="E8A33D"/>
                <w:sz w:val="20"/>
                <w:szCs w:val="20"/>
              </w:rPr>
              <w:t xml:space="preserve">Risk is gated independently of confidence</w:t>
            </w:r>
          </w:p>
          <w:p>
            <w:pPr>
              <w:spacing w:after="0" w:line="276"/>
            </w:pPr>
            <w:r>
              <w:rPr>
                <w:color w:val="FFFFFF"/>
                <w:sz w:val="19"/>
                <w:szCs w:val="19"/>
              </w:rPr>
              <w:t xml:space="preserve">High risk escalates even at 0.97 confidence. Confidence measures whether the answer is right; risk measures the cost if it is not.</w:t>
            </w:r>
          </w:p>
        </w:tc>
      </w:tr>
    </w:tbl>
    <w:p>
      <w:pPr>
        <w:spacing w:after="160"/>
      </w:pPr>
    </w:p>
    <w:p>
      <w:pPr>
        <w:pStyle w:val="Heading1"/>
        <w:pageBreakBefore/>
      </w:pPr>
      <w:r>
        <w:t xml:space="preserve">7.  Intelligent routing and evidence paths</w:t>
      </w:r>
    </w:p>
    <w:p>
      <w:pPr>
        <w:pStyle w:val="Heading2"/>
      </w:pPr>
      <w:r>
        <w:t xml:space="preserve">7.1  The five evidence paths</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1800"/>
        <w:gridCol w:w="2400"/>
        <w:gridCol w:w="4826"/>
      </w:tblGrid>
      <w:tr>
        <w:trPr>
          <w:tblHeader/>
        </w:trPr>
        <w:tc>
          <w:tcPr>
            <w:tcW w:type="dxa" w:w="1800"/>
            <w:shd w:fill="1E2761" w:color="auto" w:val="clear"/>
            <w:tcMar>
              <w:top w:type="dxa" w:w="70"/>
              <w:left w:type="dxa" w:w="110"/>
              <w:bottom w:type="dxa" w:w="70"/>
              <w:right w:type="dxa" w:w="110"/>
            </w:tcMar>
          </w:tcPr>
          <w:p>
            <w:pPr>
              <w:spacing w:after="0" w:line="252"/>
            </w:pPr>
            <w:r>
              <w:rPr>
                <w:b/>
                <w:bCs/>
                <w:color w:val="FFFFFF"/>
                <w:sz w:val="18"/>
                <w:szCs w:val="18"/>
              </w:rPr>
              <w:t xml:space="preserve">Path</w:t>
            </w:r>
          </w:p>
        </w:tc>
        <w:tc>
          <w:tcPr>
            <w:tcW w:type="dxa" w:w="2400"/>
            <w:shd w:fill="1E2761" w:color="auto" w:val="clear"/>
            <w:tcMar>
              <w:top w:type="dxa" w:w="70"/>
              <w:left w:type="dxa" w:w="110"/>
              <w:bottom w:type="dxa" w:w="70"/>
              <w:right w:type="dxa" w:w="110"/>
            </w:tcMar>
          </w:tcPr>
          <w:p>
            <w:pPr>
              <w:spacing w:after="0" w:line="252"/>
            </w:pPr>
            <w:r>
              <w:rPr>
                <w:b/>
                <w:bCs/>
                <w:color w:val="FFFFFF"/>
                <w:sz w:val="18"/>
                <w:szCs w:val="18"/>
              </w:rPr>
              <w:t xml:space="preserve">Used for</w:t>
            </w:r>
          </w:p>
        </w:tc>
        <w:tc>
          <w:tcPr>
            <w:tcW w:type="dxa" w:w="4826"/>
            <w:shd w:fill="1E2761" w:color="auto" w:val="clear"/>
            <w:tcMar>
              <w:top w:type="dxa" w:w="70"/>
              <w:left w:type="dxa" w:w="110"/>
              <w:bottom w:type="dxa" w:w="70"/>
              <w:right w:type="dxa" w:w="110"/>
            </w:tcMar>
          </w:tcPr>
          <w:p>
            <w:pPr>
              <w:spacing w:after="0" w:line="252"/>
            </w:pPr>
            <w:r>
              <w:rPr>
                <w:b/>
                <w:bCs/>
                <w:color w:val="FFFFFF"/>
                <w:sz w:val="18"/>
                <w:szCs w:val="18"/>
              </w:rPr>
              <w:t xml:space="preserve">How it works</w:t>
            </w:r>
          </w:p>
        </w:tc>
      </w:tr>
      <w:tr>
        <w:trPr>
          <w:tblHeader w:val="false"/>
        </w:trPr>
        <w:tc>
          <w:tcPr>
            <w:tcW w:type="dxa" w:w="18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RAG</w:t>
            </w:r>
          </w:p>
        </w:tc>
        <w:tc>
          <w:tcPr>
            <w:tcW w:type="dxa" w:w="24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Policy interpretation</w:t>
            </w:r>
          </w:p>
        </w:tc>
        <w:tc>
          <w:tcPr>
            <w:tcW w:type="dxa" w:w="48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Dense + BM25 → Reciprocal Rank Fusion → FlashRank rerank; cites by clause / article</w:t>
            </w:r>
          </w:p>
        </w:tc>
      </w:tr>
      <w:tr>
        <w:trPr>
          <w:tblHeader w:val="false"/>
        </w:trPr>
        <w:tc>
          <w:tcPr>
            <w:tcW w:type="dxa" w:w="18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NL2SQL</w:t>
            </w:r>
          </w:p>
        </w:tc>
        <w:tc>
          <w:tcPr>
            <w:tcW w:type="dxa" w:w="24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Record lookup</w:t>
            </w:r>
          </w:p>
        </w:tc>
        <w:tc>
          <w:tcPr>
            <w:tcW w:type="dxa" w:w="48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Vetted role-scoped template; guarded generated SQL only on a catalogue miss</w:t>
            </w:r>
          </w:p>
        </w:tc>
      </w:tr>
      <w:tr>
        <w:trPr>
          <w:tblHeader w:val="false"/>
        </w:trPr>
        <w:tc>
          <w:tcPr>
            <w:tcW w:type="dxa" w:w="18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Hybrid</w:t>
            </w:r>
          </w:p>
        </w:tc>
        <w:tc>
          <w:tcPr>
            <w:tcW w:type="dxa" w:w="24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Clause versus record</w:t>
            </w:r>
          </w:p>
        </w:tc>
        <w:tc>
          <w:tcPr>
            <w:tcW w:type="dxa" w:w="48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RAG and SQL in parallel, fused; flags clause ↔ record mismatch</w:t>
            </w:r>
          </w:p>
        </w:tc>
      </w:tr>
      <w:tr>
        <w:trPr>
          <w:tblHeader w:val="false"/>
        </w:trPr>
        <w:tc>
          <w:tcPr>
            <w:tcW w:type="dxa" w:w="18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Agentic ReAct</w:t>
            </w:r>
          </w:p>
        </w:tc>
        <w:tc>
          <w:tcPr>
            <w:tcW w:type="dxa" w:w="24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Evidence not nameable up front</w:t>
            </w:r>
          </w:p>
        </w:tc>
        <w:tc>
          <w:tcPr>
            <w:tcW w:type="dxa" w:w="48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LlamaIndex ReAct agent with policy, SQL and MCP tools</w:t>
            </w:r>
          </w:p>
        </w:tc>
      </w:tr>
      <w:tr>
        <w:trPr>
          <w:tblHeader w:val="false"/>
        </w:trPr>
        <w:tc>
          <w:tcPr>
            <w:tcW w:type="dxa" w:w="18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High-Risk Panel</w:t>
            </w:r>
          </w:p>
        </w:tc>
        <w:tc>
          <w:tcPr>
            <w:tcW w:type="dxa" w:w="24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Risk = High (mandatory)</w:t>
            </w:r>
          </w:p>
        </w:tc>
        <w:tc>
          <w:tcPr>
            <w:tcW w:type="dxa" w:w="48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Interpreter · Data Verifier · Challenger; consensus + dissent</w:t>
            </w:r>
          </w:p>
        </w:tc>
      </w:tr>
    </w:tbl>
    <w:p>
      <w:pPr>
        <w:spacing w:after="160"/>
      </w:pPr>
    </w:p>
    <w:p>
      <w:pPr>
        <w:pStyle w:val="Heading2"/>
      </w:pPr>
      <w:r>
        <w:t xml:space="preserve">7.2  Deterministic path policy</w:t>
      </w:r>
    </w:p>
    <w:p>
      <w:pPr>
        <w:spacing w:after="140" w:line="288"/>
      </w:pPr>
      <w:r>
        <w:rPr>
          <w:rFonts w:ascii="Courier New" w:cs="Courier New" w:eastAsia="Courier New" w:hAnsi="Courier New"/>
          <w:color w:val="1E2761"/>
          <w:sz w:val="18"/>
          <w:szCs w:val="18"/>
        </w:rPr>
        <w:t xml:space="preserve">src/graph/path_policy.py</w:t>
      </w:r>
      <w:r>
        <w:t xml:space="preserve"> holds one rule per intent: the default path, the admissible set, the fallback, and which evidence the answer turns on. The planner's proposal is clamped into the admissible set and the substitution is recorded, so the same question always routes the same way and a record lookup can never be answered from policy text alone.</w:t>
      </w:r>
    </w:p>
    <w:p>
      <w:pPr>
        <w:pStyle w:val="Heading2"/>
      </w:pPr>
      <w:r>
        <w:t xml:space="preserve">7.3  Evidence-preserving degradation</w:t>
      </w:r>
    </w:p>
    <w:p>
      <w:pPr>
        <w:spacing w:after="140" w:line="288"/>
      </w:pPr>
      <w:r>
        <w:t xml:space="preserve">Under budget pressure a path may degrade — but only toward the source the question turns on. Hybrid falls back to NL2SQL for vendor and retention questions and to RAG for incident guidance. The agentic path degrades to hybrid below its minimum time. RAG and NL2SQL do not degrade; they escalate.</w:t>
      </w:r>
    </w:p>
    <w:p>
      <w:pPr>
        <w:pStyle w:val="Heading1"/>
        <w:pageBreakBefore/>
      </w:pPr>
      <w:r>
        <w:t xml:space="preserve">8.  Knowledge layer: ingestion and retrieval</w:t>
      </w:r>
    </w:p>
    <w:p>
      <w:pPr>
        <w:pStyle w:val="Heading2"/>
      </w:pPr>
      <w:r>
        <w:t xml:space="preserve">8.1  Policy corpus</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6000"/>
        <w:gridCol w:w="3026"/>
      </w:tblGrid>
      <w:tr>
        <w:trPr>
          <w:tblHeader/>
        </w:trPr>
        <w:tc>
          <w:tcPr>
            <w:tcW w:type="dxa" w:w="6000"/>
            <w:shd w:fill="1E2761" w:color="auto" w:val="clear"/>
            <w:tcMar>
              <w:top w:type="dxa" w:w="70"/>
              <w:left w:type="dxa" w:w="110"/>
              <w:bottom w:type="dxa" w:w="70"/>
              <w:right w:type="dxa" w:w="110"/>
            </w:tcMar>
          </w:tcPr>
          <w:p>
            <w:pPr>
              <w:spacing w:after="0" w:line="252"/>
            </w:pPr>
            <w:r>
              <w:rPr>
                <w:b/>
                <w:bCs/>
                <w:color w:val="FFFFFF"/>
                <w:sz w:val="18"/>
                <w:szCs w:val="18"/>
              </w:rPr>
              <w:t xml:space="preserve">Document</w:t>
            </w:r>
          </w:p>
        </w:tc>
        <w:tc>
          <w:tcPr>
            <w:tcW w:type="dxa" w:w="3026"/>
            <w:shd w:fill="1E2761" w:color="auto" w:val="clear"/>
            <w:tcMar>
              <w:top w:type="dxa" w:w="70"/>
              <w:left w:type="dxa" w:w="110"/>
              <w:bottom w:type="dxa" w:w="70"/>
              <w:right w:type="dxa" w:w="110"/>
            </w:tcMar>
          </w:tcPr>
          <w:p>
            <w:pPr>
              <w:spacing w:after="0" w:line="252"/>
            </w:pPr>
            <w:r>
              <w:rPr>
                <w:b/>
                <w:bCs/>
                <w:color w:val="FFFFFF"/>
                <w:sz w:val="18"/>
                <w:szCs w:val="18"/>
              </w:rPr>
              <w:t xml:space="preserve">doc_type</w:t>
            </w:r>
          </w:p>
        </w:tc>
      </w:tr>
      <w:tr>
        <w:trPr>
          <w:tblHeader w:val="false"/>
        </w:trPr>
        <w:tc>
          <w:tcPr>
            <w:tcW w:type="dxa" w:w="60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Retail Data Protection &amp; Privacy Policy</w:t>
            </w:r>
          </w:p>
        </w:tc>
        <w:tc>
          <w:tcPr>
            <w:tcW w:type="dxa" w:w="30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privacy_policy</w:t>
            </w:r>
          </w:p>
        </w:tc>
      </w:tr>
      <w:tr>
        <w:trPr>
          <w:tblHeader w:val="false"/>
        </w:trPr>
        <w:tc>
          <w:tcPr>
            <w:tcW w:type="dxa" w:w="60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Data Retention &amp; Archival Policy</w:t>
            </w:r>
          </w:p>
        </w:tc>
        <w:tc>
          <w:tcPr>
            <w:tcW w:type="dxa" w:w="30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retention_policy</w:t>
            </w:r>
          </w:p>
        </w:tc>
      </w:tr>
      <w:tr>
        <w:trPr>
          <w:tblHeader w:val="false"/>
        </w:trPr>
        <w:tc>
          <w:tcPr>
            <w:tcW w:type="dxa" w:w="60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Supplier / Vendor Compliance Policy</w:t>
            </w:r>
          </w:p>
        </w:tc>
        <w:tc>
          <w:tcPr>
            <w:tcW w:type="dxa" w:w="30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vendor_policy</w:t>
            </w:r>
          </w:p>
        </w:tc>
      </w:tr>
      <w:tr>
        <w:trPr>
          <w:tblHeader w:val="false"/>
        </w:trPr>
        <w:tc>
          <w:tcPr>
            <w:tcW w:type="dxa" w:w="60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Anti-Bribery &amp; Ethical Conduct Policy</w:t>
            </w:r>
          </w:p>
        </w:tc>
        <w:tc>
          <w:tcPr>
            <w:tcW w:type="dxa" w:w="30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anti_bribery_policy</w:t>
            </w:r>
          </w:p>
        </w:tc>
      </w:tr>
      <w:tr>
        <w:trPr>
          <w:tblHeader w:val="false"/>
        </w:trPr>
        <w:tc>
          <w:tcPr>
            <w:tcW w:type="dxa" w:w="60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Information Security Access Control Policy</w:t>
            </w:r>
          </w:p>
        </w:tc>
        <w:tc>
          <w:tcPr>
            <w:tcW w:type="dxa" w:w="30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infosec_policy</w:t>
            </w:r>
          </w:p>
        </w:tc>
      </w:tr>
      <w:tr>
        <w:trPr>
          <w:tblHeader w:val="false"/>
        </w:trPr>
        <w:tc>
          <w:tcPr>
            <w:tcW w:type="dxa" w:w="60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GDPR — selected articles (5, 6, 17, 32)</w:t>
            </w:r>
          </w:p>
        </w:tc>
        <w:tc>
          <w:tcPr>
            <w:tcW w:type="dxa" w:w="30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gdpr</w:t>
            </w:r>
          </w:p>
        </w:tc>
      </w:tr>
      <w:tr>
        <w:trPr>
          <w:tblHeader w:val="false"/>
        </w:trPr>
        <w:tc>
          <w:tcPr>
            <w:tcW w:type="dxa" w:w="60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ISO 27001 Access Control Summary</w:t>
            </w:r>
          </w:p>
        </w:tc>
        <w:tc>
          <w:tcPr>
            <w:tcW w:type="dxa" w:w="30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iso_27001</w:t>
            </w:r>
          </w:p>
        </w:tc>
      </w:tr>
    </w:tbl>
    <w:p>
      <w:pPr>
        <w:spacing w:after="160"/>
      </w:pPr>
    </w:p>
    <w:p>
      <w:pPr>
        <w:pStyle w:val="Heading2"/>
      </w:pPr>
      <w:r>
        <w:t xml:space="preserve">8.2  Ingestion pipeline</w:t>
      </w:r>
    </w:p>
    <w:p>
      <w:pPr>
        <w:shd w:fill="F4F7FD" w:color="auto" w:val="clear"/>
        <w:spacing w:after="0" w:before="80" w:line="252"/>
        <w:ind w:left="200" w:right="200"/>
      </w:pPr>
      <w:r>
        <w:rPr>
          <w:rFonts w:ascii="Courier New" w:cs="Courier New" w:eastAsia="Courier New" w:hAnsi="Courier New"/>
          <w:color w:val="16203F"/>
          <w:sz w:val="17"/>
          <w:szCs w:val="17"/>
        </w:rPr>
        <w:t xml:space="preserve">router      LlamaParse vs LlamaIndex, decided from probe evidence</w:t>
      </w:r>
    </w:p>
    <w:p>
      <w:pPr>
        <w:shd w:fill="F4F7FD" w:color="auto" w:val="clear"/>
        <w:spacing w:after="0" w:before="0" w:line="252"/>
        <w:ind w:left="200" w:right="200"/>
      </w:pPr>
      <w:r>
        <w:rPr>
          <w:rFonts w:ascii="Courier New" w:cs="Courier New" w:eastAsia="Courier New" w:hAnsi="Courier New"/>
          <w:color w:val="16203F"/>
          <w:sz w:val="17"/>
          <w:szCs w:val="17"/>
        </w:rPr>
        <w:t xml:space="preserve">  -&gt; loaders      clean markdown</w:t>
      </w:r>
    </w:p>
    <w:p>
      <w:pPr>
        <w:shd w:fill="F4F7FD" w:color="auto" w:val="clear"/>
        <w:spacing w:after="0" w:before="0" w:line="252"/>
        <w:ind w:left="200" w:right="200"/>
      </w:pPr>
      <w:r>
        <w:rPr>
          <w:rFonts w:ascii="Courier New" w:cs="Courier New" w:eastAsia="Courier New" w:hAnsi="Courier New"/>
          <w:color w:val="16203F"/>
          <w:sz w:val="17"/>
          <w:szCs w:val="17"/>
        </w:rPr>
        <w:t xml:space="preserve">    -&gt; extractors   clauses, tables, rasters, drawn figures  (no model calls)</w:t>
      </w:r>
    </w:p>
    <w:p>
      <w:pPr>
        <w:shd w:fill="F4F7FD" w:color="auto" w:val="clear"/>
        <w:spacing w:after="0" w:before="0" w:line="252"/>
        <w:ind w:left="200" w:right="200"/>
      </w:pPr>
      <w:r>
        <w:rPr>
          <w:rFonts w:ascii="Courier New" w:cs="Courier New" w:eastAsia="Courier New" w:hAnsi="Courier New"/>
          <w:color w:val="16203F"/>
          <w:sz w:val="17"/>
          <w:szCs w:val="17"/>
        </w:rPr>
        <w:t xml:space="preserve">      -&gt; processors   semantic split -&gt; bounded recursive fallback;</w:t>
      </w:r>
    </w:p>
    <w:p>
      <w:pPr>
        <w:shd w:fill="F4F7FD" w:color="auto" w:val="clear"/>
        <w:spacing w:after="0" w:before="0" w:line="252"/>
        <w:ind w:left="200" w:right="200"/>
      </w:pPr>
      <w:r>
        <w:rPr>
          <w:rFonts w:ascii="Courier New" w:cs="Courier New" w:eastAsia="Courier New" w:hAnsi="Courier New"/>
          <w:color w:val="16203F"/>
          <w:sz w:val="17"/>
          <w:szCs w:val="17"/>
        </w:rPr>
        <w:t xml:space="preserve">                      table summaries; vision captions</w:t>
      </w:r>
    </w:p>
    <w:p>
      <w:pPr>
        <w:shd w:fill="F4F7FD" w:color="auto" w:val="clear"/>
        <w:spacing w:after="0" w:before="0" w:line="252"/>
        <w:ind w:left="200" w:right="200"/>
      </w:pPr>
      <w:r>
        <w:rPr>
          <w:rFonts w:ascii="Courier New" w:cs="Courier New" w:eastAsia="Courier New" w:hAnsi="Courier New"/>
          <w:color w:val="16203F"/>
          <w:sz w:val="17"/>
          <w:szCs w:val="17"/>
        </w:rPr>
        <w:t xml:space="preserve">        -&gt; metadata     closed enums, single stamping point, validated</w:t>
      </w:r>
    </w:p>
    <w:p>
      <w:pPr>
        <w:shd w:fill="F4F7FD" w:color="auto" w:val="clear"/>
        <w:spacing w:after="0" w:before="0" w:line="252"/>
        <w:ind w:left="200" w:right="200"/>
      </w:pPr>
      <w:r>
        <w:rPr>
          <w:rFonts w:ascii="Courier New" w:cs="Courier New" w:eastAsia="Courier New" w:hAnsi="Courier New"/>
          <w:color w:val="16203F"/>
          <w:sz w:val="17"/>
          <w:szCs w:val="17"/>
        </w:rPr>
        <w:t xml:space="preserve">          -&gt; pgvector     insert, then supersede previous versions</w:t>
      </w:r>
    </w:p>
    <w:p>
      <w:pPr>
        <w:spacing w:after="180" w:before="40"/>
      </w:pPr>
      <w:r>
        <w:rPr>
          <w:i/>
          <w:iCs/>
          <w:color w:val="5A6480"/>
          <w:sz w:val="16"/>
          <w:szCs w:val="16"/>
        </w:rPr>
        <w:t xml:space="preserve">src/ingestion/ — layered by the question each layer answers</w:t>
      </w:r>
    </w:p>
    <w:p>
      <w:pPr>
        <w:pStyle w:val="ListParagraph"/>
        <w:numPr>
          <w:ilvl w:val="0"/>
          <w:numId w:val="6"/>
        </w:numPr>
        <w:spacing w:after="80" w:line="276"/>
      </w:pPr>
      <w:r>
        <w:rPr>
          <w:b/>
          <w:bCs/>
        </w:rPr>
        <w:t xml:space="preserve">Clause-aware sectioning runs first.</w:t>
      </w:r>
      <w:r>
        <w:t xml:space="preserve"> The clause number is the unit of citation, so it is the outermost split; tables are extracted per clause and inherit its number.</w:t>
      </w:r>
    </w:p>
    <w:p>
      <w:pPr>
        <w:pStyle w:val="ListParagraph"/>
        <w:numPr>
          <w:ilvl w:val="0"/>
          <w:numId w:val="6"/>
        </w:numPr>
        <w:spacing w:after="80" w:line="276"/>
      </w:pPr>
      <w:r>
        <w:rPr>
          <w:b/>
          <w:bCs/>
        </w:rPr>
        <w:t xml:space="preserve">Drawn figures are detected geometrically.</w:t>
      </w:r>
      <w:r>
        <w:t xml:space="preserve"> The corpus contains no embedded raster images — every flowchart is vector drawing — so figures are found by clustering drawing operators and then captioned.</w:t>
      </w:r>
    </w:p>
    <w:p>
      <w:pPr>
        <w:pStyle w:val="ListParagraph"/>
        <w:numPr>
          <w:ilvl w:val="0"/>
          <w:numId w:val="6"/>
        </w:numPr>
        <w:spacing w:after="80" w:line="276"/>
      </w:pPr>
      <w:r>
        <w:rPr>
          <w:b/>
          <w:bCs/>
        </w:rPr>
        <w:t xml:space="preserve">The metadata contract is enforced.</w:t>
      </w:r>
      <w:r>
        <w:t xml:space="preserve"> </w:t>
      </w:r>
      <w:r>
        <w:rPr>
          <w:rFonts w:ascii="Courier New" w:cs="Courier New" w:eastAsia="Courier New" w:hAnsi="Courier New"/>
          <w:color w:val="1E2761"/>
          <w:sz w:val="18"/>
          <w:szCs w:val="18"/>
        </w:rPr>
        <w:t xml:space="preserve">doc_type</w:t>
      </w:r>
      <w:r>
        <w:t xml:space="preserve"> is never guessed; a missing value stops ingestion of that file, because it is the key every role's scope filter matches on.</w:t>
      </w:r>
    </w:p>
    <w:p>
      <w:pPr>
        <w:pStyle w:val="ListParagraph"/>
        <w:numPr>
          <w:ilvl w:val="0"/>
          <w:numId w:val="6"/>
        </w:numPr>
        <w:spacing w:after="80" w:line="276"/>
      </w:pPr>
      <w:r>
        <w:rPr>
          <w:b/>
          <w:bCs/>
        </w:rPr>
        <w:t xml:space="preserve">Ingestion is idempotent and safe.</w:t>
      </w:r>
      <w:r>
        <w:t xml:space="preserve"> Files are keyed by hash, and an embedding-model mismatch with the existing vector table fails loudly.</w:t>
      </w:r>
    </w:p>
    <w:p>
      <w:pPr>
        <w:spacing w:after="60"/>
      </w:pPr>
    </w:p>
    <w:p>
      <w:pPr>
        <w:pStyle w:val="Heading2"/>
      </w:pPr>
      <w:r>
        <w:t xml:space="preserve">8.3  Hybrid retrieval</w:t>
      </w:r>
    </w:p>
    <w:p>
      <w:pPr>
        <w:shd w:fill="F4F7FD" w:color="auto" w:val="clear"/>
        <w:spacing w:after="0" w:before="80" w:line="252"/>
        <w:ind w:left="200" w:right="200"/>
      </w:pPr>
      <w:r>
        <w:rPr>
          <w:rFonts w:ascii="Courier New" w:cs="Courier New" w:eastAsia="Courier New" w:hAnsi="Courier New"/>
          <w:color w:val="16203F"/>
          <w:sz w:val="17"/>
          <w:szCs w:val="17"/>
        </w:rPr>
        <w:t xml:space="preserve">scope filter (role grant ∩ requested scope, applied in the vector store)</w:t>
      </w:r>
    </w:p>
    <w:p>
      <w:pPr>
        <w:shd w:fill="F4F7FD" w:color="auto" w:val="clear"/>
        <w:spacing w:after="0" w:before="0" w:line="252"/>
        <w:ind w:left="200" w:right="200"/>
      </w:pPr>
      <w:r>
        <w:rPr>
          <w:rFonts w:ascii="Courier New" w:cs="Courier New" w:eastAsia="Courier New" w:hAnsi="Courier New"/>
          <w:color w:val="16203F"/>
          <w:sz w:val="17"/>
          <w:szCs w:val="17"/>
        </w:rPr>
        <w:t xml:space="preserve">  -&gt; dense leg (pgvector, cosine)  +  lexical leg (BM25, in scope)</w:t>
      </w:r>
    </w:p>
    <w:p>
      <w:pPr>
        <w:shd w:fill="F4F7FD" w:color="auto" w:val="clear"/>
        <w:spacing w:after="0" w:before="0" w:line="252"/>
        <w:ind w:left="200" w:right="200"/>
      </w:pPr>
      <w:r>
        <w:rPr>
          <w:rFonts w:ascii="Courier New" w:cs="Courier New" w:eastAsia="Courier New" w:hAnsi="Courier New"/>
          <w:color w:val="16203F"/>
          <w:sz w:val="17"/>
          <w:szCs w:val="17"/>
        </w:rPr>
        <w:t xml:space="preserve">    -&gt; Reciprocal Rank Fusion</w:t>
      </w:r>
    </w:p>
    <w:p>
      <w:pPr>
        <w:shd w:fill="F4F7FD" w:color="auto" w:val="clear"/>
        <w:spacing w:after="0" w:before="0" w:line="252"/>
        <w:ind w:left="200" w:right="200"/>
      </w:pPr>
      <w:r>
        <w:rPr>
          <w:rFonts w:ascii="Courier New" w:cs="Courier New" w:eastAsia="Courier New" w:hAnsi="Courier New"/>
          <w:color w:val="16203F"/>
          <w:sz w:val="17"/>
          <w:szCs w:val="17"/>
        </w:rPr>
        <w:t xml:space="preserve">      -&gt; current-version / as-of filter</w:t>
      </w:r>
    </w:p>
    <w:p>
      <w:pPr>
        <w:shd w:fill="F4F7FD" w:color="auto" w:val="clear"/>
        <w:spacing w:after="0" w:before="0" w:line="252"/>
        <w:ind w:left="200" w:right="200"/>
      </w:pPr>
      <w:r>
        <w:rPr>
          <w:rFonts w:ascii="Courier New" w:cs="Courier New" w:eastAsia="Courier New" w:hAnsi="Courier New"/>
          <w:color w:val="16203F"/>
          <w:sz w:val="17"/>
          <w:szCs w:val="17"/>
        </w:rPr>
        <w:t xml:space="preserve">        -&gt; FlashRank cross-encoder (optional tier)</w:t>
      </w:r>
    </w:p>
    <w:p>
      <w:pPr>
        <w:spacing w:after="180" w:before="40"/>
      </w:pPr>
      <w:r>
        <w:rPr>
          <w:i/>
          <w:iCs/>
          <w:color w:val="5A6480"/>
          <w:sz w:val="16"/>
          <w:szCs w:val="16"/>
        </w:rPr>
        <w:t xml:space="preserve">src/retrieval/ — QueryFusionRetriever(mode="reciprocal_rerank")</w:t>
      </w:r>
    </w:p>
    <w:p>
      <w:pPr>
        <w:spacing w:after="140" w:line="288"/>
      </w:pPr>
      <w:r>
        <w:t xml:space="preserve">Reciprocal Rank Fusion is used because cosine and BM25 scores are not comparable; after fusion an absolute similarity cutoff is meaningless, so narrowing is the reranker's job. The scope filter can only narrow a caller's access, never widen it.</w:t>
      </w:r>
    </w:p>
    <w:p>
      <w:pPr>
        <w:pStyle w:val="Heading1"/>
        <w:pageBreakBefore/>
      </w:pPr>
      <w:r>
        <w:t xml:space="preserve">9.  Structured data and safe SQL</w:t>
      </w:r>
    </w:p>
    <w:p>
      <w:pPr>
        <w:pStyle w:val="Heading2"/>
      </w:pPr>
      <w:r>
        <w:t xml:space="preserve">9.1  Data model</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2300"/>
        <w:gridCol w:w="5926"/>
        <w:gridCol w:w="800"/>
      </w:tblGrid>
      <w:tr>
        <w:trPr>
          <w:tblHeader/>
        </w:trPr>
        <w:tc>
          <w:tcPr>
            <w:tcW w:type="dxa" w:w="2300"/>
            <w:shd w:fill="1E2761" w:color="auto" w:val="clear"/>
            <w:tcMar>
              <w:top w:type="dxa" w:w="70"/>
              <w:left w:type="dxa" w:w="110"/>
              <w:bottom w:type="dxa" w:w="70"/>
              <w:right w:type="dxa" w:w="110"/>
            </w:tcMar>
          </w:tcPr>
          <w:p>
            <w:pPr>
              <w:spacing w:after="0" w:line="252"/>
            </w:pPr>
            <w:r>
              <w:rPr>
                <w:b/>
                <w:bCs/>
                <w:color w:val="FFFFFF"/>
                <w:sz w:val="18"/>
                <w:szCs w:val="18"/>
              </w:rPr>
              <w:t xml:space="preserve">Table</w:t>
            </w:r>
          </w:p>
        </w:tc>
        <w:tc>
          <w:tcPr>
            <w:tcW w:type="dxa" w:w="5926"/>
            <w:shd w:fill="1E2761" w:color="auto" w:val="clear"/>
            <w:tcMar>
              <w:top w:type="dxa" w:w="70"/>
              <w:left w:type="dxa" w:w="110"/>
              <w:bottom w:type="dxa" w:w="70"/>
              <w:right w:type="dxa" w:w="110"/>
            </w:tcMar>
          </w:tcPr>
          <w:p>
            <w:pPr>
              <w:spacing w:after="0" w:line="252"/>
            </w:pPr>
            <w:r>
              <w:rPr>
                <w:b/>
                <w:bCs/>
                <w:color w:val="FFFFFF"/>
                <w:sz w:val="18"/>
                <w:szCs w:val="18"/>
              </w:rPr>
              <w:t xml:space="preserve">Contents</w:t>
            </w:r>
          </w:p>
        </w:tc>
        <w:tc>
          <w:tcPr>
            <w:tcW w:type="dxa" w:w="800"/>
            <w:shd w:fill="1E2761" w:color="auto" w:val="clear"/>
            <w:tcMar>
              <w:top w:type="dxa" w:w="70"/>
              <w:left w:type="dxa" w:w="110"/>
              <w:bottom w:type="dxa" w:w="70"/>
              <w:right w:type="dxa" w:w="110"/>
            </w:tcMar>
          </w:tcPr>
          <w:p>
            <w:pPr>
              <w:spacing w:after="0" w:line="252"/>
            </w:pPr>
            <w:r>
              <w:rPr>
                <w:b/>
                <w:bCs/>
                <w:color w:val="FFFFFF"/>
                <w:sz w:val="18"/>
                <w:szCs w:val="18"/>
              </w:rPr>
              <w:t xml:space="preserve">Rows</w:t>
            </w:r>
          </w:p>
        </w:tc>
      </w:tr>
      <w:tr>
        <w:trPr>
          <w:tblHeader w:val="false"/>
        </w:trPr>
        <w:tc>
          <w:tcPr>
            <w:tcW w:type="dxa" w:w="2300"/>
            <w:shd w:fill="FFFFFF" w:color="auto" w:val="clear"/>
            <w:tcMar>
              <w:top w:type="dxa" w:w="70"/>
              <w:left w:type="dxa" w:w="110"/>
              <w:bottom w:type="dxa" w:w="70"/>
              <w:right w:type="dxa" w:w="110"/>
            </w:tcMar>
          </w:tcPr>
          <w:p>
            <w:pPr>
              <w:spacing w:after="0" w:line="252"/>
            </w:pPr>
            <w:r>
              <w:rPr>
                <w:rFonts w:ascii="Courier New" w:cs="Courier New" w:eastAsia="Courier New" w:hAnsi="Courier New"/>
                <w:sz w:val="18"/>
                <w:szCs w:val="18"/>
              </w:rPr>
              <w:t xml:space="preserve">vendors</w:t>
            </w:r>
          </w:p>
        </w:tc>
        <w:tc>
          <w:tcPr>
            <w:tcW w:type="dxa" w:w="59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Risk score and band, compliance and approval status, onboarding, last audit, next review due</w:t>
            </w:r>
          </w:p>
        </w:tc>
        <w:tc>
          <w:tcPr>
            <w:tcW w:type="dxa" w:w="8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75</w:t>
            </w:r>
          </w:p>
        </w:tc>
      </w:tr>
      <w:tr>
        <w:trPr>
          <w:tblHeader w:val="false"/>
        </w:trPr>
        <w:tc>
          <w:tcPr>
            <w:tcW w:type="dxa" w:w="2300"/>
            <w:shd w:fill="F4F7FD" w:color="auto" w:val="clear"/>
            <w:tcMar>
              <w:top w:type="dxa" w:w="70"/>
              <w:left w:type="dxa" w:w="110"/>
              <w:bottom w:type="dxa" w:w="70"/>
              <w:right w:type="dxa" w:w="110"/>
            </w:tcMar>
          </w:tcPr>
          <w:p>
            <w:pPr>
              <w:spacing w:after="0" w:line="252"/>
            </w:pPr>
            <w:r>
              <w:rPr>
                <w:rFonts w:ascii="Courier New" w:cs="Courier New" w:eastAsia="Courier New" w:hAnsi="Courier New"/>
                <w:sz w:val="18"/>
                <w:szCs w:val="18"/>
              </w:rPr>
              <w:t xml:space="preserve">audit_logs</w:t>
            </w:r>
          </w:p>
        </w:tc>
        <w:tc>
          <w:tcPr>
            <w:tcW w:type="dxa" w:w="59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Findings: severity, remediation status, target and resolution dates, escalation flag</w:t>
            </w:r>
          </w:p>
        </w:tc>
        <w:tc>
          <w:tcPr>
            <w:tcW w:type="dxa" w:w="8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~150</w:t>
            </w:r>
          </w:p>
        </w:tc>
      </w:tr>
      <w:tr>
        <w:trPr>
          <w:tblHeader w:val="false"/>
        </w:trPr>
        <w:tc>
          <w:tcPr>
            <w:tcW w:type="dxa" w:w="2300"/>
            <w:shd w:fill="FFFFFF" w:color="auto" w:val="clear"/>
            <w:tcMar>
              <w:top w:type="dxa" w:w="70"/>
              <w:left w:type="dxa" w:w="110"/>
              <w:bottom w:type="dxa" w:w="70"/>
              <w:right w:type="dxa" w:w="110"/>
            </w:tcMar>
          </w:tcPr>
          <w:p>
            <w:pPr>
              <w:spacing w:after="0" w:line="252"/>
            </w:pPr>
            <w:r>
              <w:rPr>
                <w:rFonts w:ascii="Courier New" w:cs="Courier New" w:eastAsia="Courier New" w:hAnsi="Courier New"/>
                <w:sz w:val="18"/>
                <w:szCs w:val="18"/>
              </w:rPr>
              <w:t xml:space="preserve">retention_records</w:t>
            </w:r>
          </w:p>
        </w:tc>
        <w:tc>
          <w:tcPr>
            <w:tcW w:type="dxa" w:w="59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Department retention obligations and legal-hold flag</w:t>
            </w:r>
          </w:p>
        </w:tc>
        <w:tc>
          <w:tcPr>
            <w:tcW w:type="dxa" w:w="8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60</w:t>
            </w:r>
          </w:p>
        </w:tc>
      </w:tr>
      <w:tr>
        <w:trPr>
          <w:tblHeader w:val="false"/>
        </w:trPr>
        <w:tc>
          <w:tcPr>
            <w:tcW w:type="dxa" w:w="2300"/>
            <w:shd w:fill="F4F7FD" w:color="auto" w:val="clear"/>
            <w:tcMar>
              <w:top w:type="dxa" w:w="70"/>
              <w:left w:type="dxa" w:w="110"/>
              <w:bottom w:type="dxa" w:w="70"/>
              <w:right w:type="dxa" w:w="110"/>
            </w:tcMar>
          </w:tcPr>
          <w:p>
            <w:pPr>
              <w:spacing w:after="0" w:line="252"/>
            </w:pPr>
            <w:r>
              <w:rPr>
                <w:rFonts w:ascii="Courier New" w:cs="Courier New" w:eastAsia="Courier New" w:hAnsi="Courier New"/>
                <w:sz w:val="18"/>
                <w:szCs w:val="18"/>
              </w:rPr>
              <w:t xml:space="preserve">compliance_reviews</w:t>
            </w:r>
          </w:p>
        </w:tc>
        <w:tc>
          <w:tcPr>
            <w:tcW w:type="dxa" w:w="59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Review history per vendor</w:t>
            </w:r>
          </w:p>
        </w:tc>
        <w:tc>
          <w:tcPr>
            <w:tcW w:type="dxa" w:w="8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60</w:t>
            </w:r>
          </w:p>
        </w:tc>
      </w:tr>
      <w:tr>
        <w:trPr>
          <w:tblHeader w:val="false"/>
        </w:trPr>
        <w:tc>
          <w:tcPr>
            <w:tcW w:type="dxa" w:w="2300"/>
            <w:shd w:fill="FFFFFF" w:color="auto" w:val="clear"/>
            <w:tcMar>
              <w:top w:type="dxa" w:w="70"/>
              <w:left w:type="dxa" w:w="110"/>
              <w:bottom w:type="dxa" w:w="70"/>
              <w:right w:type="dxa" w:w="110"/>
            </w:tcMar>
          </w:tcPr>
          <w:p>
            <w:pPr>
              <w:spacing w:after="0" w:line="252"/>
            </w:pPr>
            <w:r>
              <w:rPr>
                <w:rFonts w:ascii="Courier New" w:cs="Courier New" w:eastAsia="Courier New" w:hAnsi="Courier New"/>
                <w:sz w:val="18"/>
                <w:szCs w:val="18"/>
              </w:rPr>
              <w:t xml:space="preserve">system_audit_log</w:t>
            </w:r>
          </w:p>
        </w:tc>
        <w:tc>
          <w:tcPr>
            <w:tcW w:type="dxa" w:w="59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One row per node decision; UPDATE/DELETE refused by database rules</w:t>
            </w:r>
          </w:p>
        </w:tc>
        <w:tc>
          <w:tcPr>
            <w:tcW w:type="dxa" w:w="8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w:t>
            </w:r>
          </w:p>
        </w:tc>
      </w:tr>
      <w:tr>
        <w:trPr>
          <w:tblHeader w:val="false"/>
        </w:trPr>
        <w:tc>
          <w:tcPr>
            <w:tcW w:type="dxa" w:w="2300"/>
            <w:shd w:fill="F4F7FD" w:color="auto" w:val="clear"/>
            <w:tcMar>
              <w:top w:type="dxa" w:w="70"/>
              <w:left w:type="dxa" w:w="110"/>
              <w:bottom w:type="dxa" w:w="70"/>
              <w:right w:type="dxa" w:w="110"/>
            </w:tcMar>
          </w:tcPr>
          <w:p>
            <w:pPr>
              <w:spacing w:after="0" w:line="252"/>
            </w:pPr>
            <w:r>
              <w:rPr>
                <w:rFonts w:ascii="Courier New" w:cs="Courier New" w:eastAsia="Courier New" w:hAnsi="Courier New"/>
                <w:sz w:val="18"/>
                <w:szCs w:val="18"/>
              </w:rPr>
              <w:t xml:space="preserve">escalation_queue</w:t>
            </w:r>
          </w:p>
        </w:tc>
        <w:tc>
          <w:tcPr>
            <w:tcW w:type="dxa" w:w="59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Human handoff keyed by request_id, JSONB context package</w:t>
            </w:r>
          </w:p>
        </w:tc>
        <w:tc>
          <w:tcPr>
            <w:tcW w:type="dxa" w:w="8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w:t>
            </w:r>
          </w:p>
        </w:tc>
      </w:tr>
    </w:tbl>
    <w:p>
      <w:pPr>
        <w:spacing w:after="160"/>
      </w:pPr>
    </w:p>
    <w:p>
      <w:pPr>
        <w:spacing w:after="140" w:line="288"/>
      </w:pPr>
      <w:r>
        <w:t xml:space="preserve">The three child tables reference </w:t>
      </w:r>
      <w:r>
        <w:rPr>
          <w:rFonts w:ascii="Courier New" w:cs="Courier New" w:eastAsia="Courier New" w:hAnsi="Courier New"/>
          <w:color w:val="1E2761"/>
          <w:sz w:val="18"/>
          <w:szCs w:val="18"/>
        </w:rPr>
        <w:t xml:space="preserve">vendors</w:t>
      </w:r>
      <w:r>
        <w:t xml:space="preserve"> without cascading deletes, so a vendor with any finding cannot be deleted. </w:t>
      </w:r>
      <w:r>
        <w:rPr>
          <w:rFonts w:ascii="Courier New" w:cs="Courier New" w:eastAsia="Courier New" w:hAnsi="Courier New"/>
          <w:color w:val="1E2761"/>
          <w:sz w:val="18"/>
          <w:szCs w:val="18"/>
        </w:rPr>
        <w:t xml:space="preserve">policy_reference</w:t>
      </w:r>
      <w:r>
        <w:t xml:space="preserve"> in </w:t>
      </w:r>
      <w:r>
        <w:rPr>
          <w:rFonts w:ascii="Courier New" w:cs="Courier New" w:eastAsia="Courier New" w:hAnsi="Courier New"/>
          <w:color w:val="1E2761"/>
          <w:sz w:val="18"/>
          <w:szCs w:val="18"/>
        </w:rPr>
        <w:t xml:space="preserve">audit_logs</w:t>
      </w:r>
      <w:r>
        <w:t xml:space="preserve"> holds a clause identifier that also exists in the corpus — the bridge the hybrid path uses to set a finding beside the clause it breached.</w:t>
      </w:r>
    </w:p>
    <w:p>
      <w:pPr>
        <w:pStyle w:val="Heading2"/>
      </w:pPr>
      <w:r>
        <w:t xml:space="preserve">9.2  Two-tier SQL</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2000"/>
        <w:gridCol w:w="3600"/>
        <w:gridCol w:w="3426"/>
      </w:tblGrid>
      <w:tr>
        <w:trPr>
          <w:tblHeader/>
        </w:trPr>
        <w:tc>
          <w:tcPr>
            <w:tcW w:type="dxa" w:w="2000"/>
            <w:shd w:fill="1E2761" w:color="auto" w:val="clear"/>
            <w:tcMar>
              <w:top w:type="dxa" w:w="70"/>
              <w:left w:type="dxa" w:w="110"/>
              <w:bottom w:type="dxa" w:w="70"/>
              <w:right w:type="dxa" w:w="110"/>
            </w:tcMar>
          </w:tcPr>
          <w:p>
            <w:pPr>
              <w:spacing w:after="0" w:line="252"/>
            </w:pPr>
            <w:r>
              <w:rPr>
                <w:b/>
                <w:bCs/>
                <w:color w:val="FFFFFF"/>
                <w:sz w:val="18"/>
                <w:szCs w:val="18"/>
              </w:rPr>
              <w:t xml:space="preserve">Tier</w:t>
            </w:r>
          </w:p>
        </w:tc>
        <w:tc>
          <w:tcPr>
            <w:tcW w:type="dxa" w:w="3600"/>
            <w:shd w:fill="1E2761" w:color="auto" w:val="clear"/>
            <w:tcMar>
              <w:top w:type="dxa" w:w="70"/>
              <w:left w:type="dxa" w:w="110"/>
              <w:bottom w:type="dxa" w:w="70"/>
              <w:right w:type="dxa" w:w="110"/>
            </w:tcMar>
          </w:tcPr>
          <w:p>
            <w:pPr>
              <w:spacing w:after="0" w:line="252"/>
            </w:pPr>
            <w:r>
              <w:rPr>
                <w:b/>
                <w:bCs/>
                <w:color w:val="FFFFFF"/>
                <w:sz w:val="18"/>
                <w:szCs w:val="18"/>
              </w:rPr>
              <w:t xml:space="preserve">Mechanism</w:t>
            </w:r>
          </w:p>
        </w:tc>
        <w:tc>
          <w:tcPr>
            <w:tcW w:type="dxa" w:w="3426"/>
            <w:shd w:fill="1E2761" w:color="auto" w:val="clear"/>
            <w:tcMar>
              <w:top w:type="dxa" w:w="70"/>
              <w:left w:type="dxa" w:w="110"/>
              <w:bottom w:type="dxa" w:w="70"/>
              <w:right w:type="dxa" w:w="110"/>
            </w:tcMar>
          </w:tcPr>
          <w:p>
            <w:pPr>
              <w:spacing w:after="0" w:line="252"/>
            </w:pPr>
            <w:r>
              <w:rPr>
                <w:b/>
                <w:bCs/>
                <w:color w:val="FFFFFF"/>
                <w:sz w:val="18"/>
                <w:szCs w:val="18"/>
              </w:rPr>
              <w:t xml:space="preserve">Safeguards</w:t>
            </w:r>
          </w:p>
        </w:tc>
      </w:tr>
      <w:tr>
        <w:trPr>
          <w:tblHeader w:val="false"/>
        </w:trPr>
        <w:tc>
          <w:tcPr>
            <w:tcW w:type="dxa" w:w="20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1 — Vetted templates</w:t>
            </w:r>
          </w:p>
        </w:tc>
        <w:tc>
          <w:tcPr>
            <w:tcW w:type="dxa" w:w="36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17 reviewed, role-scoped queries; the model selects a template_id and typed parameters</w:t>
            </w:r>
          </w:p>
        </w:tc>
        <w:tc>
          <w:tcPr>
            <w:tcW w:type="dxa" w:w="34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Values bound by psycopg; vendor_id from entity resolution; enum spelling normalised</w:t>
            </w:r>
          </w:p>
        </w:tc>
      </w:tr>
      <w:tr>
        <w:trPr>
          <w:tblHeader w:val="false"/>
        </w:trPr>
        <w:tc>
          <w:tcPr>
            <w:tcW w:type="dxa" w:w="20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2 — Generated SQL</w:t>
            </w:r>
          </w:p>
        </w:tc>
        <w:tc>
          <w:tcPr>
            <w:tcW w:type="dxa" w:w="36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LlamaIndex NL2SQL with role-scoped schema; fires only on a catalogue miss</w:t>
            </w:r>
          </w:p>
        </w:tc>
        <w:tc>
          <w:tcPr>
            <w:tcW w:type="dxa" w:w="34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Mutation-intent regex, fail-closed intent classifier, SELECT/WITH shape check, table-scope assertion</w:t>
            </w:r>
          </w:p>
        </w:tc>
      </w:tr>
    </w:tbl>
    <w:p>
      <w:pPr>
        <w:spacing w:after="160"/>
      </w:pPr>
    </w:p>
    <w:p>
      <w:pPr>
        <w:spacing w:after="140" w:line="288"/>
      </w:pPr>
      <w:r>
        <w:t xml:space="preserve">All execution runs in a read-only transaction with a statement timeout and a row cap. A generated query must be disclosed in the answer and costs 0.15 confidence: the gates prove the query is safe, but nothing proves it is correct — a query reading the wrong column passes every safety check and returns a confident wrong answer.</w:t>
      </w:r>
    </w:p>
    <w:p>
      <w:pPr>
        <w:pStyle w:val="Heading2"/>
      </w:pPr>
      <w:r>
        <w:t xml:space="preserve">9.3  Time is a literal</w:t>
      </w:r>
    </w:p>
    <w:p>
      <w:pPr>
        <w:spacing w:after="140" w:line="288"/>
      </w:pPr>
      <w:r>
        <w:t xml:space="preserve">Seed data is dated 2025, so any read of the database clock would mark everything overdue and fire every risk probe. All probes and generated SQL use the pinned as-of date (2025-12-31); </w:t>
      </w:r>
      <w:r>
        <w:rPr>
          <w:rFonts w:ascii="Courier New" w:cs="Courier New" w:eastAsia="Courier New" w:hAnsi="Courier New"/>
          <w:color w:val="1E2761"/>
          <w:sz w:val="18"/>
          <w:szCs w:val="18"/>
        </w:rPr>
        <w:t xml:space="preserve">CURRENT_DATE</w:t>
      </w:r>
      <w:r>
        <w:t xml:space="preserve">, </w:t>
      </w:r>
      <w:r>
        <w:rPr>
          <w:rFonts w:ascii="Courier New" w:cs="Courier New" w:eastAsia="Courier New" w:hAnsi="Courier New"/>
          <w:color w:val="1E2761"/>
          <w:sz w:val="18"/>
          <w:szCs w:val="18"/>
        </w:rPr>
        <w:t xml:space="preserve">NOW()</w:t>
      </w:r>
      <w:r>
        <w:t xml:space="preserve"> and the other clock functions are rejected by the SQL guard.</w:t>
      </w:r>
    </w:p>
    <w:p>
      <w:pPr>
        <w:pStyle w:val="Heading1"/>
        <w:pageBreakBefore/>
      </w:pPr>
      <w:r>
        <w:t xml:space="preserve">10.  Validation, confidence and the release gate</w:t>
      </w:r>
    </w:p>
    <w:p>
      <w:pPr>
        <w:pStyle w:val="Heading2"/>
      </w:pPr>
      <w:r>
        <w:t xml:space="preserve">10.1  Confidence scoring</w:t>
      </w:r>
    </w:p>
    <w:p>
      <w:pPr>
        <w:spacing w:after="140" w:line="288"/>
      </w:pPr>
      <w:r>
        <w:t xml:space="preserve">Confidence is computed from evidence signals — never from the model rating itself.</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2000"/>
        <w:gridCol w:w="1400"/>
        <w:gridCol w:w="5626"/>
      </w:tblGrid>
      <w:tr>
        <w:trPr>
          <w:tblHeader/>
        </w:trPr>
        <w:tc>
          <w:tcPr>
            <w:tcW w:type="dxa" w:w="2000"/>
            <w:shd w:fill="1E2761" w:color="auto" w:val="clear"/>
            <w:tcMar>
              <w:top w:type="dxa" w:w="70"/>
              <w:left w:type="dxa" w:w="110"/>
              <w:bottom w:type="dxa" w:w="70"/>
              <w:right w:type="dxa" w:w="110"/>
            </w:tcMar>
          </w:tcPr>
          <w:p>
            <w:pPr>
              <w:spacing w:after="0" w:line="252"/>
            </w:pPr>
            <w:r>
              <w:rPr>
                <w:b/>
                <w:bCs/>
                <w:color w:val="FFFFFF"/>
                <w:sz w:val="18"/>
                <w:szCs w:val="18"/>
              </w:rPr>
              <w:t xml:space="preserve">Signal</w:t>
            </w:r>
          </w:p>
        </w:tc>
        <w:tc>
          <w:tcPr>
            <w:tcW w:type="dxa" w:w="1400"/>
            <w:shd w:fill="1E2761" w:color="auto" w:val="clear"/>
            <w:tcMar>
              <w:top w:type="dxa" w:w="70"/>
              <w:left w:type="dxa" w:w="110"/>
              <w:bottom w:type="dxa" w:w="70"/>
              <w:right w:type="dxa" w:w="110"/>
            </w:tcMar>
          </w:tcPr>
          <w:p>
            <w:pPr>
              <w:spacing w:after="0" w:line="252"/>
            </w:pPr>
            <w:r>
              <w:rPr>
                <w:b/>
                <w:bCs/>
                <w:color w:val="FFFFFF"/>
                <w:sz w:val="18"/>
                <w:szCs w:val="18"/>
              </w:rPr>
              <w:t xml:space="preserve">Weight</w:t>
            </w:r>
          </w:p>
        </w:tc>
        <w:tc>
          <w:tcPr>
            <w:tcW w:type="dxa" w:w="5626"/>
            <w:shd w:fill="1E2761" w:color="auto" w:val="clear"/>
            <w:tcMar>
              <w:top w:type="dxa" w:w="70"/>
              <w:left w:type="dxa" w:w="110"/>
              <w:bottom w:type="dxa" w:w="70"/>
              <w:right w:type="dxa" w:w="110"/>
            </w:tcMar>
          </w:tcPr>
          <w:p>
            <w:pPr>
              <w:spacing w:after="0" w:line="252"/>
            </w:pPr>
            <w:r>
              <w:rPr>
                <w:b/>
                <w:bCs/>
                <w:color w:val="FFFFFF"/>
                <w:sz w:val="18"/>
                <w:szCs w:val="18"/>
              </w:rPr>
              <w:t xml:space="preserve">Measures</w:t>
            </w:r>
          </w:p>
        </w:tc>
      </w:tr>
      <w:tr>
        <w:trPr>
          <w:tblHeader w:val="false"/>
        </w:trPr>
        <w:tc>
          <w:tcPr>
            <w:tcW w:type="dxa" w:w="20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Retrieval</w:t>
            </w:r>
          </w:p>
        </w:tc>
        <w:tc>
          <w:tcPr>
            <w:tcW w:type="dxa" w:w="14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0.30</w:t>
            </w:r>
          </w:p>
        </w:tc>
        <w:tc>
          <w:tcPr>
            <w:tcW w:type="dxa" w:w="56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Strength of the evidence, normalised per score family (cross-encoder, RRF, cosine, SQL)</w:t>
            </w:r>
          </w:p>
        </w:tc>
      </w:tr>
      <w:tr>
        <w:trPr>
          <w:tblHeader w:val="false"/>
        </w:trPr>
        <w:tc>
          <w:tcPr>
            <w:tcW w:type="dxa" w:w="20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Validation</w:t>
            </w:r>
          </w:p>
        </w:tc>
        <w:tc>
          <w:tcPr>
            <w:tcW w:type="dxa" w:w="14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0.30</w:t>
            </w:r>
          </w:p>
        </w:tc>
        <w:tc>
          <w:tcPr>
            <w:tcW w:type="dxa" w:w="56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Outcome of the compliance validation defect list</w:t>
            </w:r>
          </w:p>
        </w:tc>
      </w:tr>
      <w:tr>
        <w:trPr>
          <w:tblHeader w:val="false"/>
        </w:trPr>
        <w:tc>
          <w:tcPr>
            <w:tcW w:type="dxa" w:w="20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Source agreement</w:t>
            </w:r>
          </w:p>
        </w:tc>
        <w:tc>
          <w:tcPr>
            <w:tcW w:type="dxa" w:w="14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0.20</w:t>
            </w:r>
          </w:p>
        </w:tc>
        <w:tc>
          <w:tcPr>
            <w:tcW w:type="dxa" w:w="56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Whether the sources the plan required actually arrived and agree</w:t>
            </w:r>
          </w:p>
        </w:tc>
      </w:tr>
      <w:tr>
        <w:trPr>
          <w:tblHeader w:val="false"/>
        </w:trPr>
        <w:tc>
          <w:tcPr>
            <w:tcW w:type="dxa" w:w="20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Coverage</w:t>
            </w:r>
          </w:p>
        </w:tc>
        <w:tc>
          <w:tcPr>
            <w:tcW w:type="dxa" w:w="14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0.20</w:t>
            </w:r>
          </w:p>
        </w:tc>
        <w:tc>
          <w:tcPr>
            <w:tcW w:type="dxa" w:w="56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How much of the question the cited evidence covers</w:t>
            </w:r>
          </w:p>
        </w:tc>
      </w:tr>
      <w:tr>
        <w:trPr>
          <w:tblHeader w:val="false"/>
        </w:trPr>
        <w:tc>
          <w:tcPr>
            <w:tcW w:type="dxa" w:w="20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Adjustments</w:t>
            </w:r>
          </w:p>
        </w:tc>
        <w:tc>
          <w:tcPr>
            <w:tcW w:type="dxa" w:w="14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−0.10 / −0.15</w:t>
            </w:r>
          </w:p>
        </w:tc>
        <w:tc>
          <w:tcPr>
            <w:tcW w:type="dxa" w:w="56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Degraded run / generated SQL</w:t>
            </w:r>
          </w:p>
        </w:tc>
      </w:tr>
    </w:tbl>
    <w:p>
      <w:pPr>
        <w:spacing w:after="160"/>
      </w:pPr>
    </w:p>
    <w:p>
      <w:pPr>
        <w:pStyle w:val="Heading2"/>
      </w:pPr>
      <w:r>
        <w:t xml:space="preserve">10.2  Release gate</w:t>
      </w:r>
    </w:p>
    <w:p>
      <w:pPr>
        <w:shd w:fill="F4F7FD" w:color="auto" w:val="clear"/>
        <w:spacing w:after="0" w:before="80" w:line="252"/>
        <w:ind w:left="200" w:right="200"/>
      </w:pPr>
      <w:r>
        <w:rPr>
          <w:rFonts w:ascii="Courier New" w:cs="Courier New" w:eastAsia="Courier New" w:hAnsi="Courier New"/>
          <w:color w:val="16203F"/>
          <w:sz w:val="17"/>
          <w:szCs w:val="17"/>
        </w:rPr>
        <w:t xml:space="preserve">release  if  confidence &gt;= 0.75</w:t>
      </w:r>
    </w:p>
    <w:p>
      <w:pPr>
        <w:shd w:fill="F4F7FD" w:color="auto" w:val="clear"/>
        <w:spacing w:after="0" w:before="0" w:line="252"/>
        <w:ind w:left="200" w:right="200"/>
      </w:pPr>
      <w:r>
        <w:rPr>
          <w:rFonts w:ascii="Courier New" w:cs="Courier New" w:eastAsia="Courier New" w:hAnsi="Courier New"/>
          <w:color w:val="16203F"/>
          <w:sz w:val="17"/>
          <w:szCs w:val="17"/>
        </w:rPr>
        <w:t xml:space="preserve">        AND  risk != High</w:t>
      </w:r>
    </w:p>
    <w:p>
      <w:pPr>
        <w:shd w:fill="F4F7FD" w:color="auto" w:val="clear"/>
        <w:spacing w:after="0" w:before="0" w:line="252"/>
        <w:ind w:left="200" w:right="200"/>
      </w:pPr>
      <w:r>
        <w:rPr>
          <w:rFonts w:ascii="Courier New" w:cs="Courier New" w:eastAsia="Courier New" w:hAnsi="Courier New"/>
          <w:color w:val="16203F"/>
          <w:sz w:val="17"/>
          <w:szCs w:val="17"/>
        </w:rPr>
        <w:t xml:space="preserve">        AND  no validation conflict</w:t>
      </w:r>
    </w:p>
    <w:p>
      <w:pPr>
        <w:shd w:fill="F4F7FD" w:color="auto" w:val="clear"/>
        <w:spacing w:after="0" w:before="0" w:line="252"/>
        <w:ind w:left="200" w:right="200"/>
      </w:pPr>
      <w:r>
        <w:rPr>
          <w:rFonts w:ascii="Courier New" w:cs="Courier New" w:eastAsia="Courier New" w:hAnsi="Courier New"/>
          <w:color w:val="16203F"/>
          <w:sz w:val="17"/>
          <w:szCs w:val="17"/>
        </w:rPr>
        <w:t xml:space="preserve">        AND  no unresolved panel conflict</w:t>
      </w:r>
    </w:p>
    <w:p>
      <w:pPr>
        <w:shd w:fill="F4F7FD" w:color="auto" w:val="clear"/>
        <w:spacing w:after="0" w:before="0" w:line="252"/>
        <w:ind w:left="200" w:right="200"/>
      </w:pPr>
      <w:r>
        <w:rPr>
          <w:rFonts w:ascii="Courier New" w:cs="Courier New" w:eastAsia="Courier New" w:hAnsi="Courier New"/>
          <w:color w:val="16203F"/>
          <w:sz w:val="17"/>
          <w:szCs w:val="17"/>
        </w:rPr>
        <w:t xml:space="preserve">otherwise    escalation_manager -&gt; 202 pending_review</w:t>
      </w:r>
    </w:p>
    <w:p>
      <w:pPr>
        <w:spacing w:after="180" w:before="40"/>
      </w:pPr>
      <w:r>
        <w:rPr>
          <w:i/>
          <w:iCs/>
          <w:color w:val="5A6480"/>
          <w:sz w:val="16"/>
          <w:szCs w:val="16"/>
        </w:rPr>
        <w:t xml:space="preserve">after_confidence — the certification rule</w:t>
      </w:r>
    </w:p>
    <w:tbl>
      <w:tblPr>
        <w:tblW w:type="dxa" w:w="9026"/>
        <w:tblBorders>
          <w:top w:val="single" w:color="1E2761" w:sz="4"/>
          <w:left w:val="single" w:color="1E2761" w:sz="4"/>
          <w:bottom w:val="single" w:color="1E2761" w:sz="4"/>
          <w:right w:val="single" w:color="1E2761" w:sz="4"/>
          <w:insideH w:val="single" w:color="1E2761" w:sz="4"/>
          <w:insideV w:val="single" w:color="1E2761" w:sz="4"/>
        </w:tblBorders>
      </w:tblPr>
      <w:tblGrid>
        <w:gridCol w:w="9026"/>
      </w:tblGrid>
      <w:tr>
        <w:tc>
          <w:tcPr>
            <w:tcW w:type="dxa" w:w="9026"/>
            <w:shd w:fill="1E2761" w:color="auto" w:val="clear"/>
            <w:tcMar>
              <w:top w:type="dxa" w:w="140"/>
              <w:left w:type="dxa" w:w="200"/>
              <w:bottom w:type="dxa" w:w="140"/>
              <w:right w:type="dxa" w:w="200"/>
            </w:tcMar>
          </w:tcPr>
          <w:p>
            <w:pPr>
              <w:spacing w:after="60"/>
            </w:pPr>
            <w:r>
              <w:rPr>
                <w:b/>
                <w:bCs/>
                <w:color w:val="E8A33D"/>
                <w:sz w:val="20"/>
                <w:szCs w:val="20"/>
              </w:rPr>
              <w:t xml:space="preserve">Lesson learned</w:t>
            </w:r>
          </w:p>
          <w:p>
            <w:pPr>
              <w:spacing w:after="0" w:line="276"/>
            </w:pPr>
            <w:r>
              <w:rPr>
                <w:color w:val="FFFFFF"/>
                <w:sz w:val="19"/>
                <w:szCs w:val="19"/>
              </w:rPr>
              <w:t xml:space="preserve">An early scoring defect capped a perfect policy answer at 0.7512 against a 0.75 threshold, so every ordinary answer escalated. The fix was to normalise each score family on its own terms — not to lower the threshold, which would have hidden a scorer that had stopped discriminating.</w:t>
            </w:r>
          </w:p>
        </w:tc>
      </w:tr>
    </w:tbl>
    <w:p>
      <w:pPr>
        <w:spacing w:after="160"/>
      </w:pPr>
    </w:p>
    <w:p>
      <w:pPr>
        <w:pStyle w:val="Heading1"/>
        <w:pageBreakBefore/>
      </w:pPr>
      <w:r>
        <w:t xml:space="preserve">11.  Human-in-the-loop</w:t>
      </w:r>
    </w:p>
    <w:p>
      <w:pPr>
        <w:pStyle w:val="Heading2"/>
      </w:pPr>
      <w:r>
        <w:t xml:space="preserve">11.1  Escalation flow</w:t>
      </w:r>
    </w:p>
    <w:p>
      <w:pPr>
        <w:pStyle w:val="ListParagraph"/>
        <w:numPr>
          <w:ilvl w:val="0"/>
          <w:numId w:val="7"/>
        </w:numPr>
        <w:spacing w:after="80" w:line="276"/>
      </w:pPr>
      <w:r>
        <w:rPr>
          <w:rFonts w:ascii="Courier New" w:cs="Courier New" w:eastAsia="Courier New" w:hAnsi="Courier New"/>
          <w:color w:val="1E2761"/>
          <w:sz w:val="18"/>
          <w:szCs w:val="18"/>
        </w:rPr>
        <w:t xml:space="preserve">POST /ask</w:t>
      </w:r>
      <w:r>
        <w:t xml:space="preserve"> — the release gate refuses to certify the answer.</w:t>
      </w:r>
    </w:p>
    <w:p>
      <w:pPr>
        <w:pStyle w:val="ListParagraph"/>
        <w:numPr>
          <w:ilvl w:val="0"/>
          <w:numId w:val="7"/>
        </w:numPr>
        <w:spacing w:after="80" w:line="276"/>
      </w:pPr>
      <w:r>
        <w:t xml:space="preserve">The escalation manager writes the </w:t>
      </w:r>
      <w:r>
        <w:rPr>
          <w:rFonts w:ascii="Courier New" w:cs="Courier New" w:eastAsia="Courier New" w:hAnsi="Courier New"/>
          <w:color w:val="1E2761"/>
          <w:sz w:val="18"/>
          <w:szCs w:val="18"/>
        </w:rPr>
        <w:t xml:space="preserve">escalation_queue</w:t>
      </w:r>
      <w:r>
        <w:t xml:space="preserve"> row, checkpoints the graph and returns </w:t>
      </w:r>
      <w:r>
        <w:rPr>
          <w:b/>
          <w:bCs/>
        </w:rPr>
        <w:t xml:space="preserve">202 pending_review</w:t>
      </w:r>
      <w:r>
        <w:t xml:space="preserve"> with a request_id and poll URL — never a draft answer.</w:t>
      </w:r>
    </w:p>
    <w:p>
      <w:pPr>
        <w:pStyle w:val="ListParagraph"/>
        <w:numPr>
          <w:ilvl w:val="0"/>
          <w:numId w:val="7"/>
        </w:numPr>
        <w:spacing w:after="80" w:line="276"/>
      </w:pPr>
      <w:r>
        <w:t xml:space="preserve">A reviewer (compliance officer, legal reviewer or admin) opens </w:t>
      </w:r>
      <w:r>
        <w:rPr>
          <w:rFonts w:ascii="Courier New" w:cs="Courier New" w:eastAsia="Courier New" w:hAnsi="Courier New"/>
          <w:color w:val="1E2761"/>
          <w:sz w:val="18"/>
          <w:szCs w:val="18"/>
        </w:rPr>
        <w:t xml:space="preserve">GET /review/queue</w:t>
      </w:r>
      <w:r>
        <w:t xml:space="preserve"> and inspects the context package.</w:t>
      </w:r>
    </w:p>
    <w:p>
      <w:pPr>
        <w:pStyle w:val="ListParagraph"/>
        <w:numPr>
          <w:ilvl w:val="0"/>
          <w:numId w:val="7"/>
        </w:numPr>
        <w:spacing w:after="80" w:line="276"/>
      </w:pPr>
      <w:r>
        <w:rPr>
          <w:rFonts w:ascii="Courier New" w:cs="Courier New" w:eastAsia="Courier New" w:hAnsi="Courier New"/>
          <w:color w:val="1E2761"/>
          <w:sz w:val="18"/>
          <w:szCs w:val="18"/>
        </w:rPr>
        <w:t xml:space="preserve">POST /review/{request_id}</w:t>
      </w:r>
      <w:r>
        <w:t xml:space="preserve"> with accept, edit or reject resumes the checkpointed graph.</w:t>
      </w:r>
    </w:p>
    <w:p>
      <w:pPr>
        <w:pStyle w:val="ListParagraph"/>
        <w:numPr>
          <w:ilvl w:val="0"/>
          <w:numId w:val="7"/>
        </w:numPr>
        <w:spacing w:after="80" w:line="276"/>
      </w:pPr>
      <w:r>
        <w:t xml:space="preserve">The reviewed answer passes the same output guardrail — PII scrub and citation enforcement — as a machine answer.</w:t>
      </w:r>
    </w:p>
    <w:p>
      <w:pPr>
        <w:pStyle w:val="ListParagraph"/>
        <w:numPr>
          <w:ilvl w:val="0"/>
          <w:numId w:val="7"/>
        </w:numPr>
        <w:spacing w:after="80" w:line="276"/>
      </w:pPr>
      <w:r>
        <w:t xml:space="preserve">The caller retrieves the final answer from </w:t>
      </w:r>
      <w:r>
        <w:rPr>
          <w:rFonts w:ascii="Courier New" w:cs="Courier New" w:eastAsia="Courier New" w:hAnsi="Courier New"/>
          <w:color w:val="1E2761"/>
          <w:sz w:val="18"/>
          <w:szCs w:val="18"/>
        </w:rPr>
        <w:t xml:space="preserve">GET /requests/{request_id}</w:t>
      </w:r>
      <w:r>
        <w:t xml:space="preserve">.</w:t>
      </w:r>
    </w:p>
    <w:p>
      <w:pPr>
        <w:spacing w:after="60"/>
      </w:pPr>
    </w:p>
    <w:p>
      <w:pPr>
        <w:pStyle w:val="Heading2"/>
      </w:pPr>
      <w:r>
        <w:t xml:space="preserve">11.2  Context package</w:t>
      </w:r>
    </w:p>
    <w:p>
      <w:pPr>
        <w:pStyle w:val="ListParagraph"/>
        <w:numPr>
          <w:ilvl w:val="0"/>
          <w:numId w:val="8"/>
        </w:numPr>
        <w:spacing w:after="80" w:line="276"/>
      </w:pPr>
      <w:r>
        <w:t xml:space="preserve">Conversation history and the rewritten question</w:t>
      </w:r>
    </w:p>
    <w:p>
      <w:pPr>
        <w:pStyle w:val="ListParagraph"/>
        <w:numPr>
          <w:ilvl w:val="0"/>
          <w:numId w:val="8"/>
        </w:numPr>
        <w:spacing w:after="80" w:line="276"/>
      </w:pPr>
      <w:r>
        <w:t xml:space="preserve">Retrieved documents with clause numbers</w:t>
      </w:r>
    </w:p>
    <w:p>
      <w:pPr>
        <w:pStyle w:val="ListParagraph"/>
        <w:numPr>
          <w:ilvl w:val="0"/>
          <w:numId w:val="8"/>
        </w:numPr>
        <w:spacing w:after="80" w:line="276"/>
      </w:pPr>
      <w:r>
        <w:t xml:space="preserve">SQL query and result, including disclosures</w:t>
      </w:r>
    </w:p>
    <w:p>
      <w:pPr>
        <w:pStyle w:val="ListParagraph"/>
        <w:numPr>
          <w:ilvl w:val="0"/>
          <w:numId w:val="8"/>
        </w:numPr>
        <w:spacing w:after="80" w:line="276"/>
      </w:pPr>
      <w:r>
        <w:t xml:space="preserve">Validation output, panel verdict and dissent</w:t>
      </w:r>
    </w:p>
    <w:p>
      <w:pPr>
        <w:pStyle w:val="ListParagraph"/>
        <w:numPr>
          <w:ilvl w:val="0"/>
          <w:numId w:val="8"/>
        </w:numPr>
        <w:spacing w:after="80" w:line="276"/>
      </w:pPr>
      <w:r>
        <w:t xml:space="preserve">Evidence plan and the full agent reasoning trace</w:t>
      </w:r>
    </w:p>
    <w:p>
      <w:pPr>
        <w:spacing w:after="60"/>
      </w:pPr>
    </w:p>
    <w:p>
      <w:pPr>
        <w:spacing w:after="140" w:line="288"/>
      </w:pPr>
      <w:r>
        <w:t xml:space="preserve">The package is stored in the queue row rather than reassembled at review time, because the reviewer needs to see what the agent saw at the moment it gave up. </w:t>
      </w:r>
      <w:r>
        <w:rPr>
          <w:rFonts w:ascii="Courier New" w:cs="Courier New" w:eastAsia="Courier New" w:hAnsi="Courier New"/>
          <w:color w:val="1E2761"/>
          <w:sz w:val="18"/>
          <w:szCs w:val="18"/>
        </w:rPr>
        <w:t xml:space="preserve">request_id</w:t>
      </w:r>
      <w:r>
        <w:t xml:space="preserve"> is the primary key, which makes the queue naturally idempotent. Reviewer decisions are stored as labelled data for the escalation-precision objective, and High-risk escalations can notify reviewers by e-mail.</w:t>
      </w:r>
    </w:p>
    <w:p>
      <w:pPr>
        <w:pStyle w:val="Heading1"/>
        <w:pageBreakBefore/>
      </w:pPr>
      <w:r>
        <w:t xml:space="preserve">12.  Security and governance</w:t>
      </w:r>
    </w:p>
    <w:p>
      <w:pPr>
        <w:pStyle w:val="Heading2"/>
      </w:pPr>
      <w:r>
        <w:t xml:space="preserve">12.1  Authentication and RBAC</w:t>
      </w:r>
    </w:p>
    <w:p>
      <w:pPr>
        <w:spacing w:after="140" w:line="288"/>
      </w:pPr>
      <w:r>
        <w:t xml:space="preserve">Auth0 issues JWTs that the backend validates against JWKS; roles are read from a namespaced claim. Azure OpenAI credentials are entered on the console's login screen rather than stored in configuration. Scope is enforced inside the vector-store query and the SQL table grant — never as a prompt instruction.</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2100"/>
        <w:gridCol w:w="2500"/>
        <w:gridCol w:w="2526"/>
        <w:gridCol w:w="1900"/>
      </w:tblGrid>
      <w:tr>
        <w:trPr>
          <w:tblHeader/>
        </w:trPr>
        <w:tc>
          <w:tcPr>
            <w:tcW w:type="dxa" w:w="2100"/>
            <w:shd w:fill="1E2761" w:color="auto" w:val="clear"/>
            <w:tcMar>
              <w:top w:type="dxa" w:w="70"/>
              <w:left w:type="dxa" w:w="110"/>
              <w:bottom w:type="dxa" w:w="70"/>
              <w:right w:type="dxa" w:w="110"/>
            </w:tcMar>
          </w:tcPr>
          <w:p>
            <w:pPr>
              <w:spacing w:after="0" w:line="252"/>
            </w:pPr>
            <w:r>
              <w:rPr>
                <w:b/>
                <w:bCs/>
                <w:color w:val="FFFFFF"/>
                <w:sz w:val="18"/>
                <w:szCs w:val="18"/>
              </w:rPr>
              <w:t xml:space="preserve">Role</w:t>
            </w:r>
          </w:p>
        </w:tc>
        <w:tc>
          <w:tcPr>
            <w:tcW w:type="dxa" w:w="2500"/>
            <w:shd w:fill="1E2761" w:color="auto" w:val="clear"/>
            <w:tcMar>
              <w:top w:type="dxa" w:w="70"/>
              <w:left w:type="dxa" w:w="110"/>
              <w:bottom w:type="dxa" w:w="70"/>
              <w:right w:type="dxa" w:w="110"/>
            </w:tcMar>
          </w:tcPr>
          <w:p>
            <w:pPr>
              <w:spacing w:after="0" w:line="252"/>
            </w:pPr>
            <w:r>
              <w:rPr>
                <w:b/>
                <w:bCs/>
                <w:color w:val="FFFFFF"/>
                <w:sz w:val="18"/>
                <w:szCs w:val="18"/>
              </w:rPr>
              <w:t xml:space="preserve">Policy documents</w:t>
            </w:r>
          </w:p>
        </w:tc>
        <w:tc>
          <w:tcPr>
            <w:tcW w:type="dxa" w:w="2526"/>
            <w:shd w:fill="1E2761" w:color="auto" w:val="clear"/>
            <w:tcMar>
              <w:top w:type="dxa" w:w="70"/>
              <w:left w:type="dxa" w:w="110"/>
              <w:bottom w:type="dxa" w:w="70"/>
              <w:right w:type="dxa" w:w="110"/>
            </w:tcMar>
          </w:tcPr>
          <w:p>
            <w:pPr>
              <w:spacing w:after="0" w:line="252"/>
            </w:pPr>
            <w:r>
              <w:rPr>
                <w:b/>
                <w:bCs/>
                <w:color w:val="FFFFFF"/>
                <w:sz w:val="18"/>
                <w:szCs w:val="18"/>
              </w:rPr>
              <w:t xml:space="preserve">SQL tables</w:t>
            </w:r>
          </w:p>
        </w:tc>
        <w:tc>
          <w:tcPr>
            <w:tcW w:type="dxa" w:w="1900"/>
            <w:shd w:fill="1E2761" w:color="auto" w:val="clear"/>
            <w:tcMar>
              <w:top w:type="dxa" w:w="70"/>
              <w:left w:type="dxa" w:w="110"/>
              <w:bottom w:type="dxa" w:w="70"/>
              <w:right w:type="dxa" w:w="110"/>
            </w:tcMar>
          </w:tcPr>
          <w:p>
            <w:pPr>
              <w:spacing w:after="0" w:line="252"/>
            </w:pPr>
            <w:r>
              <w:rPr>
                <w:b/>
                <w:bCs/>
                <w:color w:val="FFFFFF"/>
                <w:sz w:val="18"/>
                <w:szCs w:val="18"/>
              </w:rPr>
              <w:t xml:space="preserve">Screens</w:t>
            </w:r>
          </w:p>
        </w:tc>
      </w:tr>
      <w:tr>
        <w:trPr>
          <w:tblHeader w:val="false"/>
        </w:trPr>
        <w:tc>
          <w:tcPr>
            <w:tcW w:type="dxa" w:w="2100"/>
            <w:shd w:fill="FFFFFF" w:color="auto" w:val="clear"/>
            <w:tcMar>
              <w:top w:type="dxa" w:w="70"/>
              <w:left w:type="dxa" w:w="110"/>
              <w:bottom w:type="dxa" w:w="70"/>
              <w:right w:type="dxa" w:w="110"/>
            </w:tcMar>
          </w:tcPr>
          <w:p>
            <w:pPr>
              <w:spacing w:after="0" w:line="252"/>
            </w:pPr>
            <w:r>
              <w:rPr>
                <w:rFonts w:ascii="Courier New" w:cs="Courier New" w:eastAsia="Courier New" w:hAnsi="Courier New"/>
                <w:sz w:val="18"/>
                <w:szCs w:val="18"/>
              </w:rPr>
              <w:t xml:space="preserve">store_associate</w:t>
            </w:r>
          </w:p>
        </w:tc>
        <w:tc>
          <w:tcPr>
            <w:tcW w:type="dxa" w:w="25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Privacy, infosec, anti-bribery, retention</w:t>
            </w:r>
          </w:p>
        </w:tc>
        <w:tc>
          <w:tcPr>
            <w:tcW w:type="dxa" w:w="25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None</w:t>
            </w:r>
          </w:p>
        </w:tc>
        <w:tc>
          <w:tcPr>
            <w:tcW w:type="dxa" w:w="19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Chat</w:t>
            </w:r>
          </w:p>
        </w:tc>
      </w:tr>
      <w:tr>
        <w:trPr>
          <w:tblHeader w:val="false"/>
        </w:trPr>
        <w:tc>
          <w:tcPr>
            <w:tcW w:type="dxa" w:w="2100"/>
            <w:shd w:fill="F4F7FD" w:color="auto" w:val="clear"/>
            <w:tcMar>
              <w:top w:type="dxa" w:w="70"/>
              <w:left w:type="dxa" w:w="110"/>
              <w:bottom w:type="dxa" w:w="70"/>
              <w:right w:type="dxa" w:w="110"/>
            </w:tcMar>
          </w:tcPr>
          <w:p>
            <w:pPr>
              <w:spacing w:after="0" w:line="252"/>
            </w:pPr>
            <w:r>
              <w:rPr>
                <w:rFonts w:ascii="Courier New" w:cs="Courier New" w:eastAsia="Courier New" w:hAnsi="Courier New"/>
                <w:sz w:val="18"/>
                <w:szCs w:val="18"/>
              </w:rPr>
              <w:t xml:space="preserve">store_manager</w:t>
            </w:r>
          </w:p>
        </w:tc>
        <w:tc>
          <w:tcPr>
            <w:tcW w:type="dxa" w:w="25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 vendor policy</w:t>
            </w:r>
          </w:p>
        </w:tc>
        <w:tc>
          <w:tcPr>
            <w:tcW w:type="dxa" w:w="25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vendors (Low/Medium), compliance_reviews</w:t>
            </w:r>
          </w:p>
        </w:tc>
        <w:tc>
          <w:tcPr>
            <w:tcW w:type="dxa" w:w="19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Chat, dashboard</w:t>
            </w:r>
          </w:p>
        </w:tc>
      </w:tr>
      <w:tr>
        <w:trPr>
          <w:tblHeader w:val="false"/>
        </w:trPr>
        <w:tc>
          <w:tcPr>
            <w:tcW w:type="dxa" w:w="2100"/>
            <w:shd w:fill="FFFFFF" w:color="auto" w:val="clear"/>
            <w:tcMar>
              <w:top w:type="dxa" w:w="70"/>
              <w:left w:type="dxa" w:w="110"/>
              <w:bottom w:type="dxa" w:w="70"/>
              <w:right w:type="dxa" w:w="110"/>
            </w:tcMar>
          </w:tcPr>
          <w:p>
            <w:pPr>
              <w:spacing w:after="0" w:line="252"/>
            </w:pPr>
            <w:r>
              <w:rPr>
                <w:rFonts w:ascii="Courier New" w:cs="Courier New" w:eastAsia="Courier New" w:hAnsi="Courier New"/>
                <w:sz w:val="18"/>
                <w:szCs w:val="18"/>
              </w:rPr>
              <w:t xml:space="preserve">compliance_officer</w:t>
            </w:r>
          </w:p>
        </w:tc>
        <w:tc>
          <w:tcPr>
            <w:tcW w:type="dxa" w:w="25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All seven</w:t>
            </w:r>
          </w:p>
        </w:tc>
        <w:tc>
          <w:tcPr>
            <w:tcW w:type="dxa" w:w="25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All four domain tables</w:t>
            </w:r>
          </w:p>
        </w:tc>
        <w:tc>
          <w:tcPr>
            <w:tcW w:type="dxa" w:w="19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Chat, dashboard, review, SLO</w:t>
            </w:r>
          </w:p>
        </w:tc>
      </w:tr>
      <w:tr>
        <w:trPr>
          <w:tblHeader w:val="false"/>
        </w:trPr>
        <w:tc>
          <w:tcPr>
            <w:tcW w:type="dxa" w:w="2100"/>
            <w:shd w:fill="F4F7FD" w:color="auto" w:val="clear"/>
            <w:tcMar>
              <w:top w:type="dxa" w:w="70"/>
              <w:left w:type="dxa" w:w="110"/>
              <w:bottom w:type="dxa" w:w="70"/>
              <w:right w:type="dxa" w:w="110"/>
            </w:tcMar>
          </w:tcPr>
          <w:p>
            <w:pPr>
              <w:spacing w:after="0" w:line="252"/>
            </w:pPr>
            <w:r>
              <w:rPr>
                <w:rFonts w:ascii="Courier New" w:cs="Courier New" w:eastAsia="Courier New" w:hAnsi="Courier New"/>
                <w:sz w:val="18"/>
                <w:szCs w:val="18"/>
              </w:rPr>
              <w:t xml:space="preserve">legal_reviewer</w:t>
            </w:r>
          </w:p>
        </w:tc>
        <w:tc>
          <w:tcPr>
            <w:tcW w:type="dxa" w:w="25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All seven</w:t>
            </w:r>
          </w:p>
        </w:tc>
        <w:tc>
          <w:tcPr>
            <w:tcW w:type="dxa" w:w="25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All four domain tables</w:t>
            </w:r>
          </w:p>
        </w:tc>
        <w:tc>
          <w:tcPr>
            <w:tcW w:type="dxa" w:w="19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Chat, review, SLO</w:t>
            </w:r>
          </w:p>
        </w:tc>
      </w:tr>
      <w:tr>
        <w:trPr>
          <w:tblHeader w:val="false"/>
        </w:trPr>
        <w:tc>
          <w:tcPr>
            <w:tcW w:type="dxa" w:w="2100"/>
            <w:shd w:fill="FFFFFF" w:color="auto" w:val="clear"/>
            <w:tcMar>
              <w:top w:type="dxa" w:w="70"/>
              <w:left w:type="dxa" w:w="110"/>
              <w:bottom w:type="dxa" w:w="70"/>
              <w:right w:type="dxa" w:w="110"/>
            </w:tcMar>
          </w:tcPr>
          <w:p>
            <w:pPr>
              <w:spacing w:after="0" w:line="252"/>
            </w:pPr>
            <w:r>
              <w:rPr>
                <w:rFonts w:ascii="Courier New" w:cs="Courier New" w:eastAsia="Courier New" w:hAnsi="Courier New"/>
                <w:sz w:val="18"/>
                <w:szCs w:val="18"/>
              </w:rPr>
              <w:t xml:space="preserve">admin</w:t>
            </w:r>
          </w:p>
        </w:tc>
        <w:tc>
          <w:tcPr>
            <w:tcW w:type="dxa" w:w="25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All seven</w:t>
            </w:r>
          </w:p>
        </w:tc>
        <w:tc>
          <w:tcPr>
            <w:tcW w:type="dxa" w:w="25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All four domain tables</w:t>
            </w:r>
          </w:p>
        </w:tc>
        <w:tc>
          <w:tcPr>
            <w:tcW w:type="dxa" w:w="19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All + corpus admin</w:t>
            </w:r>
          </w:p>
        </w:tc>
      </w:tr>
    </w:tbl>
    <w:p>
      <w:pPr>
        <w:spacing w:after="160"/>
      </w:pPr>
    </w:p>
    <w:p>
      <w:pPr>
        <w:spacing w:after="140" w:line="288"/>
      </w:pPr>
      <w:r>
        <w:t xml:space="preserve">Store associates and managers are further restricted to their own department's retention records. Rows removed by these post-execution filters are counted and disclosed, so a partial result is reported as a floor, never as a total.</w:t>
      </w:r>
    </w:p>
    <w:p>
      <w:pPr>
        <w:pStyle w:val="Heading2"/>
      </w:pPr>
      <w:r>
        <w:t xml:space="preserve">12.2  Guardrails</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2500"/>
        <w:gridCol w:w="6526"/>
      </w:tblGrid>
      <w:tr>
        <w:trPr>
          <w:tblHeader/>
        </w:trPr>
        <w:tc>
          <w:tcPr>
            <w:tcW w:type="dxa" w:w="2500"/>
            <w:shd w:fill="1E2761" w:color="auto" w:val="clear"/>
            <w:tcMar>
              <w:top w:type="dxa" w:w="70"/>
              <w:left w:type="dxa" w:w="110"/>
              <w:bottom w:type="dxa" w:w="70"/>
              <w:right w:type="dxa" w:w="110"/>
            </w:tcMar>
          </w:tcPr>
          <w:p>
            <w:pPr>
              <w:spacing w:after="0" w:line="252"/>
            </w:pPr>
            <w:r>
              <w:rPr>
                <w:b/>
                <w:bCs/>
                <w:color w:val="FFFFFF"/>
                <w:sz w:val="18"/>
                <w:szCs w:val="18"/>
              </w:rPr>
              <w:t xml:space="preserve">Control</w:t>
            </w:r>
          </w:p>
        </w:tc>
        <w:tc>
          <w:tcPr>
            <w:tcW w:type="dxa" w:w="6526"/>
            <w:shd w:fill="1E2761" w:color="auto" w:val="clear"/>
            <w:tcMar>
              <w:top w:type="dxa" w:w="70"/>
              <w:left w:type="dxa" w:w="110"/>
              <w:bottom w:type="dxa" w:w="70"/>
              <w:right w:type="dxa" w:w="110"/>
            </w:tcMar>
          </w:tcPr>
          <w:p>
            <w:pPr>
              <w:spacing w:after="0" w:line="252"/>
            </w:pPr>
            <w:r>
              <w:rPr>
                <w:b/>
                <w:bCs/>
                <w:color w:val="FFFFFF"/>
                <w:sz w:val="18"/>
                <w:szCs w:val="18"/>
              </w:rPr>
              <w:t xml:space="preserve">Implementation</w:t>
            </w:r>
          </w:p>
        </w:tc>
      </w:tr>
      <w:tr>
        <w:trPr>
          <w:tblHeader w:val="false"/>
        </w:trPr>
        <w:tc>
          <w:tcPr>
            <w:tcW w:type="dxa" w:w="25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Prompt injection</w:t>
            </w:r>
          </w:p>
        </w:tc>
        <w:tc>
          <w:tcPr>
            <w:tcW w:type="dxa" w:w="65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Screened before PII redaction so evidence of an attack is not mangled</w:t>
            </w:r>
          </w:p>
        </w:tc>
      </w:tr>
      <w:tr>
        <w:trPr>
          <w:tblHeader w:val="false"/>
        </w:trPr>
        <w:tc>
          <w:tcPr>
            <w:tcW w:type="dxa" w:w="25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PII in</w:t>
            </w:r>
          </w:p>
        </w:tc>
        <w:tc>
          <w:tcPr>
            <w:tcW w:type="dxa" w:w="65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Presidio + regex redaction before any embedding or model call</w:t>
            </w:r>
          </w:p>
        </w:tc>
      </w:tr>
      <w:tr>
        <w:trPr>
          <w:tblHeader w:val="false"/>
        </w:trPr>
        <w:tc>
          <w:tcPr>
            <w:tcW w:type="dxa" w:w="25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PII out</w:t>
            </w:r>
          </w:p>
        </w:tc>
        <w:tc>
          <w:tcPr>
            <w:tcW w:type="dxa" w:w="65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Guardrails AI DetectPII + Presidio + regex; fails closed — an error withholds the answer</w:t>
            </w:r>
          </w:p>
        </w:tc>
      </w:tr>
      <w:tr>
        <w:trPr>
          <w:tblHeader w:val="false"/>
        </w:trPr>
        <w:tc>
          <w:tcPr>
            <w:tcW w:type="dxa" w:w="25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Citations</w:t>
            </w:r>
          </w:p>
        </w:tc>
        <w:tc>
          <w:tcPr>
            <w:tcW w:type="dxa" w:w="65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Only clauses actually retrieved may be cited</w:t>
            </w:r>
          </w:p>
        </w:tc>
      </w:tr>
      <w:tr>
        <w:trPr>
          <w:tblHeader w:val="false"/>
        </w:trPr>
        <w:tc>
          <w:tcPr>
            <w:tcW w:type="dxa" w:w="25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Retrieved text and tools</w:t>
            </w:r>
          </w:p>
        </w:tc>
        <w:tc>
          <w:tcPr>
            <w:tcW w:type="dxa" w:w="65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Chunks neutralised and delimited; MCP tools allow-listed and output-clamped</w:t>
            </w:r>
          </w:p>
        </w:tc>
      </w:tr>
      <w:tr>
        <w:trPr>
          <w:tblHeader w:val="false"/>
        </w:trPr>
        <w:tc>
          <w:tcPr>
            <w:tcW w:type="dxa" w:w="25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Audit</w:t>
            </w:r>
          </w:p>
        </w:tc>
        <w:tc>
          <w:tcPr>
            <w:tcW w:type="dxa" w:w="65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Append-only system_audit_log; circuit breaker protects the request path</w:t>
            </w:r>
          </w:p>
        </w:tc>
      </w:tr>
      <w:tr>
        <w:trPr>
          <w:tblHeader w:val="false"/>
        </w:trPr>
        <w:tc>
          <w:tcPr>
            <w:tcW w:type="dxa" w:w="25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Idempotency</w:t>
            </w:r>
          </w:p>
        </w:tc>
        <w:tc>
          <w:tcPr>
            <w:tcW w:type="dxa" w:w="65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Per-user Idempotency-Key prevents duplicate escalations on retry</w:t>
            </w:r>
          </w:p>
        </w:tc>
      </w:tr>
    </w:tbl>
    <w:p>
      <w:pPr>
        <w:spacing w:after="160"/>
      </w:pPr>
    </w:p>
    <w:p>
      <w:pPr>
        <w:pStyle w:val="Heading1"/>
        <w:pageBreakBefore/>
      </w:pPr>
      <w:r>
        <w:t xml:space="preserve">13.  SLOs, reliability and observability</w:t>
      </w:r>
    </w:p>
    <w:p>
      <w:pPr>
        <w:pStyle w:val="Heading2"/>
      </w:pPr>
      <w:r>
        <w:t xml:space="preserve">13.1  Service-level objectives</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6000"/>
        <w:gridCol w:w="3026"/>
      </w:tblGrid>
      <w:tr>
        <w:trPr>
          <w:tblHeader/>
        </w:trPr>
        <w:tc>
          <w:tcPr>
            <w:tcW w:type="dxa" w:w="6000"/>
            <w:shd w:fill="1E2761" w:color="auto" w:val="clear"/>
            <w:tcMar>
              <w:top w:type="dxa" w:w="70"/>
              <w:left w:type="dxa" w:w="110"/>
              <w:bottom w:type="dxa" w:w="70"/>
              <w:right w:type="dxa" w:w="110"/>
            </w:tcMar>
          </w:tcPr>
          <w:p>
            <w:pPr>
              <w:spacing w:after="0" w:line="252"/>
            </w:pPr>
            <w:r>
              <w:rPr>
                <w:b/>
                <w:bCs/>
                <w:color w:val="FFFFFF"/>
                <w:sz w:val="18"/>
                <w:szCs w:val="18"/>
              </w:rPr>
              <w:t xml:space="preserve">Objective</w:t>
            </w:r>
          </w:p>
        </w:tc>
        <w:tc>
          <w:tcPr>
            <w:tcW w:type="dxa" w:w="3026"/>
            <w:shd w:fill="1E2761" w:color="auto" w:val="clear"/>
            <w:tcMar>
              <w:top w:type="dxa" w:w="70"/>
              <w:left w:type="dxa" w:w="110"/>
              <w:bottom w:type="dxa" w:w="70"/>
              <w:right w:type="dxa" w:w="110"/>
            </w:tcMar>
          </w:tcPr>
          <w:p>
            <w:pPr>
              <w:spacing w:after="0" w:line="252"/>
            </w:pPr>
            <w:r>
              <w:rPr>
                <w:b/>
                <w:bCs/>
                <w:color w:val="FFFFFF"/>
                <w:sz w:val="18"/>
                <w:szCs w:val="18"/>
              </w:rPr>
              <w:t xml:space="preserve">Target</w:t>
            </w:r>
          </w:p>
        </w:tc>
      </w:tr>
      <w:tr>
        <w:trPr>
          <w:tblHeader w:val="false"/>
        </w:trPr>
        <w:tc>
          <w:tcPr>
            <w:tcW w:type="dxa" w:w="60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Task success rate</w:t>
            </w:r>
          </w:p>
        </w:tc>
        <w:tc>
          <w:tcPr>
            <w:tcW w:type="dxa" w:w="30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 90%</w:t>
            </w:r>
          </w:p>
        </w:tc>
      </w:tr>
      <w:tr>
        <w:trPr>
          <w:tblHeader w:val="false"/>
        </w:trPr>
        <w:tc>
          <w:tcPr>
            <w:tcW w:type="dxa" w:w="60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Structured SQL correctness (exec-match)</w:t>
            </w:r>
          </w:p>
        </w:tc>
        <w:tc>
          <w:tcPr>
            <w:tcW w:type="dxa" w:w="30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 95%</w:t>
            </w:r>
          </w:p>
        </w:tc>
      </w:tr>
      <w:tr>
        <w:trPr>
          <w:tblHeader w:val="false"/>
        </w:trPr>
        <w:tc>
          <w:tcPr>
            <w:tcW w:type="dxa" w:w="60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High-risk misclassification</w:t>
            </w:r>
          </w:p>
        </w:tc>
        <w:tc>
          <w:tcPr>
            <w:tcW w:type="dxa" w:w="30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&lt; 5%</w:t>
            </w:r>
          </w:p>
        </w:tc>
      </w:tr>
      <w:tr>
        <w:trPr>
          <w:tblHeader w:val="false"/>
        </w:trPr>
        <w:tc>
          <w:tcPr>
            <w:tcW w:type="dxa" w:w="60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PII leakage</w:t>
            </w:r>
          </w:p>
        </w:tc>
        <w:tc>
          <w:tcPr>
            <w:tcW w:type="dxa" w:w="30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0</w:t>
            </w:r>
          </w:p>
        </w:tc>
      </w:tr>
      <w:tr>
        <w:trPr>
          <w:tblHeader w:val="false"/>
        </w:trPr>
        <w:tc>
          <w:tcPr>
            <w:tcW w:type="dxa" w:w="60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P95 latency — RAG / SQL · Hybrid · High-risk</w:t>
            </w:r>
          </w:p>
        </w:tc>
        <w:tc>
          <w:tcPr>
            <w:tcW w:type="dxa" w:w="30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 4 s · ≤ 6 s · ≤ 12 s</w:t>
            </w:r>
          </w:p>
        </w:tc>
      </w:tr>
      <w:tr>
        <w:trPr>
          <w:tblHeader w:val="false"/>
        </w:trPr>
        <w:tc>
          <w:tcPr>
            <w:tcW w:type="dxa" w:w="60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Escalation acknowledgement (202)</w:t>
            </w:r>
          </w:p>
        </w:tc>
        <w:tc>
          <w:tcPr>
            <w:tcW w:type="dxa" w:w="30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 2 s</w:t>
            </w:r>
          </w:p>
        </w:tc>
      </w:tr>
      <w:tr>
        <w:trPr>
          <w:tblHeader w:val="false"/>
        </w:trPr>
        <w:tc>
          <w:tcPr>
            <w:tcW w:type="dxa" w:w="60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Confidence present · citation coverage</w:t>
            </w:r>
          </w:p>
        </w:tc>
        <w:tc>
          <w:tcPr>
            <w:tcW w:type="dxa" w:w="30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100% · ≥ 95%</w:t>
            </w:r>
          </w:p>
        </w:tc>
      </w:tr>
      <w:tr>
        <w:trPr>
          <w:tblHeader w:val="false"/>
        </w:trPr>
        <w:tc>
          <w:tcPr>
            <w:tcW w:type="dxa" w:w="60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Escalation precision</w:t>
            </w:r>
          </w:p>
        </w:tc>
        <w:tc>
          <w:tcPr>
            <w:tcW w:type="dxa" w:w="30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 85%</w:t>
            </w:r>
          </w:p>
        </w:tc>
      </w:tr>
      <w:tr>
        <w:trPr>
          <w:tblHeader w:val="false"/>
        </w:trPr>
        <w:tc>
          <w:tcPr>
            <w:tcW w:type="dxa" w:w="60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Cost per query</w:t>
            </w:r>
          </w:p>
        </w:tc>
        <w:tc>
          <w:tcPr>
            <w:tcW w:type="dxa" w:w="30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 ₹4</w:t>
            </w:r>
          </w:p>
        </w:tc>
      </w:tr>
    </w:tbl>
    <w:p>
      <w:pPr>
        <w:spacing w:after="160"/>
      </w:pPr>
    </w:p>
    <w:p>
      <w:pPr>
        <w:pStyle w:val="Heading2"/>
      </w:pPr>
      <w:r>
        <w:t xml:space="preserve">13.2  Budgets and deadlines</w:t>
      </w:r>
    </w:p>
    <w:p>
      <w:pPr>
        <w:spacing w:after="140" w:line="288"/>
      </w:pPr>
      <w:r>
        <w:t xml:space="preserve">Every node runs under a wall-clock deadline and a token budget carried in graph state and checked before the node body executes. Deadlines widen with the route and are always computed from the original start time, so a late widening never restarts the clock.</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1500"/>
        <w:gridCol w:w="3900"/>
        <w:gridCol w:w="3626"/>
      </w:tblGrid>
      <w:tr>
        <w:trPr>
          <w:tblHeader/>
        </w:trPr>
        <w:tc>
          <w:tcPr>
            <w:tcW w:type="dxa" w:w="1500"/>
            <w:shd w:fill="1E2761" w:color="auto" w:val="clear"/>
            <w:tcMar>
              <w:top w:type="dxa" w:w="70"/>
              <w:left w:type="dxa" w:w="110"/>
              <w:bottom w:type="dxa" w:w="70"/>
              <w:right w:type="dxa" w:w="110"/>
            </w:tcMar>
          </w:tcPr>
          <w:p>
            <w:pPr>
              <w:spacing w:after="0" w:line="252"/>
            </w:pPr>
            <w:r>
              <w:rPr>
                <w:b/>
                <w:bCs/>
                <w:color w:val="FFFFFF"/>
                <w:sz w:val="18"/>
                <w:szCs w:val="18"/>
              </w:rPr>
              <w:t xml:space="preserve">Tier</w:t>
            </w:r>
          </w:p>
        </w:tc>
        <w:tc>
          <w:tcPr>
            <w:tcW w:type="dxa" w:w="3900"/>
            <w:shd w:fill="1E2761" w:color="auto" w:val="clear"/>
            <w:tcMar>
              <w:top w:type="dxa" w:w="70"/>
              <w:left w:type="dxa" w:w="110"/>
              <w:bottom w:type="dxa" w:w="70"/>
              <w:right w:type="dxa" w:w="110"/>
            </w:tcMar>
          </w:tcPr>
          <w:p>
            <w:pPr>
              <w:spacing w:after="0" w:line="252"/>
            </w:pPr>
            <w:r>
              <w:rPr>
                <w:b/>
                <w:bCs/>
                <w:color w:val="FFFFFF"/>
                <w:sz w:val="18"/>
                <w:szCs w:val="18"/>
              </w:rPr>
              <w:t xml:space="preserve">Nodes</w:t>
            </w:r>
          </w:p>
        </w:tc>
        <w:tc>
          <w:tcPr>
            <w:tcW w:type="dxa" w:w="3626"/>
            <w:shd w:fill="1E2761" w:color="auto" w:val="clear"/>
            <w:tcMar>
              <w:top w:type="dxa" w:w="70"/>
              <w:left w:type="dxa" w:w="110"/>
              <w:bottom w:type="dxa" w:w="70"/>
              <w:right w:type="dxa" w:w="110"/>
            </w:tcMar>
          </w:tcPr>
          <w:p>
            <w:pPr>
              <w:spacing w:after="0" w:line="252"/>
            </w:pPr>
            <w:r>
              <w:rPr>
                <w:b/>
                <w:bCs/>
                <w:color w:val="FFFFFF"/>
                <w:sz w:val="18"/>
                <w:szCs w:val="18"/>
              </w:rPr>
              <w:t xml:space="preserve">Under pressure</w:t>
            </w:r>
          </w:p>
        </w:tc>
      </w:tr>
      <w:tr>
        <w:trPr>
          <w:tblHeader w:val="false"/>
        </w:trPr>
        <w:tc>
          <w:tcPr>
            <w:tcW w:type="dxa" w:w="15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Optional</w:t>
            </w:r>
          </w:p>
        </w:tc>
        <w:tc>
          <w:tcPr>
            <w:tcW w:type="dxa" w:w="39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Reranker, thread summary, confidence calibration</w:t>
            </w:r>
          </w:p>
        </w:tc>
        <w:tc>
          <w:tcPr>
            <w:tcW w:type="dxa" w:w="36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Skipped; response flagged degraded (−0.10)</w:t>
            </w:r>
          </w:p>
        </w:tc>
      </w:tr>
      <w:tr>
        <w:trPr>
          <w:tblHeader w:val="false"/>
        </w:trPr>
        <w:tc>
          <w:tcPr>
            <w:tcW w:type="dxa" w:w="15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Required</w:t>
            </w:r>
          </w:p>
        </w:tc>
        <w:tc>
          <w:tcPr>
            <w:tcW w:type="dxa" w:w="39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Everything that gathers or judges evidence</w:t>
            </w:r>
          </w:p>
        </w:tc>
        <w:tc>
          <w:tcPr>
            <w:tcW w:type="dxa" w:w="36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Not run; request escalates with a named budget_stop</w:t>
            </w:r>
          </w:p>
        </w:tc>
      </w:tr>
      <w:tr>
        <w:trPr>
          <w:tblHeader w:val="false"/>
        </w:trPr>
        <w:tc>
          <w:tcPr>
            <w:tcW w:type="dxa" w:w="15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Release</w:t>
            </w:r>
          </w:p>
        </w:tc>
        <w:tc>
          <w:tcPr>
            <w:tcW w:type="dxa" w:w="39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Output guardrail, escalation manager, refusal, clarification</w:t>
            </w:r>
          </w:p>
        </w:tc>
        <w:tc>
          <w:tcPr>
            <w:tcW w:type="dxa" w:w="36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Never budget-checked — the system must always be able to escalate</w:t>
            </w:r>
          </w:p>
        </w:tc>
      </w:tr>
    </w:tbl>
    <w:p>
      <w:pPr>
        <w:spacing w:after="160"/>
      </w:pPr>
    </w:p>
    <w:p>
      <w:pPr>
        <w:pStyle w:val="Heading2"/>
      </w:pPr>
      <w:r>
        <w:t xml:space="preserve">13.3  Observability and audit</w:t>
      </w:r>
    </w:p>
    <w:p>
      <w:pPr>
        <w:pStyle w:val="ListParagraph"/>
        <w:numPr>
          <w:ilvl w:val="0"/>
          <w:numId w:val="9"/>
        </w:numPr>
        <w:spacing w:after="80" w:line="276"/>
      </w:pPr>
      <w:r>
        <w:t xml:space="preserve">Langfuse traces with one span per node, including token and cost usage.</w:t>
      </w:r>
    </w:p>
    <w:p>
      <w:pPr>
        <w:pStyle w:val="ListParagraph"/>
        <w:numPr>
          <w:ilvl w:val="0"/>
          <w:numId w:val="9"/>
        </w:numPr>
        <w:spacing w:after="80" w:line="276"/>
      </w:pPr>
      <w:r>
        <w:rPr>
          <w:rFonts w:ascii="Courier New" w:cs="Courier New" w:eastAsia="Courier New" w:hAnsi="Courier New"/>
          <w:color w:val="1E2761"/>
          <w:sz w:val="18"/>
          <w:szCs w:val="18"/>
        </w:rPr>
        <w:t xml:space="preserve">GET /metrics/slo</w:t>
      </w:r>
      <w:r>
        <w:t xml:space="preserve"> — P50 / P95 / P99 per t0–t4 stage and per path, with breached stages and paths named.</w:t>
      </w:r>
    </w:p>
    <w:p>
      <w:pPr>
        <w:pStyle w:val="ListParagraph"/>
        <w:numPr>
          <w:ilvl w:val="0"/>
          <w:numId w:val="9"/>
        </w:numPr>
        <w:spacing w:after="80" w:line="276"/>
      </w:pPr>
      <w:r>
        <w:t xml:space="preserve">One request_id shared by every log line, audit row, trace and the </w:t>
      </w:r>
      <w:r>
        <w:rPr>
          <w:rFonts w:ascii="Courier New" w:cs="Courier New" w:eastAsia="Courier New" w:hAnsi="Courier New"/>
          <w:color w:val="1E2761"/>
          <w:sz w:val="18"/>
          <w:szCs w:val="18"/>
        </w:rPr>
        <w:t xml:space="preserve">X-Request-ID</w:t>
      </w:r>
      <w:r>
        <w:t xml:space="preserve"> header.</w:t>
      </w:r>
    </w:p>
    <w:p>
      <w:pPr>
        <w:pStyle w:val="ListParagraph"/>
        <w:numPr>
          <w:ilvl w:val="0"/>
          <w:numId w:val="9"/>
        </w:numPr>
        <w:spacing w:after="80" w:line="276"/>
      </w:pPr>
      <w:r>
        <w:t xml:space="preserve">Escalation reasons name the real cause: retries exhausted, time exhausted, tokens exhausted, or retrieval no-match.</w:t>
      </w:r>
    </w:p>
    <w:p>
      <w:pPr>
        <w:spacing w:after="60"/>
      </w:pPr>
    </w:p>
    <w:p>
      <w:pPr>
        <w:pStyle w:val="Heading1"/>
        <w:pageBreakBefore/>
      </w:pPr>
      <w:r>
        <w:t xml:space="preserve">14.  Cost and latency optimisation</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2200"/>
        <w:gridCol w:w="6826"/>
      </w:tblGrid>
      <w:tr>
        <w:trPr>
          <w:tblHeader/>
        </w:trPr>
        <w:tc>
          <w:tcPr>
            <w:tcW w:type="dxa" w:w="2200"/>
            <w:shd w:fill="1E2761" w:color="auto" w:val="clear"/>
            <w:tcMar>
              <w:top w:type="dxa" w:w="70"/>
              <w:left w:type="dxa" w:w="110"/>
              <w:bottom w:type="dxa" w:w="70"/>
              <w:right w:type="dxa" w:w="110"/>
            </w:tcMar>
          </w:tcPr>
          <w:p>
            <w:pPr>
              <w:spacing w:after="0" w:line="252"/>
            </w:pPr>
            <w:r>
              <w:rPr>
                <w:b/>
                <w:bCs/>
                <w:color w:val="FFFFFF"/>
                <w:sz w:val="18"/>
                <w:szCs w:val="18"/>
              </w:rPr>
              <w:t xml:space="preserve">Mechanism</w:t>
            </w:r>
          </w:p>
        </w:tc>
        <w:tc>
          <w:tcPr>
            <w:tcW w:type="dxa" w:w="6826"/>
            <w:shd w:fill="1E2761" w:color="auto" w:val="clear"/>
            <w:tcMar>
              <w:top w:type="dxa" w:w="70"/>
              <w:left w:type="dxa" w:w="110"/>
              <w:bottom w:type="dxa" w:w="70"/>
              <w:right w:type="dxa" w:w="110"/>
            </w:tcMar>
          </w:tcPr>
          <w:p>
            <w:pPr>
              <w:spacing w:after="0" w:line="252"/>
            </w:pPr>
            <w:r>
              <w:rPr>
                <w:b/>
                <w:bCs/>
                <w:color w:val="FFFFFF"/>
                <w:sz w:val="18"/>
                <w:szCs w:val="18"/>
              </w:rPr>
              <w:t xml:space="preserve">Detail</w:t>
            </w:r>
          </w:p>
        </w:tc>
      </w:tr>
      <w:tr>
        <w:trPr>
          <w:tblHeader w:val="false"/>
        </w:trPr>
        <w:tc>
          <w:tcPr>
            <w:tcW w:type="dxa" w:w="2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Response cache</w:t>
            </w:r>
          </w:p>
        </w:tc>
        <w:tc>
          <w:tcPr>
            <w:tcW w:type="dxa" w:w="68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Keyed on access scope + normalised question; semantic hits at cosine ≥ 0.95. Stores only certified answers; never shared across roles or used for follow-ups</w:t>
            </w:r>
          </w:p>
        </w:tc>
      </w:tr>
      <w:tr>
        <w:trPr>
          <w:tblHeader w:val="false"/>
        </w:trPr>
        <w:tc>
          <w:tcPr>
            <w:tcW w:type="dxa" w:w="22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Retrieval cache</w:t>
            </w:r>
          </w:p>
        </w:tc>
        <w:tc>
          <w:tcPr>
            <w:tcW w:type="dxa" w:w="68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Skips embedding, search, fusion and reranking for repeated queries in the same scope (TTL 10 minutes)</w:t>
            </w:r>
          </w:p>
        </w:tc>
      </w:tr>
      <w:tr>
        <w:trPr>
          <w:tblHeader w:val="false"/>
        </w:trPr>
        <w:tc>
          <w:tcPr>
            <w:tcW w:type="dxa" w:w="2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LLM cache</w:t>
            </w:r>
          </w:p>
        </w:tc>
        <w:tc>
          <w:tcPr>
            <w:tcW w:type="dxa" w:w="68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TTL / LRU completion cache for temperature-0 calls</w:t>
            </w:r>
          </w:p>
        </w:tc>
      </w:tr>
      <w:tr>
        <w:trPr>
          <w:tblHeader w:val="false"/>
        </w:trPr>
        <w:tc>
          <w:tcPr>
            <w:tcW w:type="dxa" w:w="22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Model routing</w:t>
            </w:r>
          </w:p>
        </w:tc>
        <w:tc>
          <w:tcPr>
            <w:tcW w:type="dxa" w:w="68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Fixed small (rewrite, intent, risk, planner, selector, reflection); fixed strong (panel); routable (generation, validation, agentic)</w:t>
            </w:r>
          </w:p>
        </w:tc>
      </w:tr>
      <w:tr>
        <w:trPr>
          <w:tblHeader w:val="false"/>
        </w:trPr>
        <w:tc>
          <w:tcPr>
            <w:tcW w:type="dxa" w:w="2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Routing strategies</w:t>
            </w:r>
          </w:p>
        </w:tc>
        <w:tc>
          <w:tcPr>
            <w:tcW w:type="dxa" w:w="68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heuristic (default), cost_saver, quality_first, static; High risk exempt from downgrade</w:t>
            </w:r>
          </w:p>
        </w:tc>
      </w:tr>
      <w:tr>
        <w:trPr>
          <w:tblHeader w:val="false"/>
        </w:trPr>
        <w:tc>
          <w:tcPr>
            <w:tcW w:type="dxa" w:w="22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Cost ledger</w:t>
            </w:r>
          </w:p>
        </w:tc>
        <w:tc>
          <w:tcPr>
            <w:tcW w:type="dxa" w:w="68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Billed tokens priced per model; trace.llm_usage per request, /metrics/optimization process-wide</w:t>
            </w:r>
          </w:p>
        </w:tc>
      </w:tr>
      <w:tr>
        <w:trPr>
          <w:tblHeader w:val="false"/>
        </w:trPr>
        <w:tc>
          <w:tcPr>
            <w:tcW w:type="dxa" w:w="2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Gateway</w:t>
            </w:r>
          </w:p>
        </w:tc>
        <w:tc>
          <w:tcPr>
            <w:tcW w:type="dxa" w:w="68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Optional LiteLLM proxy lets the small tier be swapped without code changes</w:t>
            </w:r>
          </w:p>
        </w:tc>
      </w:tr>
    </w:tbl>
    <w:p>
      <w:pPr>
        <w:spacing w:after="160"/>
      </w:pPr>
    </w:p>
    <w:p>
      <w:pPr>
        <w:pStyle w:val="Heading1"/>
        <w:pageBreakBefore/>
      </w:pPr>
      <w:r>
        <w:t xml:space="preserve">15.  Frontend console</w:t>
      </w:r>
    </w:p>
    <w:p>
      <w:pPr>
        <w:spacing w:after="140" w:line="288"/>
      </w:pPr>
      <w:r>
        <w:t xml:space="preserve">The console is a Vite + React 19 + TypeScript application using </w:t>
      </w:r>
      <w:r>
        <w:rPr>
          <w:rFonts w:ascii="Courier New" w:cs="Courier New" w:eastAsia="Courier New" w:hAnsi="Courier New"/>
          <w:color w:val="1E2761"/>
          <w:sz w:val="18"/>
          <w:szCs w:val="18"/>
        </w:rPr>
        <w:t xml:space="preserve">@auth0/auth0-react</w:t>
      </w:r>
      <w:r>
        <w:t xml:space="preserve">. Screens are gated by role through the same </w:t>
      </w:r>
      <w:r>
        <w:rPr>
          <w:rFonts w:ascii="Courier New" w:cs="Courier New" w:eastAsia="Courier New" w:hAnsi="Courier New"/>
          <w:color w:val="1E2761"/>
          <w:sz w:val="18"/>
          <w:szCs w:val="18"/>
        </w:rPr>
        <w:t xml:space="preserve">SCREENS</w:t>
      </w:r>
      <w:r>
        <w:t xml:space="preserve"> table the backend exposes on </w:t>
      </w:r>
      <w:r>
        <w:rPr>
          <w:rFonts w:ascii="Courier New" w:cs="Courier New" w:eastAsia="Courier New" w:hAnsi="Courier New"/>
          <w:color w:val="1E2761"/>
          <w:sz w:val="18"/>
          <w:szCs w:val="18"/>
        </w:rPr>
        <w:t xml:space="preserve">/auth/me</w:t>
      </w:r>
      <w:r>
        <w:t xml:space="preserve">.</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2000"/>
        <w:gridCol w:w="4400"/>
        <w:gridCol w:w="2626"/>
      </w:tblGrid>
      <w:tr>
        <w:trPr>
          <w:tblHeader/>
        </w:trPr>
        <w:tc>
          <w:tcPr>
            <w:tcW w:type="dxa" w:w="2000"/>
            <w:shd w:fill="1E2761" w:color="auto" w:val="clear"/>
            <w:tcMar>
              <w:top w:type="dxa" w:w="70"/>
              <w:left w:type="dxa" w:w="110"/>
              <w:bottom w:type="dxa" w:w="70"/>
              <w:right w:type="dxa" w:w="110"/>
            </w:tcMar>
          </w:tcPr>
          <w:p>
            <w:pPr>
              <w:spacing w:after="0" w:line="252"/>
            </w:pPr>
            <w:r>
              <w:rPr>
                <w:b/>
                <w:bCs/>
                <w:color w:val="FFFFFF"/>
                <w:sz w:val="18"/>
                <w:szCs w:val="18"/>
              </w:rPr>
              <w:t xml:space="preserve">Screen</w:t>
            </w:r>
          </w:p>
        </w:tc>
        <w:tc>
          <w:tcPr>
            <w:tcW w:type="dxa" w:w="4400"/>
            <w:shd w:fill="1E2761" w:color="auto" w:val="clear"/>
            <w:tcMar>
              <w:top w:type="dxa" w:w="70"/>
              <w:left w:type="dxa" w:w="110"/>
              <w:bottom w:type="dxa" w:w="70"/>
              <w:right w:type="dxa" w:w="110"/>
            </w:tcMar>
          </w:tcPr>
          <w:p>
            <w:pPr>
              <w:spacing w:after="0" w:line="252"/>
            </w:pPr>
            <w:r>
              <w:rPr>
                <w:b/>
                <w:bCs/>
                <w:color w:val="FFFFFF"/>
                <w:sz w:val="18"/>
                <w:szCs w:val="18"/>
              </w:rPr>
              <w:t xml:space="preserve">Purpose</w:t>
            </w:r>
          </w:p>
        </w:tc>
        <w:tc>
          <w:tcPr>
            <w:tcW w:type="dxa" w:w="2626"/>
            <w:shd w:fill="1E2761" w:color="auto" w:val="clear"/>
            <w:tcMar>
              <w:top w:type="dxa" w:w="70"/>
              <w:left w:type="dxa" w:w="110"/>
              <w:bottom w:type="dxa" w:w="70"/>
              <w:right w:type="dxa" w:w="110"/>
            </w:tcMar>
          </w:tcPr>
          <w:p>
            <w:pPr>
              <w:spacing w:after="0" w:line="252"/>
            </w:pPr>
            <w:r>
              <w:rPr>
                <w:b/>
                <w:bCs/>
                <w:color w:val="FFFFFF"/>
                <w:sz w:val="18"/>
                <w:szCs w:val="18"/>
              </w:rPr>
              <w:t xml:space="preserve">Roles</w:t>
            </w:r>
          </w:p>
        </w:tc>
      </w:tr>
      <w:tr>
        <w:trPr>
          <w:tblHeader w:val="false"/>
        </w:trPr>
        <w:tc>
          <w:tcPr>
            <w:tcW w:type="dxa" w:w="20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Chat</w:t>
            </w:r>
          </w:p>
        </w:tc>
        <w:tc>
          <w:tcPr>
            <w:tcW w:type="dxa" w:w="44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Streaming answers with citations, risk badge and a view of the multi-agent workflow</w:t>
            </w:r>
          </w:p>
        </w:tc>
        <w:tc>
          <w:tcPr>
            <w:tcW w:type="dxa" w:w="26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All</w:t>
            </w:r>
          </w:p>
        </w:tc>
      </w:tr>
      <w:tr>
        <w:trPr>
          <w:tblHeader w:val="false"/>
        </w:trPr>
        <w:tc>
          <w:tcPr>
            <w:tcW w:type="dxa" w:w="20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Dashboard</w:t>
            </w:r>
          </w:p>
        </w:tc>
        <w:tc>
          <w:tcPr>
            <w:tcW w:type="dxa" w:w="44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Vendor and compliance overview</w:t>
            </w:r>
          </w:p>
        </w:tc>
        <w:tc>
          <w:tcPr>
            <w:tcW w:type="dxa" w:w="26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store_manager, compliance_officer, admin</w:t>
            </w:r>
          </w:p>
        </w:tc>
      </w:tr>
      <w:tr>
        <w:trPr>
          <w:tblHeader w:val="false"/>
        </w:trPr>
        <w:tc>
          <w:tcPr>
            <w:tcW w:type="dxa" w:w="20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Reviewer console</w:t>
            </w:r>
          </w:p>
        </w:tc>
        <w:tc>
          <w:tcPr>
            <w:tcW w:type="dxa" w:w="44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Escalation queue, context package, accept / edit / reject</w:t>
            </w:r>
          </w:p>
        </w:tc>
        <w:tc>
          <w:tcPr>
            <w:tcW w:type="dxa" w:w="26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compliance_officer, legal_reviewer, admin</w:t>
            </w:r>
          </w:p>
        </w:tc>
      </w:tr>
      <w:tr>
        <w:trPr>
          <w:tblHeader w:val="false"/>
        </w:trPr>
        <w:tc>
          <w:tcPr>
            <w:tcW w:type="dxa" w:w="20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SLO dashboard</w:t>
            </w:r>
          </w:p>
        </w:tc>
        <w:tc>
          <w:tcPr>
            <w:tcW w:type="dxa" w:w="44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Latency per stage and per path</w:t>
            </w:r>
          </w:p>
        </w:tc>
        <w:tc>
          <w:tcPr>
            <w:tcW w:type="dxa" w:w="26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compliance_officer, legal_reviewer, admin</w:t>
            </w:r>
          </w:p>
        </w:tc>
      </w:tr>
      <w:tr>
        <w:trPr>
          <w:tblHeader w:val="false"/>
        </w:trPr>
        <w:tc>
          <w:tcPr>
            <w:tcW w:type="dxa" w:w="20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Corpus admin</w:t>
            </w:r>
          </w:p>
        </w:tc>
        <w:tc>
          <w:tcPr>
            <w:tcW w:type="dxa" w:w="44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Upload, status and rebuild of the policy index</w:t>
            </w:r>
          </w:p>
        </w:tc>
        <w:tc>
          <w:tcPr>
            <w:tcW w:type="dxa" w:w="26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admin</w:t>
            </w:r>
          </w:p>
        </w:tc>
      </w:tr>
    </w:tbl>
    <w:p>
      <w:pPr>
        <w:spacing w:after="160"/>
      </w:pPr>
    </w:p>
    <w:p>
      <w:pPr>
        <w:pStyle w:val="Heading1"/>
        <w:pageBreakBefore/>
      </w:pPr>
      <w:r>
        <w:t xml:space="preserve">16.  Testing and evaluation</w:t>
      </w:r>
    </w:p>
    <w:p>
      <w:pPr>
        <w:pStyle w:val="Heading2"/>
      </w:pPr>
      <w:r>
        <w:t xml:space="preserve">16.1  Automated tests</w:t>
      </w:r>
    </w:p>
    <w:p>
      <w:pPr>
        <w:spacing w:after="140" w:line="288"/>
      </w:pPr>
      <w:r>
        <w:t xml:space="preserve">The suite contains more than 730 test functions across 37 modules. Unit tests need no database and no model; model calls are faked so each test states a scenario and asserts the outcome.</w:t>
      </w:r>
    </w:p>
    <w:p>
      <w:pPr>
        <w:pStyle w:val="ListParagraph"/>
        <w:numPr>
          <w:ilvl w:val="0"/>
          <w:numId w:val="10"/>
        </w:numPr>
        <w:spacing w:after="80" w:line="276"/>
      </w:pPr>
      <w:r>
        <w:t xml:space="preserve">Path policy clamps the planner and every routing decision is logged.</w:t>
      </w:r>
    </w:p>
    <w:p>
      <w:pPr>
        <w:pStyle w:val="ListParagraph"/>
        <w:numPr>
          <w:ilvl w:val="0"/>
          <w:numId w:val="10"/>
        </w:numPr>
        <w:spacing w:after="80" w:line="276"/>
      </w:pPr>
      <w:r>
        <w:t xml:space="preserve">Risk fusion never lets the classifier downgrade a confirmed probe.</w:t>
      </w:r>
    </w:p>
    <w:p>
      <w:pPr>
        <w:pStyle w:val="ListParagraph"/>
        <w:numPr>
          <w:ilvl w:val="0"/>
          <w:numId w:val="10"/>
        </w:numPr>
        <w:spacing w:after="80" w:line="276"/>
      </w:pPr>
      <w:r>
        <w:t xml:space="preserve">Generated SQL rejects </w:t>
      </w:r>
      <w:r>
        <w:rPr>
          <w:rFonts w:ascii="Courier New" w:cs="Courier New" w:eastAsia="Courier New" w:hAnsi="Courier New"/>
          <w:color w:val="1E2761"/>
          <w:sz w:val="18"/>
          <w:szCs w:val="18"/>
        </w:rPr>
        <w:t xml:space="preserve">NOW()</w:t>
      </w:r>
      <w:r>
        <w:t xml:space="preserve">, </w:t>
      </w:r>
      <w:r>
        <w:rPr>
          <w:rFonts w:ascii="Courier New" w:cs="Courier New" w:eastAsia="Courier New" w:hAnsi="Courier New"/>
          <w:color w:val="1E2761"/>
          <w:sz w:val="18"/>
          <w:szCs w:val="18"/>
        </w:rPr>
        <w:t xml:space="preserve">CURRENT_DATE</w:t>
      </w:r>
      <w:r>
        <w:t xml:space="preserve"> and write verbs, without false positives on columns like </w:t>
      </w:r>
      <w:r>
        <w:rPr>
          <w:rFonts w:ascii="Courier New" w:cs="Courier New" w:eastAsia="Courier New" w:hAnsi="Courier New"/>
          <w:color w:val="1E2761"/>
          <w:sz w:val="18"/>
          <w:szCs w:val="18"/>
        </w:rPr>
        <w:t xml:space="preserve">now_status</w:t>
      </w:r>
      <w:r>
        <w:t xml:space="preserve">.</w:t>
      </w:r>
    </w:p>
    <w:p>
      <w:pPr>
        <w:pStyle w:val="ListParagraph"/>
        <w:numPr>
          <w:ilvl w:val="0"/>
          <w:numId w:val="10"/>
        </w:numPr>
        <w:spacing w:after="80" w:line="276"/>
      </w:pPr>
      <w:r>
        <w:t xml:space="preserve">Confidence discriminates strong from weak evidence and escalates missing records.</w:t>
      </w:r>
    </w:p>
    <w:p>
      <w:pPr>
        <w:pStyle w:val="ListParagraph"/>
        <w:numPr>
          <w:ilvl w:val="0"/>
          <w:numId w:val="10"/>
        </w:numPr>
        <w:spacing w:after="80" w:line="276"/>
      </w:pPr>
      <w:r>
        <w:t xml:space="preserve">Reviewer decisions resume through the output guardrail; the review loop is bounded.</w:t>
      </w:r>
    </w:p>
    <w:p>
      <w:pPr>
        <w:pStyle w:val="ListParagraph"/>
        <w:numPr>
          <w:ilvl w:val="0"/>
          <w:numId w:val="10"/>
        </w:numPr>
        <w:spacing w:after="80" w:line="276"/>
      </w:pPr>
      <w:r>
        <w:t xml:space="preserve">PII redaction, injection screening, idempotency, caching and model routing.</w:t>
      </w:r>
    </w:p>
    <w:p>
      <w:pPr>
        <w:spacing w:after="60"/>
      </w:pPr>
    </w:p>
    <w:p>
      <w:pPr>
        <w:pStyle w:val="Heading2"/>
      </w:pPr>
      <w:r>
        <w:t xml:space="preserve">16.2  Golden-set evaluation</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6000"/>
        <w:gridCol w:w="3026"/>
      </w:tblGrid>
      <w:tr>
        <w:trPr>
          <w:tblHeader/>
        </w:trPr>
        <w:tc>
          <w:tcPr>
            <w:tcW w:type="dxa" w:w="6000"/>
            <w:shd w:fill="1E2761" w:color="auto" w:val="clear"/>
            <w:tcMar>
              <w:top w:type="dxa" w:w="70"/>
              <w:left w:type="dxa" w:w="110"/>
              <w:bottom w:type="dxa" w:w="70"/>
              <w:right w:type="dxa" w:w="110"/>
            </w:tcMar>
          </w:tcPr>
          <w:p>
            <w:pPr>
              <w:spacing w:after="0" w:line="252"/>
            </w:pPr>
            <w:r>
              <w:rPr>
                <w:b/>
                <w:bCs/>
                <w:color w:val="FFFFFF"/>
                <w:sz w:val="18"/>
                <w:szCs w:val="18"/>
              </w:rPr>
              <w:t xml:space="preserve">Expected path</w:t>
            </w:r>
          </w:p>
        </w:tc>
        <w:tc>
          <w:tcPr>
            <w:tcW w:type="dxa" w:w="3026"/>
            <w:shd w:fill="1E2761" w:color="auto" w:val="clear"/>
            <w:tcMar>
              <w:top w:type="dxa" w:w="70"/>
              <w:left w:type="dxa" w:w="110"/>
              <w:bottom w:type="dxa" w:w="70"/>
              <w:right w:type="dxa" w:w="110"/>
            </w:tcMar>
          </w:tcPr>
          <w:p>
            <w:pPr>
              <w:spacing w:after="0" w:line="252"/>
            </w:pPr>
            <w:r>
              <w:rPr>
                <w:b/>
                <w:bCs/>
                <w:color w:val="FFFFFF"/>
                <w:sz w:val="18"/>
                <w:szCs w:val="18"/>
              </w:rPr>
              <w:t xml:space="preserve">Queries</w:t>
            </w:r>
          </w:p>
        </w:tc>
      </w:tr>
      <w:tr>
        <w:trPr>
          <w:tblHeader w:val="false"/>
        </w:trPr>
        <w:tc>
          <w:tcPr>
            <w:tcW w:type="dxa" w:w="60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RAG</w:t>
            </w:r>
          </w:p>
        </w:tc>
        <w:tc>
          <w:tcPr>
            <w:tcW w:type="dxa" w:w="30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15</w:t>
            </w:r>
          </w:p>
        </w:tc>
      </w:tr>
      <w:tr>
        <w:trPr>
          <w:tblHeader w:val="false"/>
        </w:trPr>
        <w:tc>
          <w:tcPr>
            <w:tcW w:type="dxa" w:w="60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NL2SQL</w:t>
            </w:r>
          </w:p>
        </w:tc>
        <w:tc>
          <w:tcPr>
            <w:tcW w:type="dxa" w:w="30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10</w:t>
            </w:r>
          </w:p>
        </w:tc>
      </w:tr>
      <w:tr>
        <w:trPr>
          <w:tblHeader w:val="false"/>
        </w:trPr>
        <w:tc>
          <w:tcPr>
            <w:tcW w:type="dxa" w:w="60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Hybrid</w:t>
            </w:r>
          </w:p>
        </w:tc>
        <w:tc>
          <w:tcPr>
            <w:tcW w:type="dxa" w:w="30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10</w:t>
            </w:r>
          </w:p>
        </w:tc>
      </w:tr>
      <w:tr>
        <w:trPr>
          <w:tblHeader w:val="false"/>
        </w:trPr>
        <w:tc>
          <w:tcPr>
            <w:tcW w:type="dxa" w:w="60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High-risk panel</w:t>
            </w:r>
          </w:p>
        </w:tc>
        <w:tc>
          <w:tcPr>
            <w:tcW w:type="dxa" w:w="30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10</w:t>
            </w:r>
          </w:p>
        </w:tc>
      </w:tr>
      <w:tr>
        <w:trPr>
          <w:tblHeader w:val="false"/>
        </w:trPr>
        <w:tc>
          <w:tcPr>
            <w:tcW w:type="dxa" w:w="60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Refusal, clarification and edge cases</w:t>
            </w:r>
          </w:p>
        </w:tc>
        <w:tc>
          <w:tcPr>
            <w:tcW w:type="dxa" w:w="30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8</w:t>
            </w:r>
          </w:p>
        </w:tc>
      </w:tr>
      <w:tr>
        <w:trPr>
          <w:tblHeader w:val="false"/>
        </w:trPr>
        <w:tc>
          <w:tcPr>
            <w:tcW w:type="dxa" w:w="60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Total</w:t>
            </w:r>
          </w:p>
        </w:tc>
        <w:tc>
          <w:tcPr>
            <w:tcW w:type="dxa" w:w="30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53</w:t>
            </w:r>
          </w:p>
        </w:tc>
      </w:tr>
    </w:tbl>
    <w:p>
      <w:pPr>
        <w:spacing w:after="160"/>
      </w:pPr>
    </w:p>
    <w:p>
      <w:pPr>
        <w:shd w:fill="F4F7FD" w:color="auto" w:val="clear"/>
        <w:spacing w:after="0" w:before="80" w:line="252"/>
        <w:ind w:left="200" w:right="200"/>
      </w:pPr>
      <w:r>
        <w:rPr>
          <w:rFonts w:ascii="Courier New" w:cs="Courier New" w:eastAsia="Courier New" w:hAnsi="Courier New"/>
          <w:color w:val="16203F"/>
          <w:sz w:val="17"/>
          <w:szCs w:val="17"/>
        </w:rPr>
        <w:t xml:space="preserve">cd backend</w:t>
      </w:r>
    </w:p>
    <w:p>
      <w:pPr>
        <w:shd w:fill="F4F7FD" w:color="auto" w:val="clear"/>
        <w:spacing w:after="0" w:before="0" w:line="252"/>
        <w:ind w:left="200" w:right="200"/>
      </w:pPr>
      <w:r>
        <w:rPr>
          <w:rFonts w:ascii="Courier New" w:cs="Courier New" w:eastAsia="Courier New" w:hAnsi="Courier New"/>
          <w:color w:val="16203F"/>
          <w:sz w:val="17"/>
          <w:szCs w:val="17"/>
        </w:rPr>
        <w:t xml:space="preserve">uv run pytest                              # unit and integration tests</w:t>
      </w:r>
    </w:p>
    <w:p>
      <w:pPr>
        <w:shd w:fill="F4F7FD" w:color="auto" w:val="clear"/>
        <w:spacing w:after="0" w:before="0" w:line="252"/>
        <w:ind w:left="200" w:right="200"/>
      </w:pPr>
      <w:r>
        <w:rPr>
          <w:rFonts w:ascii="Courier New" w:cs="Courier New" w:eastAsia="Courier New" w:hAnsi="Courier New"/>
          <w:color w:val="16203F"/>
          <w:sz w:val="17"/>
          <w:szCs w:val="17"/>
        </w:rPr>
        <w:t xml:space="preserve">uv run python evals/run_eval.py            # 53-query golden set</w:t>
      </w:r>
    </w:p>
    <w:p>
      <w:pPr>
        <w:shd w:fill="F4F7FD" w:color="auto" w:val="clear"/>
        <w:spacing w:after="0" w:before="0" w:line="252"/>
        <w:ind w:left="200" w:right="200"/>
      </w:pPr>
      <w:r>
        <w:rPr>
          <w:rFonts w:ascii="Courier New" w:cs="Courier New" w:eastAsia="Courier New" w:hAnsi="Courier New"/>
          <w:color w:val="16203F"/>
          <w:sz w:val="17"/>
          <w:szCs w:val="17"/>
        </w:rPr>
        <w:t xml:space="preserve">uv run python evals/run_eval.py --ci       # non-zero exit on SLO breach</w:t>
      </w:r>
    </w:p>
    <w:p>
      <w:pPr>
        <w:shd w:fill="F4F7FD" w:color="auto" w:val="clear"/>
        <w:spacing w:after="0" w:before="0" w:line="252"/>
        <w:ind w:left="200" w:right="200"/>
      </w:pPr>
      <w:r>
        <w:rPr>
          <w:rFonts w:ascii="Courier New" w:cs="Courier New" w:eastAsia="Courier New" w:hAnsi="Courier New"/>
          <w:color w:val="16203F"/>
          <w:sz w:val="17"/>
          <w:szCs w:val="17"/>
        </w:rPr>
        <w:t xml:space="preserve">uv run ruff check .</w:t>
      </w:r>
    </w:p>
    <w:p>
      <w:pPr>
        <w:spacing w:after="180" w:before="40"/>
      </w:pPr>
      <w:r>
        <w:rPr>
          <w:i/>
          <w:iCs/>
          <w:color w:val="5A6480"/>
          <w:sz w:val="16"/>
          <w:szCs w:val="16"/>
        </w:rPr>
        <w:t xml:space="preserve">Commands</w:t>
      </w:r>
    </w:p>
    <w:p>
      <w:pPr>
        <w:pStyle w:val="Heading1"/>
        <w:pageBreakBefore/>
      </w:pPr>
      <w:r>
        <w:t xml:space="preserve">17.  API reference</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1200"/>
        <w:gridCol w:w="2300"/>
        <w:gridCol w:w="1200"/>
        <w:gridCol w:w="4326"/>
      </w:tblGrid>
      <w:tr>
        <w:trPr>
          <w:tblHeader/>
        </w:trPr>
        <w:tc>
          <w:tcPr>
            <w:tcW w:type="dxa" w:w="1200"/>
            <w:shd w:fill="1E2761" w:color="auto" w:val="clear"/>
            <w:tcMar>
              <w:top w:type="dxa" w:w="70"/>
              <w:left w:type="dxa" w:w="110"/>
              <w:bottom w:type="dxa" w:w="70"/>
              <w:right w:type="dxa" w:w="110"/>
            </w:tcMar>
          </w:tcPr>
          <w:p>
            <w:pPr>
              <w:spacing w:after="0" w:line="252"/>
            </w:pPr>
            <w:r>
              <w:rPr>
                <w:b/>
                <w:bCs/>
                <w:color w:val="FFFFFF"/>
                <w:sz w:val="18"/>
                <w:szCs w:val="18"/>
              </w:rPr>
              <w:t xml:space="preserve">Method</w:t>
            </w:r>
          </w:p>
        </w:tc>
        <w:tc>
          <w:tcPr>
            <w:tcW w:type="dxa" w:w="2300"/>
            <w:shd w:fill="1E2761" w:color="auto" w:val="clear"/>
            <w:tcMar>
              <w:top w:type="dxa" w:w="70"/>
              <w:left w:type="dxa" w:w="110"/>
              <w:bottom w:type="dxa" w:w="70"/>
              <w:right w:type="dxa" w:w="110"/>
            </w:tcMar>
          </w:tcPr>
          <w:p>
            <w:pPr>
              <w:spacing w:after="0" w:line="252"/>
            </w:pPr>
            <w:r>
              <w:rPr>
                <w:b/>
                <w:bCs/>
                <w:color w:val="FFFFFF"/>
                <w:sz w:val="18"/>
                <w:szCs w:val="18"/>
              </w:rPr>
              <w:t xml:space="preserve">Endpoint</w:t>
            </w:r>
          </w:p>
        </w:tc>
        <w:tc>
          <w:tcPr>
            <w:tcW w:type="dxa" w:w="1200"/>
            <w:shd w:fill="1E2761" w:color="auto" w:val="clear"/>
            <w:tcMar>
              <w:top w:type="dxa" w:w="70"/>
              <w:left w:type="dxa" w:w="110"/>
              <w:bottom w:type="dxa" w:w="70"/>
              <w:right w:type="dxa" w:w="110"/>
            </w:tcMar>
          </w:tcPr>
          <w:p>
            <w:pPr>
              <w:spacing w:after="0" w:line="252"/>
            </w:pPr>
            <w:r>
              <w:rPr>
                <w:b/>
                <w:bCs/>
                <w:color w:val="FFFFFF"/>
                <w:sz w:val="18"/>
                <w:szCs w:val="18"/>
              </w:rPr>
              <w:t xml:space="preserve">Role</w:t>
            </w:r>
          </w:p>
        </w:tc>
        <w:tc>
          <w:tcPr>
            <w:tcW w:type="dxa" w:w="4326"/>
            <w:shd w:fill="1E2761" w:color="auto" w:val="clear"/>
            <w:tcMar>
              <w:top w:type="dxa" w:w="70"/>
              <w:left w:type="dxa" w:w="110"/>
              <w:bottom w:type="dxa" w:w="70"/>
              <w:right w:type="dxa" w:w="110"/>
            </w:tcMar>
          </w:tcPr>
          <w:p>
            <w:pPr>
              <w:spacing w:after="0" w:line="252"/>
            </w:pPr>
            <w:r>
              <w:rPr>
                <w:b/>
                <w:bCs/>
                <w:color w:val="FFFFFF"/>
                <w:sz w:val="18"/>
                <w:szCs w:val="18"/>
              </w:rPr>
              <w:t xml:space="preserve">Purpose</w:t>
            </w:r>
          </w:p>
        </w:tc>
      </w:tr>
      <w:tr>
        <w:trPr>
          <w:tblHeader w:val="false"/>
        </w:trPr>
        <w:tc>
          <w:tcPr>
            <w:tcW w:type="dxa" w:w="1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GET</w:t>
            </w:r>
          </w:p>
        </w:tc>
        <w:tc>
          <w:tcPr>
            <w:tcW w:type="dxa" w:w="23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/health</w:t>
            </w:r>
          </w:p>
        </w:tc>
        <w:tc>
          <w:tcPr>
            <w:tcW w:type="dxa" w:w="1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public</w:t>
            </w:r>
          </w:p>
        </w:tc>
        <w:tc>
          <w:tcPr>
            <w:tcW w:type="dxa" w:w="43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Database, audit writer and queue status</w:t>
            </w:r>
          </w:p>
        </w:tc>
      </w:tr>
      <w:tr>
        <w:trPr>
          <w:tblHeader w:val="false"/>
        </w:trPr>
        <w:tc>
          <w:tcPr>
            <w:tcW w:type="dxa" w:w="12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GET</w:t>
            </w:r>
          </w:p>
        </w:tc>
        <w:tc>
          <w:tcPr>
            <w:tcW w:type="dxa" w:w="23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/auth/me</w:t>
            </w:r>
          </w:p>
        </w:tc>
        <w:tc>
          <w:tcPr>
            <w:tcW w:type="dxa" w:w="12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any</w:t>
            </w:r>
          </w:p>
        </w:tc>
        <w:tc>
          <w:tcPr>
            <w:tcW w:type="dxa" w:w="43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Identity, role, scopes and screens</w:t>
            </w:r>
          </w:p>
        </w:tc>
      </w:tr>
      <w:tr>
        <w:trPr>
          <w:tblHeader w:val="false"/>
        </w:trPr>
        <w:tc>
          <w:tcPr>
            <w:tcW w:type="dxa" w:w="1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POST</w:t>
            </w:r>
          </w:p>
        </w:tc>
        <w:tc>
          <w:tcPr>
            <w:tcW w:type="dxa" w:w="23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/auth/azure</w:t>
            </w:r>
          </w:p>
        </w:tc>
        <w:tc>
          <w:tcPr>
            <w:tcW w:type="dxa" w:w="1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any</w:t>
            </w:r>
          </w:p>
        </w:tc>
        <w:tc>
          <w:tcPr>
            <w:tcW w:type="dxa" w:w="43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Supply Azure OpenAI credentials from the login screen</w:t>
            </w:r>
          </w:p>
        </w:tc>
      </w:tr>
      <w:tr>
        <w:trPr>
          <w:tblHeader w:val="false"/>
        </w:trPr>
        <w:tc>
          <w:tcPr>
            <w:tcW w:type="dxa" w:w="12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POST</w:t>
            </w:r>
          </w:p>
        </w:tc>
        <w:tc>
          <w:tcPr>
            <w:tcW w:type="dxa" w:w="23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/ask</w:t>
            </w:r>
          </w:p>
        </w:tc>
        <w:tc>
          <w:tcPr>
            <w:tcW w:type="dxa" w:w="12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any</w:t>
            </w:r>
          </w:p>
        </w:tc>
        <w:tc>
          <w:tcPr>
            <w:tcW w:type="dxa" w:w="43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Submit a question; returns one terminal state</w:t>
            </w:r>
          </w:p>
        </w:tc>
      </w:tr>
      <w:tr>
        <w:trPr>
          <w:tblHeader w:val="false"/>
        </w:trPr>
        <w:tc>
          <w:tcPr>
            <w:tcW w:type="dxa" w:w="1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GET</w:t>
            </w:r>
          </w:p>
        </w:tc>
        <w:tc>
          <w:tcPr>
            <w:tcW w:type="dxa" w:w="23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/requests/{id}</w:t>
            </w:r>
          </w:p>
        </w:tc>
        <w:tc>
          <w:tcPr>
            <w:tcW w:type="dxa" w:w="1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any</w:t>
            </w:r>
          </w:p>
        </w:tc>
        <w:tc>
          <w:tcPr>
            <w:tcW w:type="dxa" w:w="43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Poll an escalated request</w:t>
            </w:r>
          </w:p>
        </w:tc>
      </w:tr>
      <w:tr>
        <w:trPr>
          <w:tblHeader w:val="false"/>
        </w:trPr>
        <w:tc>
          <w:tcPr>
            <w:tcW w:type="dxa" w:w="12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GET</w:t>
            </w:r>
          </w:p>
        </w:tc>
        <w:tc>
          <w:tcPr>
            <w:tcW w:type="dxa" w:w="23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/review/queue</w:t>
            </w:r>
          </w:p>
        </w:tc>
        <w:tc>
          <w:tcPr>
            <w:tcW w:type="dxa" w:w="12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reviewer</w:t>
            </w:r>
          </w:p>
        </w:tc>
        <w:tc>
          <w:tcPr>
            <w:tcW w:type="dxa" w:w="43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Pending escalations with context packages</w:t>
            </w:r>
          </w:p>
        </w:tc>
      </w:tr>
      <w:tr>
        <w:trPr>
          <w:tblHeader w:val="false"/>
        </w:trPr>
        <w:tc>
          <w:tcPr>
            <w:tcW w:type="dxa" w:w="1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GET / POST</w:t>
            </w:r>
          </w:p>
        </w:tc>
        <w:tc>
          <w:tcPr>
            <w:tcW w:type="dxa" w:w="23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/review/{id}</w:t>
            </w:r>
          </w:p>
        </w:tc>
        <w:tc>
          <w:tcPr>
            <w:tcW w:type="dxa" w:w="1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reviewer</w:t>
            </w:r>
          </w:p>
        </w:tc>
        <w:tc>
          <w:tcPr>
            <w:tcW w:type="dxa" w:w="43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Inspect / decide (accept, edit, reject); resumes the graph</w:t>
            </w:r>
          </w:p>
        </w:tc>
      </w:tr>
      <w:tr>
        <w:trPr>
          <w:tblHeader w:val="false"/>
        </w:trPr>
        <w:tc>
          <w:tcPr>
            <w:tcW w:type="dxa" w:w="12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POST</w:t>
            </w:r>
          </w:p>
        </w:tc>
        <w:tc>
          <w:tcPr>
            <w:tcW w:type="dxa" w:w="23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/ingest</w:t>
            </w:r>
          </w:p>
        </w:tc>
        <w:tc>
          <w:tcPr>
            <w:tcW w:type="dxa" w:w="12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admin</w:t>
            </w:r>
          </w:p>
        </w:tc>
        <w:tc>
          <w:tcPr>
            <w:tcW w:type="dxa" w:w="43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Upload one policy document</w:t>
            </w:r>
          </w:p>
        </w:tc>
      </w:tr>
      <w:tr>
        <w:trPr>
          <w:tblHeader w:val="false"/>
        </w:trPr>
        <w:tc>
          <w:tcPr>
            <w:tcW w:type="dxa" w:w="1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GET</w:t>
            </w:r>
          </w:p>
        </w:tc>
        <w:tc>
          <w:tcPr>
            <w:tcW w:type="dxa" w:w="23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/ingest/status</w:t>
            </w:r>
          </w:p>
        </w:tc>
        <w:tc>
          <w:tcPr>
            <w:tcW w:type="dxa" w:w="1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admin</w:t>
            </w:r>
          </w:p>
        </w:tc>
        <w:tc>
          <w:tcPr>
            <w:tcW w:type="dxa" w:w="43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Index state and per-document node counts</w:t>
            </w:r>
          </w:p>
        </w:tc>
      </w:tr>
      <w:tr>
        <w:trPr>
          <w:tblHeader w:val="false"/>
        </w:trPr>
        <w:tc>
          <w:tcPr>
            <w:tcW w:type="dxa" w:w="12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POST</w:t>
            </w:r>
          </w:p>
        </w:tc>
        <w:tc>
          <w:tcPr>
            <w:tcW w:type="dxa" w:w="23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/ingest/rebuild</w:t>
            </w:r>
          </w:p>
        </w:tc>
        <w:tc>
          <w:tcPr>
            <w:tcW w:type="dxa" w:w="12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admin</w:t>
            </w:r>
          </w:p>
        </w:tc>
        <w:tc>
          <w:tcPr>
            <w:tcW w:type="dxa" w:w="43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Re-index the corpus</w:t>
            </w:r>
          </w:p>
        </w:tc>
      </w:tr>
      <w:tr>
        <w:trPr>
          <w:tblHeader w:val="false"/>
        </w:trPr>
        <w:tc>
          <w:tcPr>
            <w:tcW w:type="dxa" w:w="1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GET</w:t>
            </w:r>
          </w:p>
        </w:tc>
        <w:tc>
          <w:tcPr>
            <w:tcW w:type="dxa" w:w="23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/metrics/slo</w:t>
            </w:r>
          </w:p>
        </w:tc>
        <w:tc>
          <w:tcPr>
            <w:tcW w:type="dxa" w:w="1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reviewer</w:t>
            </w:r>
          </w:p>
        </w:tc>
        <w:tc>
          <w:tcPr>
            <w:tcW w:type="dxa" w:w="43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P50/P95/P99 per stage and path</w:t>
            </w:r>
          </w:p>
        </w:tc>
      </w:tr>
      <w:tr>
        <w:trPr>
          <w:tblHeader w:val="false"/>
        </w:trPr>
        <w:tc>
          <w:tcPr>
            <w:tcW w:type="dxa" w:w="12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GET</w:t>
            </w:r>
          </w:p>
        </w:tc>
        <w:tc>
          <w:tcPr>
            <w:tcW w:type="dxa" w:w="23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/metrics/optimization</w:t>
            </w:r>
          </w:p>
        </w:tc>
        <w:tc>
          <w:tcPr>
            <w:tcW w:type="dxa" w:w="12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reviewer</w:t>
            </w:r>
          </w:p>
        </w:tc>
        <w:tc>
          <w:tcPr>
            <w:tcW w:type="dxa" w:w="43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Cache hit rates, routing share, spend</w:t>
            </w:r>
          </w:p>
        </w:tc>
      </w:tr>
      <w:tr>
        <w:trPr>
          <w:tblHeader w:val="false"/>
        </w:trPr>
        <w:tc>
          <w:tcPr>
            <w:tcW w:type="dxa" w:w="1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POST</w:t>
            </w:r>
          </w:p>
        </w:tc>
        <w:tc>
          <w:tcPr>
            <w:tcW w:type="dxa" w:w="23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/cache/invalidate</w:t>
            </w:r>
          </w:p>
        </w:tc>
        <w:tc>
          <w:tcPr>
            <w:tcW w:type="dxa" w:w="12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admin</w:t>
            </w:r>
          </w:p>
        </w:tc>
        <w:tc>
          <w:tcPr>
            <w:tcW w:type="dxa" w:w="43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Clear caches</w:t>
            </w:r>
          </w:p>
        </w:tc>
      </w:tr>
    </w:tbl>
    <w:p>
      <w:pPr>
        <w:spacing w:after="160"/>
      </w:pPr>
    </w:p>
    <w:p>
      <w:pPr>
        <w:spacing w:after="140" w:line="288"/>
      </w:pPr>
      <w:r>
        <w:t xml:space="preserve">Every </w:t>
      </w:r>
      <w:r>
        <w:rPr>
          <w:rFonts w:ascii="Courier New" w:cs="Courier New" w:eastAsia="Courier New" w:hAnsi="Courier New"/>
          <w:color w:val="1E2761"/>
          <w:sz w:val="18"/>
          <w:szCs w:val="18"/>
        </w:rPr>
        <w:t xml:space="preserve">/ask</w:t>
      </w:r>
      <w:r>
        <w:t xml:space="preserve"> response carries </w:t>
      </w:r>
      <w:r>
        <w:rPr>
          <w:rFonts w:ascii="Courier New" w:cs="Courier New" w:eastAsia="Courier New" w:hAnsi="Courier New"/>
          <w:color w:val="1E2761"/>
          <w:sz w:val="18"/>
          <w:szCs w:val="18"/>
        </w:rPr>
        <w:t xml:space="preserve">timings</w:t>
      </w:r>
      <w:r>
        <w:t xml:space="preserve">, </w:t>
      </w:r>
      <w:r>
        <w:rPr>
          <w:rFonts w:ascii="Courier New" w:cs="Courier New" w:eastAsia="Courier New" w:hAnsi="Courier New"/>
          <w:color w:val="1E2761"/>
          <w:sz w:val="18"/>
          <w:szCs w:val="18"/>
        </w:rPr>
        <w:t xml:space="preserve">trace.path_decision</w:t>
      </w:r>
      <w:r>
        <w:t xml:space="preserve">, </w:t>
      </w:r>
      <w:r>
        <w:rPr>
          <w:rFonts w:ascii="Courier New" w:cs="Courier New" w:eastAsia="Courier New" w:hAnsi="Courier New"/>
          <w:color w:val="1E2761"/>
          <w:sz w:val="18"/>
          <w:szCs w:val="18"/>
        </w:rPr>
        <w:t xml:space="preserve">trace.llm_usage</w:t>
      </w:r>
      <w:r>
        <w:t xml:space="preserve"> and the SQL evidence used, so a single call is self-explanatory.</w:t>
      </w:r>
    </w:p>
    <w:p>
      <w:pPr>
        <w:pStyle w:val="Heading1"/>
        <w:pageBreakBefore/>
      </w:pPr>
      <w:r>
        <w:t xml:space="preserve">18.  Technology stack and deployment</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2300"/>
        <w:gridCol w:w="6726"/>
      </w:tblGrid>
      <w:tr>
        <w:trPr>
          <w:tblHeader/>
        </w:trPr>
        <w:tc>
          <w:tcPr>
            <w:tcW w:type="dxa" w:w="2300"/>
            <w:shd w:fill="1E2761" w:color="auto" w:val="clear"/>
            <w:tcMar>
              <w:top w:type="dxa" w:w="70"/>
              <w:left w:type="dxa" w:w="110"/>
              <w:bottom w:type="dxa" w:w="70"/>
              <w:right w:type="dxa" w:w="110"/>
            </w:tcMar>
          </w:tcPr>
          <w:p>
            <w:pPr>
              <w:spacing w:after="0" w:line="252"/>
            </w:pPr>
            <w:r>
              <w:rPr>
                <w:b/>
                <w:bCs/>
                <w:color w:val="FFFFFF"/>
                <w:sz w:val="18"/>
                <w:szCs w:val="18"/>
              </w:rPr>
              <w:t xml:space="preserve">Layer</w:t>
            </w:r>
          </w:p>
        </w:tc>
        <w:tc>
          <w:tcPr>
            <w:tcW w:type="dxa" w:w="6726"/>
            <w:shd w:fill="1E2761" w:color="auto" w:val="clear"/>
            <w:tcMar>
              <w:top w:type="dxa" w:w="70"/>
              <w:left w:type="dxa" w:w="110"/>
              <w:bottom w:type="dxa" w:w="70"/>
              <w:right w:type="dxa" w:w="110"/>
            </w:tcMar>
          </w:tcPr>
          <w:p>
            <w:pPr>
              <w:spacing w:after="0" w:line="252"/>
            </w:pPr>
            <w:r>
              <w:rPr>
                <w:b/>
                <w:bCs/>
                <w:color w:val="FFFFFF"/>
                <w:sz w:val="18"/>
                <w:szCs w:val="18"/>
              </w:rPr>
              <w:t xml:space="preserve">Technologies</w:t>
            </w:r>
          </w:p>
        </w:tc>
      </w:tr>
      <w:tr>
        <w:trPr>
          <w:tblHeader w:val="false"/>
        </w:trPr>
        <w:tc>
          <w:tcPr>
            <w:tcW w:type="dxa" w:w="23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Runtime &amp; API</w:t>
            </w:r>
          </w:p>
        </w:tc>
        <w:tc>
          <w:tcPr>
            <w:tcW w:type="dxa" w:w="67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Python 3.12, uv, FastAPI, Uvicorn, Pydantic</w:t>
            </w:r>
          </w:p>
        </w:tc>
      </w:tr>
      <w:tr>
        <w:trPr>
          <w:tblHeader w:val="false"/>
        </w:trPr>
        <w:tc>
          <w:tcPr>
            <w:tcW w:type="dxa" w:w="23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Orchestration</w:t>
            </w:r>
          </w:p>
        </w:tc>
        <w:tc>
          <w:tcPr>
            <w:tcW w:type="dxa" w:w="67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LangGraph — typed state, conditional edges, PostgresSaver checkpointing, interrupts</w:t>
            </w:r>
          </w:p>
        </w:tc>
      </w:tr>
      <w:tr>
        <w:trPr>
          <w:tblHeader w:val="false"/>
        </w:trPr>
        <w:tc>
          <w:tcPr>
            <w:tcW w:type="dxa" w:w="23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Knowledge</w:t>
            </w:r>
          </w:p>
        </w:tc>
        <w:tc>
          <w:tcPr>
            <w:tcW w:type="dxa" w:w="67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LlamaIndex (QueryFusionRetriever, BM25Retriever, SemanticSplitterNodeParser, ReActAgent), LlamaParse</w:t>
            </w:r>
          </w:p>
        </w:tc>
      </w:tr>
      <w:tr>
        <w:trPr>
          <w:tblHeader w:val="false"/>
        </w:trPr>
        <w:tc>
          <w:tcPr>
            <w:tcW w:type="dxa" w:w="23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Models</w:t>
            </w:r>
          </w:p>
        </w:tc>
        <w:tc>
          <w:tcPr>
            <w:tcW w:type="dxa" w:w="67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Azure OpenAI gpt-4o (strong), gpt-4o-mini (small), vision and embedding deployments</w:t>
            </w:r>
          </w:p>
        </w:tc>
      </w:tr>
      <w:tr>
        <w:trPr>
          <w:tblHeader w:val="false"/>
        </w:trPr>
        <w:tc>
          <w:tcPr>
            <w:tcW w:type="dxa" w:w="23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Data</w:t>
            </w:r>
          </w:p>
        </w:tc>
        <w:tc>
          <w:tcPr>
            <w:tcW w:type="dxa" w:w="67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PostgreSQL with pgvector and pg_trgm; FlashRank cross-encoder</w:t>
            </w:r>
          </w:p>
        </w:tc>
      </w:tr>
      <w:tr>
        <w:trPr>
          <w:tblHeader w:val="false"/>
        </w:trPr>
        <w:tc>
          <w:tcPr>
            <w:tcW w:type="dxa" w:w="23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Guardrails</w:t>
            </w:r>
          </w:p>
        </w:tc>
        <w:tc>
          <w:tcPr>
            <w:tcW w:type="dxa" w:w="67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Guardrails AI, Microsoft Presidio, regex fallbacks</w:t>
            </w:r>
          </w:p>
        </w:tc>
      </w:tr>
      <w:tr>
        <w:trPr>
          <w:tblHeader w:val="false"/>
        </w:trPr>
        <w:tc>
          <w:tcPr>
            <w:tcW w:type="dxa" w:w="23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Tools &amp; observability</w:t>
            </w:r>
          </w:p>
        </w:tc>
        <w:tc>
          <w:tcPr>
            <w:tcW w:type="dxa" w:w="67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MCP (DuckDuckGo server), Langfuse, LiteLLM gateway</w:t>
            </w:r>
          </w:p>
        </w:tc>
      </w:tr>
      <w:tr>
        <w:trPr>
          <w:tblHeader w:val="false"/>
        </w:trPr>
        <w:tc>
          <w:tcPr>
            <w:tcW w:type="dxa" w:w="23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Frontend &amp; auth</w:t>
            </w:r>
          </w:p>
        </w:tc>
        <w:tc>
          <w:tcPr>
            <w:tcW w:type="dxa" w:w="67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Vite, React 19, TypeScript, Auth0, react-router, react-markdown</w:t>
            </w:r>
          </w:p>
        </w:tc>
      </w:tr>
    </w:tbl>
    <w:p>
      <w:pPr>
        <w:spacing w:after="160"/>
      </w:pPr>
    </w:p>
    <w:p>
      <w:pPr>
        <w:spacing w:after="140" w:line="288"/>
      </w:pPr>
      <w:r>
        <w:t xml:space="preserve">The backend deploys to Render from </w:t>
      </w:r>
      <w:r>
        <w:rPr>
          <w:rFonts w:ascii="Courier New" w:cs="Courier New" w:eastAsia="Courier New" w:hAnsi="Courier New"/>
          <w:color w:val="1E2761"/>
          <w:sz w:val="18"/>
          <w:szCs w:val="18"/>
        </w:rPr>
        <w:t xml:space="preserve">render.yaml</w:t>
      </w:r>
      <w:r>
        <w:t xml:space="preserve"> as a native Python service; the MCP server runs as a child process, so no second service is required. In production </w:t>
      </w:r>
      <w:r>
        <w:rPr>
          <w:rFonts w:ascii="Courier New" w:cs="Courier New" w:eastAsia="Courier New" w:hAnsi="Courier New"/>
          <w:color w:val="1E2761"/>
          <w:sz w:val="18"/>
          <w:szCs w:val="18"/>
        </w:rPr>
        <w:t xml:space="preserve">BOOTSTRAP_FAIL_FAST=true</w:t>
      </w:r>
      <w:r>
        <w:t xml:space="preserve"> stops a container without an indexed corpus from reporting healthy. The source is public at github.com/mohit0415/retail_capstone_project.</w:t>
      </w:r>
    </w:p>
    <w:p>
      <w:pPr>
        <w:pStyle w:val="Heading1"/>
        <w:pageBreakBefore/>
      </w:pPr>
      <w:r>
        <w:t xml:space="preserve">19.  Limitations and roadmap</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4513"/>
        <w:gridCol w:w="4513"/>
      </w:tblGrid>
      <w:tr>
        <w:trPr>
          <w:tblHeader/>
        </w:trPr>
        <w:tc>
          <w:tcPr>
            <w:tcW w:type="dxa" w:w="4513"/>
            <w:shd w:fill="1E2761" w:color="auto" w:val="clear"/>
            <w:tcMar>
              <w:top w:type="dxa" w:w="70"/>
              <w:left w:type="dxa" w:w="110"/>
              <w:bottom w:type="dxa" w:w="70"/>
              <w:right w:type="dxa" w:w="110"/>
            </w:tcMar>
          </w:tcPr>
          <w:p>
            <w:pPr>
              <w:spacing w:after="0" w:line="252"/>
            </w:pPr>
            <w:r>
              <w:rPr>
                <w:b/>
                <w:bCs/>
                <w:color w:val="FFFFFF"/>
                <w:sz w:val="18"/>
                <w:szCs w:val="18"/>
              </w:rPr>
              <w:t xml:space="preserve">Known gap</w:t>
            </w:r>
          </w:p>
        </w:tc>
        <w:tc>
          <w:tcPr>
            <w:tcW w:type="dxa" w:w="4513"/>
            <w:shd w:fill="1E2761" w:color="auto" w:val="clear"/>
            <w:tcMar>
              <w:top w:type="dxa" w:w="70"/>
              <w:left w:type="dxa" w:w="110"/>
              <w:bottom w:type="dxa" w:w="70"/>
              <w:right w:type="dxa" w:w="110"/>
            </w:tcMar>
          </w:tcPr>
          <w:p>
            <w:pPr>
              <w:spacing w:after="0" w:line="252"/>
            </w:pPr>
            <w:r>
              <w:rPr>
                <w:b/>
                <w:bCs/>
                <w:color w:val="FFFFFF"/>
                <w:sz w:val="18"/>
                <w:szCs w:val="18"/>
              </w:rPr>
              <w:t xml:space="preserve">Next step</w:t>
            </w:r>
          </w:p>
        </w:tc>
      </w:tr>
      <w:tr>
        <w:trPr>
          <w:tblHeader w:val="false"/>
        </w:trPr>
        <w:tc>
          <w:tcPr>
            <w:tcW w:type="dxa" w:w="4513"/>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Cold multi-agent runs exceed the 4–12 s diagram targets; runtime deadlines are 30–90 s per path</w:t>
            </w:r>
          </w:p>
        </w:tc>
        <w:tc>
          <w:tcPr>
            <w:tcW w:type="dxa" w:w="4513"/>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Report per-path targets explicitly; lean on cache hits and small-tier routing</w:t>
            </w:r>
          </w:p>
        </w:tc>
      </w:tr>
      <w:tr>
        <w:trPr>
          <w:tblHeader w:val="false"/>
        </w:trPr>
        <w:tc>
          <w:tcPr>
            <w:tcW w:type="dxa" w:w="4513"/>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SLO evaluation report not yet committed from a live run</w:t>
            </w:r>
          </w:p>
        </w:tc>
        <w:tc>
          <w:tcPr>
            <w:tcW w:type="dxa" w:w="4513"/>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Run the golden set against the live stack and commit the report with a /metrics/slo snapshot</w:t>
            </w:r>
          </w:p>
        </w:tc>
      </w:tr>
      <w:tr>
        <w:trPr>
          <w:tblHeader w:val="false"/>
        </w:trPr>
        <w:tc>
          <w:tcPr>
            <w:tcW w:type="dxa" w:w="4513"/>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SQL correctness scored on template selection only</w:t>
            </w:r>
          </w:p>
        </w:tc>
        <w:tc>
          <w:tcPr>
            <w:tcW w:type="dxa" w:w="4513"/>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Add expected rows / ids to the record-lookup cases</w:t>
            </w:r>
          </w:p>
        </w:tc>
      </w:tr>
      <w:tr>
        <w:trPr>
          <w:tblHeader w:val="false"/>
        </w:trPr>
        <w:tc>
          <w:tcPr>
            <w:tcW w:type="dxa" w:w="4513"/>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PII leakage unit-tested but not probed end to end</w:t>
            </w:r>
          </w:p>
        </w:tc>
        <w:tc>
          <w:tcPr>
            <w:tcW w:type="dxa" w:w="4513"/>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Add golden cases that plant PII and assert it never appears in answers</w:t>
            </w:r>
          </w:p>
        </w:tc>
      </w:tr>
      <w:tr>
        <w:trPr>
          <w:tblHeader w:val="false"/>
        </w:trPr>
        <w:tc>
          <w:tcPr>
            <w:tcW w:type="dxa" w:w="4513"/>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Caches are process-local</w:t>
            </w:r>
          </w:p>
        </w:tc>
        <w:tc>
          <w:tcPr>
            <w:tcW w:type="dxa" w:w="4513"/>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Move to a shared store for multi-instance deployments</w:t>
            </w:r>
          </w:p>
        </w:tc>
      </w:tr>
      <w:tr>
        <w:trPr>
          <w:tblHeader w:val="false"/>
        </w:trPr>
        <w:tc>
          <w:tcPr>
            <w:tcW w:type="dxa" w:w="4513"/>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LlamaIndex calls outside the cost ledger</w:t>
            </w:r>
          </w:p>
        </w:tc>
        <w:tc>
          <w:tcPr>
            <w:tcW w:type="dxa" w:w="4513"/>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Instrument the agentic path and generated SQL</w:t>
            </w:r>
          </w:p>
        </w:tc>
      </w:tr>
      <w:tr>
        <w:trPr>
          <w:tblHeader w:val="false"/>
        </w:trPr>
        <w:tc>
          <w:tcPr>
            <w:tcW w:type="dxa" w:w="4513"/>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No container recipe</w:t>
            </w:r>
          </w:p>
        </w:tc>
        <w:tc>
          <w:tcPr>
            <w:tcW w:type="dxa" w:w="4513"/>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Add docker-compose for PostgreSQL + pgvector + API</w:t>
            </w:r>
          </w:p>
        </w:tc>
      </w:tr>
    </w:tbl>
    <w:p>
      <w:pPr>
        <w:spacing w:after="160"/>
      </w:pPr>
    </w:p>
    <w:p>
      <w:pPr>
        <w:pStyle w:val="Heading1"/>
        <w:pageBreakBefore/>
      </w:pPr>
      <w:r>
        <w:t xml:space="preserve">20.  Conclusion</w:t>
      </w:r>
    </w:p>
    <w:p>
      <w:pPr>
        <w:spacing w:after="140" w:line="288"/>
      </w:pPr>
      <w:r>
        <w:t xml:space="preserve">The Retail Policy Intelligence &amp; Decision Support System replaces the question “does this answer sound right?” with “can this answer be certified?”. Intent-driven routing sends each question to the evidence it actually turns on; three-layer risk fusion lets the data overrule the model; a validator reports defects instead of hiding them; and a release gate either certifies the answer or hands it — with everything the agent saw — to a human reviewer whose decision resumes the same graph.</w:t>
      </w:r>
    </w:p>
    <w:p>
      <w:pPr>
        <w:spacing w:after="140" w:line="288"/>
      </w:pPr>
      <w:r>
        <w:t xml:space="preserve">The functional architecture of the brief is implemented end to end, with security, auditability and cost controls enforced in code and in the database. What remains is evidence rather than engineering: a committed evaluation report, observability captures and a container recipe.</w:t>
      </w:r>
    </w:p>
    <w:p>
      <w:pPr>
        <w:pStyle w:val="Heading1"/>
        <w:pageBreakBefore/>
      </w:pPr>
      <w:r>
        <w:t xml:space="preserve">Appendix A.  Repository map</w:t>
      </w:r>
    </w:p>
    <w:p>
      <w:pPr>
        <w:shd w:fill="F4F7FD" w:color="auto" w:val="clear"/>
        <w:spacing w:after="0" w:before="80" w:line="252"/>
        <w:ind w:left="200" w:right="200"/>
      </w:pPr>
      <w:r>
        <w:rPr>
          <w:rFonts w:ascii="Courier New" w:cs="Courier New" w:eastAsia="Courier New" w:hAnsi="Courier New"/>
          <w:color w:val="16203F"/>
          <w:sz w:val="17"/>
          <w:szCs w:val="17"/>
        </w:rPr>
        <w:t xml:space="preserve">retail_capstone_project/</w:t>
      </w:r>
    </w:p>
    <w:p>
      <w:pPr>
        <w:shd w:fill="F4F7FD" w:color="auto" w:val="clear"/>
        <w:spacing w:after="0" w:before="0" w:line="252"/>
        <w:ind w:left="200" w:right="200"/>
      </w:pPr>
      <w:r>
        <w:rPr>
          <w:rFonts w:ascii="Courier New" w:cs="Courier New" w:eastAsia="Courier New" w:hAnsi="Courier New"/>
          <w:color w:val="16203F"/>
          <w:sz w:val="17"/>
          <w:szCs w:val="17"/>
        </w:rPr>
        <w:t xml:space="preserve">├── backend/</w:t>
      </w:r>
    </w:p>
    <w:p>
      <w:pPr>
        <w:shd w:fill="F4F7FD" w:color="auto" w:val="clear"/>
        <w:spacing w:after="0" w:before="0" w:line="252"/>
        <w:ind w:left="200" w:right="200"/>
      </w:pPr>
      <w:r>
        <w:rPr>
          <w:rFonts w:ascii="Courier New" w:cs="Courier New" w:eastAsia="Courier New" w:hAnsi="Courier New"/>
          <w:color w:val="16203F"/>
          <w:sz w:val="17"/>
          <w:szCs w:val="17"/>
        </w:rPr>
        <w:t xml:space="preserve">│   ├── configs/        settings, model tiering, database pool</w:t>
      </w:r>
    </w:p>
    <w:p>
      <w:pPr>
        <w:shd w:fill="F4F7FD" w:color="auto" w:val="clear"/>
        <w:spacing w:after="0" w:before="0" w:line="252"/>
        <w:ind w:left="200" w:right="200"/>
      </w:pPr>
      <w:r>
        <w:rPr>
          <w:rFonts w:ascii="Courier New" w:cs="Courier New" w:eastAsia="Courier New" w:hAnsi="Courier New"/>
          <w:color w:val="16203F"/>
          <w:sz w:val="17"/>
          <w:szCs w:val="17"/>
        </w:rPr>
        <w:t xml:space="preserve">│   ├── data/           policy corpus and SQL schema / seed</w:t>
      </w:r>
    </w:p>
    <w:p>
      <w:pPr>
        <w:shd w:fill="F4F7FD" w:color="auto" w:val="clear"/>
        <w:spacing w:after="0" w:before="0" w:line="252"/>
        <w:ind w:left="200" w:right="200"/>
      </w:pPr>
      <w:r>
        <w:rPr>
          <w:rFonts w:ascii="Courier New" w:cs="Courier New" w:eastAsia="Courier New" w:hAnsi="Courier New"/>
          <w:color w:val="16203F"/>
          <w:sz w:val="17"/>
          <w:szCs w:val="17"/>
        </w:rPr>
        <w:t xml:space="preserve">│   ├── evals/          golden set and SLO evaluation runner</w:t>
      </w:r>
    </w:p>
    <w:p>
      <w:pPr>
        <w:shd w:fill="F4F7FD" w:color="auto" w:val="clear"/>
        <w:spacing w:after="0" w:before="0" w:line="252"/>
        <w:ind w:left="200" w:right="200"/>
      </w:pPr>
      <w:r>
        <w:rPr>
          <w:rFonts w:ascii="Courier New" w:cs="Courier New" w:eastAsia="Courier New" w:hAnsi="Courier New"/>
          <w:color w:val="16203F"/>
          <w:sz w:val="17"/>
          <w:szCs w:val="17"/>
        </w:rPr>
        <w:t xml:space="preserve">│   ├── scripts/        init_db, ingest_policies, diagnostics</w:t>
      </w:r>
    </w:p>
    <w:p>
      <w:pPr>
        <w:shd w:fill="F4F7FD" w:color="auto" w:val="clear"/>
        <w:spacing w:after="0" w:before="0" w:line="252"/>
        <w:ind w:left="200" w:right="200"/>
      </w:pPr>
      <w:r>
        <w:rPr>
          <w:rFonts w:ascii="Courier New" w:cs="Courier New" w:eastAsia="Courier New" w:hAnsi="Courier New"/>
          <w:color w:val="16203F"/>
          <w:sz w:val="17"/>
          <w:szCs w:val="17"/>
        </w:rPr>
        <w:t xml:space="preserve">│   ├── src/</w:t>
      </w:r>
    </w:p>
    <w:p>
      <w:pPr>
        <w:shd w:fill="F4F7FD" w:color="auto" w:val="clear"/>
        <w:spacing w:after="0" w:before="0" w:line="252"/>
        <w:ind w:left="200" w:right="200"/>
      </w:pPr>
      <w:r>
        <w:rPr>
          <w:rFonts w:ascii="Courier New" w:cs="Courier New" w:eastAsia="Courier New" w:hAnsi="Courier New"/>
          <w:color w:val="16203F"/>
          <w:sz w:val="17"/>
          <w:szCs w:val="17"/>
        </w:rPr>
        <w:t xml:space="preserve">│   │   ├── api/        routes, escalation queue service</w:t>
      </w:r>
    </w:p>
    <w:p>
      <w:pPr>
        <w:shd w:fill="F4F7FD" w:color="auto" w:val="clear"/>
        <w:spacing w:after="0" w:before="0" w:line="252"/>
        <w:ind w:left="200" w:right="200"/>
      </w:pPr>
      <w:r>
        <w:rPr>
          <w:rFonts w:ascii="Courier New" w:cs="Courier New" w:eastAsia="Courier New" w:hAnsi="Courier New"/>
          <w:color w:val="16203F"/>
          <w:sz w:val="17"/>
          <w:szCs w:val="17"/>
        </w:rPr>
        <w:t xml:space="preserve">│   │   ├── auth/       JWT decoding, RBAC scope tables</w:t>
      </w:r>
    </w:p>
    <w:p>
      <w:pPr>
        <w:shd w:fill="F4F7FD" w:color="auto" w:val="clear"/>
        <w:spacing w:after="0" w:before="0" w:line="252"/>
        <w:ind w:left="200" w:right="200"/>
      </w:pPr>
      <w:r>
        <w:rPr>
          <w:rFonts w:ascii="Courier New" w:cs="Courier New" w:eastAsia="Courier New" w:hAnsi="Courier New"/>
          <w:color w:val="16203F"/>
          <w:sz w:val="17"/>
          <w:szCs w:val="17"/>
        </w:rPr>
        <w:t xml:space="preserve">│   │   ├── cache/      response / retrieval / LLM caches</w:t>
      </w:r>
    </w:p>
    <w:p>
      <w:pPr>
        <w:shd w:fill="F4F7FD" w:color="auto" w:val="clear"/>
        <w:spacing w:after="0" w:before="0" w:line="252"/>
        <w:ind w:left="200" w:right="200"/>
      </w:pPr>
      <w:r>
        <w:rPr>
          <w:rFonts w:ascii="Courier New" w:cs="Courier New" w:eastAsia="Courier New" w:hAnsi="Courier New"/>
          <w:color w:val="16203F"/>
          <w:sz w:val="17"/>
          <w:szCs w:val="17"/>
        </w:rPr>
        <w:t xml:space="preserve">│   │   ├── core/       budget guard, audit writer, idempotency</w:t>
      </w:r>
    </w:p>
    <w:p>
      <w:pPr>
        <w:shd w:fill="F4F7FD" w:color="auto" w:val="clear"/>
        <w:spacing w:after="0" w:before="0" w:line="252"/>
        <w:ind w:left="200" w:right="200"/>
      </w:pPr>
      <w:r>
        <w:rPr>
          <w:rFonts w:ascii="Courier New" w:cs="Courier New" w:eastAsia="Courier New" w:hAnsi="Courier New"/>
          <w:color w:val="16203F"/>
          <w:sz w:val="17"/>
          <w:szCs w:val="17"/>
        </w:rPr>
        <w:t xml:space="preserve">│   │   ├── graph/      typed state, graph builder, edges, path policy</w:t>
      </w:r>
    </w:p>
    <w:p>
      <w:pPr>
        <w:shd w:fill="F4F7FD" w:color="auto" w:val="clear"/>
        <w:spacing w:after="0" w:before="0" w:line="252"/>
        <w:ind w:left="200" w:right="200"/>
      </w:pPr>
      <w:r>
        <w:rPr>
          <w:rFonts w:ascii="Courier New" w:cs="Courier New" w:eastAsia="Courier New" w:hAnsi="Courier New"/>
          <w:color w:val="16203F"/>
          <w:sz w:val="17"/>
          <w:szCs w:val="17"/>
        </w:rPr>
        <w:t xml:space="preserve">│   │   ├── guardrails/ PII, injection, scope, SQL guard, output guard</w:t>
      </w:r>
    </w:p>
    <w:p>
      <w:pPr>
        <w:shd w:fill="F4F7FD" w:color="auto" w:val="clear"/>
        <w:spacing w:after="0" w:before="0" w:line="252"/>
        <w:ind w:left="200" w:right="200"/>
      </w:pPr>
      <w:r>
        <w:rPr>
          <w:rFonts w:ascii="Courier New" w:cs="Courier New" w:eastAsia="Courier New" w:hAnsi="Courier New"/>
          <w:color w:val="16203F"/>
          <w:sz w:val="17"/>
          <w:szCs w:val="17"/>
        </w:rPr>
        <w:t xml:space="preserve">│   │   ├── ingestion/  router, loaders, extractors, processors, metadata</w:t>
      </w:r>
    </w:p>
    <w:p>
      <w:pPr>
        <w:shd w:fill="F4F7FD" w:color="auto" w:val="clear"/>
        <w:spacing w:after="0" w:before="0" w:line="252"/>
        <w:ind w:left="200" w:right="200"/>
      </w:pPr>
      <w:r>
        <w:rPr>
          <w:rFonts w:ascii="Courier New" w:cs="Courier New" w:eastAsia="Courier New" w:hAnsi="Courier New"/>
          <w:color w:val="16203F"/>
          <w:sz w:val="17"/>
          <w:szCs w:val="17"/>
        </w:rPr>
        <w:t xml:space="preserve">│   │   ├── llm_routing/ heuristics, strategies, cost ledger</w:t>
      </w:r>
    </w:p>
    <w:p>
      <w:pPr>
        <w:shd w:fill="F4F7FD" w:color="auto" w:val="clear"/>
        <w:spacing w:after="0" w:before="0" w:line="252"/>
        <w:ind w:left="200" w:right="200"/>
      </w:pPr>
      <w:r>
        <w:rPr>
          <w:rFonts w:ascii="Courier New" w:cs="Courier New" w:eastAsia="Courier New" w:hAnsi="Courier New"/>
          <w:color w:val="16203F"/>
          <w:sz w:val="17"/>
          <w:szCs w:val="17"/>
        </w:rPr>
        <w:t xml:space="preserve">│   │   ├── nodes/      one file per LangGraph node</w:t>
      </w:r>
    </w:p>
    <w:p>
      <w:pPr>
        <w:shd w:fill="F4F7FD" w:color="auto" w:val="clear"/>
        <w:spacing w:after="0" w:before="0" w:line="252"/>
        <w:ind w:left="200" w:right="200"/>
      </w:pPr>
      <w:r>
        <w:rPr>
          <w:rFonts w:ascii="Courier New" w:cs="Courier New" w:eastAsia="Courier New" w:hAnsi="Courier New"/>
          <w:color w:val="16203F"/>
          <w:sz w:val="17"/>
          <w:szCs w:val="17"/>
        </w:rPr>
        <w:t xml:space="preserve">│   │   ├── retrieval/  fusion retriever, postprocessors</w:t>
      </w:r>
    </w:p>
    <w:p>
      <w:pPr>
        <w:shd w:fill="F4F7FD" w:color="auto" w:val="clear"/>
        <w:spacing w:after="0" w:before="0" w:line="252"/>
        <w:ind w:left="200" w:right="200"/>
      </w:pPr>
      <w:r>
        <w:rPr>
          <w:rFonts w:ascii="Courier New" w:cs="Courier New" w:eastAsia="Courier New" w:hAnsi="Courier New"/>
          <w:color w:val="16203F"/>
          <w:sz w:val="17"/>
          <w:szCs w:val="17"/>
        </w:rPr>
        <w:t xml:space="preserve">│   │   ├── sqlpath/    vetted templates, selector, NL2SQL engine</w:t>
      </w:r>
    </w:p>
    <w:p>
      <w:pPr>
        <w:shd w:fill="F4F7FD" w:color="auto" w:val="clear"/>
        <w:spacing w:after="0" w:before="0" w:line="252"/>
        <w:ind w:left="200" w:right="200"/>
      </w:pPr>
      <w:r>
        <w:rPr>
          <w:rFonts w:ascii="Courier New" w:cs="Courier New" w:eastAsia="Courier New" w:hAnsi="Courier New"/>
          <w:color w:val="16203F"/>
          <w:sz w:val="17"/>
          <w:szCs w:val="17"/>
        </w:rPr>
        <w:t xml:space="preserve">│   │   └── tools/      policy, SQL and MCP tools</w:t>
      </w:r>
    </w:p>
    <w:p>
      <w:pPr>
        <w:shd w:fill="F4F7FD" w:color="auto" w:val="clear"/>
        <w:spacing w:after="0" w:before="0" w:line="252"/>
        <w:ind w:left="200" w:right="200"/>
      </w:pPr>
      <w:r>
        <w:rPr>
          <w:rFonts w:ascii="Courier New" w:cs="Courier New" w:eastAsia="Courier New" w:hAnsi="Courier New"/>
          <w:color w:val="16203F"/>
          <w:sz w:val="17"/>
          <w:szCs w:val="17"/>
        </w:rPr>
        <w:t xml:space="preserve">│   ├── tests/</w:t>
      </w:r>
    </w:p>
    <w:p>
      <w:pPr>
        <w:shd w:fill="F4F7FD" w:color="auto" w:val="clear"/>
        <w:spacing w:after="0" w:before="0" w:line="252"/>
        <w:ind w:left="200" w:right="200"/>
      </w:pPr>
      <w:r>
        <w:rPr>
          <w:rFonts w:ascii="Courier New" w:cs="Courier New" w:eastAsia="Courier New" w:hAnsi="Courier New"/>
          <w:color w:val="16203F"/>
          <w:sz w:val="17"/>
          <w:szCs w:val="17"/>
        </w:rPr>
        <w:t xml:space="preserve">│   └── main.py</w:t>
      </w:r>
    </w:p>
    <w:p>
      <w:pPr>
        <w:shd w:fill="F4F7FD" w:color="auto" w:val="clear"/>
        <w:spacing w:after="0" w:before="0" w:line="252"/>
        <w:ind w:left="200" w:right="200"/>
      </w:pPr>
      <w:r>
        <w:rPr>
          <w:rFonts w:ascii="Courier New" w:cs="Courier New" w:eastAsia="Courier New" w:hAnsi="Courier New"/>
          <w:color w:val="16203F"/>
          <w:sz w:val="17"/>
          <w:szCs w:val="17"/>
        </w:rPr>
        <w:t xml:space="preserve">├── frontend/           React 19 + TypeScript console</w:t>
      </w:r>
    </w:p>
    <w:p>
      <w:pPr>
        <w:shd w:fill="F4F7FD" w:color="auto" w:val="clear"/>
        <w:spacing w:after="0" w:before="0" w:line="252"/>
        <w:ind w:left="200" w:right="200"/>
      </w:pPr>
      <w:r>
        <w:rPr>
          <w:rFonts w:ascii="Courier New" w:cs="Courier New" w:eastAsia="Courier New" w:hAnsi="Courier New"/>
          <w:color w:val="16203F"/>
          <w:sz w:val="17"/>
          <w:szCs w:val="17"/>
        </w:rPr>
        <w:t xml:space="preserve">├── swagger-docs/       API runbook and walkthroughs</w:t>
      </w:r>
    </w:p>
    <w:p>
      <w:pPr>
        <w:shd w:fill="F4F7FD" w:color="auto" w:val="clear"/>
        <w:spacing w:after="0" w:before="0" w:line="252"/>
        <w:ind w:left="200" w:right="200"/>
      </w:pPr>
      <w:r>
        <w:rPr>
          <w:rFonts w:ascii="Courier New" w:cs="Courier New" w:eastAsia="Courier New" w:hAnsi="Courier New"/>
          <w:color w:val="16203F"/>
          <w:sz w:val="17"/>
          <w:szCs w:val="17"/>
        </w:rPr>
        <w:t xml:space="preserve">└── render.yaml         Render deployment manifest</w:t>
      </w:r>
    </w:p>
    <w:p>
      <w:pPr>
        <w:spacing w:after="180" w:before="40"/>
      </w:pPr>
      <w:r>
        <w:rPr>
          <w:i/>
          <w:iCs/>
          <w:color w:val="5A6480"/>
          <w:sz w:val="16"/>
          <w:szCs w:val="16"/>
        </w:rPr>
        <w:t xml:space="preserve"/>
      </w:r>
    </w:p>
    <w:p>
      <w:pPr>
        <w:pStyle w:val="Heading1"/>
        <w:pageBreakBefore/>
      </w:pPr>
      <w:r>
        <w:t xml:space="preserve">Appendix B.  Glossary</w:t>
      </w:r>
    </w:p>
    <w:tbl>
      <w:tblPr>
        <w:tblW w:type="dxa" w:w="9026"/>
        <w:tblBorders>
          <w:top w:val="single" w:color="DCE3F3" w:sz="4"/>
          <w:left w:val="single" w:color="DCE3F3" w:sz="4"/>
          <w:bottom w:val="single" w:color="DCE3F3" w:sz="4"/>
          <w:right w:val="single" w:color="DCE3F3" w:sz="4"/>
          <w:insideH w:val="single" w:color="DCE3F3" w:sz="4"/>
          <w:insideV w:val="single" w:color="DCE3F3" w:sz="4"/>
        </w:tblBorders>
      </w:tblPr>
      <w:tblGrid>
        <w:gridCol w:w="2300"/>
        <w:gridCol w:w="6726"/>
      </w:tblGrid>
      <w:tr>
        <w:trPr>
          <w:tblHeader/>
        </w:trPr>
        <w:tc>
          <w:tcPr>
            <w:tcW w:type="dxa" w:w="2300"/>
            <w:shd w:fill="1E2761" w:color="auto" w:val="clear"/>
            <w:tcMar>
              <w:top w:type="dxa" w:w="70"/>
              <w:left w:type="dxa" w:w="110"/>
              <w:bottom w:type="dxa" w:w="70"/>
              <w:right w:type="dxa" w:w="110"/>
            </w:tcMar>
          </w:tcPr>
          <w:p>
            <w:pPr>
              <w:spacing w:after="0" w:line="252"/>
            </w:pPr>
            <w:r>
              <w:rPr>
                <w:b/>
                <w:bCs/>
                <w:color w:val="FFFFFF"/>
                <w:sz w:val="18"/>
                <w:szCs w:val="18"/>
              </w:rPr>
              <w:t xml:space="preserve">Term</w:t>
            </w:r>
          </w:p>
        </w:tc>
        <w:tc>
          <w:tcPr>
            <w:tcW w:type="dxa" w:w="6726"/>
            <w:shd w:fill="1E2761" w:color="auto" w:val="clear"/>
            <w:tcMar>
              <w:top w:type="dxa" w:w="70"/>
              <w:left w:type="dxa" w:w="110"/>
              <w:bottom w:type="dxa" w:w="70"/>
              <w:right w:type="dxa" w:w="110"/>
            </w:tcMar>
          </w:tcPr>
          <w:p>
            <w:pPr>
              <w:spacing w:after="0" w:line="252"/>
            </w:pPr>
            <w:r>
              <w:rPr>
                <w:b/>
                <w:bCs/>
                <w:color w:val="FFFFFF"/>
                <w:sz w:val="18"/>
                <w:szCs w:val="18"/>
              </w:rPr>
              <w:t xml:space="preserve">Meaning</w:t>
            </w:r>
          </w:p>
        </w:tc>
      </w:tr>
      <w:tr>
        <w:trPr>
          <w:tblHeader w:val="false"/>
        </w:trPr>
        <w:tc>
          <w:tcPr>
            <w:tcW w:type="dxa" w:w="23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RAG</w:t>
            </w:r>
          </w:p>
        </w:tc>
        <w:tc>
          <w:tcPr>
            <w:tcW w:type="dxa" w:w="67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Retrieval-augmented generation — answering from retrieved document chunks</w:t>
            </w:r>
          </w:p>
        </w:tc>
      </w:tr>
      <w:tr>
        <w:trPr>
          <w:tblHeader w:val="false"/>
        </w:trPr>
        <w:tc>
          <w:tcPr>
            <w:tcW w:type="dxa" w:w="23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NL2SQL</w:t>
            </w:r>
          </w:p>
        </w:tc>
        <w:tc>
          <w:tcPr>
            <w:tcW w:type="dxa" w:w="67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Translating a natural-language question into a SQL query</w:t>
            </w:r>
          </w:p>
        </w:tc>
      </w:tr>
      <w:tr>
        <w:trPr>
          <w:tblHeader w:val="false"/>
        </w:trPr>
        <w:tc>
          <w:tcPr>
            <w:tcW w:type="dxa" w:w="23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RRF</w:t>
            </w:r>
          </w:p>
        </w:tc>
        <w:tc>
          <w:tcPr>
            <w:tcW w:type="dxa" w:w="67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Reciprocal Rank Fusion — merging ranked lists by rank rather than score</w:t>
            </w:r>
          </w:p>
        </w:tc>
      </w:tr>
      <w:tr>
        <w:trPr>
          <w:tblHeader w:val="false"/>
        </w:trPr>
        <w:tc>
          <w:tcPr>
            <w:tcW w:type="dxa" w:w="23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HITL</w:t>
            </w:r>
          </w:p>
        </w:tc>
        <w:tc>
          <w:tcPr>
            <w:tcW w:type="dxa" w:w="67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Human-in-the-loop — a human reviewer certifies what the system cannot</w:t>
            </w:r>
          </w:p>
        </w:tc>
      </w:tr>
      <w:tr>
        <w:trPr>
          <w:tblHeader w:val="false"/>
        </w:trPr>
        <w:tc>
          <w:tcPr>
            <w:tcW w:type="dxa" w:w="23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SLO</w:t>
            </w:r>
          </w:p>
        </w:tc>
        <w:tc>
          <w:tcPr>
            <w:tcW w:type="dxa" w:w="67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Service-level objective — a measurable target for quality, latency or cost</w:t>
            </w:r>
          </w:p>
        </w:tc>
      </w:tr>
      <w:tr>
        <w:trPr>
          <w:tblHeader w:val="false"/>
        </w:trPr>
        <w:tc>
          <w:tcPr>
            <w:tcW w:type="dxa" w:w="23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RBAC</w:t>
            </w:r>
          </w:p>
        </w:tc>
        <w:tc>
          <w:tcPr>
            <w:tcW w:type="dxa" w:w="67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Role-based access control</w:t>
            </w:r>
          </w:p>
        </w:tc>
      </w:tr>
      <w:tr>
        <w:trPr>
          <w:tblHeader w:val="false"/>
        </w:trPr>
        <w:tc>
          <w:tcPr>
            <w:tcW w:type="dxa" w:w="23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MCP</w:t>
            </w:r>
          </w:p>
        </w:tc>
        <w:tc>
          <w:tcPr>
            <w:tcW w:type="dxa" w:w="67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Model Context Protocol — a standard interface for external tools</w:t>
            </w:r>
          </w:p>
        </w:tc>
      </w:tr>
      <w:tr>
        <w:trPr>
          <w:tblHeader w:val="false"/>
        </w:trPr>
        <w:tc>
          <w:tcPr>
            <w:tcW w:type="dxa" w:w="2300"/>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As-of date</w:t>
            </w:r>
          </w:p>
        </w:tc>
        <w:tc>
          <w:tcPr>
            <w:tcW w:type="dxa" w:w="6726"/>
            <w:shd w:fill="F4F7FD"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The pinned evaluation date (2025-12-31) used instead of the system clock</w:t>
            </w:r>
          </w:p>
        </w:tc>
      </w:tr>
      <w:tr>
        <w:trPr>
          <w:tblHeader w:val="false"/>
        </w:trPr>
        <w:tc>
          <w:tcPr>
            <w:tcW w:type="dxa" w:w="2300"/>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Context package</w:t>
            </w:r>
          </w:p>
        </w:tc>
        <w:tc>
          <w:tcPr>
            <w:tcW w:type="dxa" w:w="6726"/>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Everything the agent saw, handed to the reviewer on escalation</w:t>
            </w:r>
          </w:p>
        </w:tc>
      </w:tr>
    </w:tbl>
    <w:p>
      <w:pPr>
        <w:spacing w:after="160"/>
      </w:pP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93AD"/>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3AD"/>
        <w:sz w:val="16"/>
        <w:szCs w:val="16"/>
      </w:rPr>
      <w:t xml:space="preserve">Retail Policy Intelligence &amp; Decision Support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0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0"/>
      <w:outlineLvl w:val="0"/>
    </w:pPr>
    <w:rPr>
      <w:rFonts w:ascii="Cambria" w:cs="Cambria" w:eastAsia="Cambria" w:hAnsi="Cambria"/>
      <w:b/>
      <w:bCs/>
      <w:color w:val="1E2761"/>
      <w:sz w:val="30"/>
      <w:szCs w:val="30"/>
    </w:rPr>
  </w:style>
  <w:style w:type="paragraph" w:styleId="Heading2">
    <w:name w:val="Heading 2"/>
    <w:basedOn w:val="Normal"/>
    <w:next w:val="Normal"/>
    <w:qFormat/>
    <w:pPr>
      <w:spacing w:after="120" w:before="280"/>
      <w:outlineLvl w:val="1"/>
    </w:pPr>
    <w:rPr>
      <w:rFonts w:ascii="Cambria" w:cs="Cambria" w:eastAsia="Cambria" w:hAnsi="Cambria"/>
      <w:b/>
      <w:bCs/>
      <w:color w:val="1E276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d4fff29729aa40be08e46e41820559d0931bee.png"/><Relationship Id="rId10" Type="http://schemas.openxmlformats.org/officeDocument/2006/relationships/image" Target="media/32ccbaaf672c6959f25678e62079521128707de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Policy Intelligence &amp; Decision Support System — Project Documentation</dc:title>
  <dc:creator>Mohit Madireddy</dc:creator>
  <cp:lastModifiedBy>Un-named</cp:lastModifiedBy>
  <cp:revision>1</cp:revision>
  <dcterms:created xsi:type="dcterms:W3CDTF">2026-09-24T12:05:05.522Z</dcterms:created>
  <dcterms:modified xsi:type="dcterms:W3CDTF">2026-09-24T12:05:05.523Z</dcterms:modified>
</cp:coreProperties>
</file>

<file path=docProps/custom.xml><?xml version="1.0" encoding="utf-8"?>
<Properties xmlns="http://schemas.openxmlformats.org/officeDocument/2006/custom-properties" xmlns:vt="http://schemas.openxmlformats.org/officeDocument/2006/docPropsVTypes"/>
</file>