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56"/>
          <w:szCs w:val="56"/>
        </w:rPr>
        <w:t xml:space="preserve">QA Audit Report</w:t>
      </w:r>
    </w:p>
    <w:p>
      <w:pPr>
        <w:spacing w:after="240" w:before="0"/>
      </w:pPr>
      <w:r>
        <w:rPr>
          <w:rFonts w:ascii="Arial" w:cs="Arial" w:eastAsia="Arial" w:hAnsi="Arial"/>
          <w:color w:val="555555"/>
          <w:sz w:val="22"/>
          <w:szCs w:val="22"/>
        </w:rPr>
        <w:t xml:space="preserve">Project: first-then-flourish-main  •  Date: March 15, 2026  •  Auditor: Claude</w:t>
      </w:r>
    </w:p>
    <w:p>
      <w:pPr>
        <w:spacing w:after="120" w:before="280"/>
      </w:pPr>
      <w:r>
        <w:rPr>
          <w:rFonts w:ascii="Arial" w:cs="Arial" w:eastAsia="Arial" w:hAnsi="Arial"/>
          <w:b/>
          <w:bCs/>
          <w:color w:val="1F3864"/>
          <w:sz w:val="28"/>
          <w:szCs w:val="28"/>
        </w:rPr>
        <w:t xml:space="preserve">Executive Summary</w:t>
      </w:r>
    </w:p>
    <w:p>
      <w:pPr>
        <w:spacing w:after="60" w:before="40"/>
      </w:pPr>
      <w:r>
        <w:rPr>
          <w:rFonts w:ascii="Arial" w:cs="Arial" w:eastAsia="Arial" w:hAnsi="Arial"/>
          <w:sz w:val="20"/>
          <w:szCs w:val="20"/>
        </w:rPr>
        <w:t xml:space="preserve">A comprehensive QA audit was performed on the KidSutra (first-then-flourish-main) React + Supabase application. The audit covered source code analysis, routing, authentication flow, data handling, face scanning, error handling, ESLint, TypeScript, and the full test suite.</w:t>
      </w:r>
    </w:p>
    <w:p>
      <w:pPr>
        <w:spacing w:after="60" w:before="40"/>
      </w:pPr>
      <w:r>
        <w:rPr>
          <w:rFonts w:ascii="Arial" w:cs="Arial" w:eastAsia="Arial" w:hAnsi="Arial"/>
          <w:sz w:val="20"/>
          <w:szCs w:val="20"/>
        </w:rPr>
        <w:t xml:space="preserve">17 issues were identified across 4 severity levels. The test suite passes 100% (314/314 tests across 13 suites), confirming strong algorithmic correctness. However, 2 critical security issues require immediate attention before the app is promoted to production.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34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34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34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r>
      <w:tr>
        <w:tc>
          <w:tcPr>
            <w:tcW w:type="dxa" w:w="2340"/>
            <w:tcBorders>
              <w:top w:val="single" w:color="D0D7E2" w:sz="1"/>
              <w:left w:val="single" w:color="D0D7E2" w:sz="1"/>
              <w:bottom w:val="single" w:color="D0D7E2" w:sz="1"/>
              <w:right w:val="single" w:color="D0D7E2" w:sz="1"/>
            </w:tcBorders>
            <w:shd w:fill="FDECEA" w:val="clear"/>
            <w:tcMar>
              <w:top w:type="dxa" w:w="100"/>
              <w:left w:type="dxa" w:w="140"/>
              <w:bottom w:type="dxa" w:w="100"/>
              <w:right w:type="dxa" w:w="140"/>
            </w:tcMar>
          </w:tcPr>
          <w:p>
            <w:pPr>
              <w:jc w:val="center"/>
            </w:pPr>
            <w:r>
              <w:rPr>
                <w:rFonts w:ascii="Arial" w:cs="Arial" w:eastAsia="Arial" w:hAnsi="Arial"/>
                <w:b/>
                <w:bCs/>
                <w:color w:val="C00000"/>
                <w:sz w:val="48"/>
                <w:szCs w:val="48"/>
              </w:rPr>
              <w:t xml:space="preserve">2</w:t>
            </w:r>
          </w:p>
        </w:tc>
        <w:tc>
          <w:tcPr>
            <w:tcW w:type="dxa" w:w="2340"/>
            <w:tcBorders>
              <w:top w:val="single" w:color="D0D7E2" w:sz="1"/>
              <w:left w:val="single" w:color="D0D7E2" w:sz="1"/>
              <w:bottom w:val="single" w:color="D0D7E2" w:sz="1"/>
              <w:right w:val="single" w:color="D0D7E2" w:sz="1"/>
            </w:tcBorders>
            <w:shd w:fill="FFF4EC" w:val="clear"/>
            <w:tcMar>
              <w:top w:type="dxa" w:w="100"/>
              <w:left w:type="dxa" w:w="140"/>
              <w:bottom w:type="dxa" w:w="100"/>
              <w:right w:type="dxa" w:w="140"/>
            </w:tcMar>
          </w:tcPr>
          <w:p>
            <w:pPr>
              <w:jc w:val="center"/>
            </w:pPr>
            <w:r>
              <w:rPr>
                <w:rFonts w:ascii="Arial" w:cs="Arial" w:eastAsia="Arial" w:hAnsi="Arial"/>
                <w:b/>
                <w:bCs/>
                <w:color w:val="C55A11"/>
                <w:sz w:val="48"/>
                <w:szCs w:val="48"/>
              </w:rPr>
              <w:t xml:space="preserve">6</w:t>
            </w:r>
          </w:p>
        </w:tc>
        <w:tc>
          <w:tcPr>
            <w:tcW w:type="dxa" w:w="2340"/>
            <w:tcBorders>
              <w:top w:val="single" w:color="D0D7E2" w:sz="1"/>
              <w:left w:val="single" w:color="D0D7E2" w:sz="1"/>
              <w:bottom w:val="single" w:color="D0D7E2" w:sz="1"/>
              <w:right w:val="single" w:color="D0D7E2" w:sz="1"/>
            </w:tcBorders>
            <w:shd w:fill="FEFCE8" w:val="clear"/>
            <w:tcMar>
              <w:top w:type="dxa" w:w="100"/>
              <w:left w:type="dxa" w:w="140"/>
              <w:bottom w:type="dxa" w:w="100"/>
              <w:right w:type="dxa" w:w="140"/>
            </w:tcMar>
          </w:tcPr>
          <w:p>
            <w:pPr>
              <w:jc w:val="center"/>
            </w:pPr>
            <w:r>
              <w:rPr>
                <w:rFonts w:ascii="Arial" w:cs="Arial" w:eastAsia="Arial" w:hAnsi="Arial"/>
                <w:b/>
                <w:bCs/>
                <w:color w:val="7D6608"/>
                <w:sz w:val="48"/>
                <w:szCs w:val="48"/>
              </w:rPr>
              <w:t xml:space="preserve">6</w:t>
            </w:r>
          </w:p>
        </w:tc>
        <w:tc>
          <w:tcPr>
            <w:tcW w:type="dxa" w:w="2340"/>
            <w:tcBorders>
              <w:top w:val="single" w:color="D0D7E2" w:sz="1"/>
              <w:left w:val="single" w:color="D0D7E2" w:sz="1"/>
              <w:bottom w:val="single" w:color="D0D7E2" w:sz="1"/>
              <w:right w:val="single" w:color="D0D7E2" w:sz="1"/>
            </w:tcBorders>
            <w:shd w:fill="EBF3E8" w:val="clear"/>
            <w:tcMar>
              <w:top w:type="dxa" w:w="100"/>
              <w:left w:type="dxa" w:w="140"/>
              <w:bottom w:type="dxa" w:w="100"/>
              <w:right w:type="dxa" w:w="140"/>
            </w:tcMar>
          </w:tcPr>
          <w:p>
            <w:pPr>
              <w:jc w:val="center"/>
            </w:pPr>
            <w:r>
              <w:rPr>
                <w:rFonts w:ascii="Arial" w:cs="Arial" w:eastAsia="Arial" w:hAnsi="Arial"/>
                <w:b/>
                <w:bCs/>
                <w:color w:val="375623"/>
                <w:sz w:val="48"/>
                <w:szCs w:val="48"/>
              </w:rPr>
              <w:t xml:space="preserve">3</w:t>
            </w:r>
          </w:p>
        </w:tc>
      </w:tr>
    </w:tbl>
    <w:p>
      <w:pPr>
        <w:spacing w:after="0" w:before="200"/>
      </w:pPr>
      <w:r>
        <w:t xml:space="preserve"/>
      </w:r>
    </w:p>
    <w:p>
      <w:pPr>
        <w:spacing w:after="120" w:before="280"/>
      </w:pPr>
      <w:r>
        <w:rPr>
          <w:rFonts w:ascii="Arial" w:cs="Arial" w:eastAsia="Arial" w:hAnsi="Arial"/>
          <w:b/>
          <w:bCs/>
          <w:color w:val="1F3864"/>
          <w:sz w:val="28"/>
          <w:szCs w:val="28"/>
        </w:rPr>
        <w:t xml:space="preserve">Full Issue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80"/>
        <w:gridCol w:w="960"/>
        <w:gridCol w:w="2600"/>
        <w:gridCol w:w="2200"/>
        <w:gridCol w:w="1340"/>
        <w:gridCol w:w="1000"/>
      </w:tblGrid>
      <w:tr>
        <w:trPr>
          <w:tblHeader/>
        </w:trPr>
        <w:tc>
          <w:tcPr>
            <w:tcW w:type="dxa" w:w="48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ID</w:t>
            </w:r>
          </w:p>
        </w:tc>
        <w:tc>
          <w:tcPr>
            <w:tcW w:type="dxa" w:w="78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Severity</w:t>
            </w:r>
          </w:p>
        </w:tc>
        <w:tc>
          <w:tcPr>
            <w:tcW w:type="dxa" w:w="96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Area</w:t>
            </w:r>
          </w:p>
        </w:tc>
        <w:tc>
          <w:tcPr>
            <w:tcW w:type="dxa" w:w="260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Description</w:t>
            </w:r>
          </w:p>
        </w:tc>
        <w:tc>
          <w:tcPr>
            <w:tcW w:type="dxa" w:w="220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Impact</w:t>
            </w:r>
          </w:p>
        </w:tc>
        <w:tc>
          <w:tcPr>
            <w:tcW w:type="dxa" w:w="134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Fix Summary</w:t>
            </w:r>
          </w:p>
        </w:tc>
        <w:tc>
          <w:tcPr>
            <w:tcW w:type="dxa" w:w="100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Effort</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BUG-01</w:t>
            </w:r>
          </w:p>
        </w:tc>
        <w:tc>
          <w:tcPr>
            <w:tcW w:type="dxa" w:w="780"/>
            <w:tcBorders>
              <w:top w:val="single" w:color="D0D7E2" w:sz="1"/>
              <w:left w:val="single" w:color="D0D7E2" w:sz="1"/>
              <w:bottom w:val="single" w:color="D0D7E2" w:sz="1"/>
              <w:right w:val="single" w:color="D0D7E2" w:sz="1"/>
            </w:tcBorders>
            <w:shd w:fill="FDECEA"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CRITICAL</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Security</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.env File Not in .gitignore — API Keys Exposed. The .gitignore does not exclude .env files. The .env file contains the Supabase publishable key and project URL in plaintext. If this repo is ever pushed to a public or shared git …</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Full Supabase project access with the anon key; potential data exfiltration of all child PII and assessment data.</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Add .env and .env.* to .gitignore immediately. Rotate the Supabase anon key if the repo has ever been pushed remotely.</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Minutes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BUG-02</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C00000"/>
                <w:sz w:val="18"/>
                <w:szCs w:val="18"/>
              </w:rPr>
              <w:t xml:space="preserve">CRITICAL</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Security / Auth</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Admin Page Accessible to Any Authenticated User. The Admin page is protected only by a client-side password prompt that calls the admin-data edge function. Any logged-in user who navigates to the "admin" page state can attempt to…</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Persistent brute-force attempts by any authenticated user. Successful compromise gives full read access to all user PII, assessment results, and analytics data.</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Add a server-side admin role check (e.g., Supabase RLS role or JWT custom claim) and redirect non-admins away before the…</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 hours</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BUG-03</w:t>
            </w:r>
          </w:p>
        </w:tc>
        <w:tc>
          <w:tcPr>
            <w:tcW w:type="dxa" w:w="780"/>
            <w:tcBorders>
              <w:top w:val="single" w:color="D0D7E2" w:sz="1"/>
              <w:left w:val="single" w:color="D0D7E2" w:sz="1"/>
              <w:bottom w:val="single" w:color="D0D7E2" w:sz="1"/>
              <w:right w:val="single" w:color="D0D7E2" w:sz="1"/>
            </w:tcBorders>
            <w:shd w:fill="FFF4E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HIGH</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Security</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DevReset Page Accessible in Production via URL Hash. Any user who visits /#dev-reset gets full access to a data-wiping utility that clears all localStorage keys and signs out of Supabase. While it cannot destroy server data, it can c…</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Malicious actor sends a user a link ending in /#dev-reset; clicking it wipes their local session and assessment progress without warning.</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Gate DevReset behind a build-time environment check (import.meta.env.DEV) so it is compiled out of production builds ent…</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 minutes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BUG-04</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HIGH</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Routing / UX</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 URL-Based Routing — Deep Links and Browser Back/Forward Broken. The app uses a custom page state machine instead of react-router's URL-based routing. Every page is rendered at the same URL (/). As a result: browser back/forward buttons do not w…</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Poor user experience; users lose progress on refresh; no sharable deep links to specific assessments or reports (except the explicit shared report token path which is handled separately).</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Integrate react-router's &lt;BrowserRouter&gt; and map each page state to a distinct URL path. AppContext's navigate() should …</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 days</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BUG-05</w:t>
            </w:r>
          </w:p>
        </w:tc>
        <w:tc>
          <w:tcPr>
            <w:tcW w:type="dxa" w:w="780"/>
            <w:tcBorders>
              <w:top w:val="single" w:color="D0D7E2" w:sz="1"/>
              <w:left w:val="single" w:color="D0D7E2" w:sz="1"/>
              <w:bottom w:val="single" w:color="D0D7E2" w:sz="1"/>
              <w:right w:val="single" w:color="D0D7E2" w:sz="1"/>
            </w:tcBorders>
            <w:shd w:fill="FFF4E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HIGH</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Routing / Auth</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Privacy &amp; Terms Pages Require Pathname Checks — Fragile and Bypassed by State. The app checks window.location.pathname === "/privacy" to decide whether to render PrivacyPolicy without auth. Because the rest of the app uses hash/state routing, navigating inter…</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Privacy and Terms pages are inaccessible from within the app on most hosting configs (e.g., Vercel/Netlify without rewrites). Users clicking consent links in the Register flow may see a 404.</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Move /privacy and /terms to proper react-router routes so they work both as direct links and internal navigation.</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30 minutes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BUG-06</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HIGH</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Camera / Privacy</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Face-Scanning Feature Has No Parental Consent Gate. The BetaFaceScanner component immediately requests camera access when mounted and begins facial expression analysis of children. There is no explicit parental consent screen before…</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Regulatory non-compliance; potential breach of DPDPA 2023 for processing sensitive personal data of minors without explicit consent.</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Add a mandatory consent modal before BetaFaceScanner mounts — explaining what data is captured, how long it is retained …</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2–3 hours</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BUG-07</w:t>
            </w:r>
          </w:p>
        </w:tc>
        <w:tc>
          <w:tcPr>
            <w:tcW w:type="dxa" w:w="780"/>
            <w:tcBorders>
              <w:top w:val="single" w:color="D0D7E2" w:sz="1"/>
              <w:left w:val="single" w:color="D0D7E2" w:sz="1"/>
              <w:bottom w:val="single" w:color="D0D7E2" w:sz="1"/>
              <w:right w:val="single" w:color="D0D7E2" w:sz="1"/>
            </w:tcBorders>
            <w:shd w:fill="FFF4EC"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HIGH</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Code Quality / Runtime</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RadarChart Has 3 Unused-Expression Errors — Silent Canvas Rendering Failures. ESLint reports 3 "Expected an assignment or function call" errors in RadarChart.tsx. These are ternary expressions used as void calls (e.g., `condition ? ctx.moveTo(...) : ctx.line…</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Radar chart may render incorrectly or partially on certain browsers/engines, breaking the visual assessment results display.</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Replace the ternary void calls with explicit if/else statements:
  if (i === 0) { ctx.moveTo(...); } else { ctx.lineTo(.…</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 minutes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BUG-08</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C55A11"/>
                <w:sz w:val="18"/>
                <w:szCs w:val="18"/>
              </w:rPr>
              <w:t xml:space="preserve">HIGH</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Data / UX</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Assessment Results Stored Only in localStorage — Lost on Browser Clear. Assessment results (physicalResult, cognitiveResult, nutritionalResult) are persisted to localStorage keyed by user ID. If the user clears browser storage, switches devices, or use…</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Users who clear cache or switch devices lose all assessment progress and must redo assessments. High churn risk for a paid product.</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Save assessment results to the Supabase assessments table immediately on completion, and load from DB on login rather th…</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4–6 hours</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BUG-09</w:t>
            </w:r>
          </w:p>
        </w:tc>
        <w:tc>
          <w:tcPr>
            <w:tcW w:type="dxa" w:w="780"/>
            <w:tcBorders>
              <w:top w:val="single" w:color="D0D7E2" w:sz="1"/>
              <w:left w:val="single" w:color="D0D7E2" w:sz="1"/>
              <w:bottom w:val="single" w:color="D0D7E2" w:sz="1"/>
              <w:right w:val="single" w:color="D0D7E2" w:sz="1"/>
            </w:tcBorders>
            <w:shd w:fill="FEFCE8" w:val="clear"/>
            <w:tcMar>
              <w:top w:type="dxa" w:w="80"/>
              <w:left w:type="dxa" w:w="140"/>
              <w:bottom w:type="dxa" w:w="80"/>
              <w:right w:type="dxa" w:w="140"/>
            </w:tcMar>
            <w:vAlign w:val="center"/>
          </w:tcPr>
          <w:p>
            <w:pPr>
              <w:jc w:val="center"/>
            </w:pPr>
            <w:r>
              <w:rPr>
                <w:rFonts w:ascii="Arial" w:cs="Arial" w:eastAsia="Arial" w:hAnsi="Arial"/>
                <w:b/>
                <w:bCs/>
                <w:color w:val="7D6608"/>
                <w:sz w:val="18"/>
                <w:szCs w:val="18"/>
              </w:rPr>
              <w:t xml:space="preserve">MEDIUM</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React / Performance</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Missing useCallback Dependency: childDbId in switchChild. ESLint reports that useCallback for switchChild is missing childDbId in its dependency array. This creates a stale closure where switchChild holds a reference to an old childDbId v…</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Potential data corruption when a user switches between multiple children — the wrong child's ID may be used in DB operations until the component re-renders.</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Add childDbId to the useCallback dependency array for switchChild.</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 minutes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BUG-10</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7D6608"/>
                <w:sz w:val="18"/>
                <w:szCs w:val="18"/>
              </w:rPr>
              <w:t xml:space="preserve">MEDIUM</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React / Performance</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Missing useEffect Dependency: loadUserData. The useEffect that calls loadUserData omits loadUserData from its dependency array. In development (React Strict Mode), this can cause the effect to not re-run when the function re…</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User data may not reload correctly in certain lifecycle scenarios (e.g., hot module replacement, Strict Mode double-invocation).</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Add loadUserData to the useEffect dependency array, or move the function definition inside the effect.</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 minutes</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BUG-11</w:t>
            </w:r>
          </w:p>
        </w:tc>
        <w:tc>
          <w:tcPr>
            <w:tcW w:type="dxa" w:w="780"/>
            <w:tcBorders>
              <w:top w:val="single" w:color="D0D7E2" w:sz="1"/>
              <w:left w:val="single" w:color="D0D7E2" w:sz="1"/>
              <w:bottom w:val="single" w:color="D0D7E2" w:sz="1"/>
              <w:right w:val="single" w:color="D0D7E2" w:sz="1"/>
            </w:tcBorders>
            <w:shd w:fill="FEFCE8" w:val="clear"/>
            <w:tcMar>
              <w:top w:type="dxa" w:w="80"/>
              <w:left w:type="dxa" w:w="140"/>
              <w:bottom w:type="dxa" w:w="80"/>
              <w:right w:type="dxa" w:w="140"/>
            </w:tcMar>
            <w:vAlign w:val="center"/>
          </w:tcPr>
          <w:p>
            <w:pPr>
              <w:jc w:val="center"/>
            </w:pPr>
            <w:r>
              <w:rPr>
                <w:rFonts w:ascii="Arial" w:cs="Arial" w:eastAsia="Arial" w:hAnsi="Arial"/>
                <w:b/>
                <w:bCs/>
                <w:color w:val="7D6608"/>
                <w:sz w:val="18"/>
                <w:szCs w:val="18"/>
              </w:rPr>
              <w:t xml:space="preserve">MEDIUM</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Error Handling</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Empty catch Blocks Silently Swallow Errors in AppContext. Two catch blocks are completely empty (`catch {}`), meaning errors in those code paths are silently discarded without logging. One is in the auth state change handler and one is in…</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Auth or data-loading failures become invisible — no error shown to user, no log in the DB. Intermittent failures will be impossible to diagnose in production.</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Replace empty catch blocks with at minimum `catch (err) { console.warn(...) }` or ideally call logError() with context.</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 minutes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BUG-12</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7D6608"/>
                <w:sz w:val="18"/>
                <w:szCs w:val="18"/>
              </w:rPr>
              <w:t xml:space="preserve">MEDIUM</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Type Safety</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284 ESLint Errors — Pervasive use of `any` Type. The ESLint run produced 284 errors and 26 warnings. The vast majority (200+) are @typescript-eslint/no-explicit-any violations across AppContext, intelligence.ts, nutrition-scoring…</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Type errors in scoring logic, data transformation, or API responses will silently pass TypeScript and only fail at runtime — affecting assessment accuracy.</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Incrementally replace `any` with proper types. Priority: intelligence.ts (scoring engine), AppContext.tsx (auth/data flo…</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2–3 days (incremental)</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BUG-13</w:t>
            </w:r>
          </w:p>
        </w:tc>
        <w:tc>
          <w:tcPr>
            <w:tcW w:type="dxa" w:w="780"/>
            <w:tcBorders>
              <w:top w:val="single" w:color="D0D7E2" w:sz="1"/>
              <w:left w:val="single" w:color="D0D7E2" w:sz="1"/>
              <w:bottom w:val="single" w:color="D0D7E2" w:sz="1"/>
              <w:right w:val="single" w:color="D0D7E2" w:sz="1"/>
            </w:tcBorders>
            <w:shd w:fill="FEFCE8" w:val="clear"/>
            <w:tcMar>
              <w:top w:type="dxa" w:w="80"/>
              <w:left w:type="dxa" w:w="140"/>
              <w:bottom w:type="dxa" w:w="80"/>
              <w:right w:type="dxa" w:w="140"/>
            </w:tcMar>
            <w:vAlign w:val="center"/>
          </w:tcPr>
          <w:p>
            <w:pPr>
              <w:jc w:val="center"/>
            </w:pPr>
            <w:r>
              <w:rPr>
                <w:rFonts w:ascii="Arial" w:cs="Arial" w:eastAsia="Arial" w:hAnsi="Arial"/>
                <w:b/>
                <w:bCs/>
                <w:color w:val="7D6608"/>
                <w:sz w:val="18"/>
                <w:szCs w:val="18"/>
              </w:rPr>
              <w:t xml:space="preserve">MEDIUM</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UX / Accessibility</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Face Scanner Error Fallback Defaults to "denied" for Unknown Camera Errors. When an unknown camera error occurs (not "Permission denied" or "NotFound"), the code falls back to setErrorType("denied") — showing "Please tap Allow when your browser asks for ca…</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Users with legitimate hardware issues receive incorrect recovery instructions and may waste time trying to grant permissions that are already granted.</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Add a generic "unknown" error type with a message like "Camera could not be started. Please try again or restart your br…</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20 minutes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BUG-14</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7D6608"/>
                <w:sz w:val="18"/>
                <w:szCs w:val="18"/>
              </w:rPr>
              <w:t xml:space="preserve">MEDIUM</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UX</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Investor Deck Accessible to Anyone via ?investor=1 Query Param. The investor deck (containing business metrics, projections, and growth data) is rendered without any authentication check when ?investor=1 is in the URL or the path is /investor. …</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Confidential investor/business data exposed to the public internet.</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Gate the InvestorDeck behind an authenticated session check, or add a separate password gate similar to the Admin page.</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30 minutes</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BUG-15</w:t>
            </w:r>
          </w:p>
        </w:tc>
        <w:tc>
          <w:tcPr>
            <w:tcW w:type="dxa" w:w="7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LOW</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Build / DX</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26 Fast-Refresh Warnings — HMR Breaks During Development. Files that export both components and constants/functions trigger react-refresh/only-export-components warnings. Vite's Hot Module Replacement (HMR) cannot fast-refresh these files…</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Slower developer iteration cycle; all component state is lost on every change to these shared files.</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Separate constant/utility exports from component files into dedicated files (e.g., badge-variants.ts, button-variants.ts…</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1–2 hours</w:t>
            </w:r>
          </w:p>
        </w:tc>
      </w:tr>
      <w:tr>
        <w:tc>
          <w:tcPr>
            <w:tcW w:type="dxa" w:w="4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BUG-16</w:t>
            </w:r>
          </w:p>
        </w:tc>
        <w:tc>
          <w:tcPr>
            <w:tcW w:type="dxa" w:w="7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LOW</w:t>
            </w:r>
          </w:p>
        </w:tc>
        <w:tc>
          <w:tcPr>
            <w:tcW w:type="dxa" w:w="96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Code Quality</w:t>
            </w:r>
          </w:p>
        </w:tc>
        <w:tc>
          <w:tcPr>
            <w:tcW w:type="dxa" w:w="26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PrintablePDF.tsx Has `let raf1` Never Reassigned (should be const). A variable declared with `let` is never reassigned — it should be `const`. Minor code quality issue.</w:t>
            </w:r>
          </w:p>
        </w:tc>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 functional impact. Code quality/readability issue.</w:t>
            </w:r>
          </w:p>
        </w:tc>
        <w:tc>
          <w:tcPr>
            <w:tcW w:type="dxa" w:w="134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Change `let raf1` to `const raf1`.</w:t>
            </w:r>
          </w:p>
        </w:tc>
        <w:tc>
          <w:tcPr>
            <w:tcW w:type="dxa" w:w="10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 minute</w:t>
            </w:r>
          </w:p>
        </w:tc>
      </w:tr>
      <w:tr>
        <w:tc>
          <w:tcPr>
            <w:tcW w:type="dxa" w:w="4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8"/>
                <w:szCs w:val="18"/>
              </w:rPr>
              <w:t xml:space="preserve">BUG-17</w:t>
            </w:r>
          </w:p>
        </w:tc>
        <w:tc>
          <w:tcPr>
            <w:tcW w:type="dxa" w:w="7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vAlign w:val="center"/>
          </w:tcPr>
          <w:p>
            <w:pPr>
              <w:jc w:val="center"/>
            </w:pPr>
            <w:r>
              <w:rPr>
                <w:rFonts w:ascii="Arial" w:cs="Arial" w:eastAsia="Arial" w:hAnsi="Arial"/>
                <w:b/>
                <w:bCs/>
                <w:color w:val="375623"/>
                <w:sz w:val="18"/>
                <w:szCs w:val="18"/>
              </w:rPr>
              <w:t xml:space="preserve">LOW</w:t>
            </w:r>
          </w:p>
        </w:tc>
        <w:tc>
          <w:tcPr>
            <w:tcW w:type="dxa" w:w="9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Type Safety</w:t>
            </w:r>
          </w:p>
        </w:tc>
        <w:tc>
          <w:tcPr>
            <w:tcW w:type="dxa" w:w="26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ui/command.tsx and ui/textarea.tsx Have Empty Interface Declarations. Both files declare empty interfaces (no members) that are equivalent to their supertypes. TypeScript flags these as unnecessary.</w:t>
            </w:r>
          </w:p>
        </w:tc>
        <w:tc>
          <w:tcPr>
            <w:tcW w:type="dxa" w:w="2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No functional impact. Dead code that adds noise and confuses future maintainers.</w:t>
            </w:r>
          </w:p>
        </w:tc>
        <w:tc>
          <w:tcPr>
            <w:tcW w:type="dxa" w:w="134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Remove the empty interfaces or add required members.</w:t>
            </w:r>
          </w:p>
        </w:tc>
        <w:tc>
          <w:tcPr>
            <w:tcW w:type="dxa" w:w="10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 minutes</w:t>
            </w:r>
          </w:p>
        </w:tc>
      </w:tr>
    </w:tbl>
    <w:p>
      <w:pPr>
        <w:spacing w:after="0" w:before="200"/>
      </w:pPr>
      <w:r>
        <w:t xml:space="preserve"/>
      </w:r>
    </w:p>
    <w:p>
      <w:pPr>
        <w:spacing w:after="120" w:before="280"/>
      </w:pPr>
      <w:r>
        <w:rPr>
          <w:rFonts w:ascii="Arial" w:cs="Arial" w:eastAsia="Arial" w:hAnsi="Arial"/>
          <w:b/>
          <w:bCs/>
          <w:color w:val="1F3864"/>
          <w:sz w:val="28"/>
          <w:szCs w:val="28"/>
        </w:rPr>
        <w:t xml:space="preserve">Test Suite Results</w:t>
      </w:r>
    </w:p>
    <w:p>
      <w:pPr>
        <w:spacing w:after="60" w:before="40"/>
      </w:pPr>
      <w:r>
        <w:rPr>
          <w:rFonts w:ascii="Arial" w:cs="Arial" w:eastAsia="Arial" w:hAnsi="Arial"/>
          <w:sz w:val="20"/>
          <w:szCs w:val="20"/>
        </w:rPr>
        <w:t xml:space="preserve">All 314 tests across 13 test suites pass. Test coverage is strong for the core scoring algorithms (physical, cognitive, nutrition, wellbeing), blueprint identity engine, assessment hub logic, analytics, and LLM JSON validation.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Test Suite</w:t>
            </w:r>
          </w:p>
        </w:tc>
        <w:tc>
          <w:tcPr>
            <w:tcW w:type="dxa" w:w="208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Tests</w:t>
            </w:r>
          </w:p>
        </w:tc>
        <w:tc>
          <w:tcPr>
            <w:tcW w:type="dxa" w:w="2080"/>
            <w:tcBorders>
              <w:top w:val="single" w:color="D0D7E2" w:sz="1"/>
              <w:left w:val="single" w:color="D0D7E2" w:sz="1"/>
              <w:bottom w:val="single" w:color="D0D7E2" w:sz="1"/>
              <w:right w:val="single" w:color="D0D7E2"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Status</w:t>
            </w:r>
          </w:p>
        </w:tc>
      </w:tr>
      <w:tr>
        <w:tc>
          <w:tcPr>
            <w:tcW w:type="dxa" w:w="5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future-blueprint-identity.test.ts</w:t>
            </w:r>
          </w:p>
        </w:tc>
        <w:tc>
          <w:tcPr>
            <w:tcW w:type="dxa" w:w="20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24</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three-profile-qa.test.ts</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44</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child-profiles.test.ts</w:t>
            </w:r>
          </w:p>
        </w:tc>
        <w:tc>
          <w:tcPr>
            <w:tcW w:type="dxa" w:w="20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52</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assessment-hub.test.ts</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18</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alg01-wellbeing-gate.test.ts</w:t>
            </w:r>
          </w:p>
        </w:tc>
        <w:tc>
          <w:tcPr>
            <w:tcW w:type="dxa" w:w="20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22</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llm02-json-validation.test.ts</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45</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wellbeing-scoring.test.ts</w:t>
            </w:r>
          </w:p>
        </w:tc>
        <w:tc>
          <w:tcPr>
            <w:tcW w:type="dxa" w:w="20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19</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cognitive-scoring.test.ts</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15</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nutrition-scoring.test.ts</w:t>
            </w:r>
          </w:p>
        </w:tc>
        <w:tc>
          <w:tcPr>
            <w:tcW w:type="dxa" w:w="20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17</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physical-scoring.test.ts</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14</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arch04-analytics.test.ts</w:t>
            </w:r>
          </w:p>
        </w:tc>
        <w:tc>
          <w:tcPr>
            <w:tcW w:type="dxa" w:w="20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39</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v3-engine.test.ts</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4</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example.test.ts</w:t>
            </w:r>
          </w:p>
        </w:tc>
        <w:tc>
          <w:tcPr>
            <w:tcW w:type="dxa" w:w="208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8"/>
                <w:szCs w:val="18"/>
              </w:rPr>
              <w:t xml:space="preserve">1</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PASS</w:t>
            </w:r>
          </w:p>
        </w:tc>
      </w:tr>
      <w:tr>
        <w:tc>
          <w:tcPr>
            <w:tcW w:type="dxa" w:w="5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TOTAL</w:t>
            </w:r>
          </w:p>
        </w:tc>
        <w:tc>
          <w:tcPr>
            <w:tcW w:type="dxa" w:w="208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vAlign w:val="center"/>
          </w:tcPr>
          <w:p>
            <w:pPr>
              <w:jc w:val="center"/>
            </w:pPr>
            <w:r>
              <w:rPr>
                <w:rFonts w:ascii="Arial" w:cs="Arial" w:eastAsia="Arial" w:hAnsi="Arial"/>
                <w:b/>
                <w:bCs/>
                <w:color w:val="000000"/>
                <w:sz w:val="18"/>
                <w:szCs w:val="18"/>
              </w:rPr>
              <w:t xml:space="preserve">314</w:t>
            </w:r>
          </w:p>
        </w:tc>
        <w:tc>
          <w:tcPr>
            <w:tcW w:type="dxa" w:w="2080"/>
            <w:tcBorders>
              <w:top w:val="single" w:color="D0D7E2" w:sz="1"/>
              <w:left w:val="single" w:color="D0D7E2" w:sz="1"/>
              <w:bottom w:val="single" w:color="D0D7E2" w:sz="1"/>
              <w:right w:val="single" w:color="D0D7E2" w:sz="1"/>
            </w:tcBorders>
            <w:shd w:fill="EBF3E8" w:val="clear"/>
            <w:tcMar>
              <w:top w:type="dxa" w:w="80"/>
              <w:left w:type="dxa" w:w="140"/>
              <w:bottom w:type="dxa" w:w="80"/>
              <w:right w:type="dxa" w:w="140"/>
            </w:tcMar>
          </w:tcPr>
          <w:p>
            <w:pPr>
              <w:jc w:val="center"/>
            </w:pPr>
            <w:r>
              <w:rPr>
                <w:rFonts w:ascii="Arial" w:cs="Arial" w:eastAsia="Arial" w:hAnsi="Arial"/>
                <w:b/>
                <w:bCs/>
                <w:color w:val="375623"/>
                <w:sz w:val="18"/>
                <w:szCs w:val="18"/>
              </w:rPr>
              <w:t xml:space="preserve">✓ ALL PASS</w:t>
            </w:r>
          </w:p>
        </w:tc>
      </w:tr>
    </w:tbl>
    <w:p>
      <w:pPr>
        <w:spacing w:after="0" w:before="200"/>
      </w:pPr>
      <w:r>
        <w:t xml:space="preserve"/>
      </w:r>
    </w:p>
    <w:p>
      <w:pPr>
        <w:spacing w:after="120" w:before="280"/>
      </w:pPr>
      <w:r>
        <w:rPr>
          <w:rFonts w:ascii="Arial" w:cs="Arial" w:eastAsia="Arial" w:hAnsi="Arial"/>
          <w:b/>
          <w:bCs/>
          <w:color w:val="1F3864"/>
          <w:sz w:val="28"/>
          <w:szCs w:val="28"/>
        </w:rPr>
        <w:t xml:space="preserve">Static Analysis Summary</w:t>
      </w:r>
    </w:p>
    <w:p>
      <w:pPr>
        <w:spacing w:after="60" w:before="0"/>
      </w:pPr>
      <w:r>
        <w:rPr>
          <w:rFonts w:ascii="Arial" w:cs="Arial" w:eastAsia="Arial" w:hAnsi="Arial"/>
          <w:b/>
          <w:bCs/>
          <w:sz w:val="20"/>
          <w:szCs w:val="20"/>
        </w:rPr>
        <w:t xml:space="preserve">ESLint: </w:t>
      </w:r>
      <w:r>
        <w:rPr>
          <w:rFonts w:ascii="Arial" w:cs="Arial" w:eastAsia="Arial" w:hAnsi="Arial"/>
          <w:sz w:val="20"/>
          <w:szCs w:val="20"/>
        </w:rPr>
        <w:t xml:space="preserve">284 errors, 26 warnings across the TypeScript source</w:t>
      </w:r>
    </w:p>
    <w:p>
      <w:pPr>
        <w:spacing w:after="60" w:before="0"/>
      </w:pPr>
      <w:r>
        <w:rPr>
          <w:rFonts w:ascii="Arial" w:cs="Arial" w:eastAsia="Arial" w:hAnsi="Arial"/>
          <w:b/>
          <w:bCs/>
          <w:sz w:val="20"/>
          <w:szCs w:val="20"/>
        </w:rPr>
        <w:t xml:space="preserve">TypeScript (tsc --noEmit): </w:t>
      </w:r>
      <w:r>
        <w:rPr>
          <w:rFonts w:ascii="Arial" w:cs="Arial" w:eastAsia="Arial" w:hAnsi="Arial"/>
          <w:color w:val="375623"/>
          <w:sz w:val="20"/>
          <w:szCs w:val="20"/>
        </w:rPr>
        <w:t xml:space="preserve">0 type errors (clean compile)</w:t>
      </w:r>
    </w:p>
    <w:p>
      <w:pPr>
        <w:spacing w:after="60" w:before="40"/>
      </w:pPr>
      <w:r>
        <w:rPr>
          <w:rFonts w:ascii="Arial" w:cs="Arial" w:eastAsia="Arial" w:hAnsi="Arial"/>
          <w:sz w:val="20"/>
          <w:szCs w:val="20"/>
        </w:rPr>
        <w:t xml:space="preserve">The majority of ESLint errors are @typescript-eslint/no-explicit-any violations. While the app compiles cleanly, the pervasive use of any effectively defeats TypeScript's safety guarantees in the scoring and data layers.</w:t>
      </w:r>
    </w:p>
    <w:p>
      <w:pPr>
        <w:spacing w:after="0" w:before="200"/>
      </w:pPr>
      <w:r>
        <w:t xml:space="preserve"/>
      </w:r>
    </w:p>
    <w:p>
      <w:pPr>
        <w:spacing w:after="120" w:before="280"/>
      </w:pPr>
      <w:r>
        <w:rPr>
          <w:rFonts w:ascii="Arial" w:cs="Arial" w:eastAsia="Arial" w:hAnsi="Arial"/>
          <w:b/>
          <w:bCs/>
          <w:color w:val="1F3864"/>
          <w:sz w:val="28"/>
          <w:szCs w:val="28"/>
        </w:rPr>
        <w:t xml:space="preserve">Detailed Bug Reports</w:t>
      </w:r>
    </w:p>
    <w:p>
      <w:pPr>
        <w:spacing w:after="80" w:before="0"/>
      </w:pPr>
      <w:r>
        <w:rPr>
          <w:rFonts w:ascii="Arial" w:cs="Arial" w:eastAsia="Arial" w:hAnsi="Arial"/>
          <w:b/>
          <w:bCs/>
          <w:color w:val="C00000"/>
          <w:sz w:val="24"/>
          <w:szCs w:val="24"/>
        </w:rPr>
        <w:t xml:space="preserve">BUG-01 — .env File Not in .gitignore — API Keys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BUG-01</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CRITICAL</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Security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.gitignore / .env</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.gitignore does not exclude .env files. The .env file contains the Supabase publishable key and project URL in plaintext. If this repo is ever pushed to a public or shared git host, these credentials are permanently exposed in git history.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Full Supabase project access with the anon key; potential data exfiltration of all child PII and assessment data.</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Add .env and .env.* to .gitignore immediately. Rotate the Supabase anon key if the repo has ever been pushed remotely.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Minutes</w:t>
            </w:r>
          </w:p>
        </w:tc>
      </w:tr>
    </w:tbl>
    <w:p>
      <w:pPr>
        <w:spacing w:after="80" w:before="240"/>
      </w:pPr>
      <w:r>
        <w:rPr>
          <w:rFonts w:ascii="Arial" w:cs="Arial" w:eastAsia="Arial" w:hAnsi="Arial"/>
          <w:b/>
          <w:bCs/>
          <w:color w:val="C00000"/>
          <w:sz w:val="24"/>
          <w:szCs w:val="24"/>
        </w:rPr>
        <w:t xml:space="preserve">BUG-02 — Admin Page Accessible to Any Authenticated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BUG-02</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00000"/>
                <w:sz w:val="18"/>
                <w:szCs w:val="18"/>
              </w:rPr>
              <w:t xml:space="preserve">CRITICAL</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Security / Auth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src/pages/Admin.tsx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Admin page is protected only by a client-side password prompt that calls the admin-data edge function. Any logged-in user who navigates to the "admin" page state can attempt to brute-force the password with no UI-level lockout. The rate-limiting lives only in the edge function, which is the correct place, but the admin page is never excluded from the app's page routing for non-admin users.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Persistent brute-force attempts by any authenticated user. Successful compromise gives full read access to all user PII, assessment results, and analytics data.</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Add a server-side admin role check (e.g., Supabase RLS role or JWT custom claim) and redirect non-admins away before the password prompt renders.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1–2 hours</w:t>
            </w:r>
          </w:p>
        </w:tc>
      </w:tr>
    </w:tbl>
    <w:p>
      <w:pPr>
        <w:spacing w:after="80" w:before="240"/>
      </w:pPr>
      <w:r>
        <w:rPr>
          <w:rFonts w:ascii="Arial" w:cs="Arial" w:eastAsia="Arial" w:hAnsi="Arial"/>
          <w:b/>
          <w:bCs/>
          <w:color w:val="C55A11"/>
          <w:sz w:val="24"/>
          <w:szCs w:val="24"/>
        </w:rPr>
        <w:t xml:space="preserve">BUG-03 — DevReset Page Accessible in Production via URL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BUG-03</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HIGH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Security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src/App.tsx, src/pages/DevReset.tsx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Any user who visits /#dev-reset gets full access to a data-wiping utility that clears all localStorage keys and signs out of Supabase. While it cannot destroy server data, it can completely reset a user's session and local state silently — a phishing or social-engineering vector.</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Malicious actor sends a user a link ending in /#dev-reset; clicking it wipes their local session and assessment progress without warning.</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Gate DevReset behind a build-time environment check (import.meta.env.DEV) so it is compiled out of production builds entirely.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15 minutes</w:t>
            </w:r>
          </w:p>
        </w:tc>
      </w:tr>
    </w:tbl>
    <w:p>
      <w:pPr>
        <w:spacing w:after="80" w:before="240"/>
      </w:pPr>
      <w:r>
        <w:rPr>
          <w:rFonts w:ascii="Arial" w:cs="Arial" w:eastAsia="Arial" w:hAnsi="Arial"/>
          <w:b/>
          <w:bCs/>
          <w:color w:val="C55A11"/>
          <w:sz w:val="24"/>
          <w:szCs w:val="24"/>
        </w:rPr>
        <w:t xml:space="preserve">BUG-04 — No URL-Based Routing — Deep Links and Browser Back/Forward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BUG-04</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HIGH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Routing / UX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src/App.tsx, src/contexts/AppContext.tsx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app uses a custom page state machine instead of react-router's URL-based routing. Every page is rendered at the same URL (/). As a result: browser back/forward buttons do not work, shared links always land on the landing page (not the intended screen), and refreshing any page after login drops users back to the dashboard with no context of where they were.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Poor user experience; users lose progress on refresh; no sharable deep links to specific assessments or reports (except the explicit shared report token path which is handled separately).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Integrate react-router's &lt;BrowserRouter&gt; and map each page state to a distinct URL path. AppContext's navigate() should call useNavigate() underneath.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1–2 days</w:t>
            </w:r>
          </w:p>
        </w:tc>
      </w:tr>
    </w:tbl>
    <w:p>
      <w:pPr>
        <w:spacing w:after="80" w:before="240"/>
      </w:pPr>
      <w:r>
        <w:rPr>
          <w:rFonts w:ascii="Arial" w:cs="Arial" w:eastAsia="Arial" w:hAnsi="Arial"/>
          <w:b/>
          <w:bCs/>
          <w:color w:val="C55A11"/>
          <w:sz w:val="24"/>
          <w:szCs w:val="24"/>
        </w:rPr>
        <w:t xml:space="preserve">BUG-05 — Privacy &amp; Terms Pages Require Pathname Checks — Fragile and Bypassed by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BUG-05</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HIGH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Routing / Auth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src/App.tsx (lines 48–54)</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app checks window.location.pathname === "/privacy" to decide whether to render PrivacyPolicy without auth. Because the rest of the app uses hash/state routing, navigating internally to these pages is impossible. The pages only work if opened via a direct browser URL — which conflicts with the SPA routing model and will break if the app is deployed without a catch-all server redirect.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Privacy and Terms pages are inaccessible from within the app on most hosting configs (e.g., Vercel/Netlify without rewrites). Users clicking consent links in the Register flow may see a 404.</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Move /privacy and /terms to proper react-router routes so they work both as direct links and internal navigation.</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30 minutes</w:t>
            </w:r>
          </w:p>
        </w:tc>
      </w:tr>
    </w:tbl>
    <w:p>
      <w:pPr>
        <w:spacing w:after="80" w:before="240"/>
      </w:pPr>
      <w:r>
        <w:rPr>
          <w:rFonts w:ascii="Arial" w:cs="Arial" w:eastAsia="Arial" w:hAnsi="Arial"/>
          <w:b/>
          <w:bCs/>
          <w:color w:val="C55A11"/>
          <w:sz w:val="24"/>
          <w:szCs w:val="24"/>
        </w:rPr>
        <w:t xml:space="preserve">BUG-06 — Face-Scanning Feature Has No Parental Consent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BUG-06</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HIGH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Camera / Privacy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src/features/wellnessBeta/BetaFaceScanner.jsx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BetaFaceScanner component immediately requests camera access when mounted and begins facial expression analysis of children. There is no explicit parental consent screen before the camera is activated, no data retention disclosure, and no explanation that biometric-like data is being processed. This is a legal risk under India's DPDPA 2023 (which the app claims compliance with) and COPPA/GDPR-K equivalents.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Regulatory non-compliance; potential breach of DPDPA 2023 for processing sensitive personal data of minors without explicit consent.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Add a mandatory consent modal before BetaFaceScanner mounts — explaining what data is captured, how long it is retained (session-only), and requiring an explicit "I consent" action from the parent.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2–3 hours</w:t>
            </w:r>
          </w:p>
        </w:tc>
      </w:tr>
    </w:tbl>
    <w:p>
      <w:pPr>
        <w:spacing w:after="80" w:before="240"/>
      </w:pPr>
      <w:r>
        <w:rPr>
          <w:rFonts w:ascii="Arial" w:cs="Arial" w:eastAsia="Arial" w:hAnsi="Arial"/>
          <w:b/>
          <w:bCs/>
          <w:color w:val="C55A11"/>
          <w:sz w:val="24"/>
          <w:szCs w:val="24"/>
        </w:rPr>
        <w:t xml:space="preserve">BUG-07 — RadarChart Has 3 Unused-Expression Errors — Silent Canvas Rendering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BUG-07</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HIGH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Code Quality / Runtime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src/components/RadarChart.tsx (lines 44, 75, 99)</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ESLint reports 3 "Expected an assignment or function call" errors in RadarChart.tsx. These are ternary expressions used as void calls (e.g., `condition ? ctx.moveTo(...) : ctx.lineTo(...)`), which are treated as no-ops by some JS engines in strict mode. Canvas drawing may silently produce incorrect or missing paths.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Radar chart may render incorrectly or partially on certain browsers/engines, breaking the visual assessment results display.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Replace the ternary void calls with explicit if/else statements:
  if (i === 0) { ctx.moveTo(...); } else { ctx.lineTo(...); }</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15 minutes</w:t>
            </w:r>
          </w:p>
        </w:tc>
      </w:tr>
    </w:tbl>
    <w:p>
      <w:pPr>
        <w:spacing w:after="80" w:before="240"/>
      </w:pPr>
      <w:r>
        <w:rPr>
          <w:rFonts w:ascii="Arial" w:cs="Arial" w:eastAsia="Arial" w:hAnsi="Arial"/>
          <w:b/>
          <w:bCs/>
          <w:color w:val="C55A11"/>
          <w:sz w:val="24"/>
          <w:szCs w:val="24"/>
        </w:rPr>
        <w:t xml:space="preserve">BUG-08 — Assessment Results Stored Only in localStorage — Lost on Browser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BUG-08</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C55A11"/>
                <w:sz w:val="18"/>
                <w:szCs w:val="18"/>
              </w:rPr>
              <w:t xml:space="preserve">HIGH</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Data / UX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src/contexts/AppContext.tsx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Assessment results (physicalResult, cognitiveResult, nutritionalResult) are persisted to localStorage keyed by user ID. If the user clears browser storage, switches devices, or uses a private/incognito window, all assessment history is lost. The app has a Supabase DB but assessment scores are not synced there during the assessment flow — only when a full report is generated.</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Users who clear cache or switch devices lose all assessment progress and must redo assessments. High churn risk for a paid product.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Save assessment results to the Supabase assessments table immediately on completion, and load from DB on login rather than relying solely on localStorage.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4–6 hours</w:t>
            </w:r>
          </w:p>
        </w:tc>
      </w:tr>
    </w:tbl>
    <w:p>
      <w:pPr>
        <w:spacing w:after="80" w:before="240"/>
      </w:pPr>
      <w:r>
        <w:rPr>
          <w:rFonts w:ascii="Arial" w:cs="Arial" w:eastAsia="Arial" w:hAnsi="Arial"/>
          <w:b/>
          <w:bCs/>
          <w:color w:val="7D6608"/>
          <w:sz w:val="24"/>
          <w:szCs w:val="24"/>
        </w:rPr>
        <w:t xml:space="preserve">BUG-09 — Missing useCallback Dependency: childDbId in switchChild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BUG-09</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7D6608"/>
                <w:sz w:val="18"/>
                <w:szCs w:val="18"/>
              </w:rPr>
              <w:t xml:space="preserve">MEDIUM</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React / Performance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src/contexts/AppContext.tsx (line 267)</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ESLint reports that useCallback for switchChild is missing childDbId in its dependency array. This creates a stale closure where switchChild holds a reference to an old childDbId value, causing child-switching to silently operate on the wrong child's data.</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Potential data corruption when a user switches between multiple children — the wrong child's ID may be used in DB operations until the component re-renders.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Add childDbId to the useCallback dependency array for switchChild.</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5 minutes</w:t>
            </w:r>
          </w:p>
        </w:tc>
      </w:tr>
    </w:tbl>
    <w:p>
      <w:pPr>
        <w:spacing w:after="80" w:before="240"/>
      </w:pPr>
      <w:r>
        <w:rPr>
          <w:rFonts w:ascii="Arial" w:cs="Arial" w:eastAsia="Arial" w:hAnsi="Arial"/>
          <w:b/>
          <w:bCs/>
          <w:color w:val="7D6608"/>
          <w:sz w:val="24"/>
          <w:szCs w:val="24"/>
        </w:rPr>
        <w:t xml:space="preserve">BUG-10 — Missing useEffect Dependency: loadUserData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BUG-10</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7D6608"/>
                <w:sz w:val="18"/>
                <w:szCs w:val="18"/>
              </w:rPr>
              <w:t xml:space="preserve">MEDIUM</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React / Performance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src/contexts/AppContext.tsx (line 389)</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useEffect that calls loadUserData omits loadUserData from its dependency array. In development (React Strict Mode), this can cause the effect to not re-run when the function reference changes, leading to stale data loads.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User data may not reload correctly in certain lifecycle scenarios (e.g., hot module replacement, Strict Mode double-invocation).</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Add loadUserData to the useEffect dependency array, or move the function definition inside the effect.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5 minutes</w:t>
            </w:r>
          </w:p>
        </w:tc>
      </w:tr>
    </w:tbl>
    <w:p>
      <w:pPr>
        <w:spacing w:after="80" w:before="240"/>
      </w:pPr>
      <w:r>
        <w:rPr>
          <w:rFonts w:ascii="Arial" w:cs="Arial" w:eastAsia="Arial" w:hAnsi="Arial"/>
          <w:b/>
          <w:bCs/>
          <w:color w:val="7D6608"/>
          <w:sz w:val="24"/>
          <w:szCs w:val="24"/>
        </w:rPr>
        <w:t xml:space="preserve">BUG-11 — Empty catch Blocks Silently Swallow Errors in AppContext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BUG-11</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7D6608"/>
                <w:sz w:val="18"/>
                <w:szCs w:val="18"/>
              </w:rPr>
              <w:t xml:space="preserve">MEDIUM</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Error Handling</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src/contexts/AppContext.tsx (lines 138, 362)</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Two catch blocks are completely empty (`catch {}`), meaning errors in those code paths are silently discarded without logging. One is in the auth state change handler and one is in data loading. The app has an error logging system (logError) that is never called here.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Auth or data-loading failures become invisible — no error shown to user, no log in the DB. Intermittent failures will be impossible to diagnose in production.</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Replace empty catch blocks with at minimum `catch (err) { console.warn(...) }` or ideally call logError() with context.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15 minutes</w:t>
            </w:r>
          </w:p>
        </w:tc>
      </w:tr>
    </w:tbl>
    <w:p>
      <w:pPr>
        <w:spacing w:after="80" w:before="240"/>
      </w:pPr>
      <w:r>
        <w:rPr>
          <w:rFonts w:ascii="Arial" w:cs="Arial" w:eastAsia="Arial" w:hAnsi="Arial"/>
          <w:b/>
          <w:bCs/>
          <w:color w:val="7D6608"/>
          <w:sz w:val="24"/>
          <w:szCs w:val="24"/>
        </w:rPr>
        <w:t xml:space="preserve">BUG-12 — 284 ESLint Errors — Pervasive use of `any`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BUG-12</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7D6608"/>
                <w:sz w:val="18"/>
                <w:szCs w:val="18"/>
              </w:rPr>
              <w:t xml:space="preserve">MEDIUM</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Type Safety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Multiple files (AppContext.tsx, intelligence.ts, etc.)</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ESLint run produced 284 errors and 26 warnings. The vast majority (200+) are @typescript-eslint/no-explicit-any violations across AppContext, intelligence.ts, nutrition-scoring.ts, shared.tsx, FeedbackWidget.tsx, PrintablePDF.tsx, and test files. TypeScript's `any` type disables type checking and hides real runtime errors.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Type errors in scoring logic, data transformation, or API responses will silently pass TypeScript and only fail at runtime — affecting assessment accuracy.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Incrementally replace `any` with proper types. Priority: intelligence.ts (scoring engine), AppContext.tsx (auth/data flow), nutrition-scoring.ts.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2–3 days (incremental)</w:t>
            </w:r>
          </w:p>
        </w:tc>
      </w:tr>
    </w:tbl>
    <w:p>
      <w:pPr>
        <w:spacing w:after="80" w:before="240"/>
      </w:pPr>
      <w:r>
        <w:rPr>
          <w:rFonts w:ascii="Arial" w:cs="Arial" w:eastAsia="Arial" w:hAnsi="Arial"/>
          <w:b/>
          <w:bCs/>
          <w:color w:val="7D6608"/>
          <w:sz w:val="24"/>
          <w:szCs w:val="24"/>
        </w:rPr>
        <w:t xml:space="preserve">BUG-13 — Face Scanner Error Fallback Defaults to "denied" for Unknown Camera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BUG-13</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7D6608"/>
                <w:sz w:val="18"/>
                <w:szCs w:val="18"/>
              </w:rPr>
              <w:t xml:space="preserve">MEDIUM</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UX / Accessibility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src/features/wellnessBeta/BetaFaceScanner.jsx (line ~78)</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When an unknown camera error occurs (not "Permission denied" or "NotFound"), the code falls back to setErrorType("denied") — showing "Please tap Allow when your browser asks for camera access." This is misleading for errors like device busy, stream constraints mismatch, or hardware failures.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Users with legitimate hardware issues receive incorrect recovery instructions and may waste time trying to grant permissions that are already granted.</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Add a generic "unknown" error type with a message like "Camera could not be started. Please try again or restart your browser."</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20 minutes</w:t>
            </w:r>
          </w:p>
        </w:tc>
      </w:tr>
    </w:tbl>
    <w:p>
      <w:pPr>
        <w:spacing w:after="80" w:before="240"/>
      </w:pPr>
      <w:r>
        <w:rPr>
          <w:rFonts w:ascii="Arial" w:cs="Arial" w:eastAsia="Arial" w:hAnsi="Arial"/>
          <w:b/>
          <w:bCs/>
          <w:color w:val="7D6608"/>
          <w:sz w:val="24"/>
          <w:szCs w:val="24"/>
        </w:rPr>
        <w:t xml:space="preserve">BUG-14 — Investor Deck Accessible to Anyone via ?investor=1 Query Param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BUG-14</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7D6608"/>
                <w:sz w:val="18"/>
                <w:szCs w:val="18"/>
              </w:rPr>
              <w:t xml:space="preserve">MEDIUM</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UX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src/App.tsx (line ~47)</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The investor deck (containing business metrics, projections, and growth data) is rendered without any authentication check when ?investor=1 is in the URL or the path is /investor. Any unauthenticated user who knows or guesses this URL can access confidential business information.</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Confidential investor/business data exposed to the public internet.</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Gate the InvestorDeck behind an authenticated session check, or add a separate password gate similar to the Admin page.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30 minutes</w:t>
            </w:r>
          </w:p>
        </w:tc>
      </w:tr>
    </w:tbl>
    <w:p>
      <w:pPr>
        <w:spacing w:after="80" w:before="240"/>
      </w:pPr>
      <w:r>
        <w:rPr>
          <w:rFonts w:ascii="Arial" w:cs="Arial" w:eastAsia="Arial" w:hAnsi="Arial"/>
          <w:b/>
          <w:bCs/>
          <w:color w:val="375623"/>
          <w:sz w:val="24"/>
          <w:szCs w:val="24"/>
        </w:rPr>
        <w:t xml:space="preserve">BUG-15 — 26 Fast-Refresh Warnings — HMR Breaks During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BUG-15</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375623"/>
                <w:sz w:val="18"/>
                <w:szCs w:val="18"/>
              </w:rPr>
              <w:t xml:space="preserve">LOW</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Build / DX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Multiple UI component files (badge.tsx, button.tsx, sonner.tsx, etc.)</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Files that export both components and constants/functions trigger react-refresh/only-export-components warnings. Vite's Hot Module Replacement (HMR) cannot fast-refresh these files — the entire module reloads on every change.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Slower developer iteration cycle; all component state is lost on every change to these shared files.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Separate constant/utility exports from component files into dedicated files (e.g., badge-variants.ts, button-variants.ts).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1–2 hours</w:t>
            </w:r>
          </w:p>
        </w:tc>
      </w:tr>
    </w:tbl>
    <w:p>
      <w:pPr>
        <w:spacing w:after="80" w:before="240"/>
      </w:pPr>
      <w:r>
        <w:rPr>
          <w:rFonts w:ascii="Arial" w:cs="Arial" w:eastAsia="Arial" w:hAnsi="Arial"/>
          <w:b/>
          <w:bCs/>
          <w:color w:val="375623"/>
          <w:sz w:val="24"/>
          <w:szCs w:val="24"/>
        </w:rPr>
        <w:t xml:space="preserve">BUG-16 — PrintablePDF.tsx Has `let raf1` Never Reassigned (should be const)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BUG-16</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375623"/>
                <w:sz w:val="18"/>
                <w:szCs w:val="18"/>
              </w:rPr>
              <w:t xml:space="preserve">LOW</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Code Quality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src/components/PrintablePDF.tsx (line 776)</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A variable declared with `let` is never reassigned — it should be `const`. Minor code quality issue.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No functional impact. Code quality/readability issue.</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Change `let raf1` to `const raf1`.</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1 minute</w:t>
            </w:r>
          </w:p>
        </w:tc>
      </w:tr>
    </w:tbl>
    <w:p>
      <w:pPr>
        <w:spacing w:after="80" w:before="240"/>
      </w:pPr>
      <w:r>
        <w:rPr>
          <w:rFonts w:ascii="Arial" w:cs="Arial" w:eastAsia="Arial" w:hAnsi="Arial"/>
          <w:b/>
          <w:bCs/>
          <w:color w:val="375623"/>
          <w:sz w:val="24"/>
          <w:szCs w:val="24"/>
        </w:rPr>
        <w:t xml:space="preserve">BUG-17 — ui/command.tsx and ui/textarea.tsx Have Empty Interface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Bug ID</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BUG-17</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Severity</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b/>
                <w:bCs/>
                <w:color w:val="375623"/>
                <w:sz w:val="18"/>
                <w:szCs w:val="18"/>
              </w:rPr>
              <w:t xml:space="preserve">LOW</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Area</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Type Safety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File(s)</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src/components/ui/command.tsx, src/components/ui/textarea.tsx</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Both files declare empty interfaces (no members) that are equivalent to their supertypes. TypeScript flags these as unnecessary.</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Impact</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No functional impact. Dead code that adds noise and confuses future maintainers.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Recommended Fix</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Remove the empty interfaces or add required members.</w:t>
            </w:r>
          </w:p>
        </w:tc>
      </w:tr>
      <w:tr>
        <w:tc>
          <w:tcPr>
            <w:tcW w:type="dxa" w:w="2200"/>
            <w:tcBorders>
              <w:top w:val="single" w:color="D0D7E2" w:sz="1"/>
              <w:left w:val="single" w:color="D0D7E2" w:sz="1"/>
              <w:bottom w:val="single" w:color="D0D7E2" w:sz="1"/>
              <w:right w:val="single" w:color="D0D7E2" w:sz="1"/>
            </w:tcBorders>
            <w:shd w:fill="F5F7FA" w:val="clear"/>
            <w:tcMar>
              <w:top w:type="dxa" w:w="80"/>
              <w:left w:type="dxa" w:w="140"/>
              <w:bottom w:type="dxa" w:w="80"/>
              <w:right w:type="dxa" w:w="140"/>
            </w:tcMar>
          </w:tcPr>
          <w:p>
            <w:r>
              <w:rPr>
                <w:rFonts w:ascii="Arial" w:cs="Arial" w:eastAsia="Arial" w:hAnsi="Arial"/>
                <w:b/>
                <w:bCs/>
                <w:color w:val="1F3864"/>
                <w:sz w:val="18"/>
                <w:szCs w:val="18"/>
              </w:rPr>
              <w:t xml:space="preserve">Effort Estimate</w:t>
            </w:r>
          </w:p>
        </w:tc>
        <w:tc>
          <w:tcPr>
            <w:tcW w:type="dxa" w:w="7160"/>
            <w:tcBorders>
              <w:top w:val="single" w:color="D0D7E2" w:sz="1"/>
              <w:left w:val="single" w:color="D0D7E2" w:sz="1"/>
              <w:bottom w:val="single" w:color="D0D7E2" w:sz="1"/>
              <w:right w:val="single" w:color="D0D7E2" w:sz="1"/>
            </w:tcBorders>
            <w:shd w:fill="FFFFFF" w:val="clear"/>
            <w:tcMar>
              <w:top w:type="dxa" w:w="80"/>
              <w:left w:type="dxa" w:w="140"/>
              <w:bottom w:type="dxa" w:w="80"/>
              <w:right w:type="dxa" w:w="140"/>
            </w:tcMar>
          </w:tcPr>
          <w:p>
            <w:r>
              <w:rPr>
                <w:rFonts w:ascii="Arial" w:cs="Arial" w:eastAsia="Arial" w:hAnsi="Arial"/>
                <w:sz w:val="18"/>
                <w:szCs w:val="18"/>
              </w:rPr>
              <w:t xml:space="preserve">5 minutes</w:t>
            </w:r>
          </w:p>
        </w:tc>
      </w:tr>
    </w:tbl>
    <w:p>
      <w:pPr>
        <w:spacing w:after="0" w:before="200"/>
      </w:pPr>
      <w:r>
        <w:t xml:space="preserve"/>
      </w:r>
    </w:p>
    <w:p>
      <w:pPr>
        <w:spacing w:after="120" w:before="280"/>
      </w:pPr>
      <w:r>
        <w:rPr>
          <w:rFonts w:ascii="Arial" w:cs="Arial" w:eastAsia="Arial" w:hAnsi="Arial"/>
          <w:b/>
          <w:bCs/>
          <w:color w:val="1F3864"/>
          <w:sz w:val="28"/>
          <w:szCs w:val="28"/>
        </w:rPr>
        <w:t xml:space="preserve">Recommended Remediation Priority</w:t>
      </w:r>
    </w:p>
    <w:p>
      <w:pPr>
        <w:spacing w:after="60" w:before="40"/>
      </w:pPr>
      <w:r>
        <w:rPr>
          <w:rFonts w:ascii="Arial" w:cs="Arial" w:eastAsia="Arial" w:hAnsi="Arial"/>
          <w:b/>
          <w:bCs/>
          <w:sz w:val="20"/>
          <w:szCs w:val="20"/>
        </w:rPr>
        <w:t xml:space="preserve">Fix in this order:</w:t>
      </w:r>
    </w:p>
    <w:p>
      <w:pPr>
        <w:pStyle w:val="ListParagraph"/>
        <w:numPr>
          <w:ilvl w:val="0"/>
          <w:numId w:val="2"/>
        </w:numPr>
        <w:spacing w:after="20" w:before="40"/>
      </w:pPr>
      <w:r>
        <w:rPr>
          <w:rFonts w:ascii="Arial" w:cs="Arial" w:eastAsia="Arial" w:hAnsi="Arial"/>
          <w:sz w:val="20"/>
          <w:szCs w:val="20"/>
        </w:rPr>
        <w:t xml:space="preserve">BUG-01 — Add .env to .gitignore and rotate the Supabase anon key if the repo has been pushed remotely. (Minutes)</w:t>
      </w:r>
    </w:p>
    <w:p>
      <w:pPr>
        <w:pStyle w:val="ListParagraph"/>
        <w:numPr>
          <w:ilvl w:val="0"/>
          <w:numId w:val="2"/>
        </w:numPr>
        <w:spacing w:after="20" w:before="0"/>
      </w:pPr>
      <w:r>
        <w:rPr>
          <w:rFonts w:ascii="Arial" w:cs="Arial" w:eastAsia="Arial" w:hAnsi="Arial"/>
          <w:sz w:val="20"/>
          <w:szCs w:val="20"/>
        </w:rPr>
        <w:t xml:space="preserve">BUG-02 — Add server-side admin role enforcement to the Admin page. (1–2 hours)</w:t>
      </w:r>
    </w:p>
    <w:p>
      <w:pPr>
        <w:pStyle w:val="ListParagraph"/>
        <w:numPr>
          <w:ilvl w:val="0"/>
          <w:numId w:val="2"/>
        </w:numPr>
        <w:spacing w:after="20" w:before="0"/>
      </w:pPr>
      <w:r>
        <w:rPr>
          <w:rFonts w:ascii="Arial" w:cs="Arial" w:eastAsia="Arial" w:hAnsi="Arial"/>
          <w:sz w:val="20"/>
          <w:szCs w:val="20"/>
        </w:rPr>
        <w:t xml:space="preserve">BUG-03 — Gate DevReset behind import.meta.env.DEV. (15 minutes)</w:t>
      </w:r>
    </w:p>
    <w:p>
      <w:pPr>
        <w:pStyle w:val="ListParagraph"/>
        <w:numPr>
          <w:ilvl w:val="0"/>
          <w:numId w:val="2"/>
        </w:numPr>
        <w:spacing w:after="20" w:before="0"/>
      </w:pPr>
      <w:r>
        <w:rPr>
          <w:rFonts w:ascii="Arial" w:cs="Arial" w:eastAsia="Arial" w:hAnsi="Arial"/>
          <w:sz w:val="20"/>
          <w:szCs w:val="20"/>
        </w:rPr>
        <w:t xml:space="preserve">BUG-06 — Add parental consent gate before BetaFaceScanner activates the camera. (2–3 hours)</w:t>
      </w:r>
    </w:p>
    <w:p>
      <w:pPr>
        <w:pStyle w:val="ListParagraph"/>
        <w:numPr>
          <w:ilvl w:val="0"/>
          <w:numId w:val="2"/>
        </w:numPr>
        <w:spacing w:after="20" w:before="0"/>
      </w:pPr>
      <w:r>
        <w:rPr>
          <w:rFonts w:ascii="Arial" w:cs="Arial" w:eastAsia="Arial" w:hAnsi="Arial"/>
          <w:sz w:val="20"/>
          <w:szCs w:val="20"/>
        </w:rPr>
        <w:t xml:space="preserve">BUG-07 — Fix RadarChart ternary void expressions to prevent silent canvas rendering failures. (15 minutes)</w:t>
      </w:r>
    </w:p>
    <w:p>
      <w:pPr>
        <w:pStyle w:val="ListParagraph"/>
        <w:numPr>
          <w:ilvl w:val="0"/>
          <w:numId w:val="2"/>
        </w:numPr>
        <w:spacing w:after="20" w:before="0"/>
      </w:pPr>
      <w:r>
        <w:rPr>
          <w:rFonts w:ascii="Arial" w:cs="Arial" w:eastAsia="Arial" w:hAnsi="Arial"/>
          <w:sz w:val="20"/>
          <w:szCs w:val="20"/>
        </w:rPr>
        <w:t xml:space="preserve">BUG-09, BUG-10 — Fix missing React hook dependencies in AppContext. (10 minutes)</w:t>
      </w:r>
    </w:p>
    <w:p>
      <w:pPr>
        <w:pStyle w:val="ListParagraph"/>
        <w:numPr>
          <w:ilvl w:val="0"/>
          <w:numId w:val="2"/>
        </w:numPr>
        <w:spacing w:after="20" w:before="0"/>
      </w:pPr>
      <w:r>
        <w:rPr>
          <w:rFonts w:ascii="Arial" w:cs="Arial" w:eastAsia="Arial" w:hAnsi="Arial"/>
          <w:sz w:val="20"/>
          <w:szCs w:val="20"/>
        </w:rPr>
        <w:t xml:space="preserve">BUG-11 — Replace empty catch blocks with proper error logging. (15 minutes)</w:t>
      </w:r>
    </w:p>
    <w:p>
      <w:pPr>
        <w:pStyle w:val="ListParagraph"/>
        <w:numPr>
          <w:ilvl w:val="0"/>
          <w:numId w:val="2"/>
        </w:numPr>
        <w:spacing w:after="20" w:before="0"/>
      </w:pPr>
      <w:r>
        <w:rPr>
          <w:rFonts w:ascii="Arial" w:cs="Arial" w:eastAsia="Arial" w:hAnsi="Arial"/>
          <w:sz w:val="20"/>
          <w:szCs w:val="20"/>
        </w:rPr>
        <w:t xml:space="preserve">BUG-08 — Sync assessment results to Supabase DB on completion. (4–6 hours)</w:t>
      </w:r>
    </w:p>
    <w:p>
      <w:pPr>
        <w:pStyle w:val="ListParagraph"/>
        <w:numPr>
          <w:ilvl w:val="0"/>
          <w:numId w:val="2"/>
        </w:numPr>
        <w:spacing w:after="20" w:before="0"/>
      </w:pPr>
      <w:r>
        <w:rPr>
          <w:rFonts w:ascii="Arial" w:cs="Arial" w:eastAsia="Arial" w:hAnsi="Arial"/>
          <w:sz w:val="20"/>
          <w:szCs w:val="20"/>
        </w:rPr>
        <w:t xml:space="preserve">BUG-04, BUG-05 — Migrate to react-router URL-based routing. (1–2 days)</w:t>
      </w:r>
    </w:p>
    <w:p>
      <w:pPr>
        <w:pStyle w:val="ListParagraph"/>
        <w:numPr>
          <w:ilvl w:val="0"/>
          <w:numId w:val="2"/>
        </w:numPr>
        <w:spacing w:after="20" w:before="0"/>
      </w:pPr>
      <w:r>
        <w:rPr>
          <w:rFonts w:ascii="Arial" w:cs="Arial" w:eastAsia="Arial" w:hAnsi="Arial"/>
          <w:sz w:val="20"/>
          <w:szCs w:val="20"/>
        </w:rPr>
        <w:t xml:space="preserve">BUG-12 — Incrementally replace any types with proper TypeScript types. (2–3 days)</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12960"/>
      </w:tabs>
      <w:spacing w:before="80"/>
    </w:pPr>
    <w:r>
      <w:rPr>
        <w:rFonts w:ascii="Arial" w:cs="Arial" w:eastAsia="Arial" w:hAnsi="Arial"/>
        <w:color w:val="888888"/>
        <w:sz w:val="16"/>
        <w:szCs w:val="16"/>
      </w:rPr>
      <w:t xml:space="preserve">Confidential  —  Internal QA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100"/>
    </w:pPr>
    <w:r>
      <w:rPr>
        <w:rFonts w:ascii="Arial" w:cs="Arial" w:eastAsia="Arial" w:hAnsi="Arial"/>
        <w:b/>
        <w:bCs/>
        <w:color w:val="1F3864"/>
        <w:sz w:val="18"/>
        <w:szCs w:val="18"/>
      </w:rPr>
      <w:t xml:space="preserve">first-then-flourish  |  QA Audit Report  </w:t>
    </w:r>
    <w:r>
      <w:rPr>
        <w:rFonts w:ascii="Arial" w:cs="Arial" w:eastAsia="Arial" w:hAnsi="Arial"/>
        <w:color w:val="888888"/>
        <w:sz w:val="18"/>
        <w:szCs w:val="18"/>
      </w:rPr>
      <w:t xml:space="preserve">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2026-03-15T03:07:35.721Z</dcterms:created>
  <dcterms:modified xsi:type="dcterms:W3CDTF">2026-03-15T03:07:35.726Z</dcterms:modified>
</cp:coreProperties>
</file>

<file path=docProps/custom.xml><?xml version="1.0" encoding="utf-8"?>
<Properties xmlns="http://schemas.openxmlformats.org/officeDocument/2006/custom-properties" xmlns:vt="http://schemas.openxmlformats.org/officeDocument/2006/docPropsVTypes"/>
</file>